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D7AB" w14:textId="75BCDB92" w:rsidR="000A134A" w:rsidRPr="001C1E47" w:rsidRDefault="002511E9" w:rsidP="002D7FDC">
      <w:pPr>
        <w:pStyle w:val="Heading1"/>
      </w:pPr>
      <w:bookmarkStart w:id="0" w:name="_Toc118900169"/>
      <w:bookmarkStart w:id="1" w:name="_Toc118905008"/>
      <w:r w:rsidRPr="001C1E47">
        <w:rPr>
          <w:iCs/>
        </w:rPr>
        <w:t>FY 20</w:t>
      </w:r>
      <w:r w:rsidR="00185C7D" w:rsidRPr="001C1E47">
        <w:rPr>
          <w:iCs/>
        </w:rPr>
        <w:t>22</w:t>
      </w:r>
      <w:r w:rsidR="001C1E47" w:rsidRPr="001C1E47">
        <w:rPr>
          <w:iCs/>
        </w:rPr>
        <w:t xml:space="preserve"> </w:t>
      </w:r>
      <w:r w:rsidR="000A134A" w:rsidRPr="001C1E47">
        <w:rPr>
          <w:iCs/>
        </w:rPr>
        <w:t xml:space="preserve">Follow-up </w:t>
      </w:r>
      <w:r w:rsidR="00626033" w:rsidRPr="001C1E47">
        <w:t>Federal Annual Monitoring</w:t>
      </w:r>
      <w:r w:rsidR="000A134A" w:rsidRPr="001C1E47">
        <w:t xml:space="preserve"> Evaluation (FAME) Report</w:t>
      </w:r>
      <w:bookmarkEnd w:id="0"/>
      <w:bookmarkEnd w:id="1"/>
    </w:p>
    <w:p w14:paraId="5D01BB79" w14:textId="77777777" w:rsidR="000A134A" w:rsidRPr="001C1E47" w:rsidRDefault="000A134A" w:rsidP="0061177B">
      <w:pPr>
        <w:widowControl/>
        <w:autoSpaceDE/>
        <w:autoSpaceDN/>
        <w:adjustRightInd/>
        <w:rPr>
          <w:rFonts w:cs="Calibri"/>
          <w:bCs/>
          <w:iCs/>
        </w:rPr>
      </w:pPr>
    </w:p>
    <w:p w14:paraId="2681F091" w14:textId="77777777" w:rsidR="000A134A" w:rsidRPr="001C1E47" w:rsidRDefault="000A134A" w:rsidP="007A71AC">
      <w:pPr>
        <w:widowControl/>
        <w:autoSpaceDE/>
        <w:autoSpaceDN/>
        <w:adjustRightInd/>
        <w:jc w:val="center"/>
        <w:rPr>
          <w:rFonts w:cs="Calibri"/>
        </w:rPr>
      </w:pPr>
      <w:r w:rsidRPr="001C1E47">
        <w:rPr>
          <w:rFonts w:cs="Calibri"/>
        </w:rPr>
        <w:t xml:space="preserve"> </w:t>
      </w:r>
    </w:p>
    <w:p w14:paraId="61F6BBD2" w14:textId="77777777" w:rsidR="000A134A" w:rsidRPr="00CD7B7E" w:rsidRDefault="000A134A" w:rsidP="0061177B">
      <w:pPr>
        <w:widowControl/>
        <w:autoSpaceDE/>
        <w:autoSpaceDN/>
        <w:adjustRightInd/>
        <w:rPr>
          <w:rFonts w:cs="Calibri"/>
        </w:rPr>
      </w:pPr>
    </w:p>
    <w:p w14:paraId="51905CA0" w14:textId="36319FC3" w:rsidR="000A134A" w:rsidRPr="00627198" w:rsidRDefault="0092202E" w:rsidP="001C1E47">
      <w:pPr>
        <w:widowControl/>
        <w:autoSpaceDE/>
        <w:autoSpaceDN/>
        <w:adjustRightInd/>
        <w:rPr>
          <w:rFonts w:cs="Calibri"/>
          <w:b/>
          <w:color w:val="000000" w:themeColor="text1"/>
          <w:sz w:val="28"/>
          <w:szCs w:val="28"/>
        </w:rPr>
      </w:pPr>
      <w:r w:rsidRPr="00627198">
        <w:rPr>
          <w:rFonts w:cs="Calibri"/>
          <w:b/>
          <w:color w:val="000000" w:themeColor="text1"/>
          <w:sz w:val="28"/>
          <w:szCs w:val="28"/>
        </w:rPr>
        <w:t>Industrial Commission of Arizona (ICA)</w:t>
      </w:r>
    </w:p>
    <w:p w14:paraId="28CAC44C" w14:textId="59B8C272" w:rsidR="00824C52" w:rsidRPr="00627198" w:rsidRDefault="00824C52" w:rsidP="001C1E47">
      <w:pPr>
        <w:widowControl/>
        <w:autoSpaceDE/>
        <w:autoSpaceDN/>
        <w:adjustRightInd/>
        <w:rPr>
          <w:rFonts w:cs="Calibri"/>
          <w:b/>
          <w:color w:val="000000" w:themeColor="text1"/>
          <w:sz w:val="28"/>
          <w:szCs w:val="28"/>
        </w:rPr>
      </w:pPr>
      <w:r w:rsidRPr="00627198">
        <w:rPr>
          <w:rFonts w:cs="Calibri"/>
          <w:b/>
          <w:color w:val="000000" w:themeColor="text1"/>
          <w:sz w:val="28"/>
          <w:szCs w:val="28"/>
        </w:rPr>
        <w:t>Arizona Division of Occupational Safety and Health (ADOSH)</w:t>
      </w:r>
    </w:p>
    <w:p w14:paraId="33BDDAA9" w14:textId="77777777" w:rsidR="000A134A" w:rsidRPr="00627198" w:rsidRDefault="000A134A" w:rsidP="0061177B">
      <w:pPr>
        <w:widowControl/>
        <w:autoSpaceDE/>
        <w:autoSpaceDN/>
        <w:adjustRightInd/>
        <w:rPr>
          <w:rFonts w:cs="Calibri"/>
          <w:bCs/>
          <w:sz w:val="28"/>
          <w:szCs w:val="28"/>
        </w:rPr>
      </w:pPr>
    </w:p>
    <w:p w14:paraId="0E828210" w14:textId="5815446C" w:rsidR="000A134A" w:rsidRPr="001C1E47" w:rsidRDefault="00395666" w:rsidP="0061177B">
      <w:pPr>
        <w:widowControl/>
        <w:autoSpaceDE/>
        <w:autoSpaceDN/>
        <w:adjustRightInd/>
        <w:rPr>
          <w:rFonts w:cs="Calibri"/>
          <w:bCs/>
        </w:rPr>
      </w:pPr>
      <w:r>
        <w:rPr>
          <w:noProof/>
        </w:rPr>
        <w:drawing>
          <wp:inline distT="0" distB="0" distL="0" distR="0" wp14:anchorId="42EED666" wp14:editId="78BE8D02">
            <wp:extent cx="1379220" cy="1333500"/>
            <wp:effectExtent l="0" t="0" r="0" b="0"/>
            <wp:docPr id="931882145" name="Picture 931882145" descr="Official Seal of the state of Arizo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1882145" name="image1.png" descr="Official Seal of the state of Arizona."/>
                    <pic:cNvPicPr/>
                  </pic:nvPicPr>
                  <pic:blipFill>
                    <a:blip r:embed="rId11">
                      <a:extLst>
                        <a:ext uri="{28A0092B-C50C-407E-A947-70E740481C1C}">
                          <a14:useLocalDpi xmlns:a14="http://schemas.microsoft.com/office/drawing/2010/main" val="0"/>
                        </a:ext>
                      </a:extLst>
                    </a:blip>
                    <a:stretch>
                      <a:fillRect/>
                    </a:stretch>
                  </pic:blipFill>
                  <pic:spPr>
                    <a:xfrm>
                      <a:off x="0" y="0"/>
                      <a:ext cx="1379220" cy="1333500"/>
                    </a:xfrm>
                    <a:prstGeom prst="rect">
                      <a:avLst/>
                    </a:prstGeom>
                  </pic:spPr>
                </pic:pic>
              </a:graphicData>
            </a:graphic>
          </wp:inline>
        </w:drawing>
      </w:r>
    </w:p>
    <w:p w14:paraId="3FC46738" w14:textId="77777777" w:rsidR="000A134A" w:rsidRPr="001C1E47" w:rsidRDefault="000A134A" w:rsidP="0061177B">
      <w:pPr>
        <w:widowControl/>
        <w:autoSpaceDE/>
        <w:autoSpaceDN/>
        <w:adjustRightInd/>
        <w:rPr>
          <w:rFonts w:cs="Calibri"/>
          <w:b/>
        </w:rPr>
      </w:pPr>
    </w:p>
    <w:p w14:paraId="6CB8AD27" w14:textId="7356AD48" w:rsidR="000A134A" w:rsidRPr="001C1E47" w:rsidRDefault="000A134A" w:rsidP="001C1E47">
      <w:pPr>
        <w:widowControl/>
        <w:tabs>
          <w:tab w:val="left" w:pos="720"/>
          <w:tab w:val="left" w:pos="1440"/>
          <w:tab w:val="left" w:pos="2160"/>
        </w:tabs>
        <w:autoSpaceDE/>
        <w:autoSpaceDN/>
        <w:adjustRightInd/>
        <w:rPr>
          <w:rFonts w:eastAsia="Batang" w:cs="Calibri"/>
          <w:b/>
          <w:sz w:val="28"/>
          <w:szCs w:val="28"/>
        </w:rPr>
      </w:pPr>
      <w:r w:rsidRPr="001C1E47">
        <w:rPr>
          <w:rFonts w:eastAsia="Batang" w:cs="Calibri"/>
          <w:b/>
          <w:sz w:val="28"/>
          <w:szCs w:val="28"/>
        </w:rPr>
        <w:t>Ev</w:t>
      </w:r>
      <w:r w:rsidR="00882F2B" w:rsidRPr="001C1E47">
        <w:rPr>
          <w:rFonts w:eastAsia="Batang" w:cs="Calibri"/>
          <w:b/>
          <w:sz w:val="28"/>
          <w:szCs w:val="28"/>
        </w:rPr>
        <w:t>aluation Period: October 1, 20</w:t>
      </w:r>
      <w:r w:rsidR="00F54BE0" w:rsidRPr="001C1E47">
        <w:rPr>
          <w:rFonts w:eastAsia="Batang" w:cs="Calibri"/>
          <w:b/>
          <w:sz w:val="28"/>
          <w:szCs w:val="28"/>
        </w:rPr>
        <w:t>21</w:t>
      </w:r>
      <w:r w:rsidRPr="001C1E47">
        <w:rPr>
          <w:rFonts w:eastAsia="Batang" w:cs="Calibri"/>
          <w:b/>
          <w:sz w:val="28"/>
          <w:szCs w:val="28"/>
        </w:rPr>
        <w:t xml:space="preserve"> –</w:t>
      </w:r>
      <w:r w:rsidR="00882F2B" w:rsidRPr="001C1E47">
        <w:rPr>
          <w:rFonts w:eastAsia="Batang" w:cs="Calibri"/>
          <w:b/>
          <w:sz w:val="28"/>
          <w:szCs w:val="28"/>
        </w:rPr>
        <w:t xml:space="preserve"> September 30, 20</w:t>
      </w:r>
      <w:r w:rsidR="00F54BE0" w:rsidRPr="001C1E47">
        <w:rPr>
          <w:rFonts w:eastAsia="Batang" w:cs="Calibri"/>
          <w:b/>
          <w:sz w:val="28"/>
          <w:szCs w:val="28"/>
        </w:rPr>
        <w:t>22</w:t>
      </w:r>
    </w:p>
    <w:p w14:paraId="03D79AE5" w14:textId="77777777" w:rsidR="000A134A" w:rsidRPr="001C1E47" w:rsidRDefault="000A134A" w:rsidP="00660015">
      <w:pPr>
        <w:widowControl/>
        <w:autoSpaceDE/>
        <w:autoSpaceDN/>
        <w:adjustRightInd/>
        <w:rPr>
          <w:rFonts w:cs="Calibri"/>
        </w:rPr>
      </w:pPr>
    </w:p>
    <w:p w14:paraId="015E020F" w14:textId="77777777" w:rsidR="000A134A" w:rsidRPr="001C1E47" w:rsidRDefault="000A134A" w:rsidP="0061177B">
      <w:pPr>
        <w:widowControl/>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0E81BC24"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rPr>
      </w:pPr>
    </w:p>
    <w:p w14:paraId="221B5785" w14:textId="77777777" w:rsidR="000A134A" w:rsidRPr="001C1E47" w:rsidRDefault="000A134A" w:rsidP="007A71AC">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p>
    <w:p w14:paraId="0DF94F44" w14:textId="46908197"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rPr>
      </w:pPr>
      <w:r w:rsidRPr="001C1E47">
        <w:rPr>
          <w:rFonts w:eastAsia="Batang" w:cs="Calibri"/>
          <w:b/>
        </w:rPr>
        <w:t xml:space="preserve">Initial Approval Date:  </w:t>
      </w:r>
      <w:r w:rsidR="00ED5BA2">
        <w:rPr>
          <w:rFonts w:eastAsia="Batang" w:cs="Calibri"/>
          <w:b/>
        </w:rPr>
        <w:t>November 5, 1974</w:t>
      </w:r>
    </w:p>
    <w:p w14:paraId="3062998A" w14:textId="514A23F5" w:rsidR="000A134A" w:rsidRPr="00132AC8"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eastAsia="Batang" w:cs="Calibri"/>
          <w:b/>
          <w:color w:val="000000" w:themeColor="text1"/>
        </w:rPr>
      </w:pPr>
      <w:r w:rsidRPr="001C1E47">
        <w:rPr>
          <w:rFonts w:eastAsia="Batang" w:cs="Calibri"/>
          <w:b/>
        </w:rPr>
        <w:t xml:space="preserve">Program Certification Date: </w:t>
      </w:r>
      <w:r w:rsidR="00132AC8">
        <w:rPr>
          <w:rFonts w:eastAsia="Batang" w:cs="Calibri"/>
          <w:b/>
        </w:rPr>
        <w:t xml:space="preserve"> </w:t>
      </w:r>
      <w:r w:rsidR="00132AC8" w:rsidRPr="00132AC8">
        <w:rPr>
          <w:rFonts w:eastAsia="Batang" w:cs="Calibri"/>
          <w:b/>
          <w:color w:val="000000" w:themeColor="text1"/>
        </w:rPr>
        <w:t>September 18, 1981</w:t>
      </w:r>
    </w:p>
    <w:p w14:paraId="51A91D4F" w14:textId="24525B40" w:rsidR="000A134A" w:rsidRPr="001C1E47" w:rsidRDefault="000A134A" w:rsidP="001C1E47">
      <w:pPr>
        <w:widowControl/>
        <w:pBdr>
          <w:top w:val="single" w:sz="6" w:space="0" w:color="FFFFFF"/>
          <w:left w:val="single" w:sz="6" w:space="0" w:color="FFFFFF"/>
          <w:bottom w:val="single" w:sz="6" w:space="0" w:color="FFFFFF"/>
          <w:right w:val="single" w:sz="6" w:space="0" w:color="FFFFFF"/>
        </w:pBd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cs="Calibri"/>
          <w:b/>
        </w:rPr>
      </w:pPr>
      <w:r w:rsidRPr="00132AC8">
        <w:rPr>
          <w:rFonts w:eastAsia="Batang" w:cs="Calibri"/>
          <w:b/>
          <w:color w:val="000000" w:themeColor="text1"/>
        </w:rPr>
        <w:t xml:space="preserve">Final Approval Date: </w:t>
      </w:r>
      <w:r w:rsidR="00132AC8" w:rsidRPr="00132AC8">
        <w:rPr>
          <w:rFonts w:eastAsia="Batang" w:cs="Calibri"/>
          <w:b/>
          <w:color w:val="000000" w:themeColor="text1"/>
        </w:rPr>
        <w:t xml:space="preserve"> June 20, 1985</w:t>
      </w:r>
    </w:p>
    <w:p w14:paraId="5FD63D8C" w14:textId="77777777" w:rsidR="000A134A" w:rsidRPr="001C1E47" w:rsidRDefault="000A134A" w:rsidP="0061177B">
      <w:pPr>
        <w:widowControl/>
        <w:autoSpaceDE/>
        <w:autoSpaceDN/>
        <w:adjustRightInd/>
        <w:rPr>
          <w:rFonts w:cs="Calibri"/>
          <w:b/>
          <w:bCs/>
        </w:rPr>
      </w:pPr>
    </w:p>
    <w:p w14:paraId="3903FDED" w14:textId="77777777" w:rsidR="000A134A" w:rsidRPr="001C1E47" w:rsidRDefault="000A134A" w:rsidP="00334B7D">
      <w:pPr>
        <w:widowControl/>
        <w:autoSpaceDE/>
        <w:autoSpaceDN/>
        <w:adjustRightInd/>
        <w:rPr>
          <w:rFonts w:cs="Calibri"/>
          <w:b/>
        </w:rPr>
      </w:pPr>
    </w:p>
    <w:p w14:paraId="69312D4F" w14:textId="77777777" w:rsidR="000A134A" w:rsidRPr="001C1E47" w:rsidRDefault="000A134A" w:rsidP="0061177B">
      <w:pPr>
        <w:widowControl/>
        <w:tabs>
          <w:tab w:val="right" w:pos="9720"/>
        </w:tabs>
        <w:autoSpaceDE/>
        <w:autoSpaceDN/>
        <w:adjustRightInd/>
        <w:rPr>
          <w:rFonts w:cs="Calibri"/>
          <w:b/>
          <w:bCs/>
        </w:rPr>
      </w:pPr>
    </w:p>
    <w:p w14:paraId="1EA42317" w14:textId="77777777" w:rsidR="000A134A" w:rsidRPr="001C1E47" w:rsidRDefault="000A134A" w:rsidP="0061177B">
      <w:pPr>
        <w:widowControl/>
        <w:tabs>
          <w:tab w:val="right" w:pos="9720"/>
        </w:tabs>
        <w:autoSpaceDE/>
        <w:autoSpaceDN/>
        <w:adjustRightInd/>
        <w:rPr>
          <w:rFonts w:cs="Calibri"/>
          <w:b/>
          <w:bCs/>
        </w:rPr>
      </w:pPr>
    </w:p>
    <w:p w14:paraId="336BF8F1" w14:textId="77777777" w:rsidR="000A134A" w:rsidRPr="001C1E47" w:rsidRDefault="000A134A" w:rsidP="00C53328">
      <w:pPr>
        <w:widowControl/>
        <w:autoSpaceDE/>
        <w:autoSpaceDN/>
        <w:adjustRightInd/>
        <w:rPr>
          <w:rFonts w:cs="Calibri"/>
          <w:b/>
        </w:rPr>
      </w:pPr>
      <w:r w:rsidRPr="001C1E47">
        <w:rPr>
          <w:rFonts w:cs="Calibri"/>
          <w:b/>
        </w:rPr>
        <w:t>Prepared by:</w:t>
      </w:r>
    </w:p>
    <w:p w14:paraId="503A1070" w14:textId="371F4A38" w:rsidR="000A134A" w:rsidRPr="001C1E47" w:rsidRDefault="000A134A" w:rsidP="00C53328">
      <w:pPr>
        <w:widowControl/>
        <w:autoSpaceDE/>
        <w:autoSpaceDN/>
        <w:adjustRightInd/>
        <w:rPr>
          <w:rFonts w:cs="Calibri"/>
          <w:b/>
        </w:rPr>
      </w:pPr>
      <w:r w:rsidRPr="001C1E47">
        <w:rPr>
          <w:rFonts w:cs="Calibri"/>
          <w:b/>
        </w:rPr>
        <w:t>U. S. Department of Labor</w:t>
      </w:r>
    </w:p>
    <w:p w14:paraId="5E957F30" w14:textId="77777777" w:rsidR="000A134A" w:rsidRPr="001C1E47" w:rsidRDefault="000A134A" w:rsidP="00C53328">
      <w:pPr>
        <w:widowControl/>
        <w:autoSpaceDE/>
        <w:autoSpaceDN/>
        <w:adjustRightInd/>
        <w:rPr>
          <w:rFonts w:cs="Calibri"/>
          <w:b/>
        </w:rPr>
      </w:pPr>
      <w:r w:rsidRPr="001C1E47">
        <w:rPr>
          <w:rFonts w:cs="Calibri"/>
          <w:b/>
        </w:rPr>
        <w:t>Occupational Safety and Health Administration</w:t>
      </w:r>
    </w:p>
    <w:p w14:paraId="283D40DC" w14:textId="75C984CE" w:rsidR="000A134A" w:rsidRPr="001C1E47" w:rsidRDefault="000A134A" w:rsidP="00C53328">
      <w:pPr>
        <w:widowControl/>
        <w:autoSpaceDE/>
        <w:autoSpaceDN/>
        <w:adjustRightInd/>
        <w:rPr>
          <w:rFonts w:cs="Calibri"/>
          <w:b/>
        </w:rPr>
      </w:pPr>
      <w:r w:rsidRPr="001C1E47">
        <w:rPr>
          <w:rFonts w:cs="Calibri"/>
          <w:b/>
        </w:rPr>
        <w:t>Region</w:t>
      </w:r>
      <w:r w:rsidR="00062D4B">
        <w:rPr>
          <w:rFonts w:cs="Calibri"/>
          <w:b/>
        </w:rPr>
        <w:t xml:space="preserve"> IX</w:t>
      </w:r>
    </w:p>
    <w:p w14:paraId="50EE0B64" w14:textId="3A858D90" w:rsidR="000A134A" w:rsidRPr="00062D4B" w:rsidRDefault="00062D4B" w:rsidP="00C53328">
      <w:pPr>
        <w:widowControl/>
        <w:autoSpaceDE/>
        <w:autoSpaceDN/>
        <w:adjustRightInd/>
        <w:rPr>
          <w:rFonts w:cs="Calibri"/>
          <w:b/>
          <w:color w:val="000000" w:themeColor="text1"/>
        </w:rPr>
      </w:pPr>
      <w:r w:rsidRPr="00062D4B">
        <w:rPr>
          <w:rFonts w:cs="Calibri"/>
          <w:b/>
          <w:color w:val="000000" w:themeColor="text1"/>
        </w:rPr>
        <w:t>San Francisco, California</w:t>
      </w:r>
    </w:p>
    <w:p w14:paraId="5737E281" w14:textId="77777777" w:rsidR="000A134A" w:rsidRPr="00334B7D" w:rsidRDefault="000A134A" w:rsidP="00334B7D">
      <w:pPr>
        <w:widowControl/>
        <w:autoSpaceDE/>
        <w:autoSpaceDN/>
        <w:adjustRightInd/>
        <w:rPr>
          <w:rFonts w:cs="Calibri"/>
        </w:rPr>
      </w:pPr>
    </w:p>
    <w:p w14:paraId="18164B2D" w14:textId="77777777" w:rsidR="000A134A" w:rsidRPr="001C1E47" w:rsidRDefault="000A134A" w:rsidP="00ED5BA2">
      <w:pPr>
        <w:widowControl/>
        <w:autoSpaceDE/>
        <w:autoSpaceDN/>
        <w:adjustRightInd/>
        <w:rPr>
          <w:rFonts w:cs="Calibri"/>
          <w:b/>
        </w:rPr>
      </w:pPr>
    </w:p>
    <w:p w14:paraId="2A4EC189" w14:textId="77777777" w:rsidR="000A134A" w:rsidRPr="001C1E47" w:rsidRDefault="000A134A" w:rsidP="007A71AC">
      <w:pPr>
        <w:widowControl/>
        <w:autoSpaceDE/>
        <w:autoSpaceDN/>
        <w:adjustRightInd/>
        <w:jc w:val="center"/>
        <w:rPr>
          <w:rFonts w:cs="Calibri"/>
          <w:b/>
        </w:rPr>
      </w:pPr>
    </w:p>
    <w:p w14:paraId="2A63637C" w14:textId="77777777" w:rsidR="000A134A" w:rsidRPr="001C1E47" w:rsidRDefault="000A134A" w:rsidP="00F06BD8">
      <w:pPr>
        <w:widowControl/>
        <w:autoSpaceDE/>
        <w:autoSpaceDN/>
        <w:adjustRightInd/>
        <w:rPr>
          <w:rFonts w:cs="Calibri"/>
          <w:b/>
        </w:rPr>
      </w:pPr>
    </w:p>
    <w:p w14:paraId="26D1C94C" w14:textId="7F5FD7C5" w:rsidR="00F43B23" w:rsidRDefault="000A134A" w:rsidP="00F06BD8">
      <w:pPr>
        <w:widowControl/>
        <w:autoSpaceDE/>
        <w:autoSpaceDN/>
        <w:adjustRightInd/>
        <w:jc w:val="center"/>
        <w:rPr>
          <w:rFonts w:cs="Calibri"/>
          <w:b/>
          <w:sz w:val="40"/>
          <w:szCs w:val="40"/>
        </w:rPr>
      </w:pPr>
      <w:r w:rsidRPr="001C1E47">
        <w:rPr>
          <w:rFonts w:cs="Calibri"/>
          <w:noProof/>
        </w:rPr>
        <w:drawing>
          <wp:inline distT="0" distB="0" distL="0" distR="0" wp14:anchorId="1D849888" wp14:editId="3F7AB49D">
            <wp:extent cx="1600200" cy="1009650"/>
            <wp:effectExtent l="0" t="0" r="0" b="0"/>
            <wp:docPr id="4" name="Picture 4" descr="Occupational Safety and Health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ccupational Safety and Health Administr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r w:rsidR="00F43B23">
        <w:rPr>
          <w:rFonts w:cs="Calibri"/>
          <w:b/>
          <w:sz w:val="40"/>
          <w:szCs w:val="40"/>
        </w:rPr>
        <w:br w:type="page"/>
      </w:r>
    </w:p>
    <w:p w14:paraId="253E64F1" w14:textId="2FAB4601" w:rsidR="002A6CAA" w:rsidRPr="00386ED8" w:rsidRDefault="00F43B23">
      <w:pPr>
        <w:widowControl/>
        <w:autoSpaceDE/>
        <w:autoSpaceDN/>
        <w:adjustRightInd/>
        <w:rPr>
          <w:rFonts w:cs="Calibri"/>
          <w:b/>
          <w:sz w:val="28"/>
          <w:szCs w:val="28"/>
        </w:rPr>
      </w:pPr>
      <w:r w:rsidRPr="00386ED8">
        <w:rPr>
          <w:rFonts w:cs="Calibri"/>
          <w:b/>
          <w:bCs/>
          <w:sz w:val="28"/>
          <w:szCs w:val="28"/>
        </w:rPr>
        <w:lastRenderedPageBreak/>
        <w:t>Table of Contents</w:t>
      </w:r>
    </w:p>
    <w:p w14:paraId="7EC6D914" w14:textId="13D918A7" w:rsidR="00A66A81" w:rsidRPr="00D966D4" w:rsidRDefault="000F63C1" w:rsidP="006B1BC5">
      <w:pPr>
        <w:pStyle w:val="TOC2"/>
        <w:rPr>
          <w:rFonts w:eastAsiaTheme="minorEastAsia" w:cstheme="minorBidi"/>
          <w:noProof/>
          <w:szCs w:val="28"/>
        </w:rPr>
      </w:pPr>
      <w:r w:rsidRPr="00A66A81">
        <w:rPr>
          <w:szCs w:val="28"/>
        </w:rPr>
        <w:fldChar w:fldCharType="begin"/>
      </w:r>
      <w:r w:rsidRPr="00D165BB">
        <w:rPr>
          <w:szCs w:val="28"/>
        </w:rPr>
        <w:instrText xml:space="preserve"> TOC \o "2-3" \h \z \u \t "Level 1,1" </w:instrText>
      </w:r>
      <w:r w:rsidRPr="00A66A81">
        <w:rPr>
          <w:szCs w:val="28"/>
        </w:rPr>
        <w:fldChar w:fldCharType="separate"/>
      </w:r>
      <w:hyperlink w:anchor="_Toc128388231" w:history="1">
        <w:r w:rsidR="00A66A81" w:rsidRPr="00D966D4">
          <w:rPr>
            <w:rStyle w:val="Hyperlink"/>
            <w:noProof/>
            <w:szCs w:val="28"/>
          </w:rPr>
          <w:t>I.</w:t>
        </w:r>
        <w:r w:rsidR="00A66A81" w:rsidRPr="00D966D4">
          <w:rPr>
            <w:rFonts w:eastAsiaTheme="minorEastAsia" w:cstheme="minorBidi"/>
            <w:noProof/>
            <w:szCs w:val="28"/>
          </w:rPr>
          <w:tab/>
        </w:r>
        <w:r w:rsidR="00A66A81" w:rsidRPr="00D966D4">
          <w:rPr>
            <w:rStyle w:val="Hyperlink"/>
            <w:noProof/>
            <w:szCs w:val="28"/>
          </w:rPr>
          <w:t>Executive Summary</w:t>
        </w:r>
        <w:r w:rsidR="00A66A81" w:rsidRPr="00D966D4">
          <w:rPr>
            <w:noProof/>
            <w:webHidden/>
            <w:szCs w:val="28"/>
          </w:rPr>
          <w:tab/>
        </w:r>
        <w:r w:rsidR="00A66A81" w:rsidRPr="00D966D4">
          <w:rPr>
            <w:noProof/>
            <w:webHidden/>
            <w:szCs w:val="28"/>
          </w:rPr>
          <w:fldChar w:fldCharType="begin"/>
        </w:r>
        <w:r w:rsidR="00A66A81" w:rsidRPr="00D966D4">
          <w:rPr>
            <w:noProof/>
            <w:webHidden/>
            <w:szCs w:val="28"/>
          </w:rPr>
          <w:instrText xml:space="preserve"> PAGEREF _Toc128388231 \h </w:instrText>
        </w:r>
        <w:r w:rsidR="00A66A81" w:rsidRPr="00D966D4">
          <w:rPr>
            <w:noProof/>
            <w:webHidden/>
            <w:szCs w:val="28"/>
          </w:rPr>
        </w:r>
        <w:r w:rsidR="00A66A81" w:rsidRPr="00D966D4">
          <w:rPr>
            <w:noProof/>
            <w:webHidden/>
            <w:szCs w:val="28"/>
          </w:rPr>
          <w:fldChar w:fldCharType="separate"/>
        </w:r>
        <w:r w:rsidR="00B8339D">
          <w:rPr>
            <w:noProof/>
            <w:webHidden/>
            <w:szCs w:val="28"/>
          </w:rPr>
          <w:t>3</w:t>
        </w:r>
        <w:r w:rsidR="00A66A81" w:rsidRPr="00D966D4">
          <w:rPr>
            <w:noProof/>
            <w:webHidden/>
            <w:szCs w:val="28"/>
          </w:rPr>
          <w:fldChar w:fldCharType="end"/>
        </w:r>
      </w:hyperlink>
    </w:p>
    <w:p w14:paraId="2D82E015" w14:textId="7CDD0537" w:rsidR="00A66A81" w:rsidRPr="00D165BB" w:rsidRDefault="00644F9A" w:rsidP="006B1BC5">
      <w:pPr>
        <w:pStyle w:val="TOC2"/>
        <w:rPr>
          <w:rFonts w:eastAsiaTheme="minorEastAsia" w:cstheme="minorBidi"/>
          <w:noProof/>
          <w:szCs w:val="28"/>
        </w:rPr>
      </w:pPr>
      <w:hyperlink w:anchor="_Toc128388232" w:history="1">
        <w:r w:rsidR="00A66A81" w:rsidRPr="00D966D4">
          <w:rPr>
            <w:rStyle w:val="Hyperlink"/>
            <w:noProof/>
            <w:szCs w:val="28"/>
          </w:rPr>
          <w:t>II.</w:t>
        </w:r>
        <w:r w:rsidR="00A66A81" w:rsidRPr="00D165BB">
          <w:rPr>
            <w:rFonts w:eastAsiaTheme="minorEastAsia" w:cstheme="minorBidi"/>
            <w:noProof/>
            <w:szCs w:val="28"/>
          </w:rPr>
          <w:tab/>
        </w:r>
        <w:r w:rsidR="00A66A81" w:rsidRPr="00D966D4">
          <w:rPr>
            <w:rStyle w:val="Hyperlink"/>
            <w:noProof/>
            <w:szCs w:val="28"/>
          </w:rPr>
          <w:t>State Plan Background</w:t>
        </w:r>
        <w:r w:rsidR="00A66A81" w:rsidRPr="00D165BB">
          <w:rPr>
            <w:noProof/>
            <w:webHidden/>
            <w:szCs w:val="28"/>
          </w:rPr>
          <w:tab/>
        </w:r>
        <w:r w:rsidR="00A66A81" w:rsidRPr="00D165BB">
          <w:rPr>
            <w:noProof/>
            <w:webHidden/>
            <w:szCs w:val="28"/>
          </w:rPr>
          <w:fldChar w:fldCharType="begin"/>
        </w:r>
        <w:r w:rsidR="00A66A81" w:rsidRPr="00D165BB">
          <w:rPr>
            <w:noProof/>
            <w:webHidden/>
            <w:szCs w:val="28"/>
          </w:rPr>
          <w:instrText xml:space="preserve"> PAGEREF _Toc128388232 \h </w:instrText>
        </w:r>
        <w:r w:rsidR="00A66A81" w:rsidRPr="00D165BB">
          <w:rPr>
            <w:noProof/>
            <w:webHidden/>
            <w:szCs w:val="28"/>
          </w:rPr>
        </w:r>
        <w:r w:rsidR="00A66A81" w:rsidRPr="00D165BB">
          <w:rPr>
            <w:noProof/>
            <w:webHidden/>
            <w:szCs w:val="28"/>
          </w:rPr>
          <w:fldChar w:fldCharType="separate"/>
        </w:r>
        <w:r w:rsidR="00B8339D">
          <w:rPr>
            <w:noProof/>
            <w:webHidden/>
            <w:szCs w:val="28"/>
          </w:rPr>
          <w:t>3</w:t>
        </w:r>
        <w:r w:rsidR="00A66A81" w:rsidRPr="00D165BB">
          <w:rPr>
            <w:noProof/>
            <w:webHidden/>
            <w:szCs w:val="28"/>
          </w:rPr>
          <w:fldChar w:fldCharType="end"/>
        </w:r>
      </w:hyperlink>
    </w:p>
    <w:p w14:paraId="10DB5D60" w14:textId="1E1D56B8" w:rsidR="00A66A81" w:rsidRPr="00D165BB" w:rsidRDefault="00644F9A" w:rsidP="006B1BC5">
      <w:pPr>
        <w:pStyle w:val="TOC2"/>
        <w:rPr>
          <w:rFonts w:eastAsiaTheme="minorEastAsia" w:cstheme="minorBidi"/>
          <w:noProof/>
          <w:szCs w:val="28"/>
        </w:rPr>
      </w:pPr>
      <w:hyperlink w:anchor="_Toc128388233" w:history="1">
        <w:r w:rsidR="00A66A81" w:rsidRPr="00D966D4">
          <w:rPr>
            <w:rStyle w:val="Hyperlink"/>
            <w:noProof/>
            <w:szCs w:val="28"/>
          </w:rPr>
          <w:t>III.</w:t>
        </w:r>
        <w:r w:rsidR="00D966D4" w:rsidRPr="00D966D4">
          <w:rPr>
            <w:rStyle w:val="Hyperlink"/>
            <w:noProof/>
            <w:szCs w:val="28"/>
          </w:rPr>
          <w:tab/>
        </w:r>
        <w:r w:rsidR="00A66A81" w:rsidRPr="00D966D4">
          <w:rPr>
            <w:rStyle w:val="Hyperlink"/>
            <w:noProof/>
            <w:szCs w:val="28"/>
          </w:rPr>
          <w:t>Assessment of State Plan Progress and Performance</w:t>
        </w:r>
        <w:r w:rsidR="00A66A81" w:rsidRPr="00D165BB">
          <w:rPr>
            <w:noProof/>
            <w:webHidden/>
            <w:szCs w:val="28"/>
          </w:rPr>
          <w:tab/>
        </w:r>
        <w:r w:rsidR="00A66A81" w:rsidRPr="00D165BB">
          <w:rPr>
            <w:noProof/>
            <w:webHidden/>
            <w:szCs w:val="28"/>
          </w:rPr>
          <w:fldChar w:fldCharType="begin"/>
        </w:r>
        <w:r w:rsidR="00A66A81" w:rsidRPr="00D165BB">
          <w:rPr>
            <w:noProof/>
            <w:webHidden/>
            <w:szCs w:val="28"/>
          </w:rPr>
          <w:instrText xml:space="preserve"> PAGEREF _Toc128388233 \h </w:instrText>
        </w:r>
        <w:r w:rsidR="00A66A81" w:rsidRPr="00D165BB">
          <w:rPr>
            <w:noProof/>
            <w:webHidden/>
            <w:szCs w:val="28"/>
          </w:rPr>
        </w:r>
        <w:r w:rsidR="00A66A81" w:rsidRPr="00D165BB">
          <w:rPr>
            <w:noProof/>
            <w:webHidden/>
            <w:szCs w:val="28"/>
          </w:rPr>
          <w:fldChar w:fldCharType="separate"/>
        </w:r>
        <w:r w:rsidR="00B8339D">
          <w:rPr>
            <w:noProof/>
            <w:webHidden/>
            <w:szCs w:val="28"/>
          </w:rPr>
          <w:t>5</w:t>
        </w:r>
        <w:r w:rsidR="00A66A81" w:rsidRPr="00D165BB">
          <w:rPr>
            <w:noProof/>
            <w:webHidden/>
            <w:szCs w:val="28"/>
          </w:rPr>
          <w:fldChar w:fldCharType="end"/>
        </w:r>
      </w:hyperlink>
    </w:p>
    <w:p w14:paraId="4A99D3E3" w14:textId="2D5CCEA4" w:rsidR="00A66A81" w:rsidRPr="00F65C01" w:rsidRDefault="00644F9A" w:rsidP="00F65C01">
      <w:pPr>
        <w:pStyle w:val="TOC3"/>
        <w:rPr>
          <w:rFonts w:eastAsiaTheme="minorEastAsia" w:cstheme="minorBidi"/>
          <w:noProof/>
        </w:rPr>
      </w:pPr>
      <w:hyperlink w:anchor="_Toc128388234" w:history="1">
        <w:r w:rsidR="00A66A81" w:rsidRPr="00F65C01">
          <w:rPr>
            <w:rStyle w:val="Hyperlink"/>
            <w:noProof/>
            <w:sz w:val="28"/>
            <w:szCs w:val="28"/>
          </w:rPr>
          <w:t>A.  Data and Methodology</w:t>
        </w:r>
        <w:r w:rsidR="00A66A81" w:rsidRPr="00F65C01">
          <w:rPr>
            <w:noProof/>
            <w:webHidden/>
          </w:rPr>
          <w:tab/>
        </w:r>
        <w:r w:rsidR="00A66A81" w:rsidRPr="00F65C01">
          <w:rPr>
            <w:noProof/>
            <w:webHidden/>
          </w:rPr>
          <w:fldChar w:fldCharType="begin"/>
        </w:r>
        <w:r w:rsidR="00A66A81" w:rsidRPr="00F65C01">
          <w:rPr>
            <w:noProof/>
            <w:webHidden/>
          </w:rPr>
          <w:instrText xml:space="preserve"> PAGEREF _Toc128388234 \h </w:instrText>
        </w:r>
        <w:r w:rsidR="00A66A81" w:rsidRPr="00F65C01">
          <w:rPr>
            <w:noProof/>
            <w:webHidden/>
          </w:rPr>
        </w:r>
        <w:r w:rsidR="00A66A81" w:rsidRPr="00F65C01">
          <w:rPr>
            <w:noProof/>
            <w:webHidden/>
          </w:rPr>
          <w:fldChar w:fldCharType="separate"/>
        </w:r>
        <w:r w:rsidR="00B8339D">
          <w:rPr>
            <w:noProof/>
            <w:webHidden/>
          </w:rPr>
          <w:t>5</w:t>
        </w:r>
        <w:r w:rsidR="00A66A81" w:rsidRPr="00F65C01">
          <w:rPr>
            <w:noProof/>
            <w:webHidden/>
          </w:rPr>
          <w:fldChar w:fldCharType="end"/>
        </w:r>
      </w:hyperlink>
    </w:p>
    <w:p w14:paraId="0A628528" w14:textId="3B8201D5" w:rsidR="00A66A81" w:rsidRPr="00F65C01" w:rsidRDefault="00644F9A" w:rsidP="00F65C01">
      <w:pPr>
        <w:pStyle w:val="TOC3"/>
        <w:rPr>
          <w:rFonts w:eastAsiaTheme="minorEastAsia" w:cstheme="minorBidi"/>
          <w:noProof/>
        </w:rPr>
      </w:pPr>
      <w:hyperlink w:anchor="_Toc128388235" w:history="1">
        <w:r w:rsidR="00A66A81" w:rsidRPr="00F65C01">
          <w:rPr>
            <w:rStyle w:val="Hyperlink"/>
            <w:noProof/>
            <w:sz w:val="28"/>
            <w:szCs w:val="28"/>
          </w:rPr>
          <w:t>B.  Findings and Observations</w:t>
        </w:r>
        <w:r w:rsidR="00A66A81" w:rsidRPr="00F65C01">
          <w:rPr>
            <w:noProof/>
            <w:webHidden/>
          </w:rPr>
          <w:tab/>
        </w:r>
        <w:r w:rsidR="00A66A81" w:rsidRPr="00F65C01">
          <w:rPr>
            <w:noProof/>
            <w:webHidden/>
          </w:rPr>
          <w:fldChar w:fldCharType="begin"/>
        </w:r>
        <w:r w:rsidR="00A66A81" w:rsidRPr="00F65C01">
          <w:rPr>
            <w:noProof/>
            <w:webHidden/>
          </w:rPr>
          <w:instrText xml:space="preserve"> PAGEREF _Toc128388235 \h </w:instrText>
        </w:r>
        <w:r w:rsidR="00A66A81" w:rsidRPr="00F65C01">
          <w:rPr>
            <w:noProof/>
            <w:webHidden/>
          </w:rPr>
        </w:r>
        <w:r w:rsidR="00A66A81" w:rsidRPr="00F65C01">
          <w:rPr>
            <w:noProof/>
            <w:webHidden/>
          </w:rPr>
          <w:fldChar w:fldCharType="separate"/>
        </w:r>
        <w:r w:rsidR="00B8339D">
          <w:rPr>
            <w:noProof/>
            <w:webHidden/>
          </w:rPr>
          <w:t>5</w:t>
        </w:r>
        <w:r w:rsidR="00A66A81" w:rsidRPr="00F65C01">
          <w:rPr>
            <w:noProof/>
            <w:webHidden/>
          </w:rPr>
          <w:fldChar w:fldCharType="end"/>
        </w:r>
      </w:hyperlink>
    </w:p>
    <w:p w14:paraId="009B1345" w14:textId="27C1E856" w:rsidR="00A66A81" w:rsidRPr="00F65C01" w:rsidRDefault="00644F9A" w:rsidP="00F65C01">
      <w:pPr>
        <w:pStyle w:val="TOC3"/>
        <w:rPr>
          <w:rFonts w:eastAsiaTheme="minorEastAsia" w:cstheme="minorBidi"/>
          <w:noProof/>
        </w:rPr>
      </w:pPr>
      <w:hyperlink w:anchor="_Toc128388236" w:history="1">
        <w:r w:rsidR="00A66A81" w:rsidRPr="00F65C01">
          <w:rPr>
            <w:rStyle w:val="Hyperlink"/>
            <w:noProof/>
            <w:sz w:val="28"/>
            <w:szCs w:val="28"/>
          </w:rPr>
          <w:t>C.  State Activity Mandated Measures (SAMM) Highlights</w:t>
        </w:r>
        <w:r w:rsidR="00A66A81" w:rsidRPr="00F65C01">
          <w:rPr>
            <w:noProof/>
            <w:webHidden/>
          </w:rPr>
          <w:tab/>
        </w:r>
        <w:r w:rsidR="00A66A81" w:rsidRPr="00F65C01">
          <w:rPr>
            <w:noProof/>
            <w:webHidden/>
          </w:rPr>
          <w:fldChar w:fldCharType="begin"/>
        </w:r>
        <w:r w:rsidR="00A66A81" w:rsidRPr="00F65C01">
          <w:rPr>
            <w:noProof/>
            <w:webHidden/>
          </w:rPr>
          <w:instrText xml:space="preserve"> PAGEREF _Toc128388236 \h </w:instrText>
        </w:r>
        <w:r w:rsidR="00A66A81" w:rsidRPr="00F65C01">
          <w:rPr>
            <w:noProof/>
            <w:webHidden/>
          </w:rPr>
        </w:r>
        <w:r w:rsidR="00A66A81" w:rsidRPr="00F65C01">
          <w:rPr>
            <w:noProof/>
            <w:webHidden/>
          </w:rPr>
          <w:fldChar w:fldCharType="separate"/>
        </w:r>
        <w:r w:rsidR="00B8339D">
          <w:rPr>
            <w:noProof/>
            <w:webHidden/>
          </w:rPr>
          <w:t>9</w:t>
        </w:r>
        <w:r w:rsidR="00A66A81" w:rsidRPr="00F65C01">
          <w:rPr>
            <w:noProof/>
            <w:webHidden/>
          </w:rPr>
          <w:fldChar w:fldCharType="end"/>
        </w:r>
      </w:hyperlink>
    </w:p>
    <w:p w14:paraId="583EF955" w14:textId="75B35882" w:rsidR="00A66A81" w:rsidRPr="00D966D4" w:rsidRDefault="00644F9A" w:rsidP="00F65C01">
      <w:pPr>
        <w:pStyle w:val="TOC3"/>
        <w:rPr>
          <w:rFonts w:eastAsiaTheme="minorEastAsia" w:cstheme="minorBidi"/>
          <w:noProof/>
        </w:rPr>
      </w:pPr>
      <w:hyperlink w:anchor="_Toc128388237" w:history="1">
        <w:r w:rsidR="00A66A81" w:rsidRPr="00D966D4">
          <w:rPr>
            <w:rStyle w:val="Hyperlink"/>
            <w:noProof/>
            <w:sz w:val="28"/>
            <w:szCs w:val="28"/>
          </w:rPr>
          <w:t xml:space="preserve">Appendix A </w:t>
        </w:r>
        <w:r w:rsidR="005456A0" w:rsidRPr="00D165BB">
          <w:rPr>
            <w:rStyle w:val="Hyperlink"/>
            <w:noProof/>
            <w:sz w:val="28"/>
            <w:szCs w:val="28"/>
          </w:rPr>
          <w:t>-</w:t>
        </w:r>
        <w:r w:rsidR="00A66A81" w:rsidRPr="00D966D4">
          <w:rPr>
            <w:rStyle w:val="Hyperlink"/>
            <w:noProof/>
            <w:sz w:val="28"/>
            <w:szCs w:val="28"/>
          </w:rPr>
          <w:t xml:space="preserve"> New and Continued Findings and Recommendations</w:t>
        </w:r>
        <w:r w:rsidR="00A66A81" w:rsidRPr="00D966D4">
          <w:rPr>
            <w:noProof/>
            <w:webHidden/>
          </w:rPr>
          <w:tab/>
        </w:r>
        <w:r w:rsidR="00A66A81" w:rsidRPr="00D966D4">
          <w:rPr>
            <w:noProof/>
            <w:webHidden/>
          </w:rPr>
          <w:fldChar w:fldCharType="begin"/>
        </w:r>
        <w:r w:rsidR="00A66A81" w:rsidRPr="00D966D4">
          <w:rPr>
            <w:noProof/>
            <w:webHidden/>
          </w:rPr>
          <w:instrText xml:space="preserve"> PAGEREF _Toc128388237 \h </w:instrText>
        </w:r>
        <w:r w:rsidR="00A66A81" w:rsidRPr="00D966D4">
          <w:rPr>
            <w:noProof/>
            <w:webHidden/>
          </w:rPr>
        </w:r>
        <w:r w:rsidR="00A66A81" w:rsidRPr="00D966D4">
          <w:rPr>
            <w:noProof/>
            <w:webHidden/>
          </w:rPr>
          <w:fldChar w:fldCharType="separate"/>
        </w:r>
        <w:r w:rsidR="00B8339D">
          <w:rPr>
            <w:noProof/>
            <w:webHidden/>
          </w:rPr>
          <w:t>12</w:t>
        </w:r>
        <w:r w:rsidR="00A66A81" w:rsidRPr="00D966D4">
          <w:rPr>
            <w:noProof/>
            <w:webHidden/>
          </w:rPr>
          <w:fldChar w:fldCharType="end"/>
        </w:r>
      </w:hyperlink>
    </w:p>
    <w:p w14:paraId="02F025B9" w14:textId="57DCC6BB" w:rsidR="00A66A81" w:rsidRPr="00D966D4" w:rsidRDefault="00644F9A" w:rsidP="00F65C01">
      <w:pPr>
        <w:pStyle w:val="TOC3"/>
        <w:rPr>
          <w:rFonts w:eastAsiaTheme="minorEastAsia" w:cstheme="minorBidi"/>
          <w:noProof/>
        </w:rPr>
      </w:pPr>
      <w:hyperlink w:anchor="_Toc128388238" w:history="1">
        <w:r w:rsidR="00A66A81" w:rsidRPr="00D966D4">
          <w:rPr>
            <w:rStyle w:val="Hyperlink"/>
            <w:noProof/>
            <w:sz w:val="28"/>
            <w:szCs w:val="28"/>
          </w:rPr>
          <w:t xml:space="preserve">Appendix B </w:t>
        </w:r>
        <w:r w:rsidR="005456A0" w:rsidRPr="00D165BB">
          <w:rPr>
            <w:rStyle w:val="Hyperlink"/>
            <w:noProof/>
            <w:sz w:val="28"/>
            <w:szCs w:val="28"/>
          </w:rPr>
          <w:t>-</w:t>
        </w:r>
        <w:r w:rsidR="00A66A81" w:rsidRPr="00D966D4">
          <w:rPr>
            <w:rStyle w:val="Hyperlink"/>
            <w:noProof/>
            <w:sz w:val="28"/>
            <w:szCs w:val="28"/>
          </w:rPr>
          <w:t xml:space="preserve"> Observations Subject to Continued Monitoring</w:t>
        </w:r>
        <w:r w:rsidR="00A66A81" w:rsidRPr="00D966D4">
          <w:rPr>
            <w:noProof/>
            <w:webHidden/>
          </w:rPr>
          <w:tab/>
        </w:r>
        <w:r w:rsidR="00A66A81" w:rsidRPr="00D966D4">
          <w:rPr>
            <w:noProof/>
            <w:webHidden/>
          </w:rPr>
          <w:fldChar w:fldCharType="begin"/>
        </w:r>
        <w:r w:rsidR="00A66A81" w:rsidRPr="00D966D4">
          <w:rPr>
            <w:noProof/>
            <w:webHidden/>
          </w:rPr>
          <w:instrText xml:space="preserve"> PAGEREF _Toc128388238 \h </w:instrText>
        </w:r>
        <w:r w:rsidR="00A66A81" w:rsidRPr="00D966D4">
          <w:rPr>
            <w:noProof/>
            <w:webHidden/>
          </w:rPr>
        </w:r>
        <w:r w:rsidR="00A66A81" w:rsidRPr="00D966D4">
          <w:rPr>
            <w:noProof/>
            <w:webHidden/>
          </w:rPr>
          <w:fldChar w:fldCharType="separate"/>
        </w:r>
        <w:r w:rsidR="00B8339D">
          <w:rPr>
            <w:noProof/>
            <w:webHidden/>
          </w:rPr>
          <w:t>13</w:t>
        </w:r>
        <w:r w:rsidR="00A66A81" w:rsidRPr="00D966D4">
          <w:rPr>
            <w:noProof/>
            <w:webHidden/>
          </w:rPr>
          <w:fldChar w:fldCharType="end"/>
        </w:r>
      </w:hyperlink>
    </w:p>
    <w:p w14:paraId="51E3E21A" w14:textId="171CA457" w:rsidR="00A66A81" w:rsidRPr="00D966D4" w:rsidRDefault="00644F9A" w:rsidP="00F65C01">
      <w:pPr>
        <w:pStyle w:val="TOC3"/>
        <w:rPr>
          <w:rFonts w:eastAsiaTheme="minorEastAsia" w:cstheme="minorBidi"/>
          <w:noProof/>
        </w:rPr>
      </w:pPr>
      <w:hyperlink w:anchor="_Toc128388239" w:history="1">
        <w:r w:rsidR="00A66A81" w:rsidRPr="00D966D4">
          <w:rPr>
            <w:rStyle w:val="Hyperlink"/>
            <w:noProof/>
            <w:sz w:val="28"/>
            <w:szCs w:val="28"/>
          </w:rPr>
          <w:t>Appendix C - Status of FY 2021 Findings and Recommendations</w:t>
        </w:r>
        <w:r w:rsidR="00A66A81" w:rsidRPr="00D966D4">
          <w:rPr>
            <w:noProof/>
            <w:webHidden/>
          </w:rPr>
          <w:tab/>
        </w:r>
        <w:r w:rsidR="00A66A81" w:rsidRPr="00D966D4">
          <w:rPr>
            <w:noProof/>
            <w:webHidden/>
          </w:rPr>
          <w:fldChar w:fldCharType="begin"/>
        </w:r>
        <w:r w:rsidR="00A66A81" w:rsidRPr="00D966D4">
          <w:rPr>
            <w:noProof/>
            <w:webHidden/>
          </w:rPr>
          <w:instrText xml:space="preserve"> PAGEREF _Toc128388239 \h </w:instrText>
        </w:r>
        <w:r w:rsidR="00A66A81" w:rsidRPr="00D966D4">
          <w:rPr>
            <w:noProof/>
            <w:webHidden/>
          </w:rPr>
        </w:r>
        <w:r w:rsidR="00A66A81" w:rsidRPr="00D966D4">
          <w:rPr>
            <w:noProof/>
            <w:webHidden/>
          </w:rPr>
          <w:fldChar w:fldCharType="separate"/>
        </w:r>
        <w:r w:rsidR="00B8339D">
          <w:rPr>
            <w:noProof/>
            <w:webHidden/>
          </w:rPr>
          <w:t>16</w:t>
        </w:r>
        <w:r w:rsidR="00A66A81" w:rsidRPr="00D966D4">
          <w:rPr>
            <w:noProof/>
            <w:webHidden/>
          </w:rPr>
          <w:fldChar w:fldCharType="end"/>
        </w:r>
      </w:hyperlink>
    </w:p>
    <w:p w14:paraId="2E65EC9F" w14:textId="4BB980F9" w:rsidR="00A66A81" w:rsidRPr="00D966D4" w:rsidRDefault="00644F9A" w:rsidP="00F65C01">
      <w:pPr>
        <w:pStyle w:val="TOC3"/>
        <w:rPr>
          <w:rFonts w:eastAsiaTheme="minorEastAsia" w:cstheme="minorBidi"/>
          <w:noProof/>
        </w:rPr>
      </w:pPr>
      <w:hyperlink w:anchor="_Toc128388240" w:history="1">
        <w:r w:rsidR="00A66A81" w:rsidRPr="00D966D4">
          <w:rPr>
            <w:rStyle w:val="Hyperlink"/>
            <w:noProof/>
            <w:sz w:val="28"/>
            <w:szCs w:val="28"/>
          </w:rPr>
          <w:t xml:space="preserve">Appendix D </w:t>
        </w:r>
        <w:r w:rsidR="005456A0" w:rsidRPr="00D165BB">
          <w:rPr>
            <w:rStyle w:val="Hyperlink"/>
            <w:noProof/>
            <w:sz w:val="28"/>
            <w:szCs w:val="28"/>
          </w:rPr>
          <w:t>-</w:t>
        </w:r>
        <w:r w:rsidR="00A66A81" w:rsidRPr="00D966D4">
          <w:rPr>
            <w:rStyle w:val="Hyperlink"/>
            <w:noProof/>
            <w:sz w:val="28"/>
            <w:szCs w:val="28"/>
          </w:rPr>
          <w:t xml:space="preserve"> FY 2022 State Activity Mandated Measures (SAMM) Report</w:t>
        </w:r>
        <w:r w:rsidR="00A66A81" w:rsidRPr="00D966D4">
          <w:rPr>
            <w:noProof/>
            <w:webHidden/>
          </w:rPr>
          <w:tab/>
        </w:r>
        <w:r w:rsidR="00A66A81" w:rsidRPr="00D966D4">
          <w:rPr>
            <w:noProof/>
            <w:webHidden/>
          </w:rPr>
          <w:fldChar w:fldCharType="begin"/>
        </w:r>
        <w:r w:rsidR="00A66A81" w:rsidRPr="00D966D4">
          <w:rPr>
            <w:noProof/>
            <w:webHidden/>
          </w:rPr>
          <w:instrText xml:space="preserve"> PAGEREF _Toc128388240 \h </w:instrText>
        </w:r>
        <w:r w:rsidR="00A66A81" w:rsidRPr="00D966D4">
          <w:rPr>
            <w:noProof/>
            <w:webHidden/>
          </w:rPr>
        </w:r>
        <w:r w:rsidR="00A66A81" w:rsidRPr="00D966D4">
          <w:rPr>
            <w:noProof/>
            <w:webHidden/>
          </w:rPr>
          <w:fldChar w:fldCharType="separate"/>
        </w:r>
        <w:r w:rsidR="00B8339D">
          <w:rPr>
            <w:noProof/>
            <w:webHidden/>
          </w:rPr>
          <w:t>2</w:t>
        </w:r>
        <w:r w:rsidR="00E45BF0">
          <w:rPr>
            <w:noProof/>
            <w:webHidden/>
          </w:rPr>
          <w:t>1</w:t>
        </w:r>
        <w:r w:rsidR="00A66A81" w:rsidRPr="00D966D4">
          <w:rPr>
            <w:noProof/>
            <w:webHidden/>
          </w:rPr>
          <w:fldChar w:fldCharType="end"/>
        </w:r>
      </w:hyperlink>
    </w:p>
    <w:p w14:paraId="12289C78" w14:textId="31EE216F" w:rsidR="00F533B6" w:rsidRPr="00F533B6" w:rsidRDefault="000F63C1" w:rsidP="00F533B6">
      <w:r w:rsidRPr="00A66A81">
        <w:rPr>
          <w:sz w:val="28"/>
          <w:szCs w:val="28"/>
        </w:rPr>
        <w:fldChar w:fldCharType="end"/>
      </w:r>
      <w:r w:rsidR="00B823A3">
        <w:br w:type="page"/>
      </w:r>
      <w:bookmarkStart w:id="2" w:name="_Toc338764303"/>
      <w:bookmarkStart w:id="3" w:name="_Toc118900170"/>
      <w:bookmarkStart w:id="4" w:name="_Toc118905009"/>
    </w:p>
    <w:p w14:paraId="57C8B837" w14:textId="0EA0AB3A" w:rsidR="000A134A" w:rsidRPr="001C1E47" w:rsidRDefault="000A134A" w:rsidP="002D09AF">
      <w:pPr>
        <w:pStyle w:val="Heading2"/>
      </w:pPr>
      <w:bookmarkStart w:id="5" w:name="_Toc128388231"/>
      <w:r w:rsidRPr="001C1E47">
        <w:lastRenderedPageBreak/>
        <w:t>Executive Summary</w:t>
      </w:r>
      <w:bookmarkEnd w:id="2"/>
      <w:bookmarkEnd w:id="3"/>
      <w:bookmarkEnd w:id="4"/>
      <w:bookmarkEnd w:id="5"/>
    </w:p>
    <w:p w14:paraId="4A4FF058" w14:textId="77777777" w:rsidR="000A134A" w:rsidRPr="001C1E47" w:rsidRDefault="000A134A" w:rsidP="000B58F1">
      <w:pPr>
        <w:widowControl/>
        <w:autoSpaceDE/>
        <w:autoSpaceDN/>
        <w:adjustRightInd/>
        <w:rPr>
          <w:rFonts w:cs="Calibri"/>
          <w:b/>
        </w:rPr>
      </w:pPr>
    </w:p>
    <w:p w14:paraId="3CEC67A4" w14:textId="0F765A89" w:rsidR="4782476F" w:rsidRDefault="4782476F" w:rsidP="000B58F1">
      <w:r w:rsidRPr="719D249B">
        <w:rPr>
          <w:rFonts w:eastAsia="Calibri" w:cs="Calibri"/>
        </w:rPr>
        <w:t xml:space="preserve">The primary purpose of this report is to assess the </w:t>
      </w:r>
      <w:r w:rsidR="00983417">
        <w:rPr>
          <w:rFonts w:eastAsia="Calibri" w:cs="Calibri"/>
        </w:rPr>
        <w:t xml:space="preserve">Arizona </w:t>
      </w:r>
      <w:r w:rsidRPr="719D249B">
        <w:rPr>
          <w:rFonts w:eastAsia="Calibri" w:cs="Calibri"/>
        </w:rPr>
        <w:t xml:space="preserve">State Plan’s progress in Fiscal Year (FY) 2022 in resolving outstanding findings </w:t>
      </w:r>
      <w:r w:rsidR="00443285">
        <w:rPr>
          <w:rFonts w:eastAsia="Calibri" w:cs="Calibri"/>
        </w:rPr>
        <w:t xml:space="preserve">identified in </w:t>
      </w:r>
      <w:r w:rsidRPr="719D249B">
        <w:rPr>
          <w:rFonts w:eastAsia="Calibri" w:cs="Calibri"/>
        </w:rPr>
        <w:t xml:space="preserve">the FY 2021 Comprehensive Federal Annual Monitoring Evaluation (FAME) Report. </w:t>
      </w:r>
      <w:r w:rsidR="00D17F96">
        <w:rPr>
          <w:rFonts w:eastAsia="Calibri" w:cs="Calibri"/>
        </w:rPr>
        <w:t xml:space="preserve"> The Arizona Division of Occupational Safety and Health (</w:t>
      </w:r>
      <w:r w:rsidRPr="719D249B">
        <w:rPr>
          <w:rFonts w:eastAsia="Calibri" w:cs="Calibri"/>
        </w:rPr>
        <w:t>ADOSH</w:t>
      </w:r>
      <w:r w:rsidR="00D17F96">
        <w:rPr>
          <w:rFonts w:eastAsia="Calibri" w:cs="Calibri"/>
        </w:rPr>
        <w:t>)</w:t>
      </w:r>
      <w:r w:rsidRPr="719D249B">
        <w:rPr>
          <w:rFonts w:eastAsia="Calibri" w:cs="Calibri"/>
        </w:rPr>
        <w:t xml:space="preserve"> is responsible for the enforcement of regulations protecting workers from health and safety hazards in </w:t>
      </w:r>
      <w:bookmarkStart w:id="6" w:name="_Int_I4qQXZbl"/>
      <w:proofErr w:type="gramStart"/>
      <w:r w:rsidRPr="719D249B">
        <w:rPr>
          <w:rFonts w:eastAsia="Calibri" w:cs="Calibri"/>
        </w:rPr>
        <w:t>the majority of</w:t>
      </w:r>
      <w:bookmarkEnd w:id="6"/>
      <w:proofErr w:type="gramEnd"/>
      <w:r w:rsidRPr="719D249B">
        <w:rPr>
          <w:rFonts w:eastAsia="Calibri" w:cs="Calibri"/>
        </w:rPr>
        <w:t xml:space="preserve"> Arizona’s workplaces.</w:t>
      </w:r>
    </w:p>
    <w:p w14:paraId="5181619D" w14:textId="3738C8A7" w:rsidR="4782476F" w:rsidRDefault="4782476F" w:rsidP="000B58F1">
      <w:r w:rsidRPr="719D249B">
        <w:rPr>
          <w:rFonts w:eastAsia="Calibri" w:cs="Calibri"/>
        </w:rPr>
        <w:t xml:space="preserve"> </w:t>
      </w:r>
    </w:p>
    <w:p w14:paraId="756B6D4F" w14:textId="1A86BC05" w:rsidR="00531F2A" w:rsidRDefault="00BA7055" w:rsidP="008B5500">
      <w:pPr>
        <w:rPr>
          <w:rFonts w:eastAsia="Calibri" w:cs="Calibri"/>
          <w:color w:val="242424"/>
        </w:rPr>
      </w:pPr>
      <w:r>
        <w:rPr>
          <w:rFonts w:eastAsia="Calibri" w:cs="Calibri"/>
          <w:color w:val="242424"/>
        </w:rPr>
        <w:t>As with past years, staffing remain</w:t>
      </w:r>
      <w:r w:rsidDel="00C9316C">
        <w:rPr>
          <w:rFonts w:eastAsia="Calibri" w:cs="Calibri"/>
          <w:color w:val="242424"/>
        </w:rPr>
        <w:t>ed</w:t>
      </w:r>
      <w:r>
        <w:rPr>
          <w:rFonts w:eastAsia="Calibri" w:cs="Calibri"/>
          <w:color w:val="242424"/>
        </w:rPr>
        <w:t xml:space="preserve"> an obstacle.  </w:t>
      </w:r>
      <w:r w:rsidR="4782476F" w:rsidRPr="719D249B" w:rsidDel="00C9316C">
        <w:rPr>
          <w:rFonts w:eastAsia="Calibri" w:cs="Calibri"/>
          <w:color w:val="242424"/>
        </w:rPr>
        <w:t>The lack of staffing</w:t>
      </w:r>
      <w:r w:rsidR="4782476F" w:rsidRPr="719D249B">
        <w:rPr>
          <w:rFonts w:eastAsia="Calibri" w:cs="Calibri"/>
          <w:color w:val="242424"/>
        </w:rPr>
        <w:t xml:space="preserve"> </w:t>
      </w:r>
      <w:r w:rsidR="4782476F" w:rsidRPr="45A38A98">
        <w:rPr>
          <w:rFonts w:eastAsia="Calibri" w:cs="Calibri"/>
          <w:color w:val="242424"/>
        </w:rPr>
        <w:t xml:space="preserve">throughout </w:t>
      </w:r>
      <w:proofErr w:type="gramStart"/>
      <w:r w:rsidR="4782476F" w:rsidRPr="45A38A98">
        <w:rPr>
          <w:rFonts w:eastAsia="Calibri" w:cs="Calibri"/>
          <w:color w:val="242424"/>
        </w:rPr>
        <w:t>the majority of</w:t>
      </w:r>
      <w:proofErr w:type="gramEnd"/>
      <w:r w:rsidR="4782476F" w:rsidRPr="719D249B" w:rsidDel="00C9316C">
        <w:rPr>
          <w:rFonts w:eastAsia="Calibri" w:cs="Calibri"/>
          <w:color w:val="242424"/>
        </w:rPr>
        <w:t xml:space="preserve"> </w:t>
      </w:r>
      <w:r w:rsidR="4782476F" w:rsidRPr="719D249B">
        <w:rPr>
          <w:rFonts w:eastAsia="Calibri" w:cs="Calibri"/>
          <w:color w:val="242424"/>
        </w:rPr>
        <w:t xml:space="preserve">the year was </w:t>
      </w:r>
      <w:r w:rsidR="00C9316C">
        <w:rPr>
          <w:rFonts w:eastAsia="Calibri" w:cs="Calibri"/>
          <w:color w:val="242424"/>
        </w:rPr>
        <w:t>t</w:t>
      </w:r>
      <w:r w:rsidR="4782476F" w:rsidRPr="719D249B">
        <w:rPr>
          <w:rFonts w:eastAsia="Calibri" w:cs="Calibri"/>
          <w:color w:val="242424"/>
        </w:rPr>
        <w:t>he primary reason for</w:t>
      </w:r>
      <w:r w:rsidR="00C9316C" w:rsidRPr="45A38A98">
        <w:rPr>
          <w:rFonts w:eastAsia="Calibri" w:cs="Calibri"/>
          <w:color w:val="242424"/>
        </w:rPr>
        <w:t xml:space="preserve"> ADOSH </w:t>
      </w:r>
      <w:r w:rsidR="006538A1">
        <w:rPr>
          <w:rFonts w:eastAsia="Calibri" w:cs="Calibri"/>
          <w:color w:val="242424"/>
        </w:rPr>
        <w:t xml:space="preserve">not meeting </w:t>
      </w:r>
      <w:r w:rsidR="00C9316C" w:rsidRPr="45A38A98">
        <w:rPr>
          <w:rFonts w:eastAsia="Calibri" w:cs="Calibri"/>
          <w:color w:val="242424"/>
        </w:rPr>
        <w:t>its</w:t>
      </w:r>
      <w:r w:rsidR="7C37EBD0">
        <w:rPr>
          <w:rFonts w:eastAsia="Calibri" w:cs="Calibri"/>
          <w:color w:val="242424"/>
        </w:rPr>
        <w:t xml:space="preserve"> </w:t>
      </w:r>
      <w:r w:rsidR="4782476F" w:rsidRPr="719D249B">
        <w:rPr>
          <w:rFonts w:eastAsia="Calibri" w:cs="Calibri"/>
          <w:color w:val="242424"/>
        </w:rPr>
        <w:t>goals</w:t>
      </w:r>
      <w:r w:rsidR="00C9316C">
        <w:rPr>
          <w:rFonts w:eastAsia="Calibri" w:cs="Calibri"/>
          <w:color w:val="242424"/>
        </w:rPr>
        <w:t>.</w:t>
      </w:r>
      <w:r w:rsidR="00700A60">
        <w:rPr>
          <w:rFonts w:eastAsia="Calibri" w:cs="Calibri"/>
          <w:color w:val="242424"/>
        </w:rPr>
        <w:t xml:space="preserve">  </w:t>
      </w:r>
      <w:r w:rsidR="61B6D4FE" w:rsidRPr="719D249B">
        <w:rPr>
          <w:rFonts w:eastAsia="Calibri" w:cs="Calibri"/>
          <w:color w:val="242424"/>
        </w:rPr>
        <w:t>Overall</w:t>
      </w:r>
      <w:r w:rsidR="008D008D">
        <w:rPr>
          <w:rFonts w:eastAsia="Calibri" w:cs="Calibri"/>
          <w:color w:val="242424"/>
        </w:rPr>
        <w:t>,</w:t>
      </w:r>
      <w:r w:rsidR="61B6D4FE" w:rsidRPr="719D249B">
        <w:rPr>
          <w:rFonts w:eastAsia="Calibri" w:cs="Calibri"/>
          <w:color w:val="242424"/>
        </w:rPr>
        <w:t xml:space="preserve"> </w:t>
      </w:r>
      <w:r w:rsidR="4782476F" w:rsidRPr="719D249B">
        <w:rPr>
          <w:rFonts w:eastAsia="Calibri" w:cs="Calibri"/>
          <w:color w:val="242424"/>
        </w:rPr>
        <w:t>Arizona was</w:t>
      </w:r>
      <w:r w:rsidR="4782476F" w:rsidRPr="719D249B" w:rsidDel="00610C19">
        <w:rPr>
          <w:rFonts w:eastAsia="Calibri" w:cs="Calibri"/>
          <w:color w:val="242424"/>
        </w:rPr>
        <w:t xml:space="preserve"> </w:t>
      </w:r>
      <w:r w:rsidR="4782476F" w:rsidRPr="719D249B">
        <w:rPr>
          <w:rFonts w:eastAsia="Calibri" w:cs="Calibri"/>
          <w:color w:val="242424"/>
        </w:rPr>
        <w:t>responsive to OSHA</w:t>
      </w:r>
      <w:r w:rsidR="009E7058">
        <w:rPr>
          <w:rFonts w:eastAsia="Calibri" w:cs="Calibri"/>
          <w:color w:val="242424"/>
        </w:rPr>
        <w:t>’s</w:t>
      </w:r>
      <w:r w:rsidR="4782476F" w:rsidRPr="719D249B">
        <w:rPr>
          <w:rFonts w:eastAsia="Calibri" w:cs="Calibri"/>
          <w:color w:val="242424"/>
        </w:rPr>
        <w:t xml:space="preserve"> concerns </w:t>
      </w:r>
      <w:r w:rsidR="004E5B8F">
        <w:rPr>
          <w:rFonts w:eastAsia="Calibri" w:cs="Calibri"/>
          <w:color w:val="242424"/>
        </w:rPr>
        <w:t xml:space="preserve">regarding </w:t>
      </w:r>
      <w:r w:rsidR="00107F94">
        <w:rPr>
          <w:rFonts w:eastAsia="Calibri" w:cs="Calibri"/>
          <w:color w:val="242424"/>
        </w:rPr>
        <w:t>staffing</w:t>
      </w:r>
      <w:r w:rsidR="00700A60">
        <w:rPr>
          <w:rFonts w:eastAsia="Calibri" w:cs="Calibri"/>
          <w:color w:val="242424"/>
        </w:rPr>
        <w:t xml:space="preserve">.  At the </w:t>
      </w:r>
      <w:r w:rsidR="00A23863">
        <w:rPr>
          <w:rFonts w:eastAsia="Calibri" w:cs="Calibri"/>
          <w:color w:val="242424"/>
        </w:rPr>
        <w:t xml:space="preserve">beginning </w:t>
      </w:r>
      <w:r w:rsidR="00700A60">
        <w:rPr>
          <w:rFonts w:eastAsia="Calibri" w:cs="Calibri"/>
          <w:color w:val="242424"/>
        </w:rPr>
        <w:t xml:space="preserve">of FY 2022, there were five qualified compliance officers that were able to conduct inspections independently.  </w:t>
      </w:r>
      <w:r w:rsidR="009E7F03">
        <w:rPr>
          <w:rFonts w:eastAsia="Calibri" w:cs="Calibri"/>
          <w:color w:val="242424"/>
        </w:rPr>
        <w:t>ADOSH met</w:t>
      </w:r>
      <w:r w:rsidR="002D7910">
        <w:rPr>
          <w:rFonts w:eastAsia="Calibri" w:cs="Calibri"/>
          <w:color w:val="242424"/>
        </w:rPr>
        <w:t xml:space="preserve"> its</w:t>
      </w:r>
      <w:r w:rsidR="00286010">
        <w:rPr>
          <w:rFonts w:eastAsia="Calibri" w:cs="Calibri"/>
          <w:color w:val="242424"/>
        </w:rPr>
        <w:t xml:space="preserve"> safety compliance officer benchmark and made considerable progress meeting its </w:t>
      </w:r>
      <w:proofErr w:type="gramStart"/>
      <w:r w:rsidR="002D7910">
        <w:rPr>
          <w:rFonts w:eastAsia="Calibri" w:cs="Calibri"/>
          <w:color w:val="242424"/>
        </w:rPr>
        <w:t>six health</w:t>
      </w:r>
      <w:proofErr w:type="gramEnd"/>
      <w:r w:rsidR="002D7910">
        <w:rPr>
          <w:rFonts w:eastAsia="Calibri" w:cs="Calibri"/>
          <w:color w:val="242424"/>
        </w:rPr>
        <w:t xml:space="preserve"> compliance officer</w:t>
      </w:r>
      <w:r w:rsidR="00286010">
        <w:rPr>
          <w:rFonts w:eastAsia="Calibri" w:cs="Calibri"/>
          <w:color w:val="242424"/>
        </w:rPr>
        <w:t xml:space="preserve"> staffing benchmark</w:t>
      </w:r>
      <w:r w:rsidR="002D7910">
        <w:rPr>
          <w:rFonts w:eastAsia="Calibri" w:cs="Calibri"/>
          <w:color w:val="242424"/>
        </w:rPr>
        <w:t xml:space="preserve"> </w:t>
      </w:r>
      <w:r w:rsidR="00005931">
        <w:rPr>
          <w:rFonts w:eastAsia="Calibri" w:cs="Calibri"/>
          <w:color w:val="242424"/>
        </w:rPr>
        <w:t xml:space="preserve">by filling </w:t>
      </w:r>
      <w:r w:rsidR="00286010">
        <w:rPr>
          <w:rFonts w:eastAsia="Calibri" w:cs="Calibri"/>
          <w:color w:val="242424"/>
        </w:rPr>
        <w:t xml:space="preserve">nine </w:t>
      </w:r>
      <w:r w:rsidR="00005931" w:rsidRPr="004D38FE">
        <w:rPr>
          <w:rFonts w:eastAsia="Calibri" w:cs="Calibri"/>
          <w:color w:val="242424"/>
        </w:rPr>
        <w:t>safety and three health compliance offic</w:t>
      </w:r>
      <w:r w:rsidR="00005931">
        <w:rPr>
          <w:rFonts w:eastAsia="Calibri" w:cs="Calibri"/>
          <w:color w:val="242424"/>
        </w:rPr>
        <w:t>er positions by the end of the year.</w:t>
      </w:r>
      <w:r w:rsidR="00D57D51">
        <w:rPr>
          <w:rFonts w:eastAsia="Calibri" w:cs="Calibri"/>
          <w:color w:val="242424"/>
        </w:rPr>
        <w:t xml:space="preserve">  </w:t>
      </w:r>
      <w:r w:rsidR="00A23863">
        <w:rPr>
          <w:rFonts w:eastAsia="Calibri" w:cs="Calibri"/>
          <w:color w:val="242424"/>
        </w:rPr>
        <w:t>Although staffing has increased, t</w:t>
      </w:r>
      <w:r w:rsidR="2FF5F8F7" w:rsidRPr="101BB0F1">
        <w:rPr>
          <w:rFonts w:eastAsia="Calibri" w:cs="Calibri"/>
          <w:color w:val="242424"/>
        </w:rPr>
        <w:t>he</w:t>
      </w:r>
      <w:r w:rsidR="4782476F" w:rsidRPr="719D249B">
        <w:rPr>
          <w:rFonts w:eastAsia="Calibri" w:cs="Calibri"/>
          <w:color w:val="242424"/>
        </w:rPr>
        <w:t xml:space="preserve"> level </w:t>
      </w:r>
      <w:r w:rsidR="009E2B14">
        <w:rPr>
          <w:rFonts w:eastAsia="Calibri" w:cs="Calibri"/>
          <w:color w:val="242424"/>
        </w:rPr>
        <w:t xml:space="preserve">of </w:t>
      </w:r>
      <w:r w:rsidR="4782476F" w:rsidRPr="719D249B">
        <w:rPr>
          <w:rFonts w:eastAsia="Calibri" w:cs="Calibri"/>
          <w:color w:val="242424"/>
        </w:rPr>
        <w:t xml:space="preserve">performance in conducting inspections and citing employers requires improvement. </w:t>
      </w:r>
    </w:p>
    <w:p w14:paraId="3DA9497A" w14:textId="77777777" w:rsidR="00531F2A" w:rsidRDefault="00531F2A" w:rsidP="000B58F1">
      <w:pPr>
        <w:rPr>
          <w:rFonts w:eastAsia="Calibri" w:cs="Calibri"/>
          <w:color w:val="242424"/>
        </w:rPr>
      </w:pPr>
    </w:p>
    <w:p w14:paraId="43D51CD4" w14:textId="4F02E8C9" w:rsidR="4782476F" w:rsidRPr="00531F2A" w:rsidRDefault="002E461A" w:rsidP="000B58F1">
      <w:pPr>
        <w:rPr>
          <w:rFonts w:eastAsia="Calibri" w:cs="Calibri"/>
          <w:color w:val="242424"/>
        </w:rPr>
      </w:pPr>
      <w:r>
        <w:rPr>
          <w:rFonts w:eastAsia="Calibri" w:cs="Calibri"/>
          <w:color w:val="242424"/>
        </w:rPr>
        <w:t xml:space="preserve">In FY 2022, </w:t>
      </w:r>
      <w:r w:rsidR="008C560F" w:rsidRPr="60AEB736">
        <w:rPr>
          <w:rFonts w:eastAsia="Calibri" w:cs="Calibri"/>
          <w:color w:val="242424"/>
        </w:rPr>
        <w:t>OSHA proposed to revoke Arizona’s final approval for the State Plan</w:t>
      </w:r>
      <w:r w:rsidR="001D37C3" w:rsidRPr="60AEB736">
        <w:rPr>
          <w:rFonts w:eastAsia="Calibri" w:cs="Calibri"/>
          <w:color w:val="242424"/>
        </w:rPr>
        <w:t xml:space="preserve"> and issued </w:t>
      </w:r>
      <w:r w:rsidR="50250774" w:rsidRPr="719D249B">
        <w:rPr>
          <w:rFonts w:eastAsia="Calibri" w:cs="Calibri"/>
        </w:rPr>
        <w:t>a</w:t>
      </w:r>
      <w:r w:rsidR="4782476F" w:rsidRPr="719D249B">
        <w:rPr>
          <w:rFonts w:eastAsia="Calibri" w:cs="Calibri"/>
        </w:rPr>
        <w:t xml:space="preserve"> Federal Register Notice</w:t>
      </w:r>
      <w:r w:rsidR="009B5602">
        <w:rPr>
          <w:rFonts w:eastAsia="Calibri" w:cs="Calibri"/>
        </w:rPr>
        <w:t xml:space="preserve"> (FRN)</w:t>
      </w:r>
      <w:r w:rsidR="4782476F" w:rsidRPr="719D249B">
        <w:rPr>
          <w:rFonts w:eastAsia="Calibri" w:cs="Calibri"/>
        </w:rPr>
        <w:t xml:space="preserve"> </w:t>
      </w:r>
      <w:r w:rsidR="008F1EAB" w:rsidRPr="45A38A98">
        <w:rPr>
          <w:rFonts w:eastAsia="Calibri" w:cs="Calibri"/>
        </w:rPr>
        <w:t>for</w:t>
      </w:r>
      <w:r w:rsidR="50C66C1E">
        <w:rPr>
          <w:rFonts w:eastAsia="Calibri" w:cs="Calibri"/>
        </w:rPr>
        <w:t xml:space="preserve"> </w:t>
      </w:r>
      <w:r w:rsidR="4782476F" w:rsidRPr="719D249B">
        <w:rPr>
          <w:rFonts w:eastAsia="Calibri" w:cs="Calibri"/>
        </w:rPr>
        <w:t xml:space="preserve">ADOSH </w:t>
      </w:r>
      <w:r w:rsidR="4782476F" w:rsidRPr="60AEB736">
        <w:rPr>
          <w:rFonts w:asciiTheme="minorHAnsi" w:eastAsia="Calibri" w:hAnsiTheme="minorHAnsi" w:cstheme="minorBidi"/>
        </w:rPr>
        <w:t>failing to adopt</w:t>
      </w:r>
      <w:r w:rsidR="4782476F" w:rsidRPr="60AEB736">
        <w:rPr>
          <w:rFonts w:asciiTheme="minorHAnsi" w:eastAsia="Calibri" w:hAnsiTheme="minorHAnsi" w:cstheme="minorBidi"/>
          <w:color w:val="242424"/>
        </w:rPr>
        <w:t xml:space="preserve"> outstanding </w:t>
      </w:r>
      <w:r w:rsidR="5B8C6073" w:rsidRPr="60AEB736">
        <w:rPr>
          <w:rFonts w:asciiTheme="minorHAnsi" w:eastAsia="Calibri" w:hAnsiTheme="minorHAnsi" w:cstheme="minorBidi"/>
          <w:color w:val="242424"/>
        </w:rPr>
        <w:t>s</w:t>
      </w:r>
      <w:r w:rsidR="05DBE5AC" w:rsidRPr="60AEB736">
        <w:rPr>
          <w:rFonts w:asciiTheme="minorHAnsi" w:eastAsia="Calibri" w:hAnsiTheme="minorHAnsi" w:cstheme="minorBidi"/>
          <w:color w:val="242424"/>
        </w:rPr>
        <w:t>tandards</w:t>
      </w:r>
      <w:r w:rsidR="4782476F" w:rsidRPr="60AEB736">
        <w:rPr>
          <w:rFonts w:asciiTheme="minorHAnsi" w:eastAsia="Calibri" w:hAnsiTheme="minorHAnsi" w:cstheme="minorBidi"/>
          <w:color w:val="242424"/>
        </w:rPr>
        <w:t xml:space="preserve"> and </w:t>
      </w:r>
      <w:r w:rsidR="00732BDF" w:rsidRPr="60AEB736">
        <w:rPr>
          <w:rFonts w:asciiTheme="minorHAnsi" w:eastAsia="Calibri" w:hAnsiTheme="minorHAnsi" w:cstheme="minorBidi"/>
          <w:color w:val="242424"/>
        </w:rPr>
        <w:t xml:space="preserve">federal </w:t>
      </w:r>
      <w:r w:rsidR="5B8C6073" w:rsidRPr="60AEB736">
        <w:rPr>
          <w:rFonts w:asciiTheme="minorHAnsi" w:eastAsia="Calibri" w:hAnsiTheme="minorHAnsi" w:cstheme="minorBidi"/>
          <w:color w:val="242424"/>
        </w:rPr>
        <w:t>program</w:t>
      </w:r>
      <w:r w:rsidR="4782476F" w:rsidRPr="60AEB736" w:rsidDel="00732BDF">
        <w:rPr>
          <w:rFonts w:asciiTheme="minorHAnsi" w:eastAsia="Calibri" w:hAnsiTheme="minorHAnsi" w:cstheme="minorBidi"/>
          <w:color w:val="242424"/>
        </w:rPr>
        <w:t xml:space="preserve"> </w:t>
      </w:r>
      <w:r w:rsidR="00732BDF" w:rsidRPr="60AEB736">
        <w:rPr>
          <w:rFonts w:asciiTheme="minorHAnsi" w:eastAsia="Calibri" w:hAnsiTheme="minorHAnsi" w:cstheme="minorBidi"/>
          <w:color w:val="242424"/>
        </w:rPr>
        <w:t xml:space="preserve">changes </w:t>
      </w:r>
      <w:r w:rsidR="4782476F" w:rsidRPr="60AEB736">
        <w:rPr>
          <w:rFonts w:asciiTheme="minorHAnsi" w:eastAsia="Calibri" w:hAnsiTheme="minorHAnsi" w:cstheme="minorBidi"/>
          <w:color w:val="242424"/>
        </w:rPr>
        <w:t>(FPCs)</w:t>
      </w:r>
      <w:r w:rsidR="00F8012C" w:rsidRPr="60AEB736">
        <w:rPr>
          <w:rFonts w:asciiTheme="minorHAnsi" w:eastAsia="Calibri" w:hAnsiTheme="minorHAnsi" w:cstheme="minorBidi"/>
          <w:color w:val="242424"/>
        </w:rPr>
        <w:t xml:space="preserve">.  </w:t>
      </w:r>
      <w:r w:rsidR="4782476F" w:rsidRPr="60AEB736">
        <w:rPr>
          <w:rFonts w:asciiTheme="minorHAnsi" w:eastAsia="Calibri" w:hAnsiTheme="minorHAnsi" w:cstheme="minorBidi"/>
          <w:color w:val="242424"/>
        </w:rPr>
        <w:t xml:space="preserve">Arizona </w:t>
      </w:r>
      <w:r w:rsidR="00E33910" w:rsidRPr="60AEB736">
        <w:rPr>
          <w:rFonts w:asciiTheme="minorHAnsi" w:eastAsia="Calibri" w:hAnsiTheme="minorHAnsi" w:cstheme="minorBidi"/>
          <w:color w:val="242424"/>
        </w:rPr>
        <w:t xml:space="preserve">successfully addressed all </w:t>
      </w:r>
      <w:r w:rsidR="00E07FAF" w:rsidRPr="60AEB736">
        <w:rPr>
          <w:rFonts w:asciiTheme="minorHAnsi" w:eastAsia="Calibri" w:hAnsiTheme="minorHAnsi" w:cstheme="minorBidi"/>
          <w:color w:val="242424"/>
        </w:rPr>
        <w:t>actions required by the FRN</w:t>
      </w:r>
      <w:r w:rsidR="006538A1">
        <w:rPr>
          <w:rFonts w:asciiTheme="minorHAnsi" w:eastAsia="Calibri" w:hAnsiTheme="minorHAnsi" w:cstheme="minorBidi"/>
          <w:color w:val="242424"/>
        </w:rPr>
        <w:t xml:space="preserve"> and </w:t>
      </w:r>
      <w:r w:rsidR="005F58F6" w:rsidRPr="60AEB736">
        <w:rPr>
          <w:rFonts w:asciiTheme="minorHAnsi" w:eastAsia="Calibri" w:hAnsiTheme="minorHAnsi" w:cstheme="minorBidi"/>
          <w:color w:val="242424"/>
        </w:rPr>
        <w:t>OSHA withdrew</w:t>
      </w:r>
      <w:r w:rsidR="002D3E35">
        <w:rPr>
          <w:rFonts w:asciiTheme="minorHAnsi" w:eastAsia="Calibri" w:hAnsiTheme="minorHAnsi" w:cstheme="minorBidi"/>
          <w:color w:val="242424"/>
        </w:rPr>
        <w:t xml:space="preserve"> the </w:t>
      </w:r>
      <w:r w:rsidR="000E569D">
        <w:rPr>
          <w:rFonts w:asciiTheme="minorHAnsi" w:eastAsia="Calibri" w:hAnsiTheme="minorHAnsi" w:cstheme="minorBidi"/>
          <w:color w:val="242424"/>
        </w:rPr>
        <w:t xml:space="preserve">proposal to reconsider </w:t>
      </w:r>
      <w:r w:rsidR="008F1960">
        <w:rPr>
          <w:rFonts w:asciiTheme="minorHAnsi" w:eastAsia="Calibri" w:hAnsiTheme="minorHAnsi" w:cstheme="minorBidi"/>
          <w:color w:val="242424"/>
        </w:rPr>
        <w:t>Arizona’s final approval status</w:t>
      </w:r>
      <w:r w:rsidR="00CF1C98">
        <w:rPr>
          <w:rFonts w:asciiTheme="minorHAnsi" w:eastAsia="Calibri" w:hAnsiTheme="minorHAnsi" w:cstheme="minorBidi"/>
          <w:color w:val="242424"/>
        </w:rPr>
        <w:t>.</w:t>
      </w:r>
    </w:p>
    <w:p w14:paraId="1C04F4EE" w14:textId="77777777" w:rsidR="006538A1" w:rsidRDefault="006538A1" w:rsidP="000B58F1"/>
    <w:p w14:paraId="1E19FBCB" w14:textId="61301A2F" w:rsidR="00BD3862" w:rsidRDefault="4782476F" w:rsidP="000B58F1">
      <w:r w:rsidRPr="45A38A98">
        <w:rPr>
          <w:rFonts w:eastAsia="Calibri" w:cs="Calibri"/>
        </w:rPr>
        <w:t xml:space="preserve">The </w:t>
      </w:r>
      <w:r w:rsidR="00531D44" w:rsidRPr="45A38A98">
        <w:rPr>
          <w:rFonts w:eastAsia="Calibri" w:cs="Calibri"/>
        </w:rPr>
        <w:t xml:space="preserve">Arizona </w:t>
      </w:r>
      <w:r w:rsidRPr="45A38A98">
        <w:rPr>
          <w:rFonts w:eastAsia="Calibri" w:cs="Calibri"/>
        </w:rPr>
        <w:t xml:space="preserve">State Plan made some progress to address the previous 11 findings and seven observations from the FY 2021 Comprehensive FAME Report. </w:t>
      </w:r>
      <w:r w:rsidR="005C2FCF" w:rsidRPr="45A38A98">
        <w:rPr>
          <w:rFonts w:eastAsia="Calibri" w:cs="Calibri"/>
        </w:rPr>
        <w:t xml:space="preserve"> </w:t>
      </w:r>
      <w:r w:rsidR="00586BE9">
        <w:rPr>
          <w:rFonts w:eastAsia="Calibri" w:cs="Calibri"/>
        </w:rPr>
        <w:t>In FY 2022, s</w:t>
      </w:r>
      <w:r w:rsidR="008D08A6" w:rsidRPr="45A38A98">
        <w:rPr>
          <w:rFonts w:eastAsia="Calibri" w:cs="Calibri"/>
        </w:rPr>
        <w:t>ix</w:t>
      </w:r>
      <w:r w:rsidRPr="45A38A98">
        <w:rPr>
          <w:rFonts w:eastAsia="Calibri" w:cs="Calibri"/>
        </w:rPr>
        <w:t xml:space="preserve"> </w:t>
      </w:r>
      <w:r w:rsidR="001A090D" w:rsidRPr="45A38A98">
        <w:rPr>
          <w:rFonts w:eastAsia="Calibri" w:cs="Calibri"/>
        </w:rPr>
        <w:t xml:space="preserve">of the 11 </w:t>
      </w:r>
      <w:r w:rsidRPr="45A38A98">
        <w:rPr>
          <w:rFonts w:eastAsia="Calibri" w:cs="Calibri"/>
        </w:rPr>
        <w:t>finding</w:t>
      </w:r>
      <w:r w:rsidR="67D13EF0" w:rsidRPr="45A38A98">
        <w:rPr>
          <w:rFonts w:eastAsia="Calibri" w:cs="Calibri"/>
        </w:rPr>
        <w:t>s</w:t>
      </w:r>
      <w:r w:rsidRPr="45A38A98">
        <w:rPr>
          <w:rFonts w:eastAsia="Calibri" w:cs="Calibri"/>
        </w:rPr>
        <w:t xml:space="preserve"> were completed</w:t>
      </w:r>
      <w:r w:rsidR="0011063A">
        <w:rPr>
          <w:rFonts w:eastAsia="Calibri" w:cs="Calibri"/>
        </w:rPr>
        <w:t>,</w:t>
      </w:r>
      <w:r w:rsidR="003032A6" w:rsidRPr="45A38A98">
        <w:rPr>
          <w:rFonts w:eastAsia="Calibri" w:cs="Calibri"/>
        </w:rPr>
        <w:t xml:space="preserve"> and </w:t>
      </w:r>
      <w:r w:rsidR="008F1EAB" w:rsidRPr="45A38A98">
        <w:rPr>
          <w:rFonts w:eastAsia="Calibri" w:cs="Calibri"/>
        </w:rPr>
        <w:t xml:space="preserve">all </w:t>
      </w:r>
      <w:r w:rsidR="5A4EEF10" w:rsidRPr="45A38A98">
        <w:rPr>
          <w:rFonts w:eastAsia="Calibri" w:cs="Calibri"/>
        </w:rPr>
        <w:t>seven</w:t>
      </w:r>
      <w:r w:rsidRPr="45A38A98">
        <w:rPr>
          <w:rFonts w:eastAsia="Calibri" w:cs="Calibri"/>
        </w:rPr>
        <w:t xml:space="preserve"> observations </w:t>
      </w:r>
      <w:r w:rsidR="00516F8F" w:rsidRPr="45A38A98">
        <w:rPr>
          <w:rFonts w:eastAsia="Calibri" w:cs="Calibri"/>
        </w:rPr>
        <w:t>were</w:t>
      </w:r>
      <w:r w:rsidR="003032A6" w:rsidRPr="45A38A98">
        <w:rPr>
          <w:rFonts w:eastAsia="Calibri" w:cs="Calibri"/>
        </w:rPr>
        <w:t xml:space="preserve"> continued.</w:t>
      </w:r>
      <w:r w:rsidR="005E55A6" w:rsidRPr="45A38A98">
        <w:rPr>
          <w:rFonts w:eastAsia="Calibri" w:cs="Calibri"/>
        </w:rPr>
        <w:t xml:space="preserve">  </w:t>
      </w:r>
      <w:r w:rsidR="00396EA0">
        <w:rPr>
          <w:rFonts w:eastAsia="Calibri" w:cs="Calibri"/>
        </w:rPr>
        <w:t xml:space="preserve">Five </w:t>
      </w:r>
      <w:r w:rsidR="00E51925">
        <w:rPr>
          <w:rFonts w:eastAsia="Calibri" w:cs="Calibri"/>
        </w:rPr>
        <w:t>findings and seven observations were</w:t>
      </w:r>
      <w:r w:rsidR="00E07294">
        <w:rPr>
          <w:rFonts w:eastAsia="Calibri" w:cs="Calibri"/>
        </w:rPr>
        <w:t xml:space="preserve"> </w:t>
      </w:r>
      <w:r w:rsidR="00A23863">
        <w:rPr>
          <w:rFonts w:eastAsia="Calibri" w:cs="Calibri"/>
        </w:rPr>
        <w:t>contin</w:t>
      </w:r>
      <w:r w:rsidR="00087844">
        <w:rPr>
          <w:rFonts w:eastAsia="Calibri" w:cs="Calibri"/>
        </w:rPr>
        <w:t>u</w:t>
      </w:r>
      <w:r w:rsidR="00A23863">
        <w:rPr>
          <w:rFonts w:eastAsia="Calibri" w:cs="Calibri"/>
        </w:rPr>
        <w:t xml:space="preserve">ed. </w:t>
      </w:r>
      <w:r w:rsidR="00E51925">
        <w:rPr>
          <w:rFonts w:eastAsia="Calibri" w:cs="Calibri"/>
        </w:rPr>
        <w:t xml:space="preserve"> </w:t>
      </w:r>
      <w:r w:rsidR="00005931">
        <w:rPr>
          <w:rFonts w:eastAsia="Calibri" w:cs="Calibri"/>
        </w:rPr>
        <w:t xml:space="preserve">There were no new findings or observations identified in FY 2022.  </w:t>
      </w:r>
    </w:p>
    <w:p w14:paraId="13E8FFCC" w14:textId="77777777" w:rsidR="00CD1FD3" w:rsidRDefault="00CD1FD3" w:rsidP="000B58F1"/>
    <w:p w14:paraId="67E95E6F" w14:textId="6755D6C3" w:rsidR="000A134A" w:rsidRPr="001C1E47" w:rsidRDefault="001E71BA" w:rsidP="002D09AF">
      <w:pPr>
        <w:pStyle w:val="Heading2"/>
      </w:pPr>
      <w:bookmarkStart w:id="7" w:name="_Toc118900171"/>
      <w:bookmarkStart w:id="8" w:name="_Toc118905010"/>
      <w:bookmarkStart w:id="9" w:name="_Toc128388232"/>
      <w:r w:rsidRPr="001C1E47">
        <w:t>State Plan Background</w:t>
      </w:r>
      <w:bookmarkEnd w:id="7"/>
      <w:bookmarkEnd w:id="8"/>
      <w:bookmarkEnd w:id="9"/>
    </w:p>
    <w:p w14:paraId="7ED8AA2D" w14:textId="698C9610" w:rsidR="000A134A" w:rsidRDefault="000A134A" w:rsidP="000B58F1">
      <w:pPr>
        <w:widowControl/>
        <w:autoSpaceDE/>
        <w:autoSpaceDN/>
        <w:adjustRightInd/>
        <w:rPr>
          <w:rFonts w:cs="Calibri"/>
          <w:iCs/>
        </w:rPr>
      </w:pPr>
    </w:p>
    <w:p w14:paraId="24BE63E7" w14:textId="164EFE63" w:rsidR="7BA74BA4" w:rsidRDefault="0F4116CB" w:rsidP="000B58F1">
      <w:r w:rsidRPr="011E1980">
        <w:rPr>
          <w:rFonts w:eastAsia="Calibri" w:cs="Calibri"/>
        </w:rPr>
        <w:t>The state of Arizona operates an occupational safety and health program administered by ADOSH under the Industrial Commission of Arizona (ICA).  James Ashley served as the Director of the ICA and as the State Plan Designee.  Jessie Atencio served as the Director for the ADOSH program</w:t>
      </w:r>
      <w:r w:rsidR="7D02813B" w:rsidRPr="011E1980">
        <w:rPr>
          <w:rFonts w:eastAsia="Calibri" w:cs="Calibri"/>
        </w:rPr>
        <w:t xml:space="preserve">.  </w:t>
      </w:r>
      <w:r w:rsidRPr="011E1980">
        <w:rPr>
          <w:rFonts w:eastAsia="Calibri" w:cs="Calibri"/>
        </w:rPr>
        <w:t>Assistant Director</w:t>
      </w:r>
      <w:r w:rsidR="25CE699F" w:rsidRPr="011E1980">
        <w:rPr>
          <w:rFonts w:eastAsia="Calibri" w:cs="Calibri"/>
        </w:rPr>
        <w:t xml:space="preserve"> </w:t>
      </w:r>
      <w:r w:rsidRPr="011E1980">
        <w:rPr>
          <w:rFonts w:eastAsia="Calibri" w:cs="Calibri"/>
        </w:rPr>
        <w:t>Phil Murphy</w:t>
      </w:r>
      <w:r w:rsidR="4414098D" w:rsidRPr="011E1980">
        <w:rPr>
          <w:rFonts w:eastAsia="Calibri" w:cs="Calibri"/>
        </w:rPr>
        <w:t xml:space="preserve"> </w:t>
      </w:r>
      <w:r w:rsidRPr="011E1980">
        <w:rPr>
          <w:rFonts w:eastAsia="Calibri" w:cs="Calibri"/>
        </w:rPr>
        <w:t>managed the Phoenix enforcement program</w:t>
      </w:r>
      <w:r w:rsidR="21783247" w:rsidRPr="011E1980">
        <w:rPr>
          <w:rFonts w:eastAsia="Calibri" w:cs="Calibri"/>
        </w:rPr>
        <w:t>.</w:t>
      </w:r>
      <w:r w:rsidR="46C1C968" w:rsidRPr="011E1980">
        <w:rPr>
          <w:rFonts w:eastAsia="Calibri" w:cs="Calibri"/>
        </w:rPr>
        <w:t xml:space="preserve"> </w:t>
      </w:r>
      <w:r w:rsidR="004715F5">
        <w:rPr>
          <w:rFonts w:eastAsia="Calibri" w:cs="Calibri"/>
        </w:rPr>
        <w:t xml:space="preserve"> </w:t>
      </w:r>
      <w:r w:rsidRPr="011E1980">
        <w:rPr>
          <w:rFonts w:eastAsia="Calibri" w:cs="Calibri"/>
        </w:rPr>
        <w:t>Assistant Director Mark Norton</w:t>
      </w:r>
      <w:r w:rsidR="15A7F3D0" w:rsidRPr="011E1980">
        <w:rPr>
          <w:rFonts w:eastAsia="Calibri" w:cs="Calibri"/>
        </w:rPr>
        <w:t xml:space="preserve"> was</w:t>
      </w:r>
      <w:r w:rsidR="649169D9" w:rsidRPr="011E1980">
        <w:rPr>
          <w:rFonts w:eastAsia="Calibri" w:cs="Calibri"/>
        </w:rPr>
        <w:t xml:space="preserve"> hired in</w:t>
      </w:r>
      <w:r w:rsidR="27103B4E" w:rsidRPr="011E1980">
        <w:rPr>
          <w:rFonts w:eastAsia="Calibri" w:cs="Calibri"/>
        </w:rPr>
        <w:t xml:space="preserve"> </w:t>
      </w:r>
      <w:r w:rsidR="649169D9" w:rsidRPr="011E1980">
        <w:rPr>
          <w:rFonts w:eastAsia="Calibri" w:cs="Calibri"/>
        </w:rPr>
        <w:t>FY 2022 and</w:t>
      </w:r>
      <w:r w:rsidRPr="011E1980">
        <w:rPr>
          <w:rFonts w:eastAsia="Calibri" w:cs="Calibri"/>
        </w:rPr>
        <w:t xml:space="preserve"> manag</w:t>
      </w:r>
      <w:r w:rsidR="5A1765A8" w:rsidRPr="011E1980">
        <w:rPr>
          <w:rFonts w:eastAsia="Calibri" w:cs="Calibri"/>
        </w:rPr>
        <w:t xml:space="preserve">ed </w:t>
      </w:r>
      <w:r w:rsidRPr="011E1980">
        <w:rPr>
          <w:rFonts w:eastAsia="Calibri" w:cs="Calibri"/>
        </w:rPr>
        <w:t>the Tucson enforcement program.</w:t>
      </w:r>
      <w:r w:rsidR="46C1C968" w:rsidRPr="011E1980">
        <w:rPr>
          <w:rFonts w:eastAsia="Calibri" w:cs="Calibri"/>
        </w:rPr>
        <w:t xml:space="preserve"> </w:t>
      </w:r>
      <w:r w:rsidR="005104E3">
        <w:rPr>
          <w:rFonts w:eastAsia="Calibri" w:cs="Calibri"/>
        </w:rPr>
        <w:t xml:space="preserve"> </w:t>
      </w:r>
      <w:r w:rsidR="46C1C968" w:rsidRPr="011E1980">
        <w:rPr>
          <w:rFonts w:eastAsia="Calibri" w:cs="Calibri"/>
        </w:rPr>
        <w:t xml:space="preserve">Steve Morgan </w:t>
      </w:r>
      <w:r w:rsidR="3CF6FE25" w:rsidRPr="011E1980">
        <w:rPr>
          <w:rFonts w:eastAsia="Calibri" w:cs="Calibri"/>
        </w:rPr>
        <w:t xml:space="preserve">was the Assistant Director for the consultation program. </w:t>
      </w:r>
    </w:p>
    <w:p w14:paraId="6EA19C8B" w14:textId="3A5CA124" w:rsidR="7BA74BA4" w:rsidRDefault="7BA74BA4" w:rsidP="000B58F1">
      <w:r w:rsidRPr="090008D6">
        <w:rPr>
          <w:rFonts w:eastAsia="Calibri" w:cs="Calibri"/>
        </w:rPr>
        <w:t xml:space="preserve"> </w:t>
      </w:r>
    </w:p>
    <w:p w14:paraId="3938DD7D" w14:textId="64EC52D3" w:rsidR="7BA74BA4" w:rsidRDefault="7BA74BA4" w:rsidP="000B58F1">
      <w:r w:rsidRPr="45A38A98">
        <w:rPr>
          <w:rFonts w:eastAsia="Calibri" w:cs="Calibri"/>
        </w:rPr>
        <w:t>ADOSH’s organizational units include Administration</w:t>
      </w:r>
      <w:r w:rsidR="00274EC5" w:rsidRPr="45A38A98">
        <w:rPr>
          <w:rFonts w:eastAsia="Calibri" w:cs="Calibri"/>
        </w:rPr>
        <w:t>;</w:t>
      </w:r>
      <w:r w:rsidRPr="45A38A98">
        <w:rPr>
          <w:rFonts w:eastAsia="Calibri" w:cs="Calibri"/>
        </w:rPr>
        <w:t xml:space="preserve"> Safety</w:t>
      </w:r>
      <w:r w:rsidR="0095520A" w:rsidRPr="45A38A98">
        <w:rPr>
          <w:rFonts w:eastAsia="Calibri" w:cs="Calibri"/>
        </w:rPr>
        <w:t xml:space="preserve"> Compliance</w:t>
      </w:r>
      <w:r w:rsidR="00274EC5" w:rsidRPr="45A38A98">
        <w:rPr>
          <w:rFonts w:eastAsia="Calibri" w:cs="Calibri"/>
        </w:rPr>
        <w:t>;</w:t>
      </w:r>
      <w:r w:rsidR="0095520A" w:rsidRPr="45A38A98">
        <w:rPr>
          <w:rFonts w:eastAsia="Calibri" w:cs="Calibri"/>
        </w:rPr>
        <w:t xml:space="preserve"> Health Compliance</w:t>
      </w:r>
      <w:r w:rsidR="00274EC5" w:rsidRPr="45A38A98">
        <w:rPr>
          <w:rFonts w:eastAsia="Calibri" w:cs="Calibri"/>
        </w:rPr>
        <w:t>;</w:t>
      </w:r>
      <w:r w:rsidR="310BD983" w:rsidRPr="45A38A98">
        <w:rPr>
          <w:rFonts w:eastAsia="Calibri" w:cs="Calibri"/>
        </w:rPr>
        <w:t xml:space="preserve"> </w:t>
      </w:r>
      <w:r w:rsidR="0095520A" w:rsidRPr="45A38A98">
        <w:rPr>
          <w:rFonts w:eastAsia="Calibri" w:cs="Calibri"/>
        </w:rPr>
        <w:t>Whistleblower</w:t>
      </w:r>
      <w:r w:rsidR="00274EC5" w:rsidRPr="45A38A98">
        <w:rPr>
          <w:rFonts w:eastAsia="Calibri" w:cs="Calibri"/>
        </w:rPr>
        <w:t>;</w:t>
      </w:r>
      <w:r w:rsidR="0095520A" w:rsidRPr="45A38A98">
        <w:rPr>
          <w:rFonts w:eastAsia="Calibri" w:cs="Calibri"/>
        </w:rPr>
        <w:t xml:space="preserve"> </w:t>
      </w:r>
      <w:r w:rsidRPr="45A38A98">
        <w:rPr>
          <w:rFonts w:eastAsia="Calibri" w:cs="Calibri"/>
        </w:rPr>
        <w:t>Consultation</w:t>
      </w:r>
      <w:r w:rsidR="0095520A" w:rsidRPr="45A38A98">
        <w:rPr>
          <w:rFonts w:eastAsia="Calibri" w:cs="Calibri"/>
        </w:rPr>
        <w:t>, Education, and Training (CET)</w:t>
      </w:r>
      <w:r w:rsidR="00274EC5" w:rsidRPr="45A38A98">
        <w:rPr>
          <w:rFonts w:eastAsia="Calibri" w:cs="Calibri"/>
        </w:rPr>
        <w:t>;</w:t>
      </w:r>
      <w:r w:rsidRPr="45A38A98">
        <w:rPr>
          <w:rFonts w:eastAsia="Calibri" w:cs="Calibri"/>
        </w:rPr>
        <w:t xml:space="preserve"> Boiler </w:t>
      </w:r>
      <w:r w:rsidR="0095520A" w:rsidRPr="45A38A98">
        <w:rPr>
          <w:rFonts w:eastAsia="Calibri" w:cs="Calibri"/>
        </w:rPr>
        <w:t xml:space="preserve">and </w:t>
      </w:r>
      <w:r w:rsidRPr="45A38A98">
        <w:rPr>
          <w:rFonts w:eastAsia="Calibri" w:cs="Calibri"/>
        </w:rPr>
        <w:t>Elevator Safety</w:t>
      </w:r>
      <w:r w:rsidR="00274EC5" w:rsidRPr="45A38A98">
        <w:rPr>
          <w:rFonts w:eastAsia="Calibri" w:cs="Calibri"/>
        </w:rPr>
        <w:t>;</w:t>
      </w:r>
      <w:r w:rsidRPr="45A38A98">
        <w:rPr>
          <w:rFonts w:eastAsia="Calibri" w:cs="Calibri"/>
        </w:rPr>
        <w:t xml:space="preserve"> </w:t>
      </w:r>
      <w:r w:rsidR="006A3BA4" w:rsidRPr="45A38A98">
        <w:rPr>
          <w:rFonts w:eastAsia="Calibri" w:cs="Calibri"/>
        </w:rPr>
        <w:t xml:space="preserve">and </w:t>
      </w:r>
      <w:r w:rsidRPr="45A38A98">
        <w:rPr>
          <w:rFonts w:eastAsia="Calibri" w:cs="Calibri"/>
        </w:rPr>
        <w:t xml:space="preserve">Research and Statistics.  </w:t>
      </w:r>
      <w:r w:rsidR="004D0CEB" w:rsidRPr="45A38A98">
        <w:rPr>
          <w:rFonts w:eastAsia="Calibri" w:cs="Calibri"/>
        </w:rPr>
        <w:t xml:space="preserve">The </w:t>
      </w:r>
      <w:r w:rsidRPr="45A38A98">
        <w:rPr>
          <w:rFonts w:eastAsia="Calibri" w:cs="Calibri"/>
        </w:rPr>
        <w:t xml:space="preserve">Boiler </w:t>
      </w:r>
      <w:r w:rsidR="00A7259F" w:rsidRPr="45A38A98">
        <w:rPr>
          <w:rFonts w:eastAsia="Calibri" w:cs="Calibri"/>
        </w:rPr>
        <w:t xml:space="preserve">and </w:t>
      </w:r>
      <w:r w:rsidRPr="45A38A98">
        <w:rPr>
          <w:rFonts w:eastAsia="Calibri" w:cs="Calibri"/>
        </w:rPr>
        <w:t xml:space="preserve">Elevator Safety, and the Research and Statistics units </w:t>
      </w:r>
      <w:r w:rsidR="00274EC5" w:rsidRPr="45A38A98">
        <w:rPr>
          <w:rFonts w:eastAsia="Calibri" w:cs="Calibri"/>
        </w:rPr>
        <w:t xml:space="preserve">are not funded under </w:t>
      </w:r>
      <w:r w:rsidR="006C06E0" w:rsidRPr="45A38A98">
        <w:rPr>
          <w:rFonts w:eastAsia="Calibri" w:cs="Calibri"/>
        </w:rPr>
        <w:t>OSHA grant</w:t>
      </w:r>
      <w:r w:rsidR="001356F0" w:rsidRPr="45A38A98">
        <w:rPr>
          <w:rFonts w:eastAsia="Calibri" w:cs="Calibri"/>
        </w:rPr>
        <w:t>s</w:t>
      </w:r>
      <w:r w:rsidR="006C06E0" w:rsidRPr="45A38A98">
        <w:rPr>
          <w:rFonts w:eastAsia="Calibri" w:cs="Calibri"/>
        </w:rPr>
        <w:t>.</w:t>
      </w:r>
      <w:r w:rsidRPr="45A38A98">
        <w:rPr>
          <w:rFonts w:eastAsia="Calibri" w:cs="Calibri"/>
        </w:rPr>
        <w:t xml:space="preserve"> </w:t>
      </w:r>
    </w:p>
    <w:p w14:paraId="44F401AB" w14:textId="03D6F201" w:rsidR="7BA74BA4" w:rsidRDefault="7BA74BA4" w:rsidP="000B58F1">
      <w:r w:rsidRPr="090008D6">
        <w:rPr>
          <w:rFonts w:eastAsia="Calibri" w:cs="Calibri"/>
        </w:rPr>
        <w:t xml:space="preserve"> </w:t>
      </w:r>
    </w:p>
    <w:p w14:paraId="6FC1739D" w14:textId="51F722A8" w:rsidR="007C7BAA" w:rsidRDefault="007C7BAA" w:rsidP="000B58F1">
      <w:r w:rsidRPr="56B52501">
        <w:rPr>
          <w:rFonts w:eastAsia="Calibri" w:cs="Calibri"/>
          <w:color w:val="000000" w:themeColor="text1"/>
        </w:rPr>
        <w:t>ADOSH</w:t>
      </w:r>
      <w:r w:rsidRPr="56B52501">
        <w:rPr>
          <w:rFonts w:eastAsia="Calibri" w:cs="Calibri"/>
        </w:rPr>
        <w:t xml:space="preserve"> jurisdiction </w:t>
      </w:r>
      <w:r w:rsidRPr="56B52501">
        <w:rPr>
          <w:rFonts w:eastAsia="Calibri" w:cs="Calibri"/>
          <w:color w:val="000000" w:themeColor="text1"/>
        </w:rPr>
        <w:t>covers</w:t>
      </w:r>
      <w:r w:rsidR="00AD79C8" w:rsidRPr="56B52501">
        <w:rPr>
          <w:rFonts w:eastAsia="Calibri" w:cs="Calibri"/>
          <w:color w:val="000000" w:themeColor="text1"/>
        </w:rPr>
        <w:t xml:space="preserve"> </w:t>
      </w:r>
      <w:r w:rsidRPr="56B52501">
        <w:rPr>
          <w:rFonts w:eastAsia="Calibri" w:cs="Calibri"/>
          <w:color w:val="000000" w:themeColor="text1"/>
        </w:rPr>
        <w:t xml:space="preserve">nearly all private employers and </w:t>
      </w:r>
      <w:r w:rsidR="00955901" w:rsidRPr="56B52501">
        <w:rPr>
          <w:rFonts w:eastAsia="Calibri" w:cs="Calibri"/>
          <w:color w:val="000000" w:themeColor="text1"/>
        </w:rPr>
        <w:t xml:space="preserve">state and local government </w:t>
      </w:r>
      <w:r w:rsidRPr="56B52501">
        <w:rPr>
          <w:rFonts w:eastAsia="Calibri" w:cs="Calibri"/>
          <w:color w:val="000000" w:themeColor="text1"/>
        </w:rPr>
        <w:t>workplaces</w:t>
      </w:r>
      <w:r w:rsidR="00AD79C8" w:rsidRPr="56B52501">
        <w:rPr>
          <w:rFonts w:eastAsia="Calibri" w:cs="Calibri"/>
          <w:color w:val="000000" w:themeColor="text1"/>
        </w:rPr>
        <w:t xml:space="preserve"> </w:t>
      </w:r>
      <w:proofErr w:type="gramStart"/>
      <w:r w:rsidR="00AD79C8" w:rsidRPr="56B52501">
        <w:rPr>
          <w:rFonts w:eastAsia="Calibri" w:cs="Calibri"/>
          <w:color w:val="000000" w:themeColor="text1"/>
        </w:rPr>
        <w:t>with the exception of</w:t>
      </w:r>
      <w:proofErr w:type="gramEnd"/>
      <w:r w:rsidR="00AD79C8" w:rsidRPr="56B52501">
        <w:rPr>
          <w:rFonts w:eastAsia="Calibri" w:cs="Calibri"/>
          <w:color w:val="000000" w:themeColor="text1"/>
        </w:rPr>
        <w:t xml:space="preserve"> </w:t>
      </w:r>
      <w:r w:rsidRPr="56B52501">
        <w:rPr>
          <w:rFonts w:eastAsia="Calibri" w:cs="Calibri"/>
          <w:color w:val="000000" w:themeColor="text1"/>
        </w:rPr>
        <w:t>mining</w:t>
      </w:r>
      <w:r w:rsidR="00102FF2">
        <w:rPr>
          <w:rFonts w:eastAsia="Calibri" w:cs="Calibri"/>
          <w:color w:val="000000" w:themeColor="text1"/>
        </w:rPr>
        <w:t>,</w:t>
      </w:r>
      <w:r w:rsidRPr="56B52501">
        <w:rPr>
          <w:rFonts w:eastAsia="Calibri" w:cs="Calibri"/>
          <w:color w:val="000000" w:themeColor="text1"/>
        </w:rPr>
        <w:t xml:space="preserve"> smelters</w:t>
      </w:r>
      <w:r w:rsidR="00102FF2">
        <w:rPr>
          <w:rFonts w:eastAsia="Calibri" w:cs="Calibri"/>
          <w:color w:val="000000" w:themeColor="text1"/>
        </w:rPr>
        <w:t>,</w:t>
      </w:r>
      <w:r w:rsidRPr="56B52501">
        <w:rPr>
          <w:rFonts w:eastAsia="Calibri" w:cs="Calibri"/>
          <w:color w:val="000000" w:themeColor="text1"/>
        </w:rPr>
        <w:t xml:space="preserve"> batch plants</w:t>
      </w:r>
      <w:r w:rsidR="00102FF2">
        <w:rPr>
          <w:rFonts w:eastAsia="Calibri" w:cs="Calibri"/>
          <w:color w:val="000000" w:themeColor="text1"/>
        </w:rPr>
        <w:t>,</w:t>
      </w:r>
      <w:r w:rsidR="001356F0" w:rsidRPr="56B52501">
        <w:rPr>
          <w:rFonts w:eastAsia="Calibri" w:cs="Calibri"/>
          <w:color w:val="000000" w:themeColor="text1"/>
        </w:rPr>
        <w:t xml:space="preserve"> </w:t>
      </w:r>
      <w:r w:rsidR="00AD79C8" w:rsidRPr="56B52501">
        <w:rPr>
          <w:rFonts w:eastAsia="Calibri" w:cs="Calibri"/>
          <w:color w:val="000000" w:themeColor="text1"/>
        </w:rPr>
        <w:t>and</w:t>
      </w:r>
      <w:r w:rsidR="001356F0" w:rsidRPr="56B52501">
        <w:rPr>
          <w:rFonts w:eastAsia="Calibri" w:cs="Calibri"/>
          <w:color w:val="000000" w:themeColor="text1"/>
        </w:rPr>
        <w:t xml:space="preserve"> contract employees and contractor-operated facilities engaged in United States Postal Service mail operations</w:t>
      </w:r>
      <w:r w:rsidR="00590AE7" w:rsidRPr="56B52501">
        <w:rPr>
          <w:rFonts w:eastAsia="Calibri" w:cs="Calibri"/>
          <w:color w:val="000000" w:themeColor="text1"/>
        </w:rPr>
        <w:t>.</w:t>
      </w:r>
      <w:r w:rsidR="001356F0" w:rsidRPr="56B52501">
        <w:rPr>
          <w:rFonts w:eastAsia="Calibri" w:cs="Calibri"/>
          <w:color w:val="000000" w:themeColor="text1"/>
        </w:rPr>
        <w:t xml:space="preserve"> </w:t>
      </w:r>
      <w:r w:rsidRPr="56B52501">
        <w:rPr>
          <w:rFonts w:eastAsia="Calibri" w:cs="Calibri"/>
          <w:color w:val="000000" w:themeColor="text1"/>
        </w:rPr>
        <w:t xml:space="preserve"> </w:t>
      </w:r>
      <w:r w:rsidR="001356F0" w:rsidRPr="56B52501">
        <w:rPr>
          <w:rFonts w:eastAsia="Calibri" w:cs="Calibri"/>
          <w:color w:val="000000" w:themeColor="text1"/>
        </w:rPr>
        <w:t xml:space="preserve">In </w:t>
      </w:r>
      <w:r w:rsidR="001356F0" w:rsidRPr="56B52501">
        <w:rPr>
          <w:rFonts w:eastAsia="Calibri" w:cs="Calibri"/>
          <w:color w:val="000000" w:themeColor="text1"/>
        </w:rPr>
        <w:lastRenderedPageBreak/>
        <w:t xml:space="preserve">addition, ADOSH does not cover </w:t>
      </w:r>
      <w:r w:rsidRPr="56B52501">
        <w:rPr>
          <w:rFonts w:eastAsia="Calibri" w:cs="Calibri"/>
          <w:color w:val="000000" w:themeColor="text1"/>
        </w:rPr>
        <w:t>areas of exclusive federal jurisdiction such as tribal lands</w:t>
      </w:r>
      <w:r w:rsidR="001356F0" w:rsidRPr="56B52501">
        <w:rPr>
          <w:rFonts w:eastAsia="Calibri" w:cs="Calibri"/>
          <w:color w:val="000000" w:themeColor="text1"/>
        </w:rPr>
        <w:t xml:space="preserve"> or federal employees.</w:t>
      </w:r>
      <w:r w:rsidRPr="56B52501">
        <w:rPr>
          <w:rFonts w:eastAsia="Calibri" w:cs="Calibri"/>
          <w:color w:val="000000" w:themeColor="text1"/>
        </w:rPr>
        <w:t xml:space="preserve"> </w:t>
      </w:r>
      <w:r w:rsidR="00490E82">
        <w:rPr>
          <w:rFonts w:eastAsia="Calibri" w:cs="Calibri"/>
          <w:color w:val="000000" w:themeColor="text1"/>
        </w:rPr>
        <w:t xml:space="preserve"> </w:t>
      </w:r>
      <w:r w:rsidRPr="56B52501">
        <w:rPr>
          <w:rFonts w:eastAsia="Calibri" w:cs="Calibri"/>
          <w:color w:val="000000" w:themeColor="text1"/>
        </w:rPr>
        <w:t>The Commissioners of the ICA, who may modify proposed citations and penalties prior to citation issuance, review all inspections with proposed penalties of $2,500 or more.</w:t>
      </w:r>
    </w:p>
    <w:p w14:paraId="1C2D970B" w14:textId="6A97DDE2" w:rsidR="007C7BAA" w:rsidRDefault="007C7BAA" w:rsidP="000B58F1">
      <w:pPr>
        <w:rPr>
          <w:rFonts w:eastAsia="Calibri" w:cs="Calibri"/>
        </w:rPr>
      </w:pPr>
    </w:p>
    <w:p w14:paraId="7AC8D467" w14:textId="7B2DD020" w:rsidR="7BA74BA4" w:rsidRDefault="7BA74BA4" w:rsidP="000B58F1">
      <w:r w:rsidRPr="090008D6">
        <w:rPr>
          <w:rFonts w:eastAsia="Calibri" w:cs="Calibri"/>
        </w:rPr>
        <w:t xml:space="preserve">The </w:t>
      </w:r>
      <w:proofErr w:type="gramStart"/>
      <w:r w:rsidRPr="090008D6">
        <w:rPr>
          <w:rFonts w:eastAsia="Calibri" w:cs="Calibri"/>
        </w:rPr>
        <w:t>23(g) grant</w:t>
      </w:r>
      <w:proofErr w:type="gramEnd"/>
      <w:r w:rsidRPr="090008D6">
        <w:rPr>
          <w:rFonts w:eastAsia="Calibri" w:cs="Calibri"/>
        </w:rPr>
        <w:t xml:space="preserve"> provided funding for a full-time staff comprised </w:t>
      </w:r>
      <w:r w:rsidR="00011783">
        <w:rPr>
          <w:rFonts w:eastAsia="Calibri" w:cs="Calibri"/>
        </w:rPr>
        <w:t xml:space="preserve">of </w:t>
      </w:r>
      <w:r w:rsidRPr="090008D6">
        <w:rPr>
          <w:rFonts w:eastAsia="Calibri" w:cs="Calibri"/>
        </w:rPr>
        <w:t xml:space="preserve">one director, two assistant directors, seven first line supervisors, 13 safety compliance officers, eight health compliance officers, three </w:t>
      </w:r>
      <w:r w:rsidR="0003322D">
        <w:rPr>
          <w:rFonts w:eastAsia="Calibri" w:cs="Calibri"/>
        </w:rPr>
        <w:t>c</w:t>
      </w:r>
      <w:r w:rsidRPr="090008D6">
        <w:rPr>
          <w:rFonts w:eastAsia="Calibri" w:cs="Calibri"/>
        </w:rPr>
        <w:t xml:space="preserve">ompliance </w:t>
      </w:r>
      <w:r w:rsidR="0035346A">
        <w:rPr>
          <w:rFonts w:eastAsia="Calibri" w:cs="Calibri"/>
        </w:rPr>
        <w:t>a</w:t>
      </w:r>
      <w:r w:rsidRPr="090008D6">
        <w:rPr>
          <w:rFonts w:eastAsia="Calibri" w:cs="Calibri"/>
        </w:rPr>
        <w:t xml:space="preserve">ssistant </w:t>
      </w:r>
      <w:r w:rsidR="0035346A">
        <w:rPr>
          <w:rFonts w:eastAsia="Calibri" w:cs="Calibri"/>
        </w:rPr>
        <w:t>s</w:t>
      </w:r>
      <w:r w:rsidRPr="090008D6">
        <w:rPr>
          <w:rFonts w:eastAsia="Calibri" w:cs="Calibri"/>
        </w:rPr>
        <w:t>pecialists, four whistleblower investigators, five clerical staff, and two trainers.</w:t>
      </w:r>
      <w:r w:rsidR="00826751">
        <w:rPr>
          <w:rFonts w:eastAsia="Calibri" w:cs="Calibri"/>
        </w:rPr>
        <w:t xml:space="preserve">  </w:t>
      </w:r>
      <w:r w:rsidRPr="090008D6">
        <w:rPr>
          <w:rFonts w:eastAsia="Calibri" w:cs="Calibri"/>
        </w:rPr>
        <w:t>Six consultants provided consultation for state and local government employers; 15% of their time was charged to the 23(g) grant and the remainder of their time was charged to a 21(d) Cooperative Agreement that covers private sector consultation activities.</w:t>
      </w:r>
      <w:r w:rsidR="00DD5F8F">
        <w:rPr>
          <w:rFonts w:eastAsia="Calibri" w:cs="Calibri"/>
        </w:rPr>
        <w:t xml:space="preserve">  </w:t>
      </w:r>
      <w:r w:rsidR="00826751" w:rsidRPr="005B531F">
        <w:t xml:space="preserve">The private sector consultation </w:t>
      </w:r>
      <w:r w:rsidR="00826751">
        <w:t xml:space="preserve">program is evaluated separately </w:t>
      </w:r>
      <w:r w:rsidR="00826751" w:rsidRPr="005B531F">
        <w:t>in the FY 2022 Regional Annual Consultation Evaluation Report (RACER).</w:t>
      </w:r>
    </w:p>
    <w:p w14:paraId="149812CB" w14:textId="7AEF6148" w:rsidR="7BA74BA4" w:rsidRDefault="7BA74BA4" w:rsidP="000B58F1">
      <w:r w:rsidRPr="090008D6">
        <w:rPr>
          <w:rFonts w:eastAsia="Calibri" w:cs="Calibri"/>
          <w:color w:val="000000" w:themeColor="text1"/>
        </w:rPr>
        <w:t xml:space="preserve"> </w:t>
      </w:r>
    </w:p>
    <w:p w14:paraId="21DD3DF2" w14:textId="02FDD8B5" w:rsidR="713E67BD" w:rsidRDefault="7C014D55" w:rsidP="000B58F1">
      <w:pPr>
        <w:rPr>
          <w:rFonts w:eastAsia="Calibri" w:cs="Calibri"/>
        </w:rPr>
      </w:pPr>
      <w:r w:rsidRPr="011E1980">
        <w:rPr>
          <w:rFonts w:eastAsia="Calibri" w:cs="Calibri"/>
          <w:color w:val="000000" w:themeColor="text1"/>
        </w:rPr>
        <w:t>In FY 2022, the initial federal base award to fund the 23(g) program was $2,225,400.  Arizona matched the federal funds and added $120,147 in 100% state funds, bringing the total award</w:t>
      </w:r>
      <w:r w:rsidR="3575A004" w:rsidRPr="011E1980">
        <w:rPr>
          <w:rFonts w:eastAsia="Calibri" w:cs="Calibri"/>
          <w:color w:val="000000" w:themeColor="text1"/>
        </w:rPr>
        <w:t xml:space="preserve"> to</w:t>
      </w:r>
      <w:r w:rsidRPr="011E1980">
        <w:rPr>
          <w:rFonts w:eastAsia="Calibri" w:cs="Calibri"/>
          <w:color w:val="000000" w:themeColor="text1"/>
        </w:rPr>
        <w:t xml:space="preserve"> $4,570,947.  </w:t>
      </w:r>
      <w:r w:rsidR="1339AF6C" w:rsidRPr="69CFB896">
        <w:rPr>
          <w:rFonts w:eastAsia="Calibri" w:cs="Calibri"/>
          <w:color w:val="000000" w:themeColor="text1"/>
        </w:rPr>
        <w:t xml:space="preserve">On </w:t>
      </w:r>
      <w:r w:rsidR="00BC26BE">
        <w:rPr>
          <w:rFonts w:eastAsia="Calibri" w:cs="Calibri"/>
          <w:color w:val="000000" w:themeColor="text1"/>
        </w:rPr>
        <w:t xml:space="preserve">May 23, 2022, </w:t>
      </w:r>
      <w:r w:rsidR="007A07D4">
        <w:rPr>
          <w:rFonts w:eastAsia="Calibri" w:cs="Calibri"/>
          <w:color w:val="000000" w:themeColor="text1"/>
        </w:rPr>
        <w:t xml:space="preserve">OSHA offered </w:t>
      </w:r>
      <w:r w:rsidR="45F2EB63" w:rsidRPr="69CFB896">
        <w:rPr>
          <w:rFonts w:eastAsia="Calibri" w:cs="Calibri"/>
          <w:color w:val="000000" w:themeColor="text1"/>
        </w:rPr>
        <w:t xml:space="preserve">an </w:t>
      </w:r>
      <w:r w:rsidRPr="011E1980">
        <w:rPr>
          <w:rFonts w:eastAsia="Calibri" w:cs="Calibri"/>
          <w:color w:val="000000" w:themeColor="text1"/>
        </w:rPr>
        <w:t xml:space="preserve">amendment </w:t>
      </w:r>
      <w:r w:rsidR="1C5617EF" w:rsidRPr="0F1DCBB9">
        <w:rPr>
          <w:rFonts w:eastAsia="Calibri" w:cs="Calibri"/>
          <w:color w:val="000000" w:themeColor="text1"/>
        </w:rPr>
        <w:t xml:space="preserve">to </w:t>
      </w:r>
      <w:r w:rsidRPr="0F1DCBB9">
        <w:rPr>
          <w:rFonts w:eastAsia="Calibri" w:cs="Calibri"/>
          <w:color w:val="000000" w:themeColor="text1"/>
        </w:rPr>
        <w:t>increase</w:t>
      </w:r>
      <w:r w:rsidRPr="011E1980">
        <w:rPr>
          <w:rFonts w:eastAsia="Calibri" w:cs="Calibri"/>
          <w:color w:val="000000" w:themeColor="text1"/>
        </w:rPr>
        <w:t xml:space="preserve"> the federal share of the grant by $</w:t>
      </w:r>
      <w:r w:rsidRPr="69CFB896">
        <w:rPr>
          <w:rFonts w:eastAsia="Calibri" w:cs="Calibri"/>
          <w:color w:val="000000" w:themeColor="text1"/>
        </w:rPr>
        <w:t>5</w:t>
      </w:r>
      <w:r w:rsidR="21CA68AB" w:rsidRPr="69CFB896">
        <w:rPr>
          <w:rFonts w:eastAsia="Calibri" w:cs="Calibri"/>
          <w:color w:val="000000" w:themeColor="text1"/>
        </w:rPr>
        <w:t>7,7</w:t>
      </w:r>
      <w:r w:rsidRPr="69CFB896">
        <w:rPr>
          <w:rFonts w:eastAsia="Calibri" w:cs="Calibri"/>
          <w:color w:val="000000" w:themeColor="text1"/>
        </w:rPr>
        <w:t>00</w:t>
      </w:r>
      <w:r w:rsidR="19DF6F8F" w:rsidRPr="69CFB896">
        <w:rPr>
          <w:rFonts w:eastAsia="Calibri" w:cs="Calibri"/>
          <w:color w:val="000000" w:themeColor="text1"/>
        </w:rPr>
        <w:t>.</w:t>
      </w:r>
      <w:r w:rsidR="20A8705A" w:rsidRPr="69CFB896">
        <w:rPr>
          <w:rFonts w:eastAsia="Calibri" w:cs="Calibri"/>
          <w:color w:val="000000" w:themeColor="text1"/>
        </w:rPr>
        <w:t xml:space="preserve"> </w:t>
      </w:r>
      <w:r w:rsidRPr="011E1980">
        <w:rPr>
          <w:rFonts w:eastAsia="Calibri" w:cs="Calibri"/>
          <w:color w:val="000000" w:themeColor="text1"/>
        </w:rPr>
        <w:t xml:space="preserve"> Arizona </w:t>
      </w:r>
      <w:r w:rsidR="4198C3C4" w:rsidRPr="69CFB896">
        <w:rPr>
          <w:rFonts w:eastAsia="Calibri" w:cs="Calibri"/>
          <w:color w:val="000000" w:themeColor="text1"/>
        </w:rPr>
        <w:t>declined these</w:t>
      </w:r>
      <w:r w:rsidR="20A8705A" w:rsidRPr="69CFB896">
        <w:rPr>
          <w:rFonts w:eastAsia="Calibri" w:cs="Calibri"/>
          <w:color w:val="000000" w:themeColor="text1"/>
        </w:rPr>
        <w:t xml:space="preserve"> </w:t>
      </w:r>
      <w:r w:rsidR="6C90DBF8" w:rsidRPr="69CFB896">
        <w:rPr>
          <w:rFonts w:eastAsia="Calibri" w:cs="Calibri"/>
          <w:color w:val="000000" w:themeColor="text1"/>
        </w:rPr>
        <w:t>additional funds</w:t>
      </w:r>
      <w:r w:rsidR="20A8705A" w:rsidRPr="69CFB896">
        <w:rPr>
          <w:rFonts w:eastAsia="Calibri" w:cs="Calibri"/>
          <w:color w:val="000000" w:themeColor="text1"/>
        </w:rPr>
        <w:t xml:space="preserve"> </w:t>
      </w:r>
      <w:r w:rsidR="7589EF54" w:rsidRPr="69CFB896">
        <w:rPr>
          <w:rFonts w:eastAsia="Calibri" w:cs="Calibri"/>
          <w:color w:val="000000" w:themeColor="text1"/>
        </w:rPr>
        <w:t>due to</w:t>
      </w:r>
      <w:r w:rsidR="20A8705A" w:rsidRPr="69CFB896">
        <w:rPr>
          <w:rFonts w:eastAsia="Calibri" w:cs="Calibri"/>
          <w:color w:val="000000" w:themeColor="text1"/>
        </w:rPr>
        <w:t xml:space="preserve"> </w:t>
      </w:r>
      <w:r w:rsidR="20A8705A" w:rsidRPr="5646FE04">
        <w:rPr>
          <w:rFonts w:eastAsia="Calibri" w:cs="Calibri"/>
          <w:color w:val="000000" w:themeColor="text1"/>
        </w:rPr>
        <w:t xml:space="preserve">the timeframe when </w:t>
      </w:r>
      <w:r w:rsidR="49BB6A6F" w:rsidRPr="69CFB896">
        <w:rPr>
          <w:rFonts w:eastAsia="Calibri" w:cs="Calibri"/>
          <w:color w:val="000000" w:themeColor="text1"/>
        </w:rPr>
        <w:t xml:space="preserve">funds </w:t>
      </w:r>
      <w:r w:rsidR="4D643559" w:rsidRPr="69CFB896">
        <w:rPr>
          <w:rFonts w:eastAsia="Calibri" w:cs="Calibri"/>
          <w:color w:val="000000" w:themeColor="text1"/>
        </w:rPr>
        <w:t>were</w:t>
      </w:r>
      <w:r w:rsidR="20A8705A" w:rsidRPr="69CFB896">
        <w:rPr>
          <w:rFonts w:eastAsia="Calibri" w:cs="Calibri"/>
          <w:color w:val="000000" w:themeColor="text1"/>
        </w:rPr>
        <w:t xml:space="preserve"> </w:t>
      </w:r>
      <w:r w:rsidR="00E25291">
        <w:rPr>
          <w:rFonts w:eastAsia="Calibri" w:cs="Calibri"/>
          <w:color w:val="000000" w:themeColor="text1"/>
        </w:rPr>
        <w:t xml:space="preserve">available </w:t>
      </w:r>
      <w:r w:rsidR="20A8705A" w:rsidRPr="5646FE04">
        <w:rPr>
          <w:rFonts w:eastAsia="Calibri" w:cs="Calibri"/>
          <w:color w:val="000000" w:themeColor="text1"/>
        </w:rPr>
        <w:t xml:space="preserve">to </w:t>
      </w:r>
      <w:r w:rsidR="00490E82" w:rsidRPr="5646FE04">
        <w:rPr>
          <w:rFonts w:eastAsia="Calibri" w:cs="Calibri"/>
          <w:color w:val="000000" w:themeColor="text1"/>
        </w:rPr>
        <w:t>use</w:t>
      </w:r>
      <w:r w:rsidR="00490E82">
        <w:rPr>
          <w:rFonts w:eastAsia="Calibri" w:cs="Calibri"/>
          <w:color w:val="000000" w:themeColor="text1"/>
        </w:rPr>
        <w:t xml:space="preserve"> but</w:t>
      </w:r>
      <w:r w:rsidR="019B53F8" w:rsidRPr="69CFB896">
        <w:rPr>
          <w:rFonts w:eastAsia="Calibri" w:cs="Calibri"/>
          <w:color w:val="000000" w:themeColor="text1"/>
        </w:rPr>
        <w:t xml:space="preserve"> expressed an interest in claiming the funds in FY 2023</w:t>
      </w:r>
      <w:r w:rsidR="20A8705A" w:rsidRPr="69CFB896">
        <w:rPr>
          <w:rFonts w:eastAsia="Calibri" w:cs="Calibri"/>
          <w:color w:val="000000" w:themeColor="text1"/>
        </w:rPr>
        <w:t>.</w:t>
      </w:r>
      <w:r w:rsidRPr="69CFB896">
        <w:rPr>
          <w:rFonts w:eastAsia="Calibri" w:cs="Calibri"/>
          <w:color w:val="000000" w:themeColor="text1"/>
        </w:rPr>
        <w:t xml:space="preserve"> </w:t>
      </w:r>
      <w:r w:rsidRPr="011E1980">
        <w:rPr>
          <w:rFonts w:eastAsia="Calibri" w:cs="Calibri"/>
          <w:color w:val="000000" w:themeColor="text1"/>
        </w:rPr>
        <w:t xml:space="preserve"> Arizona did not de-obligate any funds.  The total 23(g) expenses were $4,709,84</w:t>
      </w:r>
      <w:r w:rsidR="00A92F4A">
        <w:rPr>
          <w:rFonts w:eastAsia="Calibri" w:cs="Calibri"/>
          <w:color w:val="000000" w:themeColor="text1"/>
        </w:rPr>
        <w:t>7</w:t>
      </w:r>
      <w:r w:rsidRPr="011E1980">
        <w:rPr>
          <w:rFonts w:eastAsia="Calibri" w:cs="Calibri"/>
          <w:color w:val="000000" w:themeColor="text1"/>
        </w:rPr>
        <w:t>.  Arizona spent an additional $138,</w:t>
      </w:r>
      <w:r w:rsidR="00A92F4A">
        <w:rPr>
          <w:rFonts w:eastAsia="Calibri" w:cs="Calibri"/>
          <w:color w:val="000000" w:themeColor="text1"/>
        </w:rPr>
        <w:t>900</w:t>
      </w:r>
      <w:r w:rsidRPr="011E1980">
        <w:rPr>
          <w:rFonts w:eastAsia="Calibri" w:cs="Calibri"/>
          <w:color w:val="000000" w:themeColor="text1"/>
        </w:rPr>
        <w:t xml:space="preserve"> in 100% state funds</w:t>
      </w:r>
      <w:r w:rsidR="5AFE5577" w:rsidRPr="011E1980">
        <w:rPr>
          <w:rFonts w:eastAsia="Calibri" w:cs="Calibri"/>
          <w:color w:val="000000" w:themeColor="text1"/>
        </w:rPr>
        <w:t>.</w:t>
      </w:r>
      <w:r w:rsidR="00FF438A">
        <w:rPr>
          <w:rFonts w:eastAsia="Calibri" w:cs="Calibri"/>
          <w:color w:val="000000" w:themeColor="text1"/>
        </w:rPr>
        <w:t xml:space="preserve">  Of th</w:t>
      </w:r>
      <w:r w:rsidR="00051309">
        <w:rPr>
          <w:rFonts w:eastAsia="Calibri" w:cs="Calibri"/>
          <w:color w:val="000000" w:themeColor="text1"/>
        </w:rPr>
        <w:t>e</w:t>
      </w:r>
      <w:r w:rsidR="005941B4">
        <w:rPr>
          <w:rFonts w:eastAsia="Calibri" w:cs="Calibri"/>
          <w:color w:val="000000" w:themeColor="text1"/>
        </w:rPr>
        <w:t xml:space="preserve">se funds, </w:t>
      </w:r>
      <w:r w:rsidR="00FF438A" w:rsidRPr="011E1980">
        <w:rPr>
          <w:rFonts w:eastAsia="Calibri" w:cs="Calibri"/>
          <w:color w:val="000000" w:themeColor="text1"/>
        </w:rPr>
        <w:t>$416,606</w:t>
      </w:r>
      <w:r w:rsidR="00FF438A">
        <w:rPr>
          <w:rFonts w:eastAsia="Calibri" w:cs="Calibri"/>
          <w:color w:val="000000" w:themeColor="text1"/>
        </w:rPr>
        <w:t xml:space="preserve"> was</w:t>
      </w:r>
      <w:r w:rsidR="00FF438A" w:rsidRPr="011E1980">
        <w:rPr>
          <w:rFonts w:eastAsia="Calibri" w:cs="Calibri"/>
          <w:color w:val="000000" w:themeColor="text1"/>
        </w:rPr>
        <w:t xml:space="preserve"> for implementation of the Salesforce-</w:t>
      </w:r>
      <w:proofErr w:type="spellStart"/>
      <w:r w:rsidR="00FF438A" w:rsidRPr="011E1980">
        <w:rPr>
          <w:rFonts w:eastAsia="Calibri" w:cs="Calibri"/>
          <w:color w:val="000000" w:themeColor="text1"/>
        </w:rPr>
        <w:t>AdvoLogix</w:t>
      </w:r>
      <w:proofErr w:type="spellEnd"/>
      <w:r w:rsidR="00FF438A" w:rsidRPr="011E1980">
        <w:rPr>
          <w:rFonts w:eastAsia="Calibri" w:cs="Calibri"/>
          <w:color w:val="000000" w:themeColor="text1"/>
        </w:rPr>
        <w:t xml:space="preserve"> system that supports enforcement and whistleblower protection programs to interface with the OSHA Information System (OIS).</w:t>
      </w:r>
      <w:r w:rsidR="00FF438A">
        <w:rPr>
          <w:rFonts w:eastAsia="Calibri" w:cs="Calibri"/>
          <w:color w:val="000000" w:themeColor="text1"/>
        </w:rPr>
        <w:t xml:space="preserve">  </w:t>
      </w:r>
      <w:r w:rsidR="00A2230D">
        <w:rPr>
          <w:rFonts w:eastAsia="Calibri" w:cs="Calibri"/>
          <w:color w:val="000000" w:themeColor="text1"/>
        </w:rPr>
        <w:t>In addition, t</w:t>
      </w:r>
      <w:r w:rsidRPr="011E1980">
        <w:rPr>
          <w:rFonts w:eastAsia="Calibri" w:cs="Calibri"/>
          <w:color w:val="000000" w:themeColor="text1"/>
        </w:rPr>
        <w:t>he program income was $2,43</w:t>
      </w:r>
      <w:r w:rsidR="00A2230D">
        <w:rPr>
          <w:rFonts w:eastAsia="Calibri" w:cs="Calibri"/>
          <w:color w:val="000000" w:themeColor="text1"/>
        </w:rPr>
        <w:t>9</w:t>
      </w:r>
      <w:r w:rsidRPr="011E1980">
        <w:rPr>
          <w:rFonts w:eastAsia="Calibri" w:cs="Calibri"/>
          <w:color w:val="000000" w:themeColor="text1"/>
        </w:rPr>
        <w:t>, which came from sales of the ADOSH 1910 and 1926 standards books, V</w:t>
      </w:r>
      <w:r w:rsidR="00DF395A">
        <w:rPr>
          <w:rFonts w:eastAsia="Calibri" w:cs="Calibri"/>
          <w:color w:val="000000" w:themeColor="text1"/>
        </w:rPr>
        <w:t xml:space="preserve">oluntary Protection Program </w:t>
      </w:r>
      <w:r w:rsidR="00766960">
        <w:rPr>
          <w:rFonts w:eastAsia="Calibri" w:cs="Calibri"/>
          <w:color w:val="000000" w:themeColor="text1"/>
        </w:rPr>
        <w:t>(</w:t>
      </w:r>
      <w:r w:rsidRPr="011E1980">
        <w:rPr>
          <w:rFonts w:eastAsia="Calibri" w:cs="Calibri"/>
          <w:color w:val="000000" w:themeColor="text1"/>
        </w:rPr>
        <w:t>VPP</w:t>
      </w:r>
      <w:r w:rsidR="00766960">
        <w:rPr>
          <w:rFonts w:eastAsia="Calibri" w:cs="Calibri"/>
          <w:color w:val="000000" w:themeColor="text1"/>
        </w:rPr>
        <w:t xml:space="preserve">) </w:t>
      </w:r>
      <w:r w:rsidRPr="011E1980">
        <w:rPr>
          <w:rFonts w:eastAsia="Calibri" w:cs="Calibri"/>
          <w:color w:val="000000" w:themeColor="text1"/>
        </w:rPr>
        <w:t>flag sales, and public records request</w:t>
      </w:r>
      <w:r w:rsidR="00DE0FAA">
        <w:rPr>
          <w:rFonts w:eastAsia="Calibri" w:cs="Calibri"/>
          <w:color w:val="000000" w:themeColor="text1"/>
        </w:rPr>
        <w:t xml:space="preserve"> fees.</w:t>
      </w:r>
      <w:r w:rsidRPr="011E1980">
        <w:rPr>
          <w:rFonts w:eastAsia="Calibri" w:cs="Calibri"/>
          <w:color w:val="000000" w:themeColor="text1"/>
        </w:rPr>
        <w:t xml:space="preserve">  The next financial monitoring review is scheduled for FY 2023.</w:t>
      </w:r>
    </w:p>
    <w:p w14:paraId="07E4A0DB" w14:textId="77777777" w:rsidR="00783189" w:rsidRPr="001C1E47" w:rsidRDefault="00783189" w:rsidP="000B58F1">
      <w:pPr>
        <w:widowControl/>
        <w:autoSpaceDE/>
        <w:autoSpaceDN/>
        <w:adjustRightInd/>
        <w:contextualSpacing/>
        <w:rPr>
          <w:rFonts w:cs="Calibri"/>
          <w:b/>
        </w:rPr>
      </w:pPr>
    </w:p>
    <w:p w14:paraId="68FBAFD2" w14:textId="76946D8B" w:rsidR="00781312" w:rsidRPr="001C1E47" w:rsidRDefault="00781312" w:rsidP="000B58F1">
      <w:pPr>
        <w:widowControl/>
        <w:autoSpaceDE/>
        <w:autoSpaceDN/>
        <w:adjustRightInd/>
        <w:contextualSpacing/>
        <w:rPr>
          <w:rFonts w:cs="Calibri"/>
          <w:b/>
        </w:rPr>
      </w:pPr>
      <w:r w:rsidRPr="45A38A98">
        <w:rPr>
          <w:rFonts w:cs="Calibri"/>
          <w:b/>
          <w:bCs/>
        </w:rPr>
        <w:t>New Issues</w:t>
      </w:r>
    </w:p>
    <w:p w14:paraId="77485C22" w14:textId="77777777" w:rsidR="0018123D" w:rsidRDefault="0018123D" w:rsidP="000B58F1">
      <w:pPr>
        <w:rPr>
          <w:rFonts w:eastAsia="Calibri" w:cs="Calibri"/>
          <w:color w:val="242424"/>
        </w:rPr>
      </w:pPr>
    </w:p>
    <w:p w14:paraId="56AB9CB7" w14:textId="79E89FA6" w:rsidR="3C30B2C1" w:rsidRDefault="3BBC2192" w:rsidP="000B58F1">
      <w:r w:rsidRPr="011E1980">
        <w:rPr>
          <w:rFonts w:eastAsia="Calibri" w:cs="Calibri"/>
          <w:color w:val="242424"/>
        </w:rPr>
        <w:t>On April 21, 2022, OSHA published a Notice of Proposed Reconsideration and Revocation of Final Approval of the Arizona State Plan</w:t>
      </w:r>
      <w:r w:rsidR="00ED1578">
        <w:rPr>
          <w:rFonts w:eastAsia="Calibri" w:cs="Calibri"/>
          <w:color w:val="242424"/>
        </w:rPr>
        <w:t xml:space="preserve">, </w:t>
      </w:r>
      <w:r w:rsidR="004C5293">
        <w:rPr>
          <w:rFonts w:eastAsia="Calibri" w:cs="Calibri"/>
          <w:color w:val="242424"/>
        </w:rPr>
        <w:t>seeking public comment about Arizona’s final approval status</w:t>
      </w:r>
      <w:r w:rsidRPr="011E1980">
        <w:rPr>
          <w:rFonts w:eastAsia="Calibri" w:cs="Calibri"/>
          <w:color w:val="242424"/>
        </w:rPr>
        <w:t xml:space="preserve">.  In the </w:t>
      </w:r>
      <w:r w:rsidR="649A7DD1" w:rsidRPr="011E1980">
        <w:rPr>
          <w:rFonts w:eastAsia="Calibri" w:cs="Calibri"/>
          <w:color w:val="242424"/>
        </w:rPr>
        <w:t>FRN</w:t>
      </w:r>
      <w:r w:rsidRPr="011E1980">
        <w:rPr>
          <w:rFonts w:eastAsia="Calibri" w:cs="Calibri"/>
          <w:color w:val="242424"/>
        </w:rPr>
        <w:t xml:space="preserve">, OSHA proposed to revoke Arizona’s final approval for the State Plan.  Following publication of the FRN, Arizona </w:t>
      </w:r>
      <w:r w:rsidR="00661959">
        <w:rPr>
          <w:rFonts w:eastAsia="Calibri" w:cs="Calibri"/>
          <w:color w:val="242424"/>
        </w:rPr>
        <w:t xml:space="preserve">adopted </w:t>
      </w:r>
      <w:r w:rsidRPr="011E1980">
        <w:rPr>
          <w:rFonts w:eastAsia="Calibri" w:cs="Calibri"/>
          <w:color w:val="242424"/>
        </w:rPr>
        <w:t xml:space="preserve">outstanding </w:t>
      </w:r>
      <w:r w:rsidR="649A7DD1" w:rsidRPr="011E1980">
        <w:rPr>
          <w:rFonts w:eastAsia="Calibri" w:cs="Calibri"/>
          <w:color w:val="242424"/>
        </w:rPr>
        <w:t>s</w:t>
      </w:r>
      <w:r w:rsidRPr="011E1980">
        <w:rPr>
          <w:rFonts w:eastAsia="Calibri" w:cs="Calibri"/>
          <w:color w:val="242424"/>
        </w:rPr>
        <w:t xml:space="preserve">tandards and FPCs, notably including provisions to adopt </w:t>
      </w:r>
      <w:r w:rsidR="0057548A">
        <w:rPr>
          <w:rFonts w:eastAsia="Calibri" w:cs="Calibri"/>
          <w:color w:val="242424"/>
        </w:rPr>
        <w:t>e</w:t>
      </w:r>
      <w:r w:rsidRPr="011E1980">
        <w:rPr>
          <w:rFonts w:eastAsia="Calibri" w:cs="Calibri"/>
          <w:color w:val="242424"/>
        </w:rPr>
        <w:t xml:space="preserve">mergency </w:t>
      </w:r>
      <w:r w:rsidR="0057548A">
        <w:rPr>
          <w:rFonts w:eastAsia="Calibri" w:cs="Calibri"/>
          <w:color w:val="242424"/>
        </w:rPr>
        <w:t>t</w:t>
      </w:r>
      <w:r w:rsidRPr="011E1980">
        <w:rPr>
          <w:rFonts w:eastAsia="Calibri" w:cs="Calibri"/>
          <w:color w:val="242424"/>
        </w:rPr>
        <w:t xml:space="preserve">emporary </w:t>
      </w:r>
      <w:r w:rsidR="0057548A">
        <w:rPr>
          <w:rFonts w:eastAsia="Calibri" w:cs="Calibri"/>
          <w:color w:val="242424"/>
        </w:rPr>
        <w:t>s</w:t>
      </w:r>
      <w:r w:rsidRPr="011E1980">
        <w:rPr>
          <w:rFonts w:eastAsia="Calibri" w:cs="Calibri"/>
          <w:color w:val="242424"/>
        </w:rPr>
        <w:t xml:space="preserve">tandards and increase penalty amounts.  As a result of </w:t>
      </w:r>
      <w:r w:rsidR="00866F8D">
        <w:rPr>
          <w:rFonts w:eastAsia="Calibri" w:cs="Calibri"/>
          <w:color w:val="242424"/>
        </w:rPr>
        <w:t>ADOSH’s actions</w:t>
      </w:r>
      <w:r w:rsidRPr="011E1980">
        <w:rPr>
          <w:rFonts w:eastAsia="Calibri" w:cs="Calibri"/>
          <w:color w:val="242424"/>
        </w:rPr>
        <w:t xml:space="preserve">, on February </w:t>
      </w:r>
      <w:r w:rsidR="51D045C0" w:rsidRPr="317D7E89">
        <w:rPr>
          <w:rFonts w:eastAsia="Calibri" w:cs="Calibri"/>
          <w:color w:val="242424"/>
        </w:rPr>
        <w:t>15</w:t>
      </w:r>
      <w:r w:rsidRPr="011E1980">
        <w:rPr>
          <w:rFonts w:eastAsia="Calibri" w:cs="Calibri"/>
          <w:color w:val="242424"/>
        </w:rPr>
        <w:t xml:space="preserve">, 2023, OSHA </w:t>
      </w:r>
      <w:r w:rsidR="1A6181B6" w:rsidRPr="317D7E89">
        <w:rPr>
          <w:rFonts w:eastAsia="Calibri" w:cs="Calibri"/>
          <w:color w:val="242424"/>
        </w:rPr>
        <w:t>withdrew</w:t>
      </w:r>
      <w:r w:rsidRPr="011E1980">
        <w:rPr>
          <w:rFonts w:eastAsia="Calibri" w:cs="Calibri"/>
          <w:color w:val="242424"/>
        </w:rPr>
        <w:t xml:space="preserve"> the Notice of Proposed Reconsideration and Revocation of Final Approval of the Arizona State Plan.  OSHA continues to monitor Arizona’s timeliness and effectiveness in adopting standards and FPCs to be at least as effective as OSHA.</w:t>
      </w:r>
    </w:p>
    <w:p w14:paraId="4D45CF2E" w14:textId="3969CB9C" w:rsidR="00780E29" w:rsidRPr="00AB16D9" w:rsidRDefault="00B8339D" w:rsidP="000B58F1">
      <w:pPr>
        <w:widowControl/>
        <w:autoSpaceDE/>
        <w:autoSpaceDN/>
        <w:adjustRightInd/>
        <w:rPr>
          <w:rFonts w:cs="Calibri"/>
          <w:iCs/>
        </w:rPr>
      </w:pPr>
      <w:r>
        <w:rPr>
          <w:rFonts w:cs="Calibri"/>
          <w:iCs/>
        </w:rPr>
        <w:br w:type="column"/>
      </w:r>
    </w:p>
    <w:p w14:paraId="0A29FCDE" w14:textId="40051B71" w:rsidR="00054900" w:rsidRPr="00476C08" w:rsidRDefault="00054900" w:rsidP="002D09AF">
      <w:pPr>
        <w:pStyle w:val="Heading2"/>
      </w:pPr>
      <w:bookmarkStart w:id="10" w:name="_Toc118900172"/>
      <w:bookmarkStart w:id="11" w:name="_Toc118905011"/>
      <w:bookmarkStart w:id="12" w:name="_Toc128388233"/>
      <w:r w:rsidRPr="00476C08">
        <w:t xml:space="preserve">Assessment of State Plan </w:t>
      </w:r>
      <w:r w:rsidR="001E2FBB" w:rsidRPr="00476C08">
        <w:t xml:space="preserve">Progress and </w:t>
      </w:r>
      <w:r w:rsidRPr="00476C08">
        <w:t>Performance</w:t>
      </w:r>
      <w:bookmarkEnd w:id="10"/>
      <w:bookmarkEnd w:id="11"/>
      <w:bookmarkEnd w:id="12"/>
    </w:p>
    <w:p w14:paraId="07D68C5F" w14:textId="77777777" w:rsidR="00054900" w:rsidRPr="001C1E47" w:rsidRDefault="00054900" w:rsidP="000B58F1">
      <w:pPr>
        <w:widowControl/>
        <w:autoSpaceDE/>
        <w:autoSpaceDN/>
        <w:adjustRightInd/>
        <w:rPr>
          <w:rFonts w:cs="Calibri"/>
        </w:rPr>
      </w:pPr>
    </w:p>
    <w:p w14:paraId="4CD3C312" w14:textId="043F52BC" w:rsidR="000A134A" w:rsidRPr="00C53328" w:rsidRDefault="00C76609" w:rsidP="00685C25">
      <w:pPr>
        <w:pStyle w:val="Heading3"/>
      </w:pPr>
      <w:bookmarkStart w:id="13" w:name="_Toc118900173"/>
      <w:bookmarkStart w:id="14" w:name="_Toc118905012"/>
      <w:r>
        <w:t xml:space="preserve">     </w:t>
      </w:r>
      <w:bookmarkStart w:id="15" w:name="_Toc128388234"/>
      <w:r>
        <w:t xml:space="preserve">A.  </w:t>
      </w:r>
      <w:r w:rsidR="000A134A" w:rsidRPr="00C53328">
        <w:t>Data and Methodology</w:t>
      </w:r>
      <w:bookmarkEnd w:id="13"/>
      <w:bookmarkEnd w:id="14"/>
      <w:bookmarkEnd w:id="15"/>
    </w:p>
    <w:p w14:paraId="2DED3755" w14:textId="77777777" w:rsidR="00E21037" w:rsidRDefault="00E21037" w:rsidP="000B58F1">
      <w:pPr>
        <w:widowControl/>
        <w:autoSpaceDE/>
        <w:autoSpaceDN/>
        <w:adjustRightInd/>
        <w:rPr>
          <w:rFonts w:cs="Calibri"/>
          <w:bCs/>
        </w:rPr>
      </w:pPr>
    </w:p>
    <w:p w14:paraId="72EF69F8" w14:textId="33220C9E" w:rsidR="000A134A" w:rsidRDefault="00E94EE6" w:rsidP="56B52501">
      <w:pPr>
        <w:widowControl/>
        <w:autoSpaceDE/>
        <w:autoSpaceDN/>
        <w:adjustRightInd/>
        <w:rPr>
          <w:rFonts w:cs="Calibri"/>
        </w:rPr>
      </w:pPr>
      <w:r w:rsidRPr="56B52501">
        <w:rPr>
          <w:rFonts w:cs="Calibri"/>
        </w:rPr>
        <w:t xml:space="preserve">OSHA has established a two-year cycle for the FAME process.  This is the follow-up year, and as such, </w:t>
      </w:r>
      <w:r w:rsidR="006F535A" w:rsidRPr="56B52501">
        <w:rPr>
          <w:rFonts w:cs="Calibri"/>
        </w:rPr>
        <w:t>OSHA did not perform an on-site case file review associated with a comprehensive FAME.  This strategy allows the State Plan to focus on correcting deficiencies identified in the most recent comprehensive FAME.  The analyses and conclusions described in this report are based on information obtained from a variety of monitoring sources, including:</w:t>
      </w:r>
    </w:p>
    <w:p w14:paraId="3C4AE5C9" w14:textId="77777777" w:rsidR="00AD79C8" w:rsidRDefault="00AD79C8" w:rsidP="000B58F1">
      <w:pPr>
        <w:widowControl/>
        <w:autoSpaceDE/>
        <w:autoSpaceDN/>
        <w:adjustRightInd/>
        <w:rPr>
          <w:rFonts w:cs="Calibri"/>
          <w:bCs/>
        </w:rPr>
      </w:pPr>
    </w:p>
    <w:p w14:paraId="2CC5D5D6" w14:textId="79A8D417" w:rsidR="006F535A" w:rsidRPr="00EB2232" w:rsidRDefault="00675525" w:rsidP="45A38A98">
      <w:pPr>
        <w:pStyle w:val="ListParagraph"/>
        <w:numPr>
          <w:ilvl w:val="0"/>
          <w:numId w:val="13"/>
        </w:numPr>
        <w:spacing w:after="0"/>
        <w:rPr>
          <w:sz w:val="24"/>
          <w:szCs w:val="24"/>
        </w:rPr>
      </w:pPr>
      <w:r w:rsidRPr="45A38A98">
        <w:rPr>
          <w:sz w:val="24"/>
          <w:szCs w:val="24"/>
        </w:rPr>
        <w:t>State Activity Mandated Measures</w:t>
      </w:r>
      <w:r w:rsidR="00AD79C8" w:rsidRPr="45A38A98">
        <w:rPr>
          <w:sz w:val="24"/>
          <w:szCs w:val="24"/>
        </w:rPr>
        <w:t xml:space="preserve"> (SAMM)</w:t>
      </w:r>
      <w:r w:rsidR="00583B7A" w:rsidRPr="45A38A98">
        <w:rPr>
          <w:sz w:val="24"/>
          <w:szCs w:val="24"/>
        </w:rPr>
        <w:t xml:space="preserve"> Report</w:t>
      </w:r>
      <w:r w:rsidRPr="45A38A98">
        <w:rPr>
          <w:sz w:val="24"/>
          <w:szCs w:val="24"/>
        </w:rPr>
        <w:t xml:space="preserve"> (</w:t>
      </w:r>
      <w:r w:rsidR="00583B7A" w:rsidRPr="45A38A98">
        <w:rPr>
          <w:sz w:val="24"/>
          <w:szCs w:val="24"/>
        </w:rPr>
        <w:t>Appendix D dated 11/14/2022</w:t>
      </w:r>
      <w:r w:rsidRPr="45A38A98">
        <w:rPr>
          <w:sz w:val="24"/>
          <w:szCs w:val="24"/>
        </w:rPr>
        <w:t xml:space="preserve">) </w:t>
      </w:r>
    </w:p>
    <w:p w14:paraId="326B69CB" w14:textId="52BA6A5F" w:rsidR="00675525" w:rsidRPr="00EB2232" w:rsidRDefault="00675525" w:rsidP="000B58F1">
      <w:pPr>
        <w:pStyle w:val="ListParagraph"/>
        <w:numPr>
          <w:ilvl w:val="0"/>
          <w:numId w:val="13"/>
        </w:numPr>
        <w:spacing w:after="0"/>
        <w:rPr>
          <w:bCs/>
          <w:sz w:val="24"/>
          <w:szCs w:val="24"/>
        </w:rPr>
      </w:pPr>
      <w:r w:rsidRPr="00EB2232">
        <w:rPr>
          <w:bCs/>
          <w:sz w:val="24"/>
          <w:szCs w:val="24"/>
        </w:rPr>
        <w:t>State Information Report (SIR</w:t>
      </w:r>
      <w:r w:rsidR="00DC1226" w:rsidRPr="00EB2232">
        <w:rPr>
          <w:bCs/>
          <w:sz w:val="24"/>
          <w:szCs w:val="24"/>
        </w:rPr>
        <w:t>, dated 11/14/2022</w:t>
      </w:r>
      <w:r w:rsidRPr="00EB2232">
        <w:rPr>
          <w:bCs/>
          <w:sz w:val="24"/>
          <w:szCs w:val="24"/>
        </w:rPr>
        <w:t>)</w:t>
      </w:r>
    </w:p>
    <w:p w14:paraId="75594B60" w14:textId="16D4A233" w:rsidR="00675525" w:rsidRPr="00EB2232" w:rsidRDefault="00C557AF" w:rsidP="000B58F1">
      <w:pPr>
        <w:pStyle w:val="ListParagraph"/>
        <w:numPr>
          <w:ilvl w:val="0"/>
          <w:numId w:val="13"/>
        </w:numPr>
        <w:spacing w:after="0"/>
        <w:rPr>
          <w:bCs/>
          <w:sz w:val="24"/>
          <w:szCs w:val="24"/>
        </w:rPr>
      </w:pPr>
      <w:r w:rsidRPr="00EB2232">
        <w:rPr>
          <w:bCs/>
          <w:sz w:val="24"/>
          <w:szCs w:val="24"/>
        </w:rPr>
        <w:t>State OSHA Annual Report (SOAR)</w:t>
      </w:r>
    </w:p>
    <w:p w14:paraId="28B8E2D4" w14:textId="31672BBF" w:rsidR="00C557AF" w:rsidRPr="00EB2232" w:rsidRDefault="00C557AF" w:rsidP="000B58F1">
      <w:pPr>
        <w:pStyle w:val="ListParagraph"/>
        <w:numPr>
          <w:ilvl w:val="0"/>
          <w:numId w:val="13"/>
        </w:numPr>
        <w:spacing w:after="0"/>
        <w:rPr>
          <w:bCs/>
          <w:sz w:val="24"/>
          <w:szCs w:val="24"/>
        </w:rPr>
      </w:pPr>
      <w:r w:rsidRPr="00EB2232">
        <w:rPr>
          <w:bCs/>
          <w:sz w:val="24"/>
          <w:szCs w:val="24"/>
        </w:rPr>
        <w:t>State Plan Annual Performance Plan</w:t>
      </w:r>
      <w:r w:rsidR="00EB2232" w:rsidRPr="00EB2232">
        <w:rPr>
          <w:bCs/>
          <w:sz w:val="24"/>
          <w:szCs w:val="24"/>
        </w:rPr>
        <w:t xml:space="preserve"> (APP)</w:t>
      </w:r>
      <w:r w:rsidRPr="00EB2232">
        <w:rPr>
          <w:bCs/>
          <w:sz w:val="24"/>
          <w:szCs w:val="24"/>
        </w:rPr>
        <w:t xml:space="preserve"> </w:t>
      </w:r>
    </w:p>
    <w:p w14:paraId="0A411F06" w14:textId="60A70D37" w:rsidR="00C06F59" w:rsidRPr="00EB2232" w:rsidRDefault="00C06F59" w:rsidP="000B58F1">
      <w:pPr>
        <w:pStyle w:val="ListParagraph"/>
        <w:numPr>
          <w:ilvl w:val="0"/>
          <w:numId w:val="13"/>
        </w:numPr>
        <w:spacing w:after="0"/>
        <w:rPr>
          <w:bCs/>
          <w:sz w:val="24"/>
          <w:szCs w:val="24"/>
        </w:rPr>
      </w:pPr>
      <w:r w:rsidRPr="00EB2232">
        <w:rPr>
          <w:bCs/>
          <w:sz w:val="24"/>
          <w:szCs w:val="24"/>
        </w:rPr>
        <w:t xml:space="preserve">State Plan </w:t>
      </w:r>
      <w:r w:rsidR="009C5249" w:rsidRPr="00EB2232">
        <w:rPr>
          <w:bCs/>
          <w:sz w:val="24"/>
          <w:szCs w:val="24"/>
        </w:rPr>
        <w:t xml:space="preserve">23(g) </w:t>
      </w:r>
      <w:r w:rsidRPr="00EB2232">
        <w:rPr>
          <w:bCs/>
          <w:sz w:val="24"/>
          <w:szCs w:val="24"/>
        </w:rPr>
        <w:t>Grant Application</w:t>
      </w:r>
    </w:p>
    <w:p w14:paraId="48DE7555" w14:textId="0C8C4CC7" w:rsidR="00783189" w:rsidRPr="00EB2232" w:rsidRDefault="00C06F59" w:rsidP="000B58F1">
      <w:pPr>
        <w:pStyle w:val="ListParagraph"/>
        <w:numPr>
          <w:ilvl w:val="0"/>
          <w:numId w:val="13"/>
        </w:numPr>
        <w:spacing w:after="0"/>
        <w:rPr>
          <w:sz w:val="24"/>
          <w:szCs w:val="24"/>
        </w:rPr>
      </w:pPr>
      <w:r w:rsidRPr="00EB2232">
        <w:rPr>
          <w:bCs/>
          <w:sz w:val="24"/>
          <w:szCs w:val="24"/>
        </w:rPr>
        <w:t>Quarterly monitoring meetings between OSHA and the State Plan</w:t>
      </w:r>
    </w:p>
    <w:p w14:paraId="7D6A37A5" w14:textId="403BCAE5" w:rsidR="00F13AF2" w:rsidRPr="00EB2232" w:rsidRDefault="009E2390" w:rsidP="000B58F1">
      <w:pPr>
        <w:pStyle w:val="ListParagraph"/>
        <w:numPr>
          <w:ilvl w:val="0"/>
          <w:numId w:val="13"/>
        </w:numPr>
        <w:spacing w:after="0"/>
        <w:rPr>
          <w:sz w:val="24"/>
          <w:szCs w:val="24"/>
        </w:rPr>
      </w:pPr>
      <w:r>
        <w:rPr>
          <w:sz w:val="24"/>
          <w:szCs w:val="24"/>
        </w:rPr>
        <w:t>Whistleblower Application in the OSHA IT Support System (OITSS)</w:t>
      </w:r>
    </w:p>
    <w:p w14:paraId="58F30350" w14:textId="6226BC91" w:rsidR="00AE7AA9" w:rsidRPr="00EB2232" w:rsidRDefault="00AE7AA9" w:rsidP="000B58F1">
      <w:pPr>
        <w:pStyle w:val="ListParagraph"/>
        <w:numPr>
          <w:ilvl w:val="0"/>
          <w:numId w:val="13"/>
        </w:numPr>
        <w:spacing w:after="0"/>
        <w:rPr>
          <w:sz w:val="24"/>
          <w:szCs w:val="24"/>
        </w:rPr>
      </w:pPr>
      <w:r w:rsidRPr="45A38A98">
        <w:rPr>
          <w:sz w:val="24"/>
          <w:szCs w:val="24"/>
        </w:rPr>
        <w:t xml:space="preserve">State Plan Application (SPA) </w:t>
      </w:r>
    </w:p>
    <w:p w14:paraId="4F3E9B2C" w14:textId="131C2A47" w:rsidR="009B1F5B" w:rsidRPr="00EB2232" w:rsidRDefault="009B1F5B" w:rsidP="000B58F1">
      <w:pPr>
        <w:pStyle w:val="ListParagraph"/>
        <w:numPr>
          <w:ilvl w:val="0"/>
          <w:numId w:val="13"/>
        </w:numPr>
        <w:spacing w:after="0"/>
        <w:rPr>
          <w:sz w:val="24"/>
          <w:szCs w:val="24"/>
        </w:rPr>
      </w:pPr>
      <w:r w:rsidRPr="45A38A98">
        <w:rPr>
          <w:sz w:val="24"/>
          <w:szCs w:val="24"/>
        </w:rPr>
        <w:t>OSHA Information System</w:t>
      </w:r>
      <w:r w:rsidR="00AD79C8" w:rsidRPr="45A38A98">
        <w:rPr>
          <w:sz w:val="24"/>
          <w:szCs w:val="24"/>
        </w:rPr>
        <w:t xml:space="preserve"> (OIS)</w:t>
      </w:r>
      <w:r w:rsidRPr="45A38A98">
        <w:rPr>
          <w:sz w:val="24"/>
          <w:szCs w:val="24"/>
        </w:rPr>
        <w:t xml:space="preserve"> </w:t>
      </w:r>
    </w:p>
    <w:p w14:paraId="7480A753" w14:textId="77777777" w:rsidR="00EB2232" w:rsidRPr="00EB2232" w:rsidRDefault="00EB2232" w:rsidP="00EB2232">
      <w:pPr>
        <w:pStyle w:val="ListParagraph"/>
        <w:spacing w:after="0"/>
        <w:rPr>
          <w:sz w:val="24"/>
          <w:szCs w:val="24"/>
        </w:rPr>
      </w:pPr>
    </w:p>
    <w:p w14:paraId="5E67DDEC" w14:textId="41E3F4C5" w:rsidR="000A134A" w:rsidRPr="001C1E47" w:rsidRDefault="00C76609" w:rsidP="00685C25">
      <w:pPr>
        <w:pStyle w:val="Heading3"/>
      </w:pPr>
      <w:bookmarkStart w:id="16" w:name="_Toc118900174"/>
      <w:bookmarkStart w:id="17" w:name="_Toc118905013"/>
      <w:r>
        <w:t xml:space="preserve">     </w:t>
      </w:r>
      <w:bookmarkStart w:id="18" w:name="_Toc128388235"/>
      <w:r>
        <w:t xml:space="preserve">B.  </w:t>
      </w:r>
      <w:r w:rsidR="000A134A" w:rsidRPr="001C1E47">
        <w:t>Findings and Observations</w:t>
      </w:r>
      <w:bookmarkEnd w:id="16"/>
      <w:bookmarkEnd w:id="17"/>
      <w:bookmarkEnd w:id="18"/>
    </w:p>
    <w:p w14:paraId="5A952A6F" w14:textId="77777777" w:rsidR="001E2FBB" w:rsidRPr="00BF4120" w:rsidRDefault="001E2FBB" w:rsidP="000B58F1">
      <w:pPr>
        <w:widowControl/>
        <w:autoSpaceDE/>
        <w:autoSpaceDN/>
        <w:adjustRightInd/>
        <w:rPr>
          <w:rFonts w:cs="Calibri"/>
          <w:iCs/>
          <w:highlight w:val="cyan"/>
        </w:rPr>
      </w:pPr>
    </w:p>
    <w:p w14:paraId="2789CCA0" w14:textId="77777777" w:rsidR="00E71FB7" w:rsidRPr="001C1E47" w:rsidRDefault="00E71FB7" w:rsidP="000F35E3">
      <w:pPr>
        <w:pStyle w:val="Heading4"/>
        <w:rPr>
          <w:highlight w:val="yellow"/>
        </w:rPr>
      </w:pPr>
      <w:bookmarkStart w:id="19" w:name="_Toc118900175"/>
      <w:bookmarkStart w:id="20" w:name="_Toc118905014"/>
      <w:r w:rsidRPr="001C1E47">
        <w:t>Findings</w:t>
      </w:r>
      <w:r w:rsidR="00443054" w:rsidRPr="001C1E47">
        <w:t xml:space="preserve"> (Status of Previous and New Items)</w:t>
      </w:r>
      <w:bookmarkEnd w:id="19"/>
      <w:bookmarkEnd w:id="20"/>
    </w:p>
    <w:p w14:paraId="6C7BE9F8" w14:textId="77777777" w:rsidR="00E71FB7" w:rsidRPr="001C1E47" w:rsidRDefault="00E71FB7" w:rsidP="000B58F1">
      <w:pPr>
        <w:widowControl/>
        <w:autoSpaceDE/>
        <w:autoSpaceDN/>
        <w:adjustRightInd/>
        <w:rPr>
          <w:rFonts w:cs="Calibri"/>
          <w:highlight w:val="yellow"/>
          <w:u w:val="single"/>
        </w:rPr>
      </w:pPr>
    </w:p>
    <w:p w14:paraId="1CB657B7" w14:textId="46FA4B54" w:rsidR="005C1BFC" w:rsidRPr="0061362E" w:rsidRDefault="47EF1BD2" w:rsidP="56B52501">
      <w:pPr>
        <w:widowControl/>
        <w:autoSpaceDE/>
        <w:autoSpaceDN/>
        <w:adjustRightInd/>
        <w:rPr>
          <w:rFonts w:eastAsia="Calibri" w:cs="Calibri"/>
        </w:rPr>
      </w:pPr>
      <w:r w:rsidRPr="56B52501">
        <w:rPr>
          <w:rFonts w:eastAsia="Calibri" w:cs="Calibri"/>
        </w:rPr>
        <w:t xml:space="preserve">The </w:t>
      </w:r>
      <w:r w:rsidR="1F380416" w:rsidRPr="56B52501">
        <w:rPr>
          <w:rFonts w:eastAsia="Calibri" w:cs="Calibri"/>
        </w:rPr>
        <w:t xml:space="preserve">Arizona </w:t>
      </w:r>
      <w:r w:rsidRPr="56B52501">
        <w:rPr>
          <w:rFonts w:eastAsia="Calibri" w:cs="Calibri"/>
        </w:rPr>
        <w:t>State Plan made progress address</w:t>
      </w:r>
      <w:r w:rsidR="00AD79C8" w:rsidRPr="56B52501">
        <w:rPr>
          <w:rFonts w:eastAsia="Calibri" w:cs="Calibri"/>
        </w:rPr>
        <w:t>ing</w:t>
      </w:r>
      <w:r w:rsidRPr="56B52501">
        <w:rPr>
          <w:rFonts w:eastAsia="Calibri" w:cs="Calibri"/>
        </w:rPr>
        <w:t xml:space="preserve"> the </w:t>
      </w:r>
      <w:r w:rsidR="21CFA680" w:rsidRPr="56B52501">
        <w:rPr>
          <w:rFonts w:eastAsia="Calibri" w:cs="Calibri"/>
        </w:rPr>
        <w:t>11</w:t>
      </w:r>
      <w:r w:rsidRPr="56B52501">
        <w:rPr>
          <w:rFonts w:eastAsia="Calibri" w:cs="Calibri"/>
        </w:rPr>
        <w:t xml:space="preserve"> findings and seven observations from the FY 2021 Comprehensive FAME Report.  This follow-up FAME report contains </w:t>
      </w:r>
      <w:r w:rsidR="005E00D8" w:rsidRPr="56B52501">
        <w:rPr>
          <w:rFonts w:eastAsia="Calibri" w:cs="Calibri"/>
        </w:rPr>
        <w:t>five</w:t>
      </w:r>
      <w:r w:rsidR="36289E53" w:rsidRPr="56B52501">
        <w:rPr>
          <w:rFonts w:eastAsia="Calibri" w:cs="Calibri"/>
        </w:rPr>
        <w:t xml:space="preserve"> </w:t>
      </w:r>
      <w:r w:rsidR="00AD79C8" w:rsidRPr="56B52501">
        <w:rPr>
          <w:rFonts w:eastAsia="Calibri" w:cs="Calibri"/>
        </w:rPr>
        <w:t xml:space="preserve">continued </w:t>
      </w:r>
      <w:r w:rsidRPr="56B52501">
        <w:rPr>
          <w:rFonts w:eastAsia="Calibri" w:cs="Calibri"/>
        </w:rPr>
        <w:t>findings</w:t>
      </w:r>
      <w:r w:rsidR="002D27A8" w:rsidRPr="56B52501">
        <w:rPr>
          <w:rFonts w:eastAsia="Calibri" w:cs="Calibri"/>
        </w:rPr>
        <w:t xml:space="preserve"> </w:t>
      </w:r>
      <w:r w:rsidRPr="56B52501">
        <w:rPr>
          <w:rFonts w:eastAsia="Calibri" w:cs="Calibri"/>
        </w:rPr>
        <w:t xml:space="preserve">and </w:t>
      </w:r>
      <w:r w:rsidR="183D19A0" w:rsidRPr="56B52501">
        <w:rPr>
          <w:rFonts w:eastAsia="Calibri" w:cs="Calibri"/>
        </w:rPr>
        <w:t xml:space="preserve">seven </w:t>
      </w:r>
      <w:r w:rsidR="00AD79C8" w:rsidRPr="56B52501">
        <w:rPr>
          <w:rFonts w:eastAsia="Calibri" w:cs="Calibri"/>
        </w:rPr>
        <w:t xml:space="preserve">continued </w:t>
      </w:r>
      <w:r w:rsidRPr="56B52501">
        <w:rPr>
          <w:rFonts w:eastAsia="Calibri" w:cs="Calibri"/>
        </w:rPr>
        <w:t>observations</w:t>
      </w:r>
      <w:r w:rsidR="3863D05B" w:rsidRPr="56B52501">
        <w:rPr>
          <w:rFonts w:eastAsia="Calibri" w:cs="Calibri"/>
        </w:rPr>
        <w:t xml:space="preserve">.  </w:t>
      </w:r>
      <w:r w:rsidR="00A911A6" w:rsidRPr="56B52501">
        <w:rPr>
          <w:rFonts w:eastAsia="Calibri" w:cs="Calibri"/>
        </w:rPr>
        <w:t xml:space="preserve">Six </w:t>
      </w:r>
      <w:r w:rsidR="00A44680" w:rsidRPr="56B52501">
        <w:rPr>
          <w:rFonts w:eastAsia="Calibri" w:cs="Calibri"/>
        </w:rPr>
        <w:t xml:space="preserve">of 11 </w:t>
      </w:r>
      <w:r w:rsidRPr="56B52501">
        <w:rPr>
          <w:rFonts w:eastAsia="Calibri" w:cs="Calibri"/>
        </w:rPr>
        <w:t>finding</w:t>
      </w:r>
      <w:r w:rsidR="775172CF" w:rsidRPr="56B52501">
        <w:rPr>
          <w:rFonts w:eastAsia="Calibri" w:cs="Calibri"/>
        </w:rPr>
        <w:t>s</w:t>
      </w:r>
      <w:r w:rsidRPr="56B52501">
        <w:rPr>
          <w:rFonts w:eastAsia="Calibri" w:cs="Calibri"/>
        </w:rPr>
        <w:t xml:space="preserve"> w</w:t>
      </w:r>
      <w:r w:rsidR="7E7B21F9" w:rsidRPr="56B52501">
        <w:rPr>
          <w:rFonts w:eastAsia="Calibri" w:cs="Calibri"/>
        </w:rPr>
        <w:t xml:space="preserve">ere </w:t>
      </w:r>
      <w:r w:rsidR="00A911A6" w:rsidRPr="56B52501">
        <w:rPr>
          <w:rFonts w:eastAsia="Calibri" w:cs="Calibri"/>
        </w:rPr>
        <w:t xml:space="preserve">completed. </w:t>
      </w:r>
      <w:r w:rsidRPr="56B52501">
        <w:rPr>
          <w:rFonts w:eastAsia="Calibri" w:cs="Calibri"/>
        </w:rPr>
        <w:t xml:space="preserve"> Appendix A describes continued findings and recommendations.  Appendix B describes observations subject to continued monitoring and the related federal monitoring plan.  Appendix C describes the status of each FY 2021 finding and recommendation in detail.</w:t>
      </w:r>
    </w:p>
    <w:p w14:paraId="382B70C6" w14:textId="77777777" w:rsidR="005E00D8" w:rsidRDefault="005E00D8" w:rsidP="000B58F1">
      <w:pPr>
        <w:widowControl/>
        <w:autoSpaceDE/>
        <w:autoSpaceDN/>
        <w:adjustRightInd/>
        <w:rPr>
          <w:rFonts w:cs="Calibri"/>
          <w:b/>
          <w:bCs/>
        </w:rPr>
      </w:pPr>
    </w:p>
    <w:p w14:paraId="1CD392F2" w14:textId="2691886C" w:rsidR="005C1BFC" w:rsidRPr="0061362E" w:rsidRDefault="00733D36" w:rsidP="000B58F1">
      <w:pPr>
        <w:widowControl/>
        <w:autoSpaceDE/>
        <w:autoSpaceDN/>
        <w:adjustRightInd/>
        <w:rPr>
          <w:rFonts w:cs="Calibri"/>
          <w:b/>
          <w:bCs/>
        </w:rPr>
      </w:pPr>
      <w:r w:rsidRPr="0061362E">
        <w:rPr>
          <w:rFonts w:cs="Calibri"/>
          <w:b/>
          <w:bCs/>
        </w:rPr>
        <w:t xml:space="preserve">Completed </w:t>
      </w:r>
      <w:r w:rsidR="007C0A36" w:rsidRPr="0061362E">
        <w:rPr>
          <w:rFonts w:cs="Calibri"/>
          <w:b/>
          <w:bCs/>
        </w:rPr>
        <w:t>Findings</w:t>
      </w:r>
    </w:p>
    <w:p w14:paraId="1FE374BD" w14:textId="77777777" w:rsidR="007014BD" w:rsidRDefault="007014BD" w:rsidP="000B58F1">
      <w:pPr>
        <w:widowControl/>
        <w:autoSpaceDE/>
        <w:autoSpaceDN/>
        <w:adjustRightInd/>
        <w:rPr>
          <w:rFonts w:eastAsia="Calibri" w:cs="Calibri"/>
          <w:b/>
          <w:bCs/>
        </w:rPr>
      </w:pPr>
    </w:p>
    <w:p w14:paraId="31148039" w14:textId="0B289D86" w:rsidR="004E505A" w:rsidRPr="00B009AE" w:rsidRDefault="00733D36" w:rsidP="000B58F1">
      <w:pPr>
        <w:widowControl/>
        <w:autoSpaceDE/>
        <w:autoSpaceDN/>
        <w:adjustRightInd/>
      </w:pPr>
      <w:r w:rsidRPr="090008D6">
        <w:rPr>
          <w:rFonts w:eastAsia="Calibri" w:cs="Calibri"/>
          <w:b/>
        </w:rPr>
        <w:t xml:space="preserve">Finding FY </w:t>
      </w:r>
      <w:r w:rsidR="007C0A36" w:rsidRPr="090008D6">
        <w:rPr>
          <w:rFonts w:eastAsia="Calibri" w:cs="Calibri"/>
          <w:b/>
        </w:rPr>
        <w:t>20</w:t>
      </w:r>
      <w:r w:rsidR="00020E3B" w:rsidRPr="090008D6">
        <w:rPr>
          <w:rFonts w:eastAsia="Calibri" w:cs="Calibri"/>
          <w:b/>
        </w:rPr>
        <w:t>21-</w:t>
      </w:r>
      <w:r w:rsidR="008778CF" w:rsidRPr="090008D6">
        <w:rPr>
          <w:rFonts w:eastAsia="Calibri" w:cs="Calibri"/>
          <w:b/>
        </w:rPr>
        <w:t>01</w:t>
      </w:r>
      <w:r w:rsidRPr="090008D6">
        <w:rPr>
          <w:rFonts w:eastAsia="Calibri" w:cs="Calibri"/>
          <w:b/>
        </w:rPr>
        <w:t>:</w:t>
      </w:r>
      <w:r w:rsidR="008778CF" w:rsidRPr="090008D6">
        <w:rPr>
          <w:rFonts w:eastAsia="Calibri" w:cs="Calibri"/>
        </w:rPr>
        <w:t xml:space="preserve">  </w:t>
      </w:r>
      <w:r w:rsidR="007F1897">
        <w:rPr>
          <w:rFonts w:eastAsia="Calibri" w:cs="Calibri"/>
        </w:rPr>
        <w:t>In FY 2021, c</w:t>
      </w:r>
      <w:r w:rsidR="008778CF" w:rsidRPr="090008D6">
        <w:rPr>
          <w:rFonts w:eastAsia="Calibri" w:cs="Calibri"/>
        </w:rPr>
        <w:t>itations proposed in two fatality cases were legally unenforceable because they were not issued within the six-month statute of limitation.</w:t>
      </w:r>
    </w:p>
    <w:p w14:paraId="5511892F" w14:textId="048B5646" w:rsidR="00B009AE" w:rsidRPr="00B009AE" w:rsidRDefault="3526FABB" w:rsidP="000B58F1">
      <w:pPr>
        <w:widowControl/>
        <w:autoSpaceDE/>
        <w:autoSpaceDN/>
        <w:adjustRightInd/>
      </w:pPr>
      <w:r w:rsidRPr="090008D6">
        <w:rPr>
          <w:rFonts w:eastAsia="Calibri" w:cs="Calibri"/>
        </w:rPr>
        <w:t xml:space="preserve"> </w:t>
      </w:r>
    </w:p>
    <w:p w14:paraId="3C0343CF" w14:textId="2B5E8E11" w:rsidR="00B009AE" w:rsidRPr="00B009AE" w:rsidRDefault="0EEB6A68" w:rsidP="000B58F1">
      <w:pPr>
        <w:widowControl/>
        <w:autoSpaceDE/>
        <w:autoSpaceDN/>
        <w:adjustRightInd/>
      </w:pPr>
      <w:r w:rsidRPr="011E1980">
        <w:rPr>
          <w:rFonts w:eastAsia="Calibri" w:cs="Calibri"/>
          <w:b/>
          <w:bCs/>
        </w:rPr>
        <w:t>Status:</w:t>
      </w:r>
      <w:r w:rsidRPr="011E1980">
        <w:rPr>
          <w:rFonts w:eastAsia="Calibri" w:cs="Calibri"/>
        </w:rPr>
        <w:t xml:space="preserve">  </w:t>
      </w:r>
      <w:r w:rsidR="4A1B5BD2" w:rsidRPr="011E1980">
        <w:rPr>
          <w:rFonts w:eastAsia="Calibri" w:cs="Calibri"/>
        </w:rPr>
        <w:t xml:space="preserve">According to OIS, </w:t>
      </w:r>
      <w:r w:rsidR="007F1897">
        <w:rPr>
          <w:rFonts w:eastAsia="Calibri" w:cs="Calibri"/>
        </w:rPr>
        <w:t xml:space="preserve">in FY 2022, all </w:t>
      </w:r>
      <w:r w:rsidR="44B63848" w:rsidRPr="011E1980">
        <w:rPr>
          <w:rFonts w:eastAsia="Calibri" w:cs="Calibri"/>
        </w:rPr>
        <w:t xml:space="preserve">citations related to fatality investigations were issued within the six-month statute of limitations. </w:t>
      </w:r>
      <w:r w:rsidR="0E5D2B62" w:rsidRPr="011E1980">
        <w:rPr>
          <w:rFonts w:eastAsia="Calibri" w:cs="Calibri"/>
        </w:rPr>
        <w:t xml:space="preserve"> </w:t>
      </w:r>
      <w:r w:rsidRPr="011E1980">
        <w:rPr>
          <w:rFonts w:eastAsia="Calibri" w:cs="Calibri"/>
        </w:rPr>
        <w:t>This finding is c</w:t>
      </w:r>
      <w:r w:rsidR="00D26D59">
        <w:rPr>
          <w:rFonts w:eastAsia="Calibri" w:cs="Calibri"/>
        </w:rPr>
        <w:t>ompleted</w:t>
      </w:r>
      <w:r w:rsidRPr="011E1980">
        <w:rPr>
          <w:rFonts w:eastAsia="Calibri" w:cs="Calibri"/>
        </w:rPr>
        <w:t>.</w:t>
      </w:r>
    </w:p>
    <w:p w14:paraId="3C377C89" w14:textId="62F1A885" w:rsidR="00B009AE" w:rsidRPr="00B009AE" w:rsidRDefault="3526FABB" w:rsidP="000B58F1">
      <w:pPr>
        <w:widowControl/>
        <w:autoSpaceDE/>
        <w:autoSpaceDN/>
        <w:adjustRightInd/>
      </w:pPr>
      <w:r w:rsidRPr="090008D6">
        <w:rPr>
          <w:rFonts w:eastAsia="Calibri" w:cs="Calibri"/>
        </w:rPr>
        <w:t xml:space="preserve"> </w:t>
      </w:r>
    </w:p>
    <w:p w14:paraId="70D21351" w14:textId="38525EE7" w:rsidR="005848A3" w:rsidRPr="009E77A6" w:rsidRDefault="003F1958" w:rsidP="000B58F1">
      <w:pPr>
        <w:widowControl/>
        <w:autoSpaceDE/>
        <w:autoSpaceDN/>
        <w:adjustRightInd/>
        <w:rPr>
          <w:rFonts w:eastAsia="Calibri" w:cs="Calibri"/>
          <w:bCs/>
        </w:rPr>
      </w:pPr>
      <w:r w:rsidRPr="090008D6">
        <w:rPr>
          <w:rFonts w:eastAsia="Calibri" w:cs="Calibri"/>
          <w:b/>
        </w:rPr>
        <w:t xml:space="preserve">Finding 2021-04:  </w:t>
      </w:r>
      <w:r w:rsidR="005848A3" w:rsidRPr="009E77A6">
        <w:rPr>
          <w:rFonts w:eastAsia="Calibri" w:cs="Calibri"/>
          <w:bCs/>
        </w:rPr>
        <w:t>ADOSH’s safety in-compliance rate was 54.59%,</w:t>
      </w:r>
      <w:r w:rsidR="00B20A5F">
        <w:rPr>
          <w:rFonts w:eastAsia="Calibri" w:cs="Calibri"/>
          <w:bCs/>
        </w:rPr>
        <w:t xml:space="preserve"> </w:t>
      </w:r>
      <w:r w:rsidR="005848A3" w:rsidRPr="009E77A6">
        <w:rPr>
          <w:rFonts w:eastAsia="Calibri" w:cs="Calibri"/>
          <w:bCs/>
        </w:rPr>
        <w:t>which was above the FRL range of 25.32% to 37.98% (SAMM 9</w:t>
      </w:r>
      <w:r w:rsidR="003A23ED">
        <w:rPr>
          <w:rFonts w:eastAsia="Calibri" w:cs="Calibri"/>
          <w:bCs/>
        </w:rPr>
        <w:t>a</w:t>
      </w:r>
      <w:r w:rsidR="005848A3" w:rsidRPr="009E77A6">
        <w:rPr>
          <w:rFonts w:eastAsia="Calibri" w:cs="Calibri"/>
          <w:bCs/>
        </w:rPr>
        <w:t>).</w:t>
      </w:r>
    </w:p>
    <w:p w14:paraId="73F9D2F1" w14:textId="2563AA39" w:rsidR="00B009AE" w:rsidRPr="00B009AE" w:rsidRDefault="00B009AE" w:rsidP="000B58F1">
      <w:pPr>
        <w:widowControl/>
        <w:autoSpaceDE/>
        <w:autoSpaceDN/>
        <w:adjustRightInd/>
      </w:pPr>
    </w:p>
    <w:p w14:paraId="062211F1" w14:textId="3E0FDE95" w:rsidR="00B009AE" w:rsidRPr="00B009AE" w:rsidRDefault="0EEB6A68" w:rsidP="000B58F1">
      <w:pPr>
        <w:widowControl/>
        <w:autoSpaceDE/>
        <w:autoSpaceDN/>
        <w:adjustRightInd/>
        <w:rPr>
          <w:rFonts w:eastAsia="Calibri" w:cs="Calibri"/>
        </w:rPr>
      </w:pPr>
      <w:r w:rsidRPr="011E1980">
        <w:rPr>
          <w:rFonts w:eastAsia="Calibri" w:cs="Calibri"/>
          <w:b/>
          <w:bCs/>
        </w:rPr>
        <w:t xml:space="preserve">Status:  </w:t>
      </w:r>
      <w:r w:rsidRPr="011E1980">
        <w:rPr>
          <w:rFonts w:eastAsia="Calibri" w:cs="Calibri"/>
        </w:rPr>
        <w:t xml:space="preserve">The Further Review Level </w:t>
      </w:r>
      <w:r w:rsidR="5C46BABA" w:rsidRPr="011E1980">
        <w:rPr>
          <w:rFonts w:eastAsia="Calibri" w:cs="Calibri"/>
        </w:rPr>
        <w:t>(FRL)</w:t>
      </w:r>
      <w:r w:rsidR="44E58AB9" w:rsidRPr="011E1980">
        <w:rPr>
          <w:rFonts w:eastAsia="Calibri" w:cs="Calibri"/>
        </w:rPr>
        <w:t xml:space="preserve"> range</w:t>
      </w:r>
      <w:r w:rsidR="5C46BABA" w:rsidRPr="011E1980">
        <w:rPr>
          <w:rFonts w:eastAsia="Calibri" w:cs="Calibri"/>
        </w:rPr>
        <w:t xml:space="preserve"> </w:t>
      </w:r>
      <w:r w:rsidRPr="011E1980">
        <w:rPr>
          <w:rFonts w:eastAsia="Calibri" w:cs="Calibri"/>
        </w:rPr>
        <w:t xml:space="preserve">for the percent of in-compliance safety inspections in FY 2022 was 25.80% to 38.70% of the three-year national average of 32.25%. </w:t>
      </w:r>
      <w:r w:rsidR="5C46BABA" w:rsidRPr="011E1980">
        <w:rPr>
          <w:rFonts w:eastAsia="Calibri" w:cs="Calibri"/>
        </w:rPr>
        <w:t xml:space="preserve"> </w:t>
      </w:r>
      <w:r w:rsidRPr="011E1980">
        <w:rPr>
          <w:rFonts w:eastAsia="Calibri" w:cs="Calibri"/>
        </w:rPr>
        <w:t>ADOSH’s safety in-compliance rate was 36.36</w:t>
      </w:r>
      <w:r w:rsidR="00D90493">
        <w:rPr>
          <w:rFonts w:eastAsia="Calibri" w:cs="Calibri"/>
        </w:rPr>
        <w:t>%</w:t>
      </w:r>
      <w:r w:rsidRPr="011E1980">
        <w:rPr>
          <w:rFonts w:eastAsia="Calibri" w:cs="Calibri"/>
        </w:rPr>
        <w:t xml:space="preserve"> which </w:t>
      </w:r>
      <w:r w:rsidR="5C46BABA" w:rsidRPr="011E1980">
        <w:rPr>
          <w:rFonts w:eastAsia="Calibri" w:cs="Calibri"/>
        </w:rPr>
        <w:t xml:space="preserve">was </w:t>
      </w:r>
      <w:r w:rsidRPr="011E1980">
        <w:rPr>
          <w:rFonts w:eastAsia="Calibri" w:cs="Calibri"/>
        </w:rPr>
        <w:t>within the FRL</w:t>
      </w:r>
      <w:r w:rsidR="659A0EE8" w:rsidRPr="011E1980">
        <w:rPr>
          <w:rFonts w:eastAsia="Calibri" w:cs="Calibri"/>
        </w:rPr>
        <w:t>.</w:t>
      </w:r>
      <w:r w:rsidRPr="011E1980">
        <w:rPr>
          <w:rFonts w:eastAsia="Calibri" w:cs="Calibri"/>
        </w:rPr>
        <w:t xml:space="preserve"> </w:t>
      </w:r>
      <w:r w:rsidR="0592D523" w:rsidRPr="011E1980">
        <w:rPr>
          <w:rFonts w:eastAsia="Calibri" w:cs="Calibri"/>
        </w:rPr>
        <w:t xml:space="preserve"> </w:t>
      </w:r>
      <w:r w:rsidRPr="011E1980">
        <w:rPr>
          <w:rFonts w:eastAsia="Calibri" w:cs="Calibri"/>
        </w:rPr>
        <w:t>This finding is c</w:t>
      </w:r>
      <w:r w:rsidR="00880FB8">
        <w:rPr>
          <w:rFonts w:eastAsia="Calibri" w:cs="Calibri"/>
        </w:rPr>
        <w:t>ompleted</w:t>
      </w:r>
      <w:r w:rsidRPr="011E1980">
        <w:rPr>
          <w:rFonts w:eastAsia="Calibri" w:cs="Calibri"/>
        </w:rPr>
        <w:t>.</w:t>
      </w:r>
    </w:p>
    <w:p w14:paraId="0582F52C" w14:textId="7886A797" w:rsidR="00B009AE" w:rsidRPr="00B009AE" w:rsidRDefault="0EEB6A68" w:rsidP="000B58F1">
      <w:pPr>
        <w:widowControl/>
        <w:autoSpaceDE/>
        <w:autoSpaceDN/>
        <w:adjustRightInd/>
        <w:rPr>
          <w:rFonts w:eastAsia="Calibri" w:cs="Calibri"/>
        </w:rPr>
      </w:pPr>
      <w:r w:rsidRPr="011E1980">
        <w:rPr>
          <w:rFonts w:eastAsia="Calibri" w:cs="Calibri"/>
        </w:rPr>
        <w:t xml:space="preserve"> </w:t>
      </w:r>
    </w:p>
    <w:p w14:paraId="0C552375" w14:textId="15BBD385" w:rsidR="00A06577" w:rsidRPr="00B009AE" w:rsidRDefault="26419FC6" w:rsidP="000B58F1">
      <w:pPr>
        <w:widowControl/>
        <w:autoSpaceDE/>
        <w:autoSpaceDN/>
        <w:adjustRightInd/>
      </w:pPr>
      <w:r w:rsidRPr="011E1980">
        <w:rPr>
          <w:rFonts w:eastAsia="Calibri" w:cs="Calibri"/>
          <w:b/>
          <w:bCs/>
        </w:rPr>
        <w:t xml:space="preserve">Finding FY 2021-06:  </w:t>
      </w:r>
      <w:r w:rsidRPr="011E1980">
        <w:rPr>
          <w:rFonts w:eastAsia="Calibri" w:cs="Calibri"/>
        </w:rPr>
        <w:t>The average lapse time of 74.02 days (SAMM 11</w:t>
      </w:r>
      <w:r w:rsidR="5293DAA7" w:rsidRPr="011E1980">
        <w:rPr>
          <w:rFonts w:eastAsia="Calibri" w:cs="Calibri"/>
        </w:rPr>
        <w:t>a</w:t>
      </w:r>
      <w:r w:rsidRPr="011E1980">
        <w:rPr>
          <w:rFonts w:eastAsia="Calibri" w:cs="Calibri"/>
        </w:rPr>
        <w:t>) for safety inspections was above the FRL range of 41.94 to 62.90 days.</w:t>
      </w:r>
    </w:p>
    <w:p w14:paraId="7E65E90E" w14:textId="10A243AC" w:rsidR="00B009AE" w:rsidRPr="00B009AE" w:rsidRDefault="3526FABB" w:rsidP="000B58F1">
      <w:pPr>
        <w:widowControl/>
        <w:autoSpaceDE/>
        <w:autoSpaceDN/>
        <w:adjustRightInd/>
      </w:pPr>
      <w:r w:rsidRPr="090008D6">
        <w:rPr>
          <w:rFonts w:eastAsia="Calibri" w:cs="Calibri"/>
        </w:rPr>
        <w:t xml:space="preserve"> </w:t>
      </w:r>
    </w:p>
    <w:p w14:paraId="049DA7AC" w14:textId="7781386F" w:rsidR="00B009AE" w:rsidRPr="00B009AE" w:rsidRDefault="3526FABB" w:rsidP="000B58F1">
      <w:pPr>
        <w:widowControl/>
        <w:autoSpaceDE/>
        <w:autoSpaceDN/>
        <w:adjustRightInd/>
      </w:pPr>
      <w:r w:rsidRPr="2B291ADF">
        <w:rPr>
          <w:rFonts w:eastAsia="Calibri" w:cs="Calibri"/>
          <w:b/>
          <w:bCs/>
        </w:rPr>
        <w:t xml:space="preserve">Status:  </w:t>
      </w:r>
      <w:r w:rsidRPr="2B291ADF">
        <w:rPr>
          <w:rFonts w:eastAsia="Calibri" w:cs="Calibri"/>
        </w:rPr>
        <w:t>Appendix D, SAMM 11</w:t>
      </w:r>
      <w:r w:rsidR="008B1229" w:rsidRPr="2B291ADF">
        <w:rPr>
          <w:rFonts w:eastAsia="Calibri" w:cs="Calibri"/>
        </w:rPr>
        <w:t>a</w:t>
      </w:r>
      <w:r w:rsidRPr="2B291ADF">
        <w:rPr>
          <w:rFonts w:eastAsia="Calibri" w:cs="Calibri"/>
        </w:rPr>
        <w:t xml:space="preserve">, </w:t>
      </w:r>
      <w:r w:rsidR="00C829FE" w:rsidRPr="2B291ADF">
        <w:rPr>
          <w:rFonts w:eastAsia="Calibri" w:cs="Calibri"/>
        </w:rPr>
        <w:t>show</w:t>
      </w:r>
      <w:r w:rsidR="00C829FE">
        <w:rPr>
          <w:rFonts w:eastAsia="Calibri" w:cs="Calibri"/>
        </w:rPr>
        <w:t>s</w:t>
      </w:r>
      <w:r w:rsidR="00C829FE" w:rsidRPr="2B291ADF">
        <w:rPr>
          <w:rFonts w:eastAsia="Calibri" w:cs="Calibri"/>
        </w:rPr>
        <w:t xml:space="preserve"> </w:t>
      </w:r>
      <w:r w:rsidRPr="2B291ADF">
        <w:rPr>
          <w:rFonts w:eastAsia="Calibri" w:cs="Calibri"/>
        </w:rPr>
        <w:t>that</w:t>
      </w:r>
      <w:r w:rsidR="00784850" w:rsidRPr="2B291ADF">
        <w:rPr>
          <w:rFonts w:eastAsia="Calibri" w:cs="Calibri"/>
        </w:rPr>
        <w:t xml:space="preserve"> </w:t>
      </w:r>
      <w:r w:rsidRPr="2B291ADF">
        <w:rPr>
          <w:rFonts w:eastAsia="Calibri" w:cs="Calibri"/>
        </w:rPr>
        <w:t xml:space="preserve">lapse time for safety inspections was </w:t>
      </w:r>
      <w:r w:rsidR="270DA24D" w:rsidRPr="2B291ADF">
        <w:rPr>
          <w:rFonts w:eastAsia="Calibri" w:cs="Calibri"/>
        </w:rPr>
        <w:t>64</w:t>
      </w:r>
      <w:r w:rsidR="006C57C0" w:rsidRPr="2B291ADF">
        <w:rPr>
          <w:rFonts w:eastAsia="Calibri" w:cs="Calibri"/>
        </w:rPr>
        <w:t>.29</w:t>
      </w:r>
      <w:r w:rsidRPr="2B291ADF">
        <w:rPr>
          <w:rFonts w:eastAsia="Calibri" w:cs="Calibri"/>
        </w:rPr>
        <w:t xml:space="preserve"> which </w:t>
      </w:r>
      <w:r w:rsidR="7CF7458C" w:rsidRPr="2B291ADF">
        <w:rPr>
          <w:rFonts w:eastAsia="Calibri" w:cs="Calibri"/>
        </w:rPr>
        <w:t>wa</w:t>
      </w:r>
      <w:r w:rsidR="684CBCE6" w:rsidRPr="2B291ADF">
        <w:rPr>
          <w:rFonts w:eastAsia="Calibri" w:cs="Calibri"/>
        </w:rPr>
        <w:t>s</w:t>
      </w:r>
      <w:r w:rsidRPr="2B291ADF">
        <w:rPr>
          <w:rFonts w:eastAsia="Calibri" w:cs="Calibri"/>
        </w:rPr>
        <w:t xml:space="preserve"> within the FY 2022 </w:t>
      </w:r>
      <w:r w:rsidR="4AE6EEF5" w:rsidRPr="2B291ADF">
        <w:rPr>
          <w:rFonts w:eastAsia="Calibri" w:cs="Calibri"/>
        </w:rPr>
        <w:t>FRL</w:t>
      </w:r>
      <w:r w:rsidRPr="2B291ADF">
        <w:rPr>
          <w:rFonts w:eastAsia="Calibri" w:cs="Calibri"/>
        </w:rPr>
        <w:t xml:space="preserve"> of 43.66 to 65.50. </w:t>
      </w:r>
      <w:r w:rsidR="6EAC1DF1" w:rsidRPr="2B291ADF">
        <w:rPr>
          <w:rFonts w:eastAsia="Calibri" w:cs="Calibri"/>
        </w:rPr>
        <w:t xml:space="preserve"> </w:t>
      </w:r>
      <w:r w:rsidRPr="2B291ADF">
        <w:rPr>
          <w:rFonts w:eastAsia="Calibri" w:cs="Calibri"/>
        </w:rPr>
        <w:t>This finding is c</w:t>
      </w:r>
      <w:r w:rsidR="00880FB8" w:rsidRPr="2B291ADF">
        <w:rPr>
          <w:rFonts w:eastAsia="Calibri" w:cs="Calibri"/>
        </w:rPr>
        <w:t>ompleted</w:t>
      </w:r>
      <w:r w:rsidRPr="2B291ADF">
        <w:rPr>
          <w:rFonts w:eastAsia="Calibri" w:cs="Calibri"/>
        </w:rPr>
        <w:t>.</w:t>
      </w:r>
    </w:p>
    <w:p w14:paraId="458DBB2F" w14:textId="154689C9" w:rsidR="00B009AE" w:rsidRPr="00B009AE" w:rsidRDefault="3526FABB" w:rsidP="000B58F1">
      <w:pPr>
        <w:widowControl/>
        <w:autoSpaceDE/>
        <w:autoSpaceDN/>
        <w:adjustRightInd/>
      </w:pPr>
      <w:r w:rsidRPr="090008D6">
        <w:rPr>
          <w:rFonts w:eastAsia="Calibri" w:cs="Calibri"/>
        </w:rPr>
        <w:t xml:space="preserve"> </w:t>
      </w:r>
    </w:p>
    <w:p w14:paraId="40AFEDF4" w14:textId="1C0A11ED" w:rsidR="00B1218C" w:rsidRPr="00B009AE" w:rsidRDefault="008D40EC" w:rsidP="000B58F1">
      <w:pPr>
        <w:widowControl/>
        <w:autoSpaceDE/>
        <w:autoSpaceDN/>
        <w:adjustRightInd/>
      </w:pPr>
      <w:r w:rsidRPr="090008D6">
        <w:rPr>
          <w:rFonts w:eastAsia="Calibri" w:cs="Calibri"/>
          <w:b/>
        </w:rPr>
        <w:t xml:space="preserve">Finding FY 2021-08:  </w:t>
      </w:r>
      <w:r w:rsidRPr="090008D6">
        <w:rPr>
          <w:rFonts w:eastAsia="Calibri" w:cs="Calibri"/>
        </w:rPr>
        <w:t>The Arizona State Plan has failed to adopt OSHA’s initial FY 2016 maximum and minimum penalty increase and subsequent annual penalty amount increases.</w:t>
      </w:r>
    </w:p>
    <w:p w14:paraId="27C8F366" w14:textId="4B2F5FB0" w:rsidR="00B009AE" w:rsidRPr="00B009AE" w:rsidRDefault="3526FABB" w:rsidP="000B58F1">
      <w:pPr>
        <w:widowControl/>
        <w:autoSpaceDE/>
        <w:autoSpaceDN/>
        <w:adjustRightInd/>
      </w:pPr>
      <w:r w:rsidRPr="090008D6">
        <w:rPr>
          <w:rFonts w:eastAsia="Calibri" w:cs="Calibri"/>
        </w:rPr>
        <w:t xml:space="preserve"> </w:t>
      </w:r>
    </w:p>
    <w:p w14:paraId="0249F56B" w14:textId="67EF543A" w:rsidR="00B009AE" w:rsidRPr="00B009AE" w:rsidRDefault="0EEB6A68" w:rsidP="000B58F1">
      <w:pPr>
        <w:widowControl/>
        <w:autoSpaceDE/>
        <w:autoSpaceDN/>
        <w:adjustRightInd/>
        <w:rPr>
          <w:rFonts w:eastAsia="Calibri" w:cs="Calibri"/>
          <w:color w:val="242424"/>
        </w:rPr>
      </w:pPr>
      <w:r w:rsidRPr="011E1980">
        <w:rPr>
          <w:rFonts w:eastAsia="Calibri" w:cs="Calibri"/>
          <w:b/>
          <w:bCs/>
        </w:rPr>
        <w:t xml:space="preserve">Status:  </w:t>
      </w:r>
      <w:r w:rsidRPr="011E1980">
        <w:rPr>
          <w:rFonts w:eastAsia="Calibri" w:cs="Calibri"/>
          <w:color w:val="242424"/>
        </w:rPr>
        <w:t xml:space="preserve">Arizona House Bill 2120, designed to increase penalty levels to match OSHA’s maximum penalty structure, was signed by the Governor on July 6, 2022, and went into effect September 24, 2022. </w:t>
      </w:r>
      <w:r w:rsidR="3C1D5F75" w:rsidRPr="011E1980">
        <w:rPr>
          <w:rFonts w:eastAsia="Calibri" w:cs="Calibri"/>
          <w:color w:val="242424"/>
        </w:rPr>
        <w:t xml:space="preserve"> </w:t>
      </w:r>
      <w:r w:rsidR="07CA8DF3" w:rsidRPr="011E1980">
        <w:rPr>
          <w:rFonts w:eastAsia="Calibri" w:cs="Calibri"/>
          <w:color w:val="242424"/>
        </w:rPr>
        <w:t>Since</w:t>
      </w:r>
      <w:r w:rsidR="5FC897B5" w:rsidRPr="011E1980">
        <w:rPr>
          <w:rFonts w:eastAsia="Calibri" w:cs="Calibri"/>
          <w:color w:val="242424"/>
        </w:rPr>
        <w:t xml:space="preserve"> Arizona’s penalties will reflect OSHA’s annual adjustments, i</w:t>
      </w:r>
      <w:r w:rsidRPr="011E1980">
        <w:rPr>
          <w:rFonts w:eastAsia="Calibri" w:cs="Calibri"/>
          <w:color w:val="242424"/>
        </w:rPr>
        <w:t xml:space="preserve">t is expected that the average current serious penalty will rise substantially in FY </w:t>
      </w:r>
      <w:r w:rsidR="3C1D5F75" w:rsidRPr="011E1980">
        <w:rPr>
          <w:rFonts w:eastAsia="Calibri" w:cs="Calibri"/>
          <w:color w:val="242424"/>
        </w:rPr>
        <w:t>20</w:t>
      </w:r>
      <w:r w:rsidRPr="011E1980">
        <w:rPr>
          <w:rFonts w:eastAsia="Calibri" w:cs="Calibri"/>
          <w:color w:val="242424"/>
        </w:rPr>
        <w:t>23</w:t>
      </w:r>
      <w:r w:rsidR="07CA8DF3" w:rsidRPr="011E1980">
        <w:rPr>
          <w:rFonts w:eastAsia="Calibri" w:cs="Calibri"/>
          <w:color w:val="242424"/>
        </w:rPr>
        <w:t>.</w:t>
      </w:r>
      <w:r w:rsidRPr="011E1980">
        <w:rPr>
          <w:rFonts w:eastAsia="Calibri" w:cs="Calibri"/>
          <w:color w:val="242424"/>
        </w:rPr>
        <w:t xml:space="preserve"> </w:t>
      </w:r>
      <w:r w:rsidR="51C898D1" w:rsidRPr="011E1980">
        <w:rPr>
          <w:rFonts w:eastAsia="Calibri" w:cs="Calibri"/>
          <w:color w:val="242424"/>
        </w:rPr>
        <w:t xml:space="preserve"> </w:t>
      </w:r>
      <w:r w:rsidRPr="0F1DCBB9">
        <w:rPr>
          <w:rFonts w:eastAsia="Calibri" w:cs="Calibri"/>
          <w:color w:val="242424"/>
        </w:rPr>
        <w:t>This finding is c</w:t>
      </w:r>
      <w:r w:rsidR="00880FB8" w:rsidRPr="0F1DCBB9">
        <w:rPr>
          <w:rFonts w:eastAsia="Calibri" w:cs="Calibri"/>
          <w:color w:val="242424"/>
        </w:rPr>
        <w:t>ompleted</w:t>
      </w:r>
      <w:r w:rsidR="1B0F7272" w:rsidRPr="0F1DCBB9">
        <w:rPr>
          <w:rFonts w:eastAsia="Calibri" w:cs="Calibri"/>
          <w:color w:val="242424"/>
        </w:rPr>
        <w:t>.</w:t>
      </w:r>
      <w:r w:rsidR="39F50B33" w:rsidRPr="0F1DCBB9">
        <w:rPr>
          <w:rFonts w:eastAsia="Calibri" w:cs="Calibri"/>
          <w:color w:val="242424"/>
        </w:rPr>
        <w:t xml:space="preserve"> </w:t>
      </w:r>
    </w:p>
    <w:p w14:paraId="4DEB4869" w14:textId="2CF936A0" w:rsidR="00B009AE" w:rsidRPr="00B009AE" w:rsidRDefault="3526FABB" w:rsidP="000B58F1">
      <w:pPr>
        <w:widowControl/>
        <w:autoSpaceDE/>
        <w:autoSpaceDN/>
        <w:adjustRightInd/>
      </w:pPr>
      <w:r w:rsidRPr="090008D6">
        <w:rPr>
          <w:rFonts w:eastAsia="Calibri" w:cs="Calibri"/>
        </w:rPr>
        <w:t xml:space="preserve"> </w:t>
      </w:r>
    </w:p>
    <w:p w14:paraId="1D10AD27" w14:textId="1EEDBDEB" w:rsidR="00A35F30" w:rsidRPr="00A35F30" w:rsidRDefault="631C19C8" w:rsidP="00A35F30">
      <w:pPr>
        <w:widowControl/>
        <w:autoSpaceDE/>
        <w:autoSpaceDN/>
        <w:adjustRightInd/>
        <w:rPr>
          <w:rFonts w:eastAsia="Calibri" w:cs="Calibri"/>
        </w:rPr>
      </w:pPr>
      <w:r w:rsidRPr="011E1980">
        <w:rPr>
          <w:rFonts w:eastAsia="Calibri" w:cs="Calibri"/>
          <w:b/>
          <w:bCs/>
        </w:rPr>
        <w:t xml:space="preserve">Finding FY 2021-09:  </w:t>
      </w:r>
      <w:r w:rsidR="3C6C4F2B" w:rsidRPr="011E1980">
        <w:rPr>
          <w:rFonts w:eastAsia="Calibri" w:cs="Calibri"/>
        </w:rPr>
        <w:t xml:space="preserve">OSHA standards were not </w:t>
      </w:r>
      <w:r w:rsidR="6748AB92" w:rsidRPr="011E1980">
        <w:rPr>
          <w:rFonts w:eastAsia="Calibri" w:cs="Calibri"/>
        </w:rPr>
        <w:t>adopted</w:t>
      </w:r>
      <w:r w:rsidR="00D90F17">
        <w:rPr>
          <w:rFonts w:eastAsia="Calibri" w:cs="Calibri"/>
        </w:rPr>
        <w:t xml:space="preserve"> </w:t>
      </w:r>
      <w:r w:rsidR="00A35F30" w:rsidRPr="00A35F30">
        <w:rPr>
          <w:rFonts w:eastAsia="Calibri" w:cs="Calibri"/>
        </w:rPr>
        <w:t>by the adoption</w:t>
      </w:r>
      <w:r w:rsidR="00A35F30">
        <w:rPr>
          <w:rFonts w:eastAsia="Calibri" w:cs="Calibri"/>
        </w:rPr>
        <w:t xml:space="preserve"> </w:t>
      </w:r>
      <w:r w:rsidR="00A35F30" w:rsidRPr="00A35F30">
        <w:rPr>
          <w:rFonts w:eastAsia="Calibri" w:cs="Calibri"/>
        </w:rPr>
        <w:t>due date.</w:t>
      </w:r>
    </w:p>
    <w:p w14:paraId="4CA02647" w14:textId="7038E518" w:rsidR="00B009AE" w:rsidRPr="00B009AE" w:rsidRDefault="3526FABB" w:rsidP="000B58F1">
      <w:pPr>
        <w:widowControl/>
        <w:autoSpaceDE/>
        <w:autoSpaceDN/>
        <w:adjustRightInd/>
      </w:pPr>
      <w:r w:rsidRPr="090008D6">
        <w:rPr>
          <w:rFonts w:eastAsia="Calibri" w:cs="Calibri"/>
        </w:rPr>
        <w:t xml:space="preserve"> </w:t>
      </w:r>
    </w:p>
    <w:p w14:paraId="5DD5003B" w14:textId="35728774" w:rsidR="00B009AE" w:rsidRPr="00B009AE" w:rsidRDefault="0EEB6A68" w:rsidP="000B58F1">
      <w:pPr>
        <w:widowControl/>
        <w:autoSpaceDE/>
        <w:autoSpaceDN/>
        <w:adjustRightInd/>
      </w:pPr>
      <w:r w:rsidRPr="00CD4222">
        <w:rPr>
          <w:rFonts w:eastAsia="Calibri" w:cs="Calibri"/>
          <w:b/>
          <w:bCs/>
        </w:rPr>
        <w:t xml:space="preserve">Status:  </w:t>
      </w:r>
      <w:r w:rsidRPr="0085539A">
        <w:rPr>
          <w:rFonts w:eastAsia="Calibri" w:cs="Calibri"/>
        </w:rPr>
        <w:t>A</w:t>
      </w:r>
      <w:r w:rsidR="00A94619" w:rsidRPr="0085539A">
        <w:rPr>
          <w:rFonts w:eastAsia="Calibri" w:cs="Calibri"/>
        </w:rPr>
        <w:t>DOSH adopted</w:t>
      </w:r>
      <w:r w:rsidR="001C7661" w:rsidRPr="0085539A">
        <w:rPr>
          <w:rFonts w:eastAsia="Calibri" w:cs="Calibri"/>
        </w:rPr>
        <w:t xml:space="preserve"> the 1</w:t>
      </w:r>
      <w:r w:rsidR="00D017A6" w:rsidRPr="0085539A">
        <w:rPr>
          <w:rFonts w:eastAsia="Calibri" w:cs="Calibri"/>
        </w:rPr>
        <w:t>3</w:t>
      </w:r>
      <w:r w:rsidR="001C7661" w:rsidRPr="0085539A">
        <w:rPr>
          <w:rFonts w:eastAsia="Calibri" w:cs="Calibri"/>
        </w:rPr>
        <w:t xml:space="preserve"> standards identified in the FY 2021 </w:t>
      </w:r>
      <w:r w:rsidR="0074017D" w:rsidRPr="0085539A">
        <w:rPr>
          <w:rFonts w:eastAsia="Calibri" w:cs="Calibri"/>
        </w:rPr>
        <w:t>Comprehensive FAME Report</w:t>
      </w:r>
      <w:r w:rsidR="00CD4222" w:rsidRPr="0085539A">
        <w:rPr>
          <w:rFonts w:eastAsia="Calibri" w:cs="Calibri"/>
        </w:rPr>
        <w:t>.</w:t>
      </w:r>
      <w:r w:rsidR="0074017D" w:rsidRPr="006970CD">
        <w:rPr>
          <w:rFonts w:eastAsia="Calibri" w:cs="Calibri"/>
        </w:rPr>
        <w:t xml:space="preserve">  </w:t>
      </w:r>
      <w:r w:rsidRPr="00CD4222">
        <w:rPr>
          <w:rFonts w:eastAsia="Calibri" w:cs="Calibri"/>
        </w:rPr>
        <w:t>This finding is c</w:t>
      </w:r>
      <w:r w:rsidR="00880FB8">
        <w:rPr>
          <w:rFonts w:eastAsia="Calibri" w:cs="Calibri"/>
        </w:rPr>
        <w:t>ompleted.</w:t>
      </w:r>
    </w:p>
    <w:p w14:paraId="642A4410" w14:textId="124F71C9" w:rsidR="011E1980" w:rsidRDefault="011E1980" w:rsidP="000B58F1">
      <w:pPr>
        <w:widowControl/>
        <w:rPr>
          <w:rFonts w:eastAsia="Calibri" w:cs="Calibri"/>
        </w:rPr>
      </w:pPr>
    </w:p>
    <w:p w14:paraId="6B3BB0C3" w14:textId="77FAAEA1" w:rsidR="000E21C3" w:rsidRPr="00B009AE" w:rsidRDefault="008B5422" w:rsidP="000B58F1">
      <w:pPr>
        <w:widowControl/>
        <w:autoSpaceDE/>
        <w:autoSpaceDN/>
        <w:adjustRightInd/>
      </w:pPr>
      <w:r w:rsidRPr="090008D6">
        <w:rPr>
          <w:rFonts w:eastAsia="Calibri" w:cs="Calibri"/>
          <w:b/>
        </w:rPr>
        <w:t xml:space="preserve">Finding FY 2021-11:  </w:t>
      </w:r>
      <w:r w:rsidRPr="090008D6">
        <w:rPr>
          <w:rFonts w:eastAsia="Calibri" w:cs="Calibri"/>
        </w:rPr>
        <w:t>ADOSH conducted 1.85% (nine of 486) of inspections in state and local government agencies</w:t>
      </w:r>
      <w:r w:rsidR="00B009AE" w:rsidRPr="090008D6">
        <w:rPr>
          <w:rFonts w:eastAsia="Calibri" w:cs="Calibri"/>
        </w:rPr>
        <w:t>, which was below the FRL range of 4.32% to 4.77% (SAMM 6).</w:t>
      </w:r>
    </w:p>
    <w:p w14:paraId="3C90667E" w14:textId="575CDA49" w:rsidR="00B009AE" w:rsidRPr="00B009AE" w:rsidRDefault="3526FABB" w:rsidP="000B58F1">
      <w:pPr>
        <w:widowControl/>
        <w:autoSpaceDE/>
        <w:autoSpaceDN/>
        <w:adjustRightInd/>
      </w:pPr>
      <w:r w:rsidRPr="090008D6">
        <w:rPr>
          <w:rFonts w:eastAsia="Calibri" w:cs="Calibri"/>
        </w:rPr>
        <w:t xml:space="preserve"> </w:t>
      </w:r>
    </w:p>
    <w:p w14:paraId="40D22C92" w14:textId="497A0B97" w:rsidR="00B009AE" w:rsidRPr="00B009AE" w:rsidRDefault="0EEB6A68" w:rsidP="000B58F1">
      <w:pPr>
        <w:widowControl/>
        <w:autoSpaceDE/>
        <w:autoSpaceDN/>
        <w:adjustRightInd/>
      </w:pPr>
      <w:r w:rsidRPr="56B52501">
        <w:rPr>
          <w:rFonts w:eastAsia="Calibri" w:cs="Calibri"/>
          <w:b/>
          <w:bCs/>
        </w:rPr>
        <w:t xml:space="preserve">Status:  </w:t>
      </w:r>
      <w:r w:rsidRPr="56B52501">
        <w:rPr>
          <w:rFonts w:eastAsia="Calibri" w:cs="Calibri"/>
        </w:rPr>
        <w:t xml:space="preserve">Appendix D, SAMM 6, </w:t>
      </w:r>
      <w:r w:rsidR="00C829FE">
        <w:rPr>
          <w:rFonts w:eastAsia="Calibri" w:cs="Calibri"/>
        </w:rPr>
        <w:t xml:space="preserve">shows that </w:t>
      </w:r>
      <w:r w:rsidRPr="56B52501">
        <w:rPr>
          <w:rFonts w:eastAsia="Calibri" w:cs="Calibri"/>
        </w:rPr>
        <w:t>ADOSH conducted 13.14% of their inspections in state and local government agencies</w:t>
      </w:r>
      <w:r w:rsidR="662A5CE5" w:rsidRPr="56B52501">
        <w:rPr>
          <w:rFonts w:eastAsia="Calibri" w:cs="Calibri"/>
        </w:rPr>
        <w:t xml:space="preserve">.  </w:t>
      </w:r>
      <w:r w:rsidR="463D6CD1" w:rsidRPr="56B52501">
        <w:rPr>
          <w:rFonts w:eastAsia="Calibri" w:cs="Calibri"/>
        </w:rPr>
        <w:t xml:space="preserve">The FRL range for FY 2022 was 4.90% to 5.42%. </w:t>
      </w:r>
      <w:r w:rsidR="74AD8315" w:rsidRPr="56B52501">
        <w:rPr>
          <w:rFonts w:eastAsia="Calibri" w:cs="Calibri"/>
        </w:rPr>
        <w:t xml:space="preserve"> </w:t>
      </w:r>
      <w:r w:rsidRPr="56B52501">
        <w:rPr>
          <w:rFonts w:eastAsia="Calibri" w:cs="Calibri"/>
        </w:rPr>
        <w:t>ADOSH exceeded this goal</w:t>
      </w:r>
      <w:r w:rsidR="463D6CD1" w:rsidRPr="56B52501">
        <w:rPr>
          <w:rFonts w:eastAsia="Calibri" w:cs="Calibri"/>
        </w:rPr>
        <w:t xml:space="preserve"> by performing </w:t>
      </w:r>
      <w:r w:rsidR="2F240A82" w:rsidRPr="56B52501">
        <w:rPr>
          <w:rFonts w:eastAsia="Calibri" w:cs="Calibri"/>
        </w:rPr>
        <w:t xml:space="preserve">46 of the 350 inspections in </w:t>
      </w:r>
      <w:r w:rsidRPr="56B52501">
        <w:rPr>
          <w:rFonts w:eastAsia="Calibri" w:cs="Calibri"/>
        </w:rPr>
        <w:t xml:space="preserve">state and local government </w:t>
      </w:r>
      <w:r w:rsidR="5513F691" w:rsidRPr="56B52501">
        <w:rPr>
          <w:rFonts w:eastAsia="Calibri" w:cs="Calibri"/>
        </w:rPr>
        <w:t>agencies</w:t>
      </w:r>
      <w:r w:rsidRPr="56B52501">
        <w:rPr>
          <w:rFonts w:eastAsia="Calibri" w:cs="Calibri"/>
        </w:rPr>
        <w:t>.  This finding is c</w:t>
      </w:r>
      <w:r w:rsidR="00880FB8" w:rsidRPr="56B52501">
        <w:rPr>
          <w:rFonts w:eastAsia="Calibri" w:cs="Calibri"/>
        </w:rPr>
        <w:t>ompleted.</w:t>
      </w:r>
    </w:p>
    <w:p w14:paraId="63E7A0B0" w14:textId="77777777" w:rsidR="00AC090E" w:rsidRPr="008D40EC" w:rsidRDefault="00AC090E" w:rsidP="000B58F1">
      <w:pPr>
        <w:widowControl/>
        <w:autoSpaceDE/>
        <w:autoSpaceDN/>
        <w:adjustRightInd/>
        <w:rPr>
          <w:rFonts w:cs="Calibri"/>
        </w:rPr>
      </w:pPr>
    </w:p>
    <w:p w14:paraId="66699C18" w14:textId="2F8E1C5C" w:rsidR="00A33959" w:rsidRPr="0061362E" w:rsidRDefault="00785B2E" w:rsidP="000B58F1">
      <w:pPr>
        <w:widowControl/>
        <w:autoSpaceDE/>
        <w:autoSpaceDN/>
        <w:adjustRightInd/>
        <w:rPr>
          <w:rFonts w:cs="Calibri"/>
          <w:b/>
          <w:bCs/>
          <w:i/>
        </w:rPr>
      </w:pPr>
      <w:r w:rsidRPr="0061362E">
        <w:rPr>
          <w:rFonts w:cs="Calibri"/>
          <w:b/>
          <w:bCs/>
        </w:rPr>
        <w:t xml:space="preserve">Continued </w:t>
      </w:r>
      <w:r w:rsidR="007C0A36" w:rsidRPr="0061362E">
        <w:rPr>
          <w:rFonts w:cs="Calibri"/>
          <w:b/>
          <w:bCs/>
        </w:rPr>
        <w:t>Findings</w:t>
      </w:r>
      <w:r w:rsidR="00391D6F" w:rsidRPr="0061362E">
        <w:rPr>
          <w:rFonts w:cs="Calibri"/>
          <w:b/>
          <w:bCs/>
        </w:rPr>
        <w:t xml:space="preserve"> </w:t>
      </w:r>
    </w:p>
    <w:p w14:paraId="0BDB199F" w14:textId="77777777" w:rsidR="007C0A36" w:rsidRPr="000E3AA5" w:rsidRDefault="007C0A36" w:rsidP="000B58F1">
      <w:pPr>
        <w:widowControl/>
        <w:tabs>
          <w:tab w:val="center" w:pos="270"/>
          <w:tab w:val="left" w:pos="360"/>
        </w:tabs>
        <w:autoSpaceDE/>
        <w:autoSpaceDN/>
        <w:adjustRightInd/>
        <w:rPr>
          <w:rFonts w:eastAsia="Calibri" w:cs="Calibri"/>
        </w:rPr>
      </w:pPr>
    </w:p>
    <w:p w14:paraId="1172CCCE" w14:textId="47AE044C" w:rsidR="005B5A2F" w:rsidRPr="005B5A2F" w:rsidRDefault="7937A586" w:rsidP="000B58F1">
      <w:pPr>
        <w:tabs>
          <w:tab w:val="center" w:pos="270"/>
          <w:tab w:val="left" w:pos="360"/>
        </w:tabs>
        <w:rPr>
          <w:rFonts w:eastAsia="Calibri" w:cs="Calibri"/>
        </w:rPr>
      </w:pPr>
      <w:r w:rsidRPr="090008D6">
        <w:rPr>
          <w:rFonts w:eastAsia="Calibri" w:cs="Calibri"/>
          <w:b/>
          <w:bCs/>
        </w:rPr>
        <w:t xml:space="preserve">Finding FY 2022-01 (FY 2021-02):  </w:t>
      </w:r>
      <w:r w:rsidR="005B5A2F" w:rsidRPr="005B5A2F">
        <w:rPr>
          <w:rFonts w:eastAsia="Calibri" w:cs="Calibri"/>
        </w:rPr>
        <w:t>A total of 486 (44%)</w:t>
      </w:r>
      <w:r w:rsidR="005B5A2F">
        <w:rPr>
          <w:rFonts w:eastAsia="Calibri" w:cs="Calibri"/>
        </w:rPr>
        <w:t xml:space="preserve"> </w:t>
      </w:r>
      <w:r w:rsidR="005B5A2F" w:rsidRPr="005B5A2F">
        <w:rPr>
          <w:rFonts w:eastAsia="Calibri" w:cs="Calibri"/>
        </w:rPr>
        <w:t>inspections were conducted and this was below the goal of 1,100 inspections (SAMM 7).</w:t>
      </w:r>
    </w:p>
    <w:p w14:paraId="79366B7F" w14:textId="65B65358" w:rsidR="7937A586" w:rsidRDefault="7937A586" w:rsidP="000B58F1">
      <w:pPr>
        <w:tabs>
          <w:tab w:val="center" w:pos="270"/>
          <w:tab w:val="left" w:pos="360"/>
        </w:tabs>
      </w:pPr>
    </w:p>
    <w:p w14:paraId="7D31B207" w14:textId="2E7AC629" w:rsidR="7937A586" w:rsidRPr="001657CA" w:rsidRDefault="5D201B82" w:rsidP="2B291ADF">
      <w:pPr>
        <w:rPr>
          <w:rFonts w:asciiTheme="minorHAnsi" w:hAnsiTheme="minorHAnsi" w:cstheme="minorBidi"/>
        </w:rPr>
      </w:pPr>
      <w:r w:rsidRPr="2B291ADF">
        <w:rPr>
          <w:rFonts w:asciiTheme="minorHAnsi" w:eastAsia="Calibri" w:hAnsiTheme="minorHAnsi" w:cstheme="minorBidi"/>
          <w:b/>
          <w:bCs/>
        </w:rPr>
        <w:t>Status</w:t>
      </w:r>
      <w:r w:rsidR="528BF126" w:rsidRPr="2B291ADF">
        <w:rPr>
          <w:rFonts w:asciiTheme="minorHAnsi" w:eastAsia="Calibri" w:hAnsiTheme="minorHAnsi" w:cstheme="minorBidi"/>
          <w:b/>
          <w:bCs/>
        </w:rPr>
        <w:t>:</w:t>
      </w:r>
      <w:r w:rsidR="348E423E" w:rsidRPr="2B291ADF">
        <w:rPr>
          <w:rFonts w:asciiTheme="minorHAnsi" w:eastAsia="Calibri" w:hAnsiTheme="minorHAnsi" w:cstheme="minorBidi"/>
          <w:b/>
          <w:bCs/>
          <w:color w:val="7030A0"/>
        </w:rPr>
        <w:t xml:space="preserve">  </w:t>
      </w:r>
      <w:r w:rsidR="39C6A663" w:rsidRPr="2B291ADF">
        <w:rPr>
          <w:rStyle w:val="cf01"/>
          <w:rFonts w:asciiTheme="minorHAnsi" w:hAnsiTheme="minorHAnsi" w:cstheme="minorBidi"/>
          <w:sz w:val="24"/>
          <w:szCs w:val="24"/>
        </w:rPr>
        <w:t xml:space="preserve">ADOSH’s inspection goal </w:t>
      </w:r>
      <w:r w:rsidR="00A71BEA">
        <w:rPr>
          <w:rStyle w:val="cf01"/>
          <w:rFonts w:asciiTheme="minorHAnsi" w:hAnsiTheme="minorHAnsi" w:cstheme="minorBidi"/>
          <w:sz w:val="24"/>
          <w:szCs w:val="24"/>
        </w:rPr>
        <w:t xml:space="preserve">in FY 2022 </w:t>
      </w:r>
      <w:r w:rsidR="39C6A663" w:rsidRPr="2B291ADF">
        <w:rPr>
          <w:rStyle w:val="cf01"/>
          <w:rFonts w:asciiTheme="minorHAnsi" w:hAnsiTheme="minorHAnsi" w:cstheme="minorBidi"/>
          <w:sz w:val="24"/>
          <w:szCs w:val="24"/>
        </w:rPr>
        <w:t>was 505 safety and 270 health for a total of 775.</w:t>
      </w:r>
      <w:r w:rsidRPr="2B291ADF">
        <w:rPr>
          <w:rStyle w:val="cf01"/>
          <w:rFonts w:asciiTheme="minorHAnsi" w:eastAsia="Calibri" w:hAnsiTheme="minorHAnsi" w:cstheme="minorBidi"/>
          <w:sz w:val="24"/>
          <w:szCs w:val="24"/>
        </w:rPr>
        <w:t xml:space="preserve"> </w:t>
      </w:r>
      <w:r w:rsidR="30637AFC" w:rsidRPr="2B291ADF">
        <w:rPr>
          <w:rStyle w:val="cf01"/>
          <w:rFonts w:asciiTheme="minorHAnsi" w:eastAsia="Calibri" w:hAnsiTheme="minorHAnsi" w:cstheme="minorBidi"/>
          <w:sz w:val="24"/>
          <w:szCs w:val="24"/>
        </w:rPr>
        <w:t xml:space="preserve"> </w:t>
      </w:r>
      <w:r w:rsidR="30637AFC" w:rsidRPr="2B291ADF">
        <w:rPr>
          <w:rFonts w:asciiTheme="minorHAnsi" w:eastAsia="Calibri" w:hAnsiTheme="minorHAnsi" w:cstheme="minorBidi"/>
        </w:rPr>
        <w:t xml:space="preserve">ADOSH conducted </w:t>
      </w:r>
      <w:r w:rsidR="15E1FA1D" w:rsidRPr="2B291ADF">
        <w:rPr>
          <w:rFonts w:asciiTheme="minorHAnsi" w:eastAsia="Calibri" w:hAnsiTheme="minorHAnsi" w:cstheme="minorBidi"/>
        </w:rPr>
        <w:t>350 inspections</w:t>
      </w:r>
      <w:r w:rsidR="000E0A41" w:rsidRPr="2B291ADF">
        <w:rPr>
          <w:rFonts w:asciiTheme="minorHAnsi" w:eastAsia="Calibri" w:hAnsiTheme="minorHAnsi" w:cstheme="minorBidi"/>
        </w:rPr>
        <w:t xml:space="preserve"> (</w:t>
      </w:r>
      <w:r w:rsidR="1D6E2BF9" w:rsidRPr="2B291ADF">
        <w:rPr>
          <w:rFonts w:asciiTheme="minorHAnsi" w:eastAsia="Calibri" w:hAnsiTheme="minorHAnsi" w:cstheme="minorBidi"/>
        </w:rPr>
        <w:t>244 safety</w:t>
      </w:r>
      <w:r w:rsidR="00C20101" w:rsidRPr="2B291ADF">
        <w:rPr>
          <w:rFonts w:asciiTheme="minorHAnsi" w:eastAsia="Calibri" w:hAnsiTheme="minorHAnsi" w:cstheme="minorBidi"/>
        </w:rPr>
        <w:t xml:space="preserve"> and </w:t>
      </w:r>
      <w:r w:rsidR="1D6E2BF9" w:rsidRPr="2B291ADF">
        <w:rPr>
          <w:rFonts w:asciiTheme="minorHAnsi" w:eastAsia="Calibri" w:hAnsiTheme="minorHAnsi" w:cstheme="minorBidi"/>
        </w:rPr>
        <w:t>106 health</w:t>
      </w:r>
      <w:r w:rsidR="000E0A41" w:rsidRPr="2B291ADF">
        <w:rPr>
          <w:rFonts w:asciiTheme="minorHAnsi" w:eastAsia="Calibri" w:hAnsiTheme="minorHAnsi" w:cstheme="minorBidi"/>
        </w:rPr>
        <w:t>)</w:t>
      </w:r>
      <w:r w:rsidR="00BB3F87" w:rsidRPr="2B291ADF">
        <w:rPr>
          <w:rFonts w:asciiTheme="minorHAnsi" w:eastAsia="Calibri" w:hAnsiTheme="minorHAnsi" w:cstheme="minorBidi"/>
        </w:rPr>
        <w:t xml:space="preserve"> </w:t>
      </w:r>
      <w:r w:rsidR="001E5025" w:rsidRPr="2B291ADF">
        <w:rPr>
          <w:rFonts w:asciiTheme="minorHAnsi" w:eastAsia="Calibri" w:hAnsiTheme="minorHAnsi" w:cstheme="minorBidi"/>
        </w:rPr>
        <w:t xml:space="preserve">or </w:t>
      </w:r>
      <w:r w:rsidR="15E1FA1D" w:rsidRPr="2B291ADF">
        <w:rPr>
          <w:rFonts w:asciiTheme="minorHAnsi" w:eastAsia="Calibri" w:hAnsiTheme="minorHAnsi" w:cstheme="minorBidi"/>
        </w:rPr>
        <w:t xml:space="preserve">45% of its </w:t>
      </w:r>
      <w:r w:rsidR="6CFEA832" w:rsidRPr="2B291ADF">
        <w:rPr>
          <w:rFonts w:asciiTheme="minorHAnsi" w:eastAsia="Calibri" w:hAnsiTheme="minorHAnsi" w:cstheme="minorBidi"/>
        </w:rPr>
        <w:t>goal.</w:t>
      </w:r>
      <w:r w:rsidR="6CFEA832" w:rsidRPr="2B291ADF">
        <w:rPr>
          <w:rFonts w:asciiTheme="minorHAnsi" w:eastAsia="Calibri" w:hAnsiTheme="minorHAnsi" w:cstheme="minorBidi"/>
          <w:color w:val="7030A0"/>
        </w:rPr>
        <w:t xml:space="preserve">  </w:t>
      </w:r>
      <w:r w:rsidR="348E423E" w:rsidRPr="2B291ADF">
        <w:rPr>
          <w:rStyle w:val="cf01"/>
          <w:rFonts w:asciiTheme="minorHAnsi" w:hAnsiTheme="minorHAnsi" w:cstheme="minorBidi"/>
          <w:sz w:val="24"/>
          <w:szCs w:val="24"/>
        </w:rPr>
        <w:t>The acceptable range not requiring further review is 479.75 to 530.25 for safety and 256.50 to 283.50 for health</w:t>
      </w:r>
      <w:r w:rsidR="25C38A5C" w:rsidRPr="2B291ADF">
        <w:rPr>
          <w:rFonts w:asciiTheme="minorHAnsi" w:eastAsia="Calibri" w:hAnsiTheme="minorHAnsi" w:cstheme="minorBidi"/>
          <w:color w:val="7030A0"/>
        </w:rPr>
        <w:t xml:space="preserve">. </w:t>
      </w:r>
      <w:r w:rsidR="25C38A5C" w:rsidRPr="2B291ADF">
        <w:rPr>
          <w:rFonts w:asciiTheme="minorHAnsi" w:eastAsia="Calibri" w:hAnsiTheme="minorHAnsi" w:cstheme="minorBidi"/>
        </w:rPr>
        <w:t xml:space="preserve"> </w:t>
      </w:r>
      <w:r w:rsidR="3C1E3B95" w:rsidRPr="2B291ADF">
        <w:rPr>
          <w:rFonts w:asciiTheme="minorHAnsi" w:eastAsia="Calibri" w:hAnsiTheme="minorHAnsi" w:cstheme="minorBidi"/>
        </w:rPr>
        <w:t>An increased level of s</w:t>
      </w:r>
      <w:r w:rsidR="33B23C5F" w:rsidRPr="2B291ADF">
        <w:rPr>
          <w:rFonts w:asciiTheme="minorHAnsi" w:eastAsia="Calibri" w:hAnsiTheme="minorHAnsi" w:cstheme="minorBidi"/>
        </w:rPr>
        <w:t xml:space="preserve">taffing </w:t>
      </w:r>
      <w:r w:rsidR="3C1E3B95" w:rsidRPr="2B291ADF">
        <w:rPr>
          <w:rFonts w:asciiTheme="minorHAnsi" w:eastAsia="Calibri" w:hAnsiTheme="minorHAnsi" w:cstheme="minorBidi"/>
        </w:rPr>
        <w:t>vacancies</w:t>
      </w:r>
      <w:r w:rsidR="33B23C5F" w:rsidRPr="2B291ADF">
        <w:rPr>
          <w:rFonts w:asciiTheme="minorHAnsi" w:eastAsia="Calibri" w:hAnsiTheme="minorHAnsi" w:cstheme="minorBidi"/>
        </w:rPr>
        <w:t xml:space="preserve"> </w:t>
      </w:r>
      <w:r w:rsidR="348E423E" w:rsidRPr="2B291ADF">
        <w:rPr>
          <w:rFonts w:asciiTheme="minorHAnsi" w:eastAsia="Calibri" w:hAnsiTheme="minorHAnsi" w:cstheme="minorBidi"/>
        </w:rPr>
        <w:t xml:space="preserve">and a low number of experienced staff </w:t>
      </w:r>
      <w:r w:rsidR="1C3CA3D8" w:rsidRPr="2B291ADF">
        <w:rPr>
          <w:rFonts w:asciiTheme="minorHAnsi" w:eastAsia="Calibri" w:hAnsiTheme="minorHAnsi" w:cstheme="minorBidi"/>
        </w:rPr>
        <w:t xml:space="preserve">was the </w:t>
      </w:r>
      <w:r w:rsidR="00C20101" w:rsidRPr="2B291ADF">
        <w:rPr>
          <w:rFonts w:asciiTheme="minorHAnsi" w:eastAsia="Calibri" w:hAnsiTheme="minorHAnsi" w:cstheme="minorBidi"/>
        </w:rPr>
        <w:t xml:space="preserve">most significant </w:t>
      </w:r>
      <w:r w:rsidR="1C3CA3D8" w:rsidRPr="2B291ADF">
        <w:rPr>
          <w:rFonts w:asciiTheme="minorHAnsi" w:eastAsia="Calibri" w:hAnsiTheme="minorHAnsi" w:cstheme="minorBidi"/>
        </w:rPr>
        <w:t xml:space="preserve">factor </w:t>
      </w:r>
      <w:r w:rsidR="00C20101" w:rsidRPr="2B291ADF">
        <w:rPr>
          <w:rFonts w:asciiTheme="minorHAnsi" w:eastAsia="Calibri" w:hAnsiTheme="minorHAnsi" w:cstheme="minorBidi"/>
        </w:rPr>
        <w:t>for</w:t>
      </w:r>
      <w:r w:rsidR="1C3CA3D8" w:rsidRPr="2B291ADF">
        <w:rPr>
          <w:rFonts w:asciiTheme="minorHAnsi" w:eastAsia="Calibri" w:hAnsiTheme="minorHAnsi" w:cstheme="minorBidi"/>
        </w:rPr>
        <w:t xml:space="preserve"> not achieving </w:t>
      </w:r>
      <w:r w:rsidR="00C20101" w:rsidRPr="2B291ADF">
        <w:rPr>
          <w:rFonts w:asciiTheme="minorHAnsi" w:eastAsia="Calibri" w:hAnsiTheme="minorHAnsi" w:cstheme="minorBidi"/>
        </w:rPr>
        <w:t>its</w:t>
      </w:r>
      <w:r w:rsidR="1C3CA3D8" w:rsidRPr="2B291ADF">
        <w:rPr>
          <w:rFonts w:asciiTheme="minorHAnsi" w:eastAsia="Calibri" w:hAnsiTheme="minorHAnsi" w:cstheme="minorBidi"/>
        </w:rPr>
        <w:t xml:space="preserve"> </w:t>
      </w:r>
      <w:r w:rsidR="1222AECA" w:rsidRPr="2B291ADF">
        <w:rPr>
          <w:rFonts w:asciiTheme="minorHAnsi" w:eastAsia="Calibri" w:hAnsiTheme="minorHAnsi" w:cstheme="minorBidi"/>
        </w:rPr>
        <w:t xml:space="preserve">inspection </w:t>
      </w:r>
      <w:r w:rsidR="33B23C5F" w:rsidRPr="2B291ADF">
        <w:rPr>
          <w:rFonts w:asciiTheme="minorHAnsi" w:eastAsia="Calibri" w:hAnsiTheme="minorHAnsi" w:cstheme="minorBidi"/>
        </w:rPr>
        <w:t>goal</w:t>
      </w:r>
      <w:r w:rsidR="348E423E" w:rsidRPr="2B291ADF">
        <w:rPr>
          <w:rFonts w:asciiTheme="minorHAnsi" w:eastAsia="Calibri" w:hAnsiTheme="minorHAnsi" w:cstheme="minorBidi"/>
        </w:rPr>
        <w:t>s</w:t>
      </w:r>
      <w:r w:rsidR="33B23C5F" w:rsidRPr="2B291ADF">
        <w:rPr>
          <w:rFonts w:asciiTheme="minorHAnsi" w:eastAsia="Calibri" w:hAnsiTheme="minorHAnsi" w:cstheme="minorBidi"/>
        </w:rPr>
        <w:t>.</w:t>
      </w:r>
      <w:r w:rsidR="0EA4A9EC" w:rsidRPr="2B291ADF">
        <w:rPr>
          <w:rFonts w:asciiTheme="minorHAnsi" w:eastAsia="Calibri" w:hAnsiTheme="minorHAnsi" w:cstheme="minorBidi"/>
        </w:rPr>
        <w:t xml:space="preserve"> </w:t>
      </w:r>
      <w:r w:rsidR="77484BBA" w:rsidRPr="2B291ADF">
        <w:rPr>
          <w:rFonts w:asciiTheme="minorHAnsi" w:eastAsia="Calibri" w:hAnsiTheme="minorHAnsi" w:cstheme="minorBidi"/>
          <w:color w:val="7030A0"/>
        </w:rPr>
        <w:t xml:space="preserve"> </w:t>
      </w:r>
      <w:r w:rsidRPr="2B291ADF">
        <w:rPr>
          <w:rFonts w:asciiTheme="minorHAnsi" w:eastAsia="Calibri" w:hAnsiTheme="minorHAnsi" w:cstheme="minorBidi"/>
        </w:rPr>
        <w:t>This finding remains open.</w:t>
      </w:r>
    </w:p>
    <w:p w14:paraId="59836E01" w14:textId="3736AB39" w:rsidR="7937A586" w:rsidRDefault="7937A586" w:rsidP="000B58F1">
      <w:r w:rsidRPr="090008D6">
        <w:rPr>
          <w:rFonts w:eastAsia="Calibri" w:cs="Calibri"/>
          <w:i/>
          <w:iCs/>
        </w:rPr>
        <w:t xml:space="preserve"> </w:t>
      </w:r>
    </w:p>
    <w:p w14:paraId="24BB8F5F" w14:textId="086D43F9" w:rsidR="00F9212D" w:rsidRPr="001657CA" w:rsidRDefault="7937A586" w:rsidP="000B58F1">
      <w:pPr>
        <w:rPr>
          <w:rFonts w:eastAsia="Calibri" w:cs="Calibri"/>
        </w:rPr>
      </w:pPr>
      <w:r w:rsidRPr="090008D6">
        <w:rPr>
          <w:rFonts w:eastAsia="Calibri" w:cs="Calibri"/>
          <w:b/>
          <w:bCs/>
        </w:rPr>
        <w:t xml:space="preserve">Finding </w:t>
      </w:r>
      <w:r w:rsidR="000546AC">
        <w:rPr>
          <w:rFonts w:eastAsia="Calibri" w:cs="Calibri"/>
          <w:b/>
          <w:bCs/>
        </w:rPr>
        <w:t xml:space="preserve">FY </w:t>
      </w:r>
      <w:r w:rsidRPr="090008D6">
        <w:rPr>
          <w:rFonts w:eastAsia="Calibri" w:cs="Calibri"/>
          <w:b/>
          <w:bCs/>
        </w:rPr>
        <w:t>2022-02 (FY 2021-03):</w:t>
      </w:r>
      <w:r w:rsidR="00F9212D">
        <w:rPr>
          <w:rFonts w:eastAsia="Calibri" w:cs="Calibri"/>
          <w:b/>
          <w:bCs/>
        </w:rPr>
        <w:t xml:space="preserve">  </w:t>
      </w:r>
      <w:r w:rsidR="00F9212D" w:rsidRPr="001657CA">
        <w:rPr>
          <w:rFonts w:eastAsia="Calibri" w:cs="Calibri"/>
        </w:rPr>
        <w:t>A total of 276 of the projected 525 construction</w:t>
      </w:r>
    </w:p>
    <w:p w14:paraId="729BCB1B" w14:textId="7BB62588" w:rsidR="7937A586" w:rsidRDefault="00F9212D" w:rsidP="000B58F1">
      <w:pPr>
        <w:rPr>
          <w:rFonts w:eastAsia="Calibri" w:cs="Calibri"/>
        </w:rPr>
      </w:pPr>
      <w:r w:rsidRPr="001657CA">
        <w:rPr>
          <w:rFonts w:eastAsia="Calibri" w:cs="Calibri"/>
        </w:rPr>
        <w:lastRenderedPageBreak/>
        <w:t>inspections (53%) were c</w:t>
      </w:r>
      <w:r w:rsidR="00DD2068" w:rsidRPr="001657CA">
        <w:rPr>
          <w:rFonts w:eastAsia="Calibri" w:cs="Calibri"/>
        </w:rPr>
        <w:t xml:space="preserve">onducted.  A total of 185 (23% of the goal of 800) violations were issued </w:t>
      </w:r>
      <w:r w:rsidR="00D14D40" w:rsidRPr="001657CA">
        <w:rPr>
          <w:rFonts w:eastAsia="Calibri" w:cs="Calibri"/>
        </w:rPr>
        <w:t>fo</w:t>
      </w:r>
      <w:r w:rsidRPr="001657CA">
        <w:rPr>
          <w:rFonts w:eastAsia="Calibri" w:cs="Calibri"/>
        </w:rPr>
        <w:t>r FY 2021.</w:t>
      </w:r>
    </w:p>
    <w:p w14:paraId="6694B90B" w14:textId="7E0937E6" w:rsidR="7937A586" w:rsidRDefault="7937A586" w:rsidP="000B58F1">
      <w:r w:rsidRPr="090008D6">
        <w:rPr>
          <w:rFonts w:eastAsia="Calibri" w:cs="Calibri"/>
          <w:b/>
          <w:bCs/>
          <w:color w:val="7030A0"/>
        </w:rPr>
        <w:t xml:space="preserve"> </w:t>
      </w:r>
    </w:p>
    <w:p w14:paraId="2B8EE29F" w14:textId="67BC1877" w:rsidR="7937A586" w:rsidRDefault="5D201B82" w:rsidP="000B58F1">
      <w:r w:rsidRPr="40A63180">
        <w:rPr>
          <w:rFonts w:eastAsia="Calibri" w:cs="Calibri"/>
          <w:b/>
          <w:bCs/>
        </w:rPr>
        <w:t xml:space="preserve">Status:  </w:t>
      </w:r>
      <w:r w:rsidR="06457867" w:rsidRPr="40A63180">
        <w:rPr>
          <w:rFonts w:eastAsia="Calibri" w:cs="Calibri"/>
        </w:rPr>
        <w:t>According t</w:t>
      </w:r>
      <w:r w:rsidR="7F2AC8CB" w:rsidRPr="40A63180">
        <w:rPr>
          <w:rFonts w:eastAsia="Calibri" w:cs="Calibri"/>
        </w:rPr>
        <w:t xml:space="preserve">o the </w:t>
      </w:r>
      <w:r w:rsidR="3BAC3392" w:rsidRPr="40A63180">
        <w:rPr>
          <w:rFonts w:eastAsia="Calibri" w:cs="Calibri"/>
        </w:rPr>
        <w:t>OIS Scan Summary Report</w:t>
      </w:r>
      <w:r w:rsidR="0DEACC6C" w:rsidRPr="40A63180">
        <w:rPr>
          <w:rFonts w:eastAsia="Calibri" w:cs="Calibri"/>
        </w:rPr>
        <w:t xml:space="preserve">, </w:t>
      </w:r>
      <w:r w:rsidR="0010277B">
        <w:rPr>
          <w:rFonts w:eastAsia="Calibri" w:cs="Calibri"/>
        </w:rPr>
        <w:t xml:space="preserve">in FY 2022, </w:t>
      </w:r>
      <w:r w:rsidR="2D93D136" w:rsidRPr="40A63180">
        <w:rPr>
          <w:rFonts w:eastAsia="Calibri" w:cs="Calibri"/>
        </w:rPr>
        <w:t>ADOSH conducted 162</w:t>
      </w:r>
      <w:r w:rsidR="00056114" w:rsidRPr="40A63180">
        <w:rPr>
          <w:rFonts w:eastAsia="Calibri" w:cs="Calibri"/>
        </w:rPr>
        <w:t xml:space="preserve"> inspections</w:t>
      </w:r>
      <w:r w:rsidR="003F2AF6">
        <w:rPr>
          <w:rFonts w:eastAsia="Calibri" w:cs="Calibri"/>
        </w:rPr>
        <w:t xml:space="preserve"> </w:t>
      </w:r>
      <w:r w:rsidR="003F2AF6" w:rsidRPr="40A63180">
        <w:rPr>
          <w:rFonts w:eastAsia="Calibri" w:cs="Calibri"/>
        </w:rPr>
        <w:t>and issued 185 violations</w:t>
      </w:r>
      <w:r w:rsidR="00C20101" w:rsidRPr="40A63180">
        <w:rPr>
          <w:rFonts w:eastAsia="Calibri" w:cs="Calibri"/>
        </w:rPr>
        <w:t xml:space="preserve"> </w:t>
      </w:r>
      <w:r w:rsidR="003F2AF6">
        <w:rPr>
          <w:rFonts w:eastAsia="Calibri" w:cs="Calibri"/>
        </w:rPr>
        <w:t xml:space="preserve">in the </w:t>
      </w:r>
      <w:r w:rsidR="6F90498A" w:rsidRPr="40A63180">
        <w:rPr>
          <w:rFonts w:eastAsia="Calibri" w:cs="Calibri"/>
        </w:rPr>
        <w:t>construction industry</w:t>
      </w:r>
      <w:r w:rsidR="003F2AF6">
        <w:rPr>
          <w:rFonts w:eastAsia="Calibri" w:cs="Calibri"/>
        </w:rPr>
        <w:t xml:space="preserve"> </w:t>
      </w:r>
      <w:r w:rsidR="003F2AF6" w:rsidRPr="40A63180">
        <w:rPr>
          <w:rFonts w:eastAsia="Calibri" w:cs="Calibri"/>
        </w:rPr>
        <w:t>falling</w:t>
      </w:r>
      <w:r w:rsidR="003F2AF6">
        <w:rPr>
          <w:rFonts w:eastAsia="Calibri" w:cs="Calibri"/>
        </w:rPr>
        <w:t xml:space="preserve"> short of its goal of 300 construction inspections and violations.  </w:t>
      </w:r>
      <w:r w:rsidR="00FA396A">
        <w:rPr>
          <w:rFonts w:eastAsia="Calibri" w:cs="Calibri"/>
        </w:rPr>
        <w:t>It was highlighted in the State’s SOAR</w:t>
      </w:r>
      <w:r w:rsidR="005474CC">
        <w:rPr>
          <w:rFonts w:eastAsia="Calibri" w:cs="Calibri"/>
        </w:rPr>
        <w:t xml:space="preserve"> that </w:t>
      </w:r>
      <w:r w:rsidR="1689C3CD" w:rsidRPr="40A63180">
        <w:rPr>
          <w:rFonts w:eastAsia="Calibri" w:cs="Calibri"/>
        </w:rPr>
        <w:t>ADOSH did not meet projected goals in the construction indus</w:t>
      </w:r>
      <w:r w:rsidR="3E9F8920" w:rsidRPr="40A63180">
        <w:rPr>
          <w:rFonts w:eastAsia="Calibri" w:cs="Calibri"/>
        </w:rPr>
        <w:t>try</w:t>
      </w:r>
      <w:r w:rsidR="005474CC">
        <w:rPr>
          <w:rFonts w:eastAsia="Calibri" w:cs="Calibri"/>
        </w:rPr>
        <w:t>.</w:t>
      </w:r>
      <w:r w:rsidR="3E9F8920" w:rsidRPr="40A63180">
        <w:rPr>
          <w:rFonts w:eastAsia="Calibri" w:cs="Calibri"/>
        </w:rPr>
        <w:t xml:space="preserve"> </w:t>
      </w:r>
      <w:r w:rsidR="0048018F">
        <w:rPr>
          <w:rFonts w:eastAsia="Calibri" w:cs="Calibri"/>
        </w:rPr>
        <w:t xml:space="preserve"> </w:t>
      </w:r>
      <w:r w:rsidR="009E6C1D">
        <w:rPr>
          <w:rFonts w:eastAsia="Calibri" w:cs="Calibri"/>
        </w:rPr>
        <w:t>The report</w:t>
      </w:r>
      <w:r w:rsidR="00056114" w:rsidRPr="40A63180">
        <w:rPr>
          <w:rFonts w:eastAsia="Calibri" w:cs="Calibri"/>
        </w:rPr>
        <w:t xml:space="preserve"> identified that </w:t>
      </w:r>
      <w:r w:rsidR="188627D9" w:rsidRPr="40A63180">
        <w:rPr>
          <w:rFonts w:eastAsia="Calibri" w:cs="Calibri"/>
        </w:rPr>
        <w:t>2</w:t>
      </w:r>
      <w:r w:rsidR="29A4AC5D" w:rsidRPr="40A63180">
        <w:rPr>
          <w:rFonts w:eastAsia="Calibri" w:cs="Calibri"/>
        </w:rPr>
        <w:t>49</w:t>
      </w:r>
      <w:r w:rsidR="188627D9" w:rsidRPr="40A63180">
        <w:rPr>
          <w:rFonts w:eastAsia="Calibri" w:cs="Calibri"/>
        </w:rPr>
        <w:t xml:space="preserve"> </w:t>
      </w:r>
      <w:r w:rsidR="2000AF12" w:rsidRPr="40A63180">
        <w:rPr>
          <w:rFonts w:eastAsia="Calibri" w:cs="Calibri"/>
        </w:rPr>
        <w:t>c</w:t>
      </w:r>
      <w:r w:rsidR="1689C3CD" w:rsidRPr="40A63180">
        <w:rPr>
          <w:rFonts w:eastAsia="Calibri" w:cs="Calibri"/>
        </w:rPr>
        <w:t xml:space="preserve">onstruction </w:t>
      </w:r>
      <w:r w:rsidR="188627D9" w:rsidRPr="40A63180">
        <w:rPr>
          <w:rFonts w:eastAsia="Calibri" w:cs="Calibri"/>
        </w:rPr>
        <w:t xml:space="preserve">inspections </w:t>
      </w:r>
      <w:r w:rsidR="009E6C1D">
        <w:rPr>
          <w:rFonts w:eastAsia="Calibri" w:cs="Calibri"/>
        </w:rPr>
        <w:t>were conducted, resulting in</w:t>
      </w:r>
      <w:r w:rsidR="003F2AF6">
        <w:rPr>
          <w:rFonts w:eastAsia="Calibri" w:cs="Calibri"/>
        </w:rPr>
        <w:t xml:space="preserve"> </w:t>
      </w:r>
      <w:r w:rsidR="29A4AC5D" w:rsidRPr="40A63180">
        <w:rPr>
          <w:rFonts w:eastAsia="Calibri" w:cs="Calibri"/>
        </w:rPr>
        <w:t>221 violations</w:t>
      </w:r>
      <w:r w:rsidR="00056114" w:rsidRPr="40A63180">
        <w:rPr>
          <w:rFonts w:eastAsia="Calibri" w:cs="Calibri"/>
        </w:rPr>
        <w:t xml:space="preserve"> </w:t>
      </w:r>
      <w:r w:rsidR="009E6C1D">
        <w:rPr>
          <w:rFonts w:eastAsia="Calibri" w:cs="Calibri"/>
        </w:rPr>
        <w:t>issued.</w:t>
      </w:r>
      <w:r w:rsidR="29A4AC5D" w:rsidRPr="40A63180">
        <w:rPr>
          <w:rFonts w:eastAsia="Calibri" w:cs="Calibri"/>
        </w:rPr>
        <w:t xml:space="preserve">  Differences in the data </w:t>
      </w:r>
      <w:r w:rsidR="1B73A739" w:rsidRPr="40A63180">
        <w:rPr>
          <w:rFonts w:eastAsia="Calibri" w:cs="Calibri"/>
        </w:rPr>
        <w:t>we</w:t>
      </w:r>
      <w:r w:rsidR="29A4AC5D" w:rsidRPr="40A63180">
        <w:rPr>
          <w:rFonts w:eastAsia="Calibri" w:cs="Calibri"/>
        </w:rPr>
        <w:t>re attributed to data transfer between Salesforce and OIS</w:t>
      </w:r>
      <w:r w:rsidR="61B14351" w:rsidRPr="40A63180">
        <w:rPr>
          <w:rFonts w:eastAsia="Calibri" w:cs="Calibri"/>
        </w:rPr>
        <w:t>.</w:t>
      </w:r>
      <w:r w:rsidR="29A4AC5D" w:rsidRPr="40A63180">
        <w:rPr>
          <w:rFonts w:eastAsia="Calibri" w:cs="Calibri"/>
        </w:rPr>
        <w:t xml:space="preserve"> </w:t>
      </w:r>
      <w:r w:rsidRPr="40A63180">
        <w:rPr>
          <w:rFonts w:eastAsia="Calibri" w:cs="Calibri"/>
        </w:rPr>
        <w:t>This finding remains open.</w:t>
      </w:r>
    </w:p>
    <w:p w14:paraId="04E48E5C" w14:textId="71300307" w:rsidR="7937A586" w:rsidRDefault="7937A586" w:rsidP="000B58F1">
      <w:r w:rsidRPr="090008D6">
        <w:rPr>
          <w:rFonts w:eastAsia="Calibri" w:cs="Calibri"/>
          <w:b/>
          <w:bCs/>
        </w:rPr>
        <w:t xml:space="preserve"> </w:t>
      </w:r>
    </w:p>
    <w:p w14:paraId="50B2A59E" w14:textId="302FE683" w:rsidR="7937A586" w:rsidRDefault="7937A586" w:rsidP="000B58F1">
      <w:r w:rsidRPr="090008D6">
        <w:rPr>
          <w:rFonts w:eastAsia="Calibri" w:cs="Calibri"/>
          <w:b/>
          <w:bCs/>
        </w:rPr>
        <w:t xml:space="preserve">Finding FY 2022-03 (FY 2021-05):  </w:t>
      </w:r>
      <w:r w:rsidR="007F1897" w:rsidRPr="007F1897">
        <w:rPr>
          <w:rFonts w:eastAsia="Calibri" w:cs="Calibri"/>
        </w:rPr>
        <w:t xml:space="preserve">In FY 2021, </w:t>
      </w:r>
      <w:r w:rsidR="007F1897">
        <w:rPr>
          <w:rFonts w:eastAsia="Calibri" w:cs="Calibri"/>
        </w:rPr>
        <w:t>t</w:t>
      </w:r>
      <w:r w:rsidRPr="090008D6">
        <w:rPr>
          <w:rFonts w:eastAsia="Calibri" w:cs="Calibri"/>
        </w:rPr>
        <w:t>here were 23 violations where the severity assessed was not supported by the case file documentation.</w:t>
      </w:r>
    </w:p>
    <w:p w14:paraId="68BF743B" w14:textId="288A8875" w:rsidR="7937A586" w:rsidRDefault="7937A586" w:rsidP="000B58F1">
      <w:r w:rsidRPr="090008D6">
        <w:rPr>
          <w:rFonts w:eastAsia="Calibri" w:cs="Calibri"/>
        </w:rPr>
        <w:t xml:space="preserve"> </w:t>
      </w:r>
    </w:p>
    <w:p w14:paraId="14FEA293" w14:textId="0B8EBD74" w:rsidR="7937A586" w:rsidRDefault="5D201B82" w:rsidP="000B58F1">
      <w:r w:rsidRPr="56B52501">
        <w:rPr>
          <w:rFonts w:eastAsia="Calibri" w:cs="Calibri"/>
          <w:b/>
          <w:bCs/>
        </w:rPr>
        <w:t xml:space="preserve">Status:  </w:t>
      </w:r>
      <w:r w:rsidR="7AA3076A" w:rsidRPr="56B52501">
        <w:rPr>
          <w:rFonts w:eastAsia="Calibri" w:cs="Calibri"/>
        </w:rPr>
        <w:t xml:space="preserve">In the FY 2021 </w:t>
      </w:r>
      <w:r w:rsidR="00841CDA" w:rsidRPr="56B52501">
        <w:rPr>
          <w:rFonts w:eastAsia="Calibri" w:cs="Calibri"/>
        </w:rPr>
        <w:t xml:space="preserve">Comprehensive </w:t>
      </w:r>
      <w:r w:rsidR="7AA3076A" w:rsidRPr="56B52501">
        <w:rPr>
          <w:rFonts w:eastAsia="Calibri" w:cs="Calibri"/>
        </w:rPr>
        <w:t>FAME C</w:t>
      </w:r>
      <w:r w:rsidR="00F55142" w:rsidRPr="56B52501">
        <w:rPr>
          <w:rFonts w:eastAsia="Calibri" w:cs="Calibri"/>
        </w:rPr>
        <w:t xml:space="preserve">orrective </w:t>
      </w:r>
      <w:r w:rsidR="7AA3076A" w:rsidRPr="56B52501">
        <w:rPr>
          <w:rFonts w:eastAsia="Calibri" w:cs="Calibri"/>
        </w:rPr>
        <w:t>A</w:t>
      </w:r>
      <w:r w:rsidR="00F55142" w:rsidRPr="56B52501">
        <w:rPr>
          <w:rFonts w:eastAsia="Calibri" w:cs="Calibri"/>
        </w:rPr>
        <w:t xml:space="preserve">ction </w:t>
      </w:r>
      <w:r w:rsidR="7AA3076A" w:rsidRPr="56B52501">
        <w:rPr>
          <w:rFonts w:eastAsia="Calibri" w:cs="Calibri"/>
        </w:rPr>
        <w:t>P</w:t>
      </w:r>
      <w:r w:rsidR="00F55142" w:rsidRPr="56B52501">
        <w:rPr>
          <w:rFonts w:eastAsia="Calibri" w:cs="Calibri"/>
        </w:rPr>
        <w:t>lan (CAP)</w:t>
      </w:r>
      <w:r w:rsidR="7AA3076A" w:rsidRPr="56B52501">
        <w:rPr>
          <w:rFonts w:eastAsia="Calibri" w:cs="Calibri"/>
        </w:rPr>
        <w:t xml:space="preserve">, ADOSH stated that employees will continue to be trained on documenting safety and health violations </w:t>
      </w:r>
      <w:r w:rsidR="57234AA5" w:rsidRPr="56B52501">
        <w:rPr>
          <w:rFonts w:eastAsia="Calibri" w:cs="Calibri"/>
        </w:rPr>
        <w:t xml:space="preserve">or interviews </w:t>
      </w:r>
      <w:r w:rsidR="7AA3076A" w:rsidRPr="56B52501">
        <w:rPr>
          <w:rFonts w:eastAsia="Calibri" w:cs="Calibri"/>
        </w:rPr>
        <w:t>within their field notes and will use the</w:t>
      </w:r>
      <w:r w:rsidR="00E04566" w:rsidRPr="56B52501">
        <w:rPr>
          <w:rFonts w:eastAsia="Calibri" w:cs="Calibri"/>
        </w:rPr>
        <w:t xml:space="preserve"> Arizona</w:t>
      </w:r>
      <w:r w:rsidR="7AA3076A" w:rsidRPr="56B52501">
        <w:rPr>
          <w:rFonts w:eastAsia="Calibri" w:cs="Calibri"/>
        </w:rPr>
        <w:t xml:space="preserve"> </w:t>
      </w:r>
      <w:r w:rsidR="0020427A" w:rsidRPr="56B52501">
        <w:rPr>
          <w:rFonts w:eastAsia="Calibri" w:cs="Calibri"/>
        </w:rPr>
        <w:t>Field Operations Manual (</w:t>
      </w:r>
      <w:r w:rsidR="00E04566" w:rsidRPr="56B52501">
        <w:rPr>
          <w:rFonts w:eastAsia="Calibri" w:cs="Calibri"/>
        </w:rPr>
        <w:t xml:space="preserve">AZ </w:t>
      </w:r>
      <w:r w:rsidR="7AA3076A" w:rsidRPr="56B52501">
        <w:rPr>
          <w:rFonts w:eastAsia="Calibri" w:cs="Calibri"/>
        </w:rPr>
        <w:t>FOM</w:t>
      </w:r>
      <w:r w:rsidR="0020427A" w:rsidRPr="56B52501">
        <w:rPr>
          <w:rFonts w:eastAsia="Calibri" w:cs="Calibri"/>
        </w:rPr>
        <w:t>)</w:t>
      </w:r>
      <w:r w:rsidR="7AA3076A" w:rsidRPr="56B52501">
        <w:rPr>
          <w:rFonts w:eastAsia="Calibri" w:cs="Calibri"/>
        </w:rPr>
        <w:t xml:space="preserve"> Probability Factors </w:t>
      </w:r>
      <w:r w:rsidR="00EA7DD9" w:rsidRPr="56B52501">
        <w:rPr>
          <w:rFonts w:eastAsia="Calibri" w:cs="Calibri"/>
        </w:rPr>
        <w:t>W</w:t>
      </w:r>
      <w:r w:rsidR="00EF7854" w:rsidRPr="56B52501">
        <w:rPr>
          <w:rFonts w:eastAsia="Calibri" w:cs="Calibri"/>
        </w:rPr>
        <w:t xml:space="preserve">orksheet </w:t>
      </w:r>
      <w:r w:rsidR="7AA3076A" w:rsidRPr="56B52501">
        <w:rPr>
          <w:rFonts w:eastAsia="Calibri" w:cs="Calibri"/>
        </w:rPr>
        <w:t xml:space="preserve">to support the violations.  This information was communicated with all compliance staff on August 10, 2022.  </w:t>
      </w:r>
      <w:r w:rsidRPr="56B52501">
        <w:rPr>
          <w:rFonts w:eastAsia="Calibri" w:cs="Calibri"/>
        </w:rPr>
        <w:t>A case file review is necessary to</w:t>
      </w:r>
      <w:r w:rsidR="00A46A06">
        <w:rPr>
          <w:rFonts w:eastAsia="Calibri" w:cs="Calibri"/>
        </w:rPr>
        <w:t xml:space="preserve"> </w:t>
      </w:r>
      <w:r w:rsidR="00D61AE1">
        <w:rPr>
          <w:rFonts w:eastAsia="Calibri" w:cs="Calibri"/>
        </w:rPr>
        <w:t xml:space="preserve">gather the facts needed to </w:t>
      </w:r>
      <w:r w:rsidRPr="56B52501">
        <w:rPr>
          <w:rFonts w:eastAsia="Calibri" w:cs="Calibri"/>
        </w:rPr>
        <w:t xml:space="preserve">evaluate </w:t>
      </w:r>
      <w:r w:rsidR="7898E972" w:rsidRPr="56B52501">
        <w:rPr>
          <w:rFonts w:eastAsia="Calibri" w:cs="Calibri"/>
        </w:rPr>
        <w:t xml:space="preserve">progress </w:t>
      </w:r>
      <w:r w:rsidR="138AA0FA" w:rsidRPr="56B52501">
        <w:rPr>
          <w:rFonts w:eastAsia="Calibri" w:cs="Calibri"/>
        </w:rPr>
        <w:t>on</w:t>
      </w:r>
      <w:r w:rsidR="2AC02F65" w:rsidRPr="56B52501">
        <w:rPr>
          <w:rFonts w:eastAsia="Calibri" w:cs="Calibri"/>
        </w:rPr>
        <w:t xml:space="preserve"> </w:t>
      </w:r>
      <w:r w:rsidRPr="56B52501">
        <w:rPr>
          <w:rFonts w:eastAsia="Calibri" w:cs="Calibri"/>
        </w:rPr>
        <w:t xml:space="preserve">this finding.  This finding will be a focus </w:t>
      </w:r>
      <w:r w:rsidR="41CE8720" w:rsidRPr="56B52501">
        <w:rPr>
          <w:rFonts w:eastAsia="Calibri" w:cs="Calibri"/>
        </w:rPr>
        <w:t>of next year’s</w:t>
      </w:r>
      <w:r w:rsidRPr="56B52501">
        <w:rPr>
          <w:rFonts w:eastAsia="Calibri" w:cs="Calibri"/>
        </w:rPr>
        <w:t xml:space="preserve"> on-site case file review </w:t>
      </w:r>
      <w:r w:rsidR="41CE8720" w:rsidRPr="56B52501">
        <w:rPr>
          <w:rFonts w:eastAsia="Calibri" w:cs="Calibri"/>
        </w:rPr>
        <w:t>during</w:t>
      </w:r>
      <w:r w:rsidRPr="56B52501">
        <w:rPr>
          <w:rFonts w:eastAsia="Calibri" w:cs="Calibri"/>
        </w:rPr>
        <w:t xml:space="preserve"> the FY 2023 comprehensive FAME</w:t>
      </w:r>
      <w:r w:rsidR="68569114" w:rsidRPr="56B52501">
        <w:rPr>
          <w:rFonts w:eastAsia="Calibri" w:cs="Calibri"/>
        </w:rPr>
        <w:t xml:space="preserve"> </w:t>
      </w:r>
      <w:r w:rsidR="0020427A" w:rsidRPr="56B52501">
        <w:rPr>
          <w:rFonts w:eastAsia="Calibri" w:cs="Calibri"/>
        </w:rPr>
        <w:t xml:space="preserve">on-site </w:t>
      </w:r>
      <w:r w:rsidR="68569114" w:rsidRPr="56B52501">
        <w:rPr>
          <w:rFonts w:eastAsia="Calibri" w:cs="Calibri"/>
        </w:rPr>
        <w:t>and</w:t>
      </w:r>
      <w:r w:rsidRPr="56B52501">
        <w:rPr>
          <w:rFonts w:eastAsia="Calibri" w:cs="Calibri"/>
        </w:rPr>
        <w:t xml:space="preserve"> </w:t>
      </w:r>
      <w:r w:rsidR="2AC02F65" w:rsidRPr="56B52501">
        <w:rPr>
          <w:rFonts w:eastAsia="Calibri" w:cs="Calibri"/>
        </w:rPr>
        <w:t xml:space="preserve">remains </w:t>
      </w:r>
      <w:r w:rsidR="076CEC8D" w:rsidRPr="56B52501">
        <w:rPr>
          <w:rFonts w:eastAsia="Calibri" w:cs="Calibri"/>
        </w:rPr>
        <w:t>open</w:t>
      </w:r>
      <w:r w:rsidRPr="56B52501">
        <w:rPr>
          <w:rFonts w:eastAsia="Calibri" w:cs="Calibri"/>
        </w:rPr>
        <w:t>.</w:t>
      </w:r>
    </w:p>
    <w:p w14:paraId="0E142451" w14:textId="798ED2C9" w:rsidR="7937A586" w:rsidRDefault="7937A586" w:rsidP="000B58F1"/>
    <w:p w14:paraId="764D3BE6" w14:textId="38AAF859" w:rsidR="4C30ACDD" w:rsidRDefault="4C30ACDD" w:rsidP="000B58F1">
      <w:pPr>
        <w:widowControl/>
        <w:rPr>
          <w:rFonts w:eastAsia="Calibri" w:cs="Calibri"/>
        </w:rPr>
      </w:pPr>
      <w:r w:rsidRPr="56B52501">
        <w:rPr>
          <w:rFonts w:eastAsia="Calibri" w:cs="Calibri"/>
          <w:b/>
          <w:bCs/>
        </w:rPr>
        <w:t xml:space="preserve">Finding FY 2022-04 (FY 2021-07):  </w:t>
      </w:r>
      <w:r w:rsidR="007F1897">
        <w:rPr>
          <w:rFonts w:eastAsia="Calibri" w:cs="Calibri"/>
        </w:rPr>
        <w:t>In FY 2021, t</w:t>
      </w:r>
      <w:r w:rsidRPr="56B52501">
        <w:rPr>
          <w:rFonts w:eastAsia="Calibri" w:cs="Calibri"/>
        </w:rPr>
        <w:t>he Probability Factors Worksheet was not constructed to assign numerical value to calculate all the factors from the AZ FOM.</w:t>
      </w:r>
    </w:p>
    <w:p w14:paraId="6848A290" w14:textId="7B9544D2" w:rsidR="4C30ACDD" w:rsidRDefault="4C30ACDD" w:rsidP="000B58F1">
      <w:pPr>
        <w:widowControl/>
        <w:rPr>
          <w:rFonts w:eastAsia="Calibri" w:cs="Calibri"/>
        </w:rPr>
      </w:pPr>
      <w:r w:rsidRPr="7EB95616">
        <w:rPr>
          <w:rFonts w:eastAsia="Calibri" w:cs="Calibri"/>
        </w:rPr>
        <w:t xml:space="preserve"> </w:t>
      </w:r>
    </w:p>
    <w:p w14:paraId="2D9CBEFC" w14:textId="0610EEAB" w:rsidR="4C30ACDD" w:rsidRPr="007B37DA" w:rsidRDefault="4C30ACDD" w:rsidP="000B58F1">
      <w:pPr>
        <w:widowControl/>
        <w:rPr>
          <w:rFonts w:eastAsia="Calibri" w:cs="Calibri"/>
        </w:rPr>
      </w:pPr>
      <w:r w:rsidRPr="56B52501">
        <w:rPr>
          <w:rFonts w:eastAsia="Calibri" w:cs="Calibri"/>
          <w:b/>
          <w:bCs/>
        </w:rPr>
        <w:t xml:space="preserve">Status:  </w:t>
      </w:r>
      <w:r w:rsidRPr="56B52501">
        <w:rPr>
          <w:rFonts w:eastAsia="Calibri" w:cs="Calibri"/>
        </w:rPr>
        <w:t xml:space="preserve">ADOSH edited the Probability Factors Worksheet to ensure all requirements listed in the AZ </w:t>
      </w:r>
      <w:r w:rsidR="0020427A" w:rsidRPr="56B52501">
        <w:rPr>
          <w:rFonts w:eastAsia="Calibri" w:cs="Calibri"/>
        </w:rPr>
        <w:t xml:space="preserve">FOM </w:t>
      </w:r>
      <w:r w:rsidRPr="56B52501">
        <w:rPr>
          <w:rFonts w:eastAsia="Calibri" w:cs="Calibri"/>
        </w:rPr>
        <w:t>and instructed staff about the worksheet’s utility in assessing and calculating probability</w:t>
      </w:r>
      <w:r w:rsidRPr="56B52501">
        <w:rPr>
          <w:rFonts w:eastAsia="Calibri" w:cs="Calibri"/>
          <w:b/>
          <w:bCs/>
        </w:rPr>
        <w:t>.</w:t>
      </w:r>
      <w:r w:rsidR="007B37DA" w:rsidRPr="56B52501">
        <w:rPr>
          <w:rFonts w:eastAsia="Calibri" w:cs="Calibri"/>
          <w:b/>
          <w:bCs/>
        </w:rPr>
        <w:t xml:space="preserve"> </w:t>
      </w:r>
      <w:r w:rsidR="007B37DA" w:rsidRPr="56B52501">
        <w:rPr>
          <w:rFonts w:eastAsia="Calibri" w:cs="Calibri"/>
        </w:rPr>
        <w:t xml:space="preserve"> A case file review is necessary to </w:t>
      </w:r>
      <w:r w:rsidR="004312B6">
        <w:rPr>
          <w:rFonts w:eastAsia="Calibri" w:cs="Calibri"/>
        </w:rPr>
        <w:t xml:space="preserve">gather the facts needed to </w:t>
      </w:r>
      <w:r w:rsidR="007B37DA" w:rsidRPr="56B52501">
        <w:rPr>
          <w:rFonts w:eastAsia="Calibri" w:cs="Calibri"/>
        </w:rPr>
        <w:t>evaluate progress on this finding.  This finding will be a focus of next year’s on-site case file review during the FY 2023 comprehensive FAME and remains open.</w:t>
      </w:r>
    </w:p>
    <w:p w14:paraId="2D556502" w14:textId="78F63B77" w:rsidR="317D7E89" w:rsidRDefault="317D7E89" w:rsidP="000B58F1">
      <w:pPr>
        <w:rPr>
          <w:rFonts w:eastAsia="Calibri" w:cs="Calibri"/>
          <w:b/>
          <w:bCs/>
          <w:color w:val="7030A0"/>
        </w:rPr>
      </w:pPr>
    </w:p>
    <w:p w14:paraId="5679DE14" w14:textId="6B67CEC8" w:rsidR="002F4FB0" w:rsidRDefault="002F4FB0" w:rsidP="002F4FB0">
      <w:r w:rsidRPr="011E1980">
        <w:rPr>
          <w:rFonts w:eastAsia="Calibri" w:cs="Calibri"/>
          <w:b/>
          <w:bCs/>
        </w:rPr>
        <w:t xml:space="preserve">Finding </w:t>
      </w:r>
      <w:r>
        <w:rPr>
          <w:rFonts w:eastAsia="Calibri" w:cs="Calibri"/>
          <w:b/>
          <w:bCs/>
        </w:rPr>
        <w:t>FY 2022-05 (</w:t>
      </w:r>
      <w:r w:rsidRPr="011E1980">
        <w:rPr>
          <w:rFonts w:eastAsia="Calibri" w:cs="Calibri"/>
          <w:b/>
          <w:bCs/>
        </w:rPr>
        <w:t>FY 2021-10</w:t>
      </w:r>
      <w:r>
        <w:rPr>
          <w:rFonts w:eastAsia="Calibri" w:cs="Calibri"/>
          <w:b/>
          <w:bCs/>
        </w:rPr>
        <w:t>)</w:t>
      </w:r>
      <w:r w:rsidRPr="011E1980">
        <w:rPr>
          <w:rFonts w:eastAsia="Calibri" w:cs="Calibri"/>
          <w:b/>
          <w:bCs/>
        </w:rPr>
        <w:t xml:space="preserve">:  </w:t>
      </w:r>
      <w:r w:rsidRPr="011E1980">
        <w:rPr>
          <w:rFonts w:eastAsia="Calibri" w:cs="Calibri"/>
        </w:rPr>
        <w:t>Requirements for adopting Federal Program Changes (FPCs) were not completed within six-months of the effective date of the directive or official issuance date of the Federal Register Notice.</w:t>
      </w:r>
    </w:p>
    <w:p w14:paraId="1C497B96" w14:textId="77777777" w:rsidR="002F4FB0" w:rsidRDefault="002F4FB0" w:rsidP="002F4FB0">
      <w:r w:rsidRPr="011E1980">
        <w:rPr>
          <w:rFonts w:eastAsia="Calibri" w:cs="Calibri"/>
        </w:rPr>
        <w:t xml:space="preserve"> </w:t>
      </w:r>
    </w:p>
    <w:p w14:paraId="4A16F206" w14:textId="539921B4" w:rsidR="002F4FB0" w:rsidRDefault="002F4FB0" w:rsidP="002F4FB0">
      <w:pPr>
        <w:rPr>
          <w:rFonts w:eastAsia="Calibri" w:cs="Calibri"/>
        </w:rPr>
      </w:pPr>
      <w:r w:rsidRPr="40A63180">
        <w:rPr>
          <w:rFonts w:eastAsia="Calibri" w:cs="Calibri"/>
          <w:b/>
          <w:bCs/>
        </w:rPr>
        <w:t xml:space="preserve">Status:  </w:t>
      </w:r>
      <w:r w:rsidRPr="40A63180">
        <w:rPr>
          <w:rFonts w:eastAsia="Calibri" w:cs="Calibri"/>
        </w:rPr>
        <w:t xml:space="preserve">Considerable progress has been made by ADOSH over the last year in completing the adoption of FPCs.  </w:t>
      </w:r>
      <w:r w:rsidR="00777C40" w:rsidRPr="40A63180">
        <w:rPr>
          <w:rFonts w:eastAsia="Calibri" w:cs="Calibri"/>
        </w:rPr>
        <w:t xml:space="preserve">The </w:t>
      </w:r>
      <w:r w:rsidR="008F658C" w:rsidRPr="40A63180">
        <w:rPr>
          <w:rFonts w:eastAsia="Calibri" w:cs="Calibri"/>
        </w:rPr>
        <w:t xml:space="preserve">AZ </w:t>
      </w:r>
      <w:r w:rsidR="00777C40" w:rsidRPr="40A63180">
        <w:rPr>
          <w:rFonts w:eastAsia="Calibri" w:cs="Calibri"/>
        </w:rPr>
        <w:t xml:space="preserve">FOM </w:t>
      </w:r>
      <w:r w:rsidR="006E156E" w:rsidRPr="40A63180">
        <w:rPr>
          <w:rFonts w:eastAsia="Calibri" w:cs="Calibri"/>
        </w:rPr>
        <w:t>is</w:t>
      </w:r>
      <w:r w:rsidR="00145A77" w:rsidRPr="40A63180">
        <w:rPr>
          <w:rFonts w:eastAsia="Calibri" w:cs="Calibri"/>
        </w:rPr>
        <w:t xml:space="preserve"> the </w:t>
      </w:r>
      <w:r w:rsidR="006E156E" w:rsidRPr="40A63180">
        <w:rPr>
          <w:rFonts w:eastAsia="Calibri" w:cs="Calibri"/>
        </w:rPr>
        <w:t xml:space="preserve">only outstanding FPC identified in </w:t>
      </w:r>
      <w:r w:rsidR="00145A77" w:rsidRPr="40A63180">
        <w:rPr>
          <w:rFonts w:eastAsia="Calibri" w:cs="Calibri"/>
        </w:rPr>
        <w:t xml:space="preserve">the FY 2021 Comprehensive FAME Report.  </w:t>
      </w:r>
      <w:r w:rsidRPr="40A63180">
        <w:rPr>
          <w:rFonts w:eastAsia="Calibri" w:cs="Calibri"/>
        </w:rPr>
        <w:t>This finding remains open.</w:t>
      </w:r>
    </w:p>
    <w:p w14:paraId="3CDA252C" w14:textId="77777777" w:rsidR="002F4FB0" w:rsidRDefault="002F4FB0" w:rsidP="000B58F1">
      <w:pPr>
        <w:rPr>
          <w:rFonts w:eastAsia="Calibri" w:cs="Calibri"/>
          <w:b/>
          <w:bCs/>
          <w:color w:val="7030A0"/>
        </w:rPr>
      </w:pPr>
    </w:p>
    <w:p w14:paraId="4CA927C2" w14:textId="77777777" w:rsidR="00E9586C" w:rsidRDefault="00E9586C" w:rsidP="00E9586C">
      <w:pPr>
        <w:widowControl/>
        <w:autoSpaceDE/>
        <w:autoSpaceDN/>
        <w:adjustRightInd/>
        <w:rPr>
          <w:rFonts w:asciiTheme="minorHAnsi" w:hAnsiTheme="minorHAnsi" w:cstheme="minorHAnsi"/>
        </w:rPr>
      </w:pPr>
      <w:bookmarkStart w:id="21" w:name="_Toc118900176"/>
      <w:bookmarkStart w:id="22" w:name="_Toc118905015"/>
      <w:r>
        <w:rPr>
          <w:rFonts w:asciiTheme="minorHAnsi" w:hAnsiTheme="minorHAnsi" w:cstheme="minorHAnsi"/>
          <w:b/>
          <w:bCs/>
        </w:rPr>
        <w:t>New Findings</w:t>
      </w:r>
    </w:p>
    <w:p w14:paraId="10671DEA" w14:textId="77777777" w:rsidR="00E9586C" w:rsidRDefault="00E9586C" w:rsidP="00E9586C">
      <w:pPr>
        <w:widowControl/>
        <w:autoSpaceDE/>
        <w:autoSpaceDN/>
        <w:adjustRightInd/>
        <w:rPr>
          <w:rFonts w:asciiTheme="minorHAnsi" w:hAnsiTheme="minorHAnsi" w:cstheme="minorHAnsi"/>
        </w:rPr>
      </w:pPr>
    </w:p>
    <w:p w14:paraId="5EF344B7" w14:textId="77777777" w:rsidR="00E9586C" w:rsidRPr="00995D9A" w:rsidRDefault="00E9586C" w:rsidP="00E9586C">
      <w:pPr>
        <w:widowControl/>
        <w:autoSpaceDE/>
        <w:autoSpaceDN/>
        <w:adjustRightInd/>
        <w:rPr>
          <w:rFonts w:asciiTheme="minorHAnsi" w:hAnsiTheme="minorHAnsi" w:cstheme="minorHAnsi"/>
        </w:rPr>
      </w:pPr>
      <w:r>
        <w:rPr>
          <w:rFonts w:asciiTheme="minorHAnsi" w:hAnsiTheme="minorHAnsi" w:cstheme="minorHAnsi"/>
        </w:rPr>
        <w:t>There were no new findings identified in FY 2022.</w:t>
      </w:r>
    </w:p>
    <w:p w14:paraId="5B60B91F" w14:textId="2AB4E847" w:rsidR="00E9586C" w:rsidRDefault="00B8339D" w:rsidP="000F35E3">
      <w:pPr>
        <w:pStyle w:val="Heading4"/>
      </w:pPr>
      <w:r>
        <w:br w:type="column"/>
      </w:r>
    </w:p>
    <w:p w14:paraId="49B482D8" w14:textId="7D37A924" w:rsidR="00443054" w:rsidRPr="001C1E47" w:rsidRDefault="00443054" w:rsidP="000F35E3">
      <w:pPr>
        <w:pStyle w:val="Heading4"/>
      </w:pPr>
      <w:r w:rsidRPr="001C1E47">
        <w:t>Observations</w:t>
      </w:r>
      <w:bookmarkEnd w:id="21"/>
      <w:bookmarkEnd w:id="22"/>
    </w:p>
    <w:p w14:paraId="2D0C820B" w14:textId="77777777" w:rsidR="005C1BFC" w:rsidRPr="001C1E47" w:rsidRDefault="005C1BFC" w:rsidP="000B58F1">
      <w:pPr>
        <w:widowControl/>
        <w:autoSpaceDE/>
        <w:autoSpaceDN/>
        <w:adjustRightInd/>
        <w:rPr>
          <w:rFonts w:cs="Calibri"/>
          <w:bCs/>
          <w:highlight w:val="yellow"/>
          <w:u w:val="single"/>
        </w:rPr>
      </w:pPr>
    </w:p>
    <w:p w14:paraId="370CCAAD" w14:textId="35E418E9" w:rsidR="00602EF3" w:rsidRPr="0061362E" w:rsidRDefault="004E505A" w:rsidP="000B58F1">
      <w:pPr>
        <w:widowControl/>
        <w:autoSpaceDE/>
        <w:autoSpaceDN/>
        <w:adjustRightInd/>
        <w:rPr>
          <w:rFonts w:cs="Calibri"/>
          <w:b/>
        </w:rPr>
      </w:pPr>
      <w:r w:rsidRPr="0061362E">
        <w:rPr>
          <w:rFonts w:cs="Calibri"/>
          <w:b/>
        </w:rPr>
        <w:t xml:space="preserve">Continued </w:t>
      </w:r>
      <w:r w:rsidR="00054416" w:rsidRPr="0061362E">
        <w:rPr>
          <w:rFonts w:cs="Calibri"/>
          <w:b/>
        </w:rPr>
        <w:t xml:space="preserve">FY </w:t>
      </w:r>
      <w:r w:rsidR="007C0A36" w:rsidRPr="0061362E">
        <w:rPr>
          <w:rFonts w:cs="Calibri"/>
          <w:b/>
        </w:rPr>
        <w:t>20</w:t>
      </w:r>
      <w:r w:rsidR="00185C7D" w:rsidRPr="0061362E">
        <w:rPr>
          <w:rFonts w:cs="Calibri"/>
          <w:b/>
        </w:rPr>
        <w:t>21</w:t>
      </w:r>
      <w:r w:rsidR="007C0A36" w:rsidRPr="0061362E">
        <w:rPr>
          <w:rFonts w:cs="Calibri"/>
          <w:b/>
        </w:rPr>
        <w:t xml:space="preserve"> </w:t>
      </w:r>
      <w:r w:rsidR="00443054" w:rsidRPr="0061362E">
        <w:rPr>
          <w:rFonts w:cs="Calibri"/>
          <w:b/>
        </w:rPr>
        <w:t>Observation</w:t>
      </w:r>
      <w:r w:rsidR="0061362E" w:rsidRPr="0061362E">
        <w:rPr>
          <w:rFonts w:cs="Calibri"/>
          <w:b/>
        </w:rPr>
        <w:t>s</w:t>
      </w:r>
    </w:p>
    <w:p w14:paraId="3FD36F1E" w14:textId="77777777" w:rsidR="00EA4B05" w:rsidRPr="00C9673C" w:rsidRDefault="00EA4B05" w:rsidP="000B58F1">
      <w:pPr>
        <w:widowControl/>
        <w:autoSpaceDE/>
        <w:autoSpaceDN/>
        <w:adjustRightInd/>
        <w:rPr>
          <w:rFonts w:cs="Calibri"/>
          <w:iCs/>
          <w:highlight w:val="yellow"/>
        </w:rPr>
      </w:pPr>
    </w:p>
    <w:p w14:paraId="4D4F4EA0" w14:textId="12E8CE2A" w:rsidR="54F9B8B7" w:rsidRDefault="54F9B8B7" w:rsidP="000B58F1">
      <w:pPr>
        <w:tabs>
          <w:tab w:val="left" w:pos="1890"/>
          <w:tab w:val="left" w:pos="2430"/>
        </w:tabs>
      </w:pPr>
      <w:r w:rsidRPr="40A63180">
        <w:rPr>
          <w:rFonts w:eastAsia="Calibri" w:cs="Calibri"/>
          <w:b/>
          <w:bCs/>
        </w:rPr>
        <w:t xml:space="preserve">Observation FY 2022-OB-01 (FY 2021-OB-01):  </w:t>
      </w:r>
      <w:r w:rsidRPr="40A63180">
        <w:rPr>
          <w:rFonts w:eastAsia="Calibri" w:cs="Calibri"/>
        </w:rPr>
        <w:t>The internal evaluation system was not fully utilized to identify and act on issues such as</w:t>
      </w:r>
      <w:r w:rsidR="00783401" w:rsidRPr="40A63180">
        <w:rPr>
          <w:rFonts w:eastAsia="Calibri" w:cs="Calibri"/>
        </w:rPr>
        <w:t xml:space="preserve"> unaccounted </w:t>
      </w:r>
      <w:proofErr w:type="spellStart"/>
      <w:r w:rsidR="00783401" w:rsidRPr="40A63180">
        <w:rPr>
          <w:rFonts w:eastAsia="Calibri" w:cs="Calibri"/>
        </w:rPr>
        <w:t>eComplaints</w:t>
      </w:r>
      <w:proofErr w:type="spellEnd"/>
      <w:r w:rsidR="00783401" w:rsidRPr="40A63180">
        <w:rPr>
          <w:rFonts w:eastAsia="Calibri" w:cs="Calibri"/>
        </w:rPr>
        <w:t xml:space="preserve">, </w:t>
      </w:r>
      <w:r w:rsidRPr="40A63180">
        <w:rPr>
          <w:rFonts w:eastAsia="Calibri" w:cs="Calibri"/>
        </w:rPr>
        <w:t xml:space="preserve">inspections </w:t>
      </w:r>
      <w:r w:rsidR="00A63522" w:rsidRPr="40A63180">
        <w:rPr>
          <w:rFonts w:eastAsia="Calibri" w:cs="Calibri"/>
        </w:rPr>
        <w:t>open after six</w:t>
      </w:r>
      <w:r w:rsidR="00744270" w:rsidRPr="40A63180">
        <w:rPr>
          <w:rFonts w:eastAsia="Calibri" w:cs="Calibri"/>
        </w:rPr>
        <w:t xml:space="preserve">-months with draft citations </w:t>
      </w:r>
      <w:r w:rsidR="00771706">
        <w:rPr>
          <w:rFonts w:eastAsia="Calibri" w:cs="Calibri"/>
        </w:rPr>
        <w:t xml:space="preserve">not </w:t>
      </w:r>
      <w:r w:rsidR="00771706" w:rsidRPr="40A63180">
        <w:rPr>
          <w:rFonts w:eastAsia="Calibri" w:cs="Calibri"/>
        </w:rPr>
        <w:t>issued</w:t>
      </w:r>
      <w:r w:rsidR="00744270" w:rsidRPr="40A63180">
        <w:rPr>
          <w:rFonts w:eastAsia="Calibri" w:cs="Calibri"/>
        </w:rPr>
        <w:t xml:space="preserve">, inspections </w:t>
      </w:r>
      <w:r w:rsidRPr="40A63180">
        <w:rPr>
          <w:rFonts w:eastAsia="Calibri" w:cs="Calibri"/>
        </w:rPr>
        <w:t xml:space="preserve">with no abatement entered or not accounted </w:t>
      </w:r>
      <w:r w:rsidR="00A75B9B" w:rsidRPr="40A63180">
        <w:rPr>
          <w:rFonts w:eastAsia="Calibri" w:cs="Calibri"/>
        </w:rPr>
        <w:t xml:space="preserve">for, </w:t>
      </w:r>
      <w:r w:rsidRPr="40A63180">
        <w:rPr>
          <w:rFonts w:eastAsia="Calibri" w:cs="Calibri"/>
        </w:rPr>
        <w:t>inspections where penalty payments had not been entered</w:t>
      </w:r>
      <w:r w:rsidR="00552A1F" w:rsidRPr="40A63180">
        <w:rPr>
          <w:rFonts w:eastAsia="Calibri" w:cs="Calibri"/>
        </w:rPr>
        <w:t>, other open inspections, and complaints in federal jurisdiction that were not referred to OSHA</w:t>
      </w:r>
      <w:r w:rsidRPr="40A63180">
        <w:rPr>
          <w:rFonts w:eastAsia="Calibri" w:cs="Calibri"/>
        </w:rPr>
        <w:t>.</w:t>
      </w:r>
    </w:p>
    <w:p w14:paraId="40AFD5D5" w14:textId="2A0BD618" w:rsidR="54F9B8B7" w:rsidRDefault="54F9B8B7" w:rsidP="000B58F1">
      <w:pPr>
        <w:tabs>
          <w:tab w:val="left" w:pos="1890"/>
          <w:tab w:val="left" w:pos="2430"/>
        </w:tabs>
      </w:pPr>
      <w:r w:rsidRPr="090008D6">
        <w:rPr>
          <w:rFonts w:eastAsia="Calibri" w:cs="Calibri"/>
        </w:rPr>
        <w:t xml:space="preserve"> </w:t>
      </w:r>
    </w:p>
    <w:p w14:paraId="1F06DFCF" w14:textId="7695FFAD" w:rsidR="54F9B8B7" w:rsidRDefault="2E702595" w:rsidP="000B58F1">
      <w:pPr>
        <w:tabs>
          <w:tab w:val="left" w:pos="1890"/>
          <w:tab w:val="left" w:pos="2430"/>
        </w:tabs>
      </w:pPr>
      <w:r w:rsidRPr="3E48814D">
        <w:rPr>
          <w:rFonts w:eastAsia="Calibri" w:cs="Calibri"/>
          <w:b/>
          <w:bCs/>
        </w:rPr>
        <w:t>Status:</w:t>
      </w:r>
      <w:r w:rsidR="151A0A84" w:rsidRPr="3E48814D">
        <w:rPr>
          <w:rFonts w:eastAsia="Calibri" w:cs="Calibri"/>
          <w:b/>
          <w:bCs/>
        </w:rPr>
        <w:t xml:space="preserve"> </w:t>
      </w:r>
      <w:r w:rsidR="2BA76BD0" w:rsidRPr="3E48814D">
        <w:rPr>
          <w:rFonts w:eastAsia="Calibri" w:cs="Calibri"/>
          <w:b/>
          <w:bCs/>
        </w:rPr>
        <w:t xml:space="preserve"> </w:t>
      </w:r>
      <w:r w:rsidRPr="3E48814D">
        <w:rPr>
          <w:rFonts w:eastAsia="Calibri" w:cs="Calibri"/>
        </w:rPr>
        <w:t>OIS reports show</w:t>
      </w:r>
      <w:r w:rsidR="177293EF" w:rsidRPr="3E48814D">
        <w:rPr>
          <w:rFonts w:eastAsia="Calibri" w:cs="Calibri"/>
        </w:rPr>
        <w:t>ed</w:t>
      </w:r>
      <w:r w:rsidRPr="3E48814D">
        <w:rPr>
          <w:rFonts w:eastAsia="Calibri" w:cs="Calibri"/>
        </w:rPr>
        <w:t xml:space="preserve"> inspections </w:t>
      </w:r>
      <w:r w:rsidR="69D7405F" w:rsidRPr="3E48814D">
        <w:rPr>
          <w:rFonts w:eastAsia="Calibri" w:cs="Calibri"/>
        </w:rPr>
        <w:t xml:space="preserve">were </w:t>
      </w:r>
      <w:r w:rsidR="177293EF" w:rsidRPr="3E48814D">
        <w:rPr>
          <w:rFonts w:eastAsia="Calibri" w:cs="Calibri"/>
        </w:rPr>
        <w:t xml:space="preserve">in an </w:t>
      </w:r>
      <w:r w:rsidRPr="3E48814D">
        <w:rPr>
          <w:rFonts w:eastAsia="Calibri" w:cs="Calibri"/>
        </w:rPr>
        <w:t>open</w:t>
      </w:r>
      <w:r w:rsidR="177293EF" w:rsidRPr="3E48814D">
        <w:rPr>
          <w:rFonts w:eastAsia="Calibri" w:cs="Calibri"/>
        </w:rPr>
        <w:t xml:space="preserve"> status whe</w:t>
      </w:r>
      <w:r w:rsidR="59539763" w:rsidRPr="3E48814D">
        <w:rPr>
          <w:rFonts w:eastAsia="Calibri" w:cs="Calibri"/>
        </w:rPr>
        <w:t>n</w:t>
      </w:r>
      <w:r w:rsidR="177293EF" w:rsidRPr="3E48814D">
        <w:rPr>
          <w:rFonts w:eastAsia="Calibri" w:cs="Calibri"/>
        </w:rPr>
        <w:t xml:space="preserve"> they should have been closed</w:t>
      </w:r>
      <w:r w:rsidR="5D4474AD" w:rsidRPr="3E48814D">
        <w:rPr>
          <w:rFonts w:eastAsia="Calibri" w:cs="Calibri"/>
        </w:rPr>
        <w:t xml:space="preserve"> as all requirements</w:t>
      </w:r>
      <w:r w:rsidR="6859F804" w:rsidRPr="3E48814D">
        <w:rPr>
          <w:rFonts w:eastAsia="Calibri" w:cs="Calibri"/>
        </w:rPr>
        <w:t xml:space="preserve"> for closure</w:t>
      </w:r>
      <w:r w:rsidR="5D4474AD" w:rsidRPr="3E48814D">
        <w:rPr>
          <w:rFonts w:eastAsia="Calibri" w:cs="Calibri"/>
        </w:rPr>
        <w:t xml:space="preserve"> were met</w:t>
      </w:r>
      <w:r w:rsidR="177293EF" w:rsidRPr="3E48814D">
        <w:rPr>
          <w:rFonts w:eastAsia="Calibri" w:cs="Calibri"/>
        </w:rPr>
        <w:t xml:space="preserve">.  </w:t>
      </w:r>
      <w:r w:rsidRPr="3E48814D">
        <w:rPr>
          <w:rFonts w:eastAsia="Calibri" w:cs="Calibri"/>
        </w:rPr>
        <w:t>This may be the result of the Arizona Salesforce system not communicating with OIS.</w:t>
      </w:r>
      <w:r w:rsidR="45AB1E33" w:rsidRPr="3E48814D">
        <w:rPr>
          <w:rFonts w:eastAsia="Calibri" w:cs="Calibri"/>
        </w:rPr>
        <w:t xml:space="preserve">  </w:t>
      </w:r>
      <w:r w:rsidR="0B5DD37F" w:rsidRPr="3E48814D">
        <w:rPr>
          <w:rFonts w:eastAsia="Calibri" w:cs="Calibri"/>
        </w:rPr>
        <w:t>OSHA</w:t>
      </w:r>
      <w:r w:rsidR="006E156E" w:rsidRPr="3E48814D">
        <w:rPr>
          <w:rFonts w:eastAsia="Calibri" w:cs="Calibri"/>
        </w:rPr>
        <w:t xml:space="preserve"> and ADOSH</w:t>
      </w:r>
      <w:r w:rsidR="0B5DD37F" w:rsidRPr="3E48814D">
        <w:rPr>
          <w:rFonts w:eastAsia="Calibri" w:cs="Calibri"/>
        </w:rPr>
        <w:t xml:space="preserve"> monitor</w:t>
      </w:r>
      <w:r w:rsidR="6F3F8BB6" w:rsidRPr="3E48814D">
        <w:rPr>
          <w:rFonts w:eastAsia="Calibri" w:cs="Calibri"/>
        </w:rPr>
        <w:t>ed</w:t>
      </w:r>
      <w:r w:rsidR="0B5DD37F" w:rsidRPr="3E48814D">
        <w:rPr>
          <w:rFonts w:eastAsia="Calibri" w:cs="Calibri"/>
        </w:rPr>
        <w:t xml:space="preserve"> the transfer of data between Salesforce and OIS during quarterly meetings.  A</w:t>
      </w:r>
      <w:r w:rsidR="3963A2DC" w:rsidRPr="3E48814D">
        <w:rPr>
          <w:rFonts w:eastAsia="Calibri" w:cs="Calibri"/>
        </w:rPr>
        <w:t>DOSH continued to work with Salesforce developers</w:t>
      </w:r>
      <w:r w:rsidR="426EFB99" w:rsidRPr="3E48814D">
        <w:rPr>
          <w:rFonts w:eastAsia="Calibri" w:cs="Calibri"/>
        </w:rPr>
        <w:t xml:space="preserve"> and the OIS team</w:t>
      </w:r>
      <w:r w:rsidR="3963A2DC" w:rsidRPr="3E48814D">
        <w:rPr>
          <w:rFonts w:eastAsia="Calibri" w:cs="Calibri"/>
        </w:rPr>
        <w:t xml:space="preserve"> to resolve </w:t>
      </w:r>
      <w:r w:rsidR="252D04D0" w:rsidRPr="3E48814D">
        <w:rPr>
          <w:rFonts w:eastAsia="Calibri" w:cs="Calibri"/>
        </w:rPr>
        <w:t>any discrepancies</w:t>
      </w:r>
      <w:r w:rsidR="730C3DAD" w:rsidRPr="3E48814D">
        <w:rPr>
          <w:rFonts w:eastAsia="Calibri" w:cs="Calibri"/>
        </w:rPr>
        <w:t xml:space="preserve">.  However, this </w:t>
      </w:r>
      <w:r w:rsidR="1076BBA0" w:rsidRPr="3E48814D">
        <w:rPr>
          <w:rFonts w:eastAsia="Calibri" w:cs="Calibri"/>
        </w:rPr>
        <w:t xml:space="preserve">was still an ongoing concern.  </w:t>
      </w:r>
      <w:r w:rsidR="45AB1E33" w:rsidRPr="3E48814D">
        <w:rPr>
          <w:rFonts w:eastAsia="Calibri" w:cs="Calibri"/>
        </w:rPr>
        <w:t xml:space="preserve">This observation </w:t>
      </w:r>
      <w:r w:rsidR="00612AF4" w:rsidRPr="3E48814D">
        <w:rPr>
          <w:rFonts w:eastAsia="Calibri" w:cs="Calibri"/>
        </w:rPr>
        <w:t>is</w:t>
      </w:r>
      <w:r w:rsidR="58A723F7" w:rsidRPr="3E48814D">
        <w:rPr>
          <w:rFonts w:eastAsia="Calibri" w:cs="Calibri"/>
        </w:rPr>
        <w:t xml:space="preserve"> continued</w:t>
      </w:r>
      <w:r w:rsidR="45AB1E33" w:rsidRPr="3E48814D">
        <w:rPr>
          <w:rFonts w:eastAsia="Calibri" w:cs="Calibri"/>
        </w:rPr>
        <w:t xml:space="preserve">. </w:t>
      </w:r>
    </w:p>
    <w:p w14:paraId="2CCB6E63" w14:textId="77777777" w:rsidR="005702F3" w:rsidRDefault="005702F3" w:rsidP="000B58F1">
      <w:pPr>
        <w:tabs>
          <w:tab w:val="left" w:pos="1890"/>
          <w:tab w:val="left" w:pos="2430"/>
        </w:tabs>
        <w:rPr>
          <w:rFonts w:eastAsia="Calibri" w:cs="Calibri"/>
          <w:b/>
          <w:bCs/>
        </w:rPr>
      </w:pPr>
    </w:p>
    <w:p w14:paraId="2D568F5E" w14:textId="740C6DCE" w:rsidR="54F9B8B7" w:rsidRDefault="2E702595" w:rsidP="000B58F1">
      <w:pPr>
        <w:tabs>
          <w:tab w:val="left" w:pos="1890"/>
          <w:tab w:val="left" w:pos="2430"/>
        </w:tabs>
        <w:rPr>
          <w:rFonts w:eastAsia="Calibri" w:cs="Calibri"/>
          <w:b/>
          <w:bCs/>
        </w:rPr>
      </w:pPr>
      <w:r w:rsidRPr="011E1980">
        <w:rPr>
          <w:rFonts w:eastAsia="Calibri" w:cs="Calibri"/>
          <w:b/>
          <w:bCs/>
        </w:rPr>
        <w:t>Observation FY 2022-OB-02 (FY 2021-OB-02):</w:t>
      </w:r>
      <w:r w:rsidR="2BA76BD0" w:rsidRPr="011E1980">
        <w:rPr>
          <w:rFonts w:eastAsia="Calibri" w:cs="Calibri"/>
          <w:b/>
          <w:bCs/>
        </w:rPr>
        <w:t xml:space="preserve">  </w:t>
      </w:r>
      <w:r w:rsidR="2BA76BD0" w:rsidRPr="011E1980">
        <w:rPr>
          <w:rFonts w:eastAsia="Calibri" w:cs="Calibri"/>
        </w:rPr>
        <w:t xml:space="preserve">The number of qualified compliance officers that were able to conduct inspections independently declined from 13 to five by the end of FY 2021. </w:t>
      </w:r>
      <w:r w:rsidR="2BA76BD0" w:rsidRPr="011E1980">
        <w:rPr>
          <w:rFonts w:eastAsia="Calibri" w:cs="Calibri"/>
          <w:b/>
          <w:bCs/>
        </w:rPr>
        <w:t xml:space="preserve"> </w:t>
      </w:r>
    </w:p>
    <w:p w14:paraId="290A48F0" w14:textId="77777777" w:rsidR="005702F3" w:rsidRDefault="005702F3" w:rsidP="000B58F1">
      <w:pPr>
        <w:rPr>
          <w:rFonts w:eastAsia="Calibri" w:cs="Calibri"/>
          <w:b/>
          <w:bCs/>
        </w:rPr>
      </w:pPr>
    </w:p>
    <w:p w14:paraId="53D667C3" w14:textId="4F02EDA6" w:rsidR="54F9B8B7" w:rsidRDefault="2E702595" w:rsidP="000B58F1">
      <w:r w:rsidRPr="56B52501">
        <w:rPr>
          <w:rFonts w:eastAsia="Calibri" w:cs="Calibri"/>
          <w:b/>
          <w:bCs/>
        </w:rPr>
        <w:t>Status:</w:t>
      </w:r>
      <w:r w:rsidR="2C3D5726" w:rsidRPr="56B52501">
        <w:rPr>
          <w:rFonts w:eastAsia="Calibri" w:cs="Calibri"/>
          <w:b/>
          <w:bCs/>
        </w:rPr>
        <w:t xml:space="preserve">  </w:t>
      </w:r>
      <w:r w:rsidRPr="56B52501">
        <w:rPr>
          <w:rFonts w:eastAsia="Calibri" w:cs="Calibri"/>
        </w:rPr>
        <w:t>The negotiated benchmarks for staff are nine safety and six health compliance officers.</w:t>
      </w:r>
      <w:r w:rsidR="2C3D5726" w:rsidRPr="56B52501">
        <w:rPr>
          <w:rFonts w:eastAsia="Calibri" w:cs="Calibri"/>
        </w:rPr>
        <w:t xml:space="preserve">  </w:t>
      </w:r>
      <w:r w:rsidR="7ADE0047" w:rsidRPr="56B52501">
        <w:rPr>
          <w:rFonts w:eastAsia="Calibri" w:cs="Calibri"/>
        </w:rPr>
        <w:t>At the end of FY 2022</w:t>
      </w:r>
      <w:r w:rsidR="5AF4F8F9" w:rsidRPr="56B52501">
        <w:rPr>
          <w:rFonts w:eastAsia="Calibri" w:cs="Calibri"/>
        </w:rPr>
        <w:t xml:space="preserve">, there were </w:t>
      </w:r>
      <w:r w:rsidR="14C7F125" w:rsidRPr="56B52501">
        <w:rPr>
          <w:rFonts w:eastAsia="Calibri" w:cs="Calibri"/>
        </w:rPr>
        <w:t>ni</w:t>
      </w:r>
      <w:r w:rsidR="5F0801EA" w:rsidRPr="56B52501">
        <w:rPr>
          <w:rFonts w:eastAsia="Calibri" w:cs="Calibri"/>
        </w:rPr>
        <w:t>ne</w:t>
      </w:r>
      <w:r w:rsidR="5E3D184F" w:rsidRPr="56B52501">
        <w:rPr>
          <w:rFonts w:eastAsia="Calibri" w:cs="Calibri"/>
        </w:rPr>
        <w:t xml:space="preserve"> </w:t>
      </w:r>
      <w:r w:rsidR="1938B488" w:rsidRPr="56B52501">
        <w:rPr>
          <w:rFonts w:eastAsia="Calibri" w:cs="Calibri"/>
        </w:rPr>
        <w:t xml:space="preserve">safety and three health compliance </w:t>
      </w:r>
      <w:r w:rsidRPr="56B52501">
        <w:rPr>
          <w:rFonts w:eastAsia="Calibri" w:cs="Calibri"/>
        </w:rPr>
        <w:t xml:space="preserve">officer positions filled. </w:t>
      </w:r>
      <w:r w:rsidR="1DF6D9FF" w:rsidRPr="56B52501">
        <w:rPr>
          <w:rFonts w:eastAsia="Calibri" w:cs="Calibri"/>
        </w:rPr>
        <w:t xml:space="preserve"> </w:t>
      </w:r>
      <w:r w:rsidRPr="56B52501">
        <w:rPr>
          <w:rFonts w:eastAsia="Calibri" w:cs="Calibri"/>
        </w:rPr>
        <w:t xml:space="preserve">This </w:t>
      </w:r>
      <w:r w:rsidR="10394411" w:rsidRPr="56B52501">
        <w:rPr>
          <w:rFonts w:eastAsia="Calibri" w:cs="Calibri"/>
        </w:rPr>
        <w:t xml:space="preserve">observation </w:t>
      </w:r>
      <w:r w:rsidR="002C0E1B" w:rsidRPr="56B52501">
        <w:rPr>
          <w:rFonts w:eastAsia="Calibri" w:cs="Calibri"/>
        </w:rPr>
        <w:t>is</w:t>
      </w:r>
      <w:r w:rsidR="58A723F7" w:rsidRPr="56B52501">
        <w:rPr>
          <w:rFonts w:eastAsia="Calibri" w:cs="Calibri"/>
        </w:rPr>
        <w:t xml:space="preserve"> continued</w:t>
      </w:r>
      <w:r w:rsidRPr="56B52501">
        <w:rPr>
          <w:rFonts w:eastAsia="Calibri" w:cs="Calibri"/>
        </w:rPr>
        <w:t>.</w:t>
      </w:r>
    </w:p>
    <w:p w14:paraId="5A7232BA" w14:textId="77777777" w:rsidR="005702F3" w:rsidRDefault="005702F3" w:rsidP="000B58F1">
      <w:pPr>
        <w:rPr>
          <w:rFonts w:eastAsia="Calibri" w:cs="Calibri"/>
          <w:b/>
          <w:bCs/>
        </w:rPr>
      </w:pPr>
    </w:p>
    <w:p w14:paraId="03BE922C" w14:textId="44ADD99D" w:rsidR="54F9B8B7" w:rsidRDefault="54F9B8B7" w:rsidP="000B58F1">
      <w:r w:rsidRPr="090008D6">
        <w:rPr>
          <w:rFonts w:eastAsia="Calibri" w:cs="Calibri"/>
          <w:b/>
          <w:bCs/>
        </w:rPr>
        <w:t xml:space="preserve">Observation FY 2022-OB-03 (FY 2021-OB-03):  </w:t>
      </w:r>
      <w:r w:rsidRPr="090008D6">
        <w:rPr>
          <w:rFonts w:eastAsia="Calibri" w:cs="Calibri"/>
        </w:rPr>
        <w:t xml:space="preserve">ADOSH’s response time to initiate complaint investigations was </w:t>
      </w:r>
      <w:r w:rsidR="00843C84">
        <w:rPr>
          <w:rFonts w:eastAsia="Calibri" w:cs="Calibri"/>
        </w:rPr>
        <w:t>4.28</w:t>
      </w:r>
      <w:r w:rsidRPr="090008D6">
        <w:rPr>
          <w:rFonts w:eastAsia="Calibri" w:cs="Calibri"/>
        </w:rPr>
        <w:t xml:space="preserve"> (SAMM 2</w:t>
      </w:r>
      <w:r w:rsidR="00843C84">
        <w:rPr>
          <w:rFonts w:eastAsia="Calibri" w:cs="Calibri"/>
        </w:rPr>
        <w:t>a</w:t>
      </w:r>
      <w:r w:rsidRPr="090008D6">
        <w:rPr>
          <w:rFonts w:eastAsia="Calibri" w:cs="Calibri"/>
        </w:rPr>
        <w:t xml:space="preserve">), which was </w:t>
      </w:r>
      <w:r w:rsidR="00843C84">
        <w:rPr>
          <w:rFonts w:eastAsia="Calibri" w:cs="Calibri"/>
        </w:rPr>
        <w:t xml:space="preserve">above the goal of </w:t>
      </w:r>
      <w:r w:rsidRPr="090008D6">
        <w:rPr>
          <w:rFonts w:eastAsia="Calibri" w:cs="Calibri"/>
        </w:rPr>
        <w:t>three working days.</w:t>
      </w:r>
    </w:p>
    <w:p w14:paraId="7F04D7A8" w14:textId="1EDE155E" w:rsidR="54F9B8B7" w:rsidRDefault="54F9B8B7" w:rsidP="000B58F1">
      <w:r w:rsidRPr="090008D6">
        <w:rPr>
          <w:rFonts w:eastAsia="Calibri" w:cs="Calibri"/>
        </w:rPr>
        <w:t xml:space="preserve"> </w:t>
      </w:r>
    </w:p>
    <w:p w14:paraId="51D4182C" w14:textId="6C06F66C" w:rsidR="54F9B8B7" w:rsidRDefault="2E702595" w:rsidP="000B58F1">
      <w:pPr>
        <w:rPr>
          <w:rFonts w:eastAsia="Calibri" w:cs="Calibri"/>
        </w:rPr>
      </w:pPr>
      <w:r w:rsidRPr="3E48814D">
        <w:rPr>
          <w:rFonts w:eastAsia="Calibri" w:cs="Calibri"/>
          <w:b/>
          <w:bCs/>
        </w:rPr>
        <w:t xml:space="preserve">Status: </w:t>
      </w:r>
      <w:r w:rsidR="00B577C3" w:rsidRPr="3E48814D">
        <w:rPr>
          <w:rFonts w:eastAsia="Calibri" w:cs="Calibri"/>
          <w:b/>
          <w:bCs/>
        </w:rPr>
        <w:t xml:space="preserve"> </w:t>
      </w:r>
      <w:r w:rsidR="00B577C3" w:rsidRPr="3E48814D">
        <w:rPr>
          <w:rFonts w:eastAsia="Calibri" w:cs="Calibri"/>
        </w:rPr>
        <w:t>According to Appendix D, SAMM 2</w:t>
      </w:r>
      <w:r w:rsidR="2F8B0C9D" w:rsidRPr="3E48814D">
        <w:rPr>
          <w:rFonts w:eastAsia="Calibri" w:cs="Calibri"/>
        </w:rPr>
        <w:t>a</w:t>
      </w:r>
      <w:r w:rsidR="00B577C3" w:rsidRPr="3E48814D">
        <w:rPr>
          <w:rFonts w:eastAsia="Calibri" w:cs="Calibri"/>
        </w:rPr>
        <w:t xml:space="preserve">, </w:t>
      </w:r>
      <w:r w:rsidR="149643CD" w:rsidRPr="3E48814D">
        <w:rPr>
          <w:rFonts w:eastAsia="Calibri" w:cs="Calibri"/>
        </w:rPr>
        <w:t>ADOSH’s average response time</w:t>
      </w:r>
      <w:r w:rsidR="4BD09BFA" w:rsidRPr="3E48814D">
        <w:rPr>
          <w:rFonts w:eastAsia="Calibri" w:cs="Calibri"/>
        </w:rPr>
        <w:t xml:space="preserve"> to initiate complaint investigations</w:t>
      </w:r>
      <w:r w:rsidR="149643CD" w:rsidRPr="3E48814D">
        <w:rPr>
          <w:rFonts w:eastAsia="Calibri" w:cs="Calibri"/>
        </w:rPr>
        <w:t xml:space="preserve"> increased from 4.28 days</w:t>
      </w:r>
      <w:r w:rsidR="5AC4CBE5" w:rsidRPr="3E48814D">
        <w:rPr>
          <w:rFonts w:eastAsia="Calibri" w:cs="Calibri"/>
        </w:rPr>
        <w:t xml:space="preserve"> </w:t>
      </w:r>
      <w:r w:rsidR="149643CD" w:rsidRPr="3E48814D">
        <w:rPr>
          <w:rFonts w:eastAsia="Calibri" w:cs="Calibri"/>
        </w:rPr>
        <w:t>in FY 2021 to 17.07 in</w:t>
      </w:r>
      <w:r w:rsidR="5AC4CBE5" w:rsidRPr="3E48814D">
        <w:rPr>
          <w:rFonts w:eastAsia="Calibri" w:cs="Calibri"/>
        </w:rPr>
        <w:t xml:space="preserve"> FY 2022.  </w:t>
      </w:r>
      <w:r w:rsidR="5E259A9C" w:rsidRPr="3E48814D">
        <w:rPr>
          <w:rFonts w:eastAsia="Calibri" w:cs="Calibri"/>
        </w:rPr>
        <w:t xml:space="preserve">Staffing vacancies </w:t>
      </w:r>
      <w:r w:rsidR="79842306" w:rsidRPr="3E48814D">
        <w:rPr>
          <w:rFonts w:eastAsia="Calibri" w:cs="Calibri"/>
        </w:rPr>
        <w:t xml:space="preserve">may have </w:t>
      </w:r>
      <w:r w:rsidR="00080FB6" w:rsidRPr="3E48814D">
        <w:rPr>
          <w:rFonts w:eastAsia="Calibri" w:cs="Calibri"/>
        </w:rPr>
        <w:t xml:space="preserve">contributed </w:t>
      </w:r>
      <w:r w:rsidR="3C7E9AFB" w:rsidRPr="3E48814D">
        <w:rPr>
          <w:rFonts w:eastAsia="Calibri" w:cs="Calibri"/>
        </w:rPr>
        <w:t xml:space="preserve">to </w:t>
      </w:r>
      <w:r w:rsidR="00080FB6" w:rsidRPr="3E48814D">
        <w:rPr>
          <w:rFonts w:eastAsia="Calibri" w:cs="Calibri"/>
        </w:rPr>
        <w:t>the increase</w:t>
      </w:r>
      <w:r w:rsidR="3C7E9AFB" w:rsidRPr="3E48814D">
        <w:rPr>
          <w:rFonts w:eastAsia="Calibri" w:cs="Calibri"/>
        </w:rPr>
        <w:t xml:space="preserve">.  </w:t>
      </w:r>
      <w:r w:rsidRPr="3E48814D">
        <w:rPr>
          <w:rFonts w:eastAsia="Calibri" w:cs="Calibri"/>
        </w:rPr>
        <w:t>This observation</w:t>
      </w:r>
      <w:r w:rsidR="4BC7CE90" w:rsidRPr="3E48814D">
        <w:rPr>
          <w:rFonts w:eastAsia="Calibri" w:cs="Calibri"/>
        </w:rPr>
        <w:t xml:space="preserve"> </w:t>
      </w:r>
      <w:r w:rsidR="002C0E1B" w:rsidRPr="3E48814D">
        <w:rPr>
          <w:rFonts w:eastAsia="Calibri" w:cs="Calibri"/>
        </w:rPr>
        <w:t>is</w:t>
      </w:r>
      <w:r w:rsidR="4BC7CE90" w:rsidRPr="3E48814D">
        <w:rPr>
          <w:rFonts w:eastAsia="Calibri" w:cs="Calibri"/>
        </w:rPr>
        <w:t xml:space="preserve"> continued. </w:t>
      </w:r>
    </w:p>
    <w:p w14:paraId="6198F29B" w14:textId="10AE50FB" w:rsidR="00E932FC" w:rsidRDefault="00E932FC" w:rsidP="000B58F1">
      <w:pPr>
        <w:rPr>
          <w:rFonts w:eastAsia="Calibri" w:cs="Calibri"/>
        </w:rPr>
      </w:pPr>
    </w:p>
    <w:p w14:paraId="5DAA2593" w14:textId="216262E8" w:rsidR="54F9B8B7" w:rsidRDefault="54F9B8B7" w:rsidP="000B58F1">
      <w:r w:rsidRPr="090008D6">
        <w:rPr>
          <w:rFonts w:eastAsia="Calibri" w:cs="Calibri"/>
          <w:b/>
          <w:bCs/>
        </w:rPr>
        <w:t xml:space="preserve">Observation FY 2022-OB-04 (FY 2021-OB-04):  </w:t>
      </w:r>
      <w:r w:rsidRPr="090008D6">
        <w:rPr>
          <w:rFonts w:eastAsia="Calibri" w:cs="Calibri"/>
        </w:rPr>
        <w:t>ADOSH other-than-serious violations per inspection was 1.</w:t>
      </w:r>
      <w:r w:rsidR="6A715594" w:rsidRPr="591D6E1D">
        <w:rPr>
          <w:rFonts w:eastAsia="Calibri" w:cs="Calibri"/>
        </w:rPr>
        <w:t>19</w:t>
      </w:r>
      <w:r w:rsidRPr="090008D6">
        <w:rPr>
          <w:rFonts w:eastAsia="Calibri" w:cs="Calibri"/>
        </w:rPr>
        <w:t xml:space="preserve"> (SAMM </w:t>
      </w:r>
      <w:r w:rsidR="792FD8DE" w:rsidRPr="591D6E1D">
        <w:rPr>
          <w:rFonts w:eastAsia="Calibri" w:cs="Calibri"/>
        </w:rPr>
        <w:t>5</w:t>
      </w:r>
      <w:r w:rsidR="6A715594" w:rsidRPr="591D6E1D">
        <w:rPr>
          <w:rFonts w:eastAsia="Calibri" w:cs="Calibri"/>
        </w:rPr>
        <w:t>b</w:t>
      </w:r>
      <w:r w:rsidRPr="090008D6">
        <w:rPr>
          <w:rFonts w:eastAsia="Calibri" w:cs="Calibri"/>
        </w:rPr>
        <w:t>) and above the FRL range of 0.</w:t>
      </w:r>
      <w:r w:rsidR="792FD8DE" w:rsidRPr="591D6E1D">
        <w:rPr>
          <w:rFonts w:eastAsia="Calibri" w:cs="Calibri"/>
        </w:rPr>
        <w:t>7</w:t>
      </w:r>
      <w:r w:rsidR="6A715594" w:rsidRPr="591D6E1D">
        <w:rPr>
          <w:rFonts w:eastAsia="Calibri" w:cs="Calibri"/>
        </w:rPr>
        <w:t>3</w:t>
      </w:r>
      <w:r w:rsidRPr="090008D6">
        <w:rPr>
          <w:rFonts w:eastAsia="Calibri" w:cs="Calibri"/>
        </w:rPr>
        <w:t xml:space="preserve"> to 1.</w:t>
      </w:r>
      <w:r w:rsidR="792FD8DE" w:rsidRPr="591D6E1D">
        <w:rPr>
          <w:rFonts w:eastAsia="Calibri" w:cs="Calibri"/>
        </w:rPr>
        <w:t>0</w:t>
      </w:r>
      <w:r w:rsidR="6A715594" w:rsidRPr="591D6E1D">
        <w:rPr>
          <w:rFonts w:eastAsia="Calibri" w:cs="Calibri"/>
        </w:rPr>
        <w:t>9</w:t>
      </w:r>
      <w:r w:rsidRPr="090008D6">
        <w:rPr>
          <w:rFonts w:eastAsia="Calibri" w:cs="Calibri"/>
        </w:rPr>
        <w:t>.</w:t>
      </w:r>
    </w:p>
    <w:p w14:paraId="5DD4B78E" w14:textId="35C21006" w:rsidR="54F9B8B7" w:rsidRDefault="54F9B8B7" w:rsidP="000B58F1">
      <w:r w:rsidRPr="090008D6">
        <w:rPr>
          <w:rFonts w:eastAsia="Calibri" w:cs="Calibri"/>
        </w:rPr>
        <w:t xml:space="preserve"> </w:t>
      </w:r>
    </w:p>
    <w:p w14:paraId="6C9E0DAB" w14:textId="4FD1A084" w:rsidR="54F9B8B7" w:rsidRDefault="54F9B8B7" w:rsidP="000B58F1">
      <w:r w:rsidRPr="3E48814D">
        <w:rPr>
          <w:rFonts w:eastAsia="Calibri" w:cs="Calibri"/>
          <w:b/>
          <w:bCs/>
        </w:rPr>
        <w:t xml:space="preserve">Status: </w:t>
      </w:r>
      <w:r w:rsidR="005263ED" w:rsidRPr="3E48814D">
        <w:rPr>
          <w:rFonts w:eastAsia="Calibri" w:cs="Calibri"/>
          <w:b/>
          <w:bCs/>
        </w:rPr>
        <w:t xml:space="preserve"> </w:t>
      </w:r>
      <w:r w:rsidR="005263ED" w:rsidRPr="3E48814D">
        <w:rPr>
          <w:rFonts w:eastAsia="Calibri" w:cs="Calibri"/>
        </w:rPr>
        <w:t xml:space="preserve">According to Appendix D, SAMM </w:t>
      </w:r>
      <w:r w:rsidR="7160B412" w:rsidRPr="3E48814D">
        <w:rPr>
          <w:rFonts w:eastAsia="Calibri" w:cs="Calibri"/>
        </w:rPr>
        <w:t>5</w:t>
      </w:r>
      <w:r w:rsidR="6A715594" w:rsidRPr="3E48814D">
        <w:rPr>
          <w:rFonts w:eastAsia="Calibri" w:cs="Calibri"/>
        </w:rPr>
        <w:t>b</w:t>
      </w:r>
      <w:r w:rsidR="00F848F9" w:rsidRPr="3E48814D">
        <w:rPr>
          <w:rFonts w:eastAsia="Calibri" w:cs="Calibri"/>
        </w:rPr>
        <w:t>, ADOSH’s other-than-serious violations per inspection</w:t>
      </w:r>
      <w:r w:rsidR="00E93BAE" w:rsidRPr="3E48814D">
        <w:rPr>
          <w:rFonts w:eastAsia="Calibri" w:cs="Calibri"/>
        </w:rPr>
        <w:t xml:space="preserve"> average</w:t>
      </w:r>
      <w:r w:rsidR="00F848F9" w:rsidRPr="3E48814D">
        <w:rPr>
          <w:rFonts w:eastAsia="Calibri" w:cs="Calibri"/>
        </w:rPr>
        <w:t xml:space="preserve"> increased to 1.56 in FY 2022 from 1.19 in</w:t>
      </w:r>
      <w:r w:rsidR="00E93BAE" w:rsidRPr="3E48814D">
        <w:rPr>
          <w:rFonts w:eastAsia="Calibri" w:cs="Calibri"/>
        </w:rPr>
        <w:t xml:space="preserve"> FY 2021. </w:t>
      </w:r>
      <w:r w:rsidR="00564500" w:rsidRPr="3E48814D">
        <w:rPr>
          <w:rFonts w:eastAsia="Calibri" w:cs="Calibri"/>
        </w:rPr>
        <w:t xml:space="preserve"> </w:t>
      </w:r>
      <w:r w:rsidR="792FD8DE" w:rsidRPr="3E48814D">
        <w:rPr>
          <w:rFonts w:eastAsia="Calibri" w:cs="Calibri"/>
        </w:rPr>
        <w:t>This</w:t>
      </w:r>
      <w:r w:rsidRPr="3E48814D">
        <w:rPr>
          <w:rFonts w:eastAsia="Calibri" w:cs="Calibri"/>
        </w:rPr>
        <w:t xml:space="preserve"> observation</w:t>
      </w:r>
      <w:r w:rsidR="00D00BB5" w:rsidRPr="3E48814D">
        <w:rPr>
          <w:rFonts w:eastAsia="Calibri" w:cs="Calibri"/>
        </w:rPr>
        <w:t xml:space="preserve"> </w:t>
      </w:r>
      <w:r w:rsidR="002C0E1B" w:rsidRPr="3E48814D">
        <w:rPr>
          <w:rFonts w:eastAsia="Calibri" w:cs="Calibri"/>
        </w:rPr>
        <w:t>is</w:t>
      </w:r>
      <w:r w:rsidR="00D00BB5" w:rsidRPr="3E48814D">
        <w:rPr>
          <w:rFonts w:eastAsia="Calibri" w:cs="Calibri"/>
        </w:rPr>
        <w:t xml:space="preserve"> continued</w:t>
      </w:r>
      <w:r w:rsidRPr="3E48814D">
        <w:rPr>
          <w:rFonts w:eastAsia="Calibri" w:cs="Calibri"/>
        </w:rPr>
        <w:t>.</w:t>
      </w:r>
    </w:p>
    <w:p w14:paraId="5A1008C7" w14:textId="10F05DEC" w:rsidR="54F9B8B7" w:rsidRDefault="54F9B8B7" w:rsidP="000B58F1">
      <w:r w:rsidRPr="090008D6">
        <w:rPr>
          <w:rFonts w:eastAsia="Calibri" w:cs="Calibri"/>
          <w:color w:val="7030A0"/>
        </w:rPr>
        <w:t xml:space="preserve"> </w:t>
      </w:r>
      <w:r w:rsidRPr="090008D6">
        <w:rPr>
          <w:rFonts w:eastAsia="Calibri" w:cs="Calibri"/>
          <w:b/>
          <w:bCs/>
        </w:rPr>
        <w:t xml:space="preserve"> </w:t>
      </w:r>
    </w:p>
    <w:p w14:paraId="4719718C" w14:textId="1BDB30C7" w:rsidR="536C5AE0" w:rsidRDefault="536C5AE0" w:rsidP="00290B6F">
      <w:r w:rsidRPr="49EF8061">
        <w:rPr>
          <w:rFonts w:eastAsia="Calibri" w:cs="Calibri"/>
          <w:b/>
          <w:bCs/>
        </w:rPr>
        <w:t xml:space="preserve">Observation FY 2022-OB-05 (FY 2021-OB-05):  </w:t>
      </w:r>
      <w:r w:rsidRPr="49EF8061">
        <w:rPr>
          <w:rFonts w:eastAsia="Calibri" w:cs="Calibri"/>
        </w:rPr>
        <w:t xml:space="preserve">The rate of </w:t>
      </w:r>
      <w:r w:rsidR="00B83C35">
        <w:rPr>
          <w:rFonts w:eastAsia="Calibri" w:cs="Calibri"/>
        </w:rPr>
        <w:t>v</w:t>
      </w:r>
      <w:r w:rsidR="00290B6F" w:rsidRPr="00290B6F">
        <w:rPr>
          <w:rFonts w:eastAsia="Calibri" w:cs="Calibri"/>
        </w:rPr>
        <w:t xml:space="preserve">iolations reclassified after contest was 25%, </w:t>
      </w:r>
      <w:r w:rsidR="0077074E">
        <w:rPr>
          <w:rFonts w:eastAsia="Calibri" w:cs="Calibri"/>
        </w:rPr>
        <w:t xml:space="preserve">which </w:t>
      </w:r>
      <w:proofErr w:type="spellStart"/>
      <w:r w:rsidR="0077074E">
        <w:rPr>
          <w:rFonts w:eastAsia="Calibri" w:cs="Calibri"/>
        </w:rPr>
        <w:t>was</w:t>
      </w:r>
      <w:r w:rsidR="00290B6F" w:rsidRPr="00290B6F">
        <w:rPr>
          <w:rFonts w:eastAsia="Calibri" w:cs="Calibri"/>
        </w:rPr>
        <w:t>higher</w:t>
      </w:r>
      <w:proofErr w:type="spellEnd"/>
      <w:r w:rsidR="00290B6F" w:rsidRPr="00290B6F">
        <w:rPr>
          <w:rFonts w:eastAsia="Calibri" w:cs="Calibri"/>
        </w:rPr>
        <w:t xml:space="preserve"> than the national average of</w:t>
      </w:r>
      <w:r w:rsidR="0077074E">
        <w:rPr>
          <w:rFonts w:eastAsia="Calibri" w:cs="Calibri"/>
        </w:rPr>
        <w:t xml:space="preserve"> </w:t>
      </w:r>
      <w:r w:rsidR="00290B6F" w:rsidRPr="00290B6F">
        <w:rPr>
          <w:rFonts w:eastAsia="Calibri" w:cs="Calibri"/>
        </w:rPr>
        <w:t>12.17%.</w:t>
      </w:r>
    </w:p>
    <w:p w14:paraId="5421914D" w14:textId="71B11297" w:rsidR="54F9B8B7" w:rsidRDefault="536C5AE0" w:rsidP="000B58F1">
      <w:pPr>
        <w:rPr>
          <w:rFonts w:eastAsia="Calibri" w:cs="Calibri"/>
        </w:rPr>
      </w:pPr>
      <w:r w:rsidRPr="49EF8061">
        <w:rPr>
          <w:rFonts w:eastAsia="Calibri" w:cs="Calibri"/>
        </w:rPr>
        <w:t xml:space="preserve"> </w:t>
      </w:r>
      <w:r w:rsidR="54F9B8B7" w:rsidRPr="090008D6">
        <w:rPr>
          <w:rFonts w:eastAsia="Calibri" w:cs="Calibri"/>
        </w:rPr>
        <w:t xml:space="preserve"> </w:t>
      </w:r>
    </w:p>
    <w:p w14:paraId="6151A36D" w14:textId="4B8450FF" w:rsidR="54F9B8B7" w:rsidRDefault="54F9B8B7" w:rsidP="000B58F1">
      <w:pPr>
        <w:rPr>
          <w:rFonts w:eastAsia="Calibri" w:cs="Calibri"/>
        </w:rPr>
      </w:pPr>
      <w:r w:rsidRPr="40A63180">
        <w:rPr>
          <w:rFonts w:eastAsia="Calibri" w:cs="Calibri"/>
          <w:b/>
          <w:bCs/>
        </w:rPr>
        <w:t xml:space="preserve">Status:  </w:t>
      </w:r>
      <w:r w:rsidR="00574E84" w:rsidRPr="40A63180">
        <w:rPr>
          <w:rFonts w:eastAsia="Calibri" w:cs="Calibri"/>
        </w:rPr>
        <w:t>According to SIR</w:t>
      </w:r>
      <w:r w:rsidR="00F541F0" w:rsidRPr="40A63180">
        <w:rPr>
          <w:rFonts w:eastAsia="Calibri" w:cs="Calibri"/>
        </w:rPr>
        <w:t xml:space="preserve"> </w:t>
      </w:r>
      <w:r w:rsidR="6E36667D" w:rsidRPr="40A63180">
        <w:rPr>
          <w:rFonts w:eastAsia="Calibri" w:cs="Calibri"/>
        </w:rPr>
        <w:t>5</w:t>
      </w:r>
      <w:r w:rsidR="39208B34" w:rsidRPr="40A63180">
        <w:rPr>
          <w:rFonts w:eastAsia="Calibri" w:cs="Calibri"/>
        </w:rPr>
        <w:t>b</w:t>
      </w:r>
      <w:r w:rsidR="6E36667D" w:rsidRPr="40A63180">
        <w:rPr>
          <w:rFonts w:eastAsia="Calibri" w:cs="Calibri"/>
        </w:rPr>
        <w:t xml:space="preserve">, </w:t>
      </w:r>
      <w:r w:rsidR="423C3385" w:rsidRPr="40A63180">
        <w:rPr>
          <w:rFonts w:eastAsia="Calibri" w:cs="Calibri"/>
        </w:rPr>
        <w:t>t</w:t>
      </w:r>
      <w:r w:rsidR="792FD8DE" w:rsidRPr="40A63180">
        <w:rPr>
          <w:rFonts w:eastAsia="Calibri" w:cs="Calibri"/>
        </w:rPr>
        <w:t>he</w:t>
      </w:r>
      <w:r w:rsidRPr="40A63180">
        <w:rPr>
          <w:rFonts w:eastAsia="Calibri" w:cs="Calibri"/>
        </w:rPr>
        <w:t xml:space="preserve"> percent of violations vacated after a contest had been filed</w:t>
      </w:r>
      <w:r w:rsidR="00A80312" w:rsidRPr="40A63180">
        <w:rPr>
          <w:rFonts w:eastAsia="Calibri" w:cs="Calibri"/>
        </w:rPr>
        <w:t xml:space="preserve"> </w:t>
      </w:r>
      <w:r w:rsidR="00DD3A4E" w:rsidRPr="40A63180">
        <w:rPr>
          <w:rFonts w:eastAsia="Calibri" w:cs="Calibri"/>
        </w:rPr>
        <w:t xml:space="preserve">for private sector inspections </w:t>
      </w:r>
      <w:r w:rsidR="00A80312" w:rsidRPr="40A63180">
        <w:rPr>
          <w:rFonts w:eastAsia="Calibri" w:cs="Calibri"/>
        </w:rPr>
        <w:t>decreased from 34.62% in FY 2021 to 1</w:t>
      </w:r>
      <w:r w:rsidR="00595F69" w:rsidRPr="40A63180">
        <w:rPr>
          <w:rFonts w:eastAsia="Calibri" w:cs="Calibri"/>
        </w:rPr>
        <w:t xml:space="preserve">0.71% in FY </w:t>
      </w:r>
      <w:r w:rsidR="5180EC0C" w:rsidRPr="40A63180">
        <w:rPr>
          <w:rFonts w:eastAsia="Calibri" w:cs="Calibri"/>
        </w:rPr>
        <w:t>2022 and</w:t>
      </w:r>
      <w:r w:rsidR="00555D90" w:rsidRPr="40A63180">
        <w:rPr>
          <w:rFonts w:eastAsia="Calibri" w:cs="Calibri"/>
        </w:rPr>
        <w:t xml:space="preserve"> is below </w:t>
      </w:r>
      <w:r w:rsidR="00595F69" w:rsidRPr="40A63180">
        <w:rPr>
          <w:rFonts w:eastAsia="Calibri" w:cs="Calibri"/>
        </w:rPr>
        <w:lastRenderedPageBreak/>
        <w:t xml:space="preserve">the national average of 14.78%.  </w:t>
      </w:r>
      <w:r w:rsidR="00A72863" w:rsidRPr="40A63180">
        <w:rPr>
          <w:rFonts w:eastAsia="Calibri" w:cs="Calibri"/>
        </w:rPr>
        <w:t xml:space="preserve">This portion of the observation </w:t>
      </w:r>
      <w:r w:rsidR="007F1897">
        <w:rPr>
          <w:rFonts w:eastAsia="Calibri" w:cs="Calibri"/>
        </w:rPr>
        <w:t>was</w:t>
      </w:r>
      <w:r w:rsidR="00A72863" w:rsidRPr="40A63180">
        <w:rPr>
          <w:rFonts w:eastAsia="Calibri" w:cs="Calibri"/>
        </w:rPr>
        <w:t xml:space="preserve"> closed.  </w:t>
      </w:r>
      <w:r w:rsidR="001234AB" w:rsidRPr="40A63180">
        <w:rPr>
          <w:rFonts w:eastAsia="Calibri" w:cs="Calibri"/>
        </w:rPr>
        <w:t>However, the percent of violations reclassified</w:t>
      </w:r>
      <w:r w:rsidR="00781C57" w:rsidRPr="40A63180">
        <w:rPr>
          <w:rFonts w:eastAsia="Calibri" w:cs="Calibri"/>
        </w:rPr>
        <w:t xml:space="preserve"> after a contest has been filed</w:t>
      </w:r>
      <w:r w:rsidR="007D7523" w:rsidRPr="40A63180">
        <w:rPr>
          <w:rFonts w:eastAsia="Calibri" w:cs="Calibri"/>
        </w:rPr>
        <w:t xml:space="preserve"> for private sector inspections</w:t>
      </w:r>
      <w:r w:rsidR="00781C57" w:rsidRPr="40A63180">
        <w:rPr>
          <w:rFonts w:eastAsia="Calibri" w:cs="Calibri"/>
        </w:rPr>
        <w:t>, SIR</w:t>
      </w:r>
      <w:r w:rsidR="002F1F1B" w:rsidRPr="40A63180">
        <w:rPr>
          <w:rFonts w:eastAsia="Calibri" w:cs="Calibri"/>
        </w:rPr>
        <w:t xml:space="preserve"> </w:t>
      </w:r>
      <w:r w:rsidR="03212318" w:rsidRPr="40A63180">
        <w:rPr>
          <w:rFonts w:eastAsia="Calibri" w:cs="Calibri"/>
        </w:rPr>
        <w:t>6</w:t>
      </w:r>
      <w:r w:rsidR="713588DE" w:rsidRPr="40A63180">
        <w:rPr>
          <w:rFonts w:eastAsia="Calibri" w:cs="Calibri"/>
        </w:rPr>
        <w:t>b,</w:t>
      </w:r>
      <w:r w:rsidRPr="40A63180">
        <w:rPr>
          <w:rFonts w:eastAsia="Calibri" w:cs="Calibri"/>
        </w:rPr>
        <w:t xml:space="preserve"> for private sector inspections </w:t>
      </w:r>
      <w:r w:rsidR="0081249B" w:rsidRPr="40A63180">
        <w:rPr>
          <w:rFonts w:eastAsia="Calibri" w:cs="Calibri"/>
        </w:rPr>
        <w:t xml:space="preserve">increased from 25% in FY 2021 to 36% in FY 2022 and was </w:t>
      </w:r>
      <w:r w:rsidRPr="40A63180">
        <w:rPr>
          <w:rFonts w:eastAsia="Calibri" w:cs="Calibri"/>
        </w:rPr>
        <w:t>higher than the national average of 13.21%</w:t>
      </w:r>
      <w:r w:rsidR="0081249B" w:rsidRPr="40A63180">
        <w:rPr>
          <w:rFonts w:eastAsia="Calibri" w:cs="Calibri"/>
        </w:rPr>
        <w:t xml:space="preserve">.  </w:t>
      </w:r>
      <w:r w:rsidR="007F1897">
        <w:rPr>
          <w:rFonts w:eastAsia="Calibri" w:cs="Calibri"/>
        </w:rPr>
        <w:t xml:space="preserve">Observation FY 2022-OB-05 was amended to reflect the change and </w:t>
      </w:r>
      <w:r w:rsidR="002C0E1B" w:rsidRPr="40A63180">
        <w:rPr>
          <w:rFonts w:eastAsia="Calibri" w:cs="Calibri"/>
        </w:rPr>
        <w:t>is</w:t>
      </w:r>
      <w:r w:rsidR="0081249B" w:rsidRPr="40A63180">
        <w:rPr>
          <w:rFonts w:eastAsia="Calibri" w:cs="Calibri"/>
        </w:rPr>
        <w:t xml:space="preserve"> continued. </w:t>
      </w:r>
      <w:r w:rsidR="536C5AE0" w:rsidRPr="40A63180">
        <w:rPr>
          <w:rFonts w:eastAsia="Calibri" w:cs="Calibri"/>
        </w:rPr>
        <w:t xml:space="preserve"> </w:t>
      </w:r>
    </w:p>
    <w:p w14:paraId="40EA8FB1" w14:textId="36159364" w:rsidR="54F9B8B7" w:rsidRDefault="54F9B8B7" w:rsidP="000B58F1">
      <w:r w:rsidRPr="090008D6">
        <w:rPr>
          <w:rFonts w:eastAsia="Calibri" w:cs="Calibri"/>
          <w:b/>
          <w:bCs/>
        </w:rPr>
        <w:t xml:space="preserve"> </w:t>
      </w:r>
    </w:p>
    <w:p w14:paraId="354CC9C2" w14:textId="2E241F6E" w:rsidR="54F9B8B7" w:rsidRDefault="54F9B8B7" w:rsidP="000B58F1">
      <w:r w:rsidRPr="090008D6">
        <w:rPr>
          <w:rFonts w:eastAsia="Calibri" w:cs="Calibri"/>
          <w:b/>
          <w:bCs/>
        </w:rPr>
        <w:t>Observation FY</w:t>
      </w:r>
      <w:r w:rsidR="00345E45">
        <w:rPr>
          <w:rFonts w:eastAsia="Calibri" w:cs="Calibri"/>
          <w:b/>
          <w:bCs/>
        </w:rPr>
        <w:t xml:space="preserve"> 2022-OB-06 (FY</w:t>
      </w:r>
      <w:r w:rsidRPr="090008D6">
        <w:rPr>
          <w:rFonts w:eastAsia="Calibri" w:cs="Calibri"/>
          <w:b/>
          <w:bCs/>
        </w:rPr>
        <w:t xml:space="preserve"> 2021-OB-06</w:t>
      </w:r>
      <w:r w:rsidR="00345E45">
        <w:rPr>
          <w:rFonts w:eastAsia="Calibri" w:cs="Calibri"/>
          <w:b/>
          <w:bCs/>
        </w:rPr>
        <w:t>)</w:t>
      </w:r>
      <w:r w:rsidRPr="090008D6">
        <w:rPr>
          <w:rFonts w:eastAsia="Calibri" w:cs="Calibri"/>
          <w:b/>
          <w:bCs/>
        </w:rPr>
        <w:t xml:space="preserve">:  </w:t>
      </w:r>
      <w:r w:rsidR="007F1897">
        <w:rPr>
          <w:rFonts w:eastAsia="Calibri" w:cs="Calibri"/>
        </w:rPr>
        <w:t>In FY 2021, r</w:t>
      </w:r>
      <w:r w:rsidRPr="090008D6">
        <w:rPr>
          <w:rFonts w:eastAsia="Calibri" w:cs="Calibri"/>
        </w:rPr>
        <w:t xml:space="preserve">etaliation case files lacked the required documentation such as final signatures on settlement agreements, correspondence between ADOSH and the parties, evidence of review by a supervisor, letters of designation, complaint summaries, interview summaries, rebuttal interviews, or other documents required to be in the retaliation case file.  In addition, medical information was not protected. </w:t>
      </w:r>
    </w:p>
    <w:p w14:paraId="1AE38541" w14:textId="2FFB9547" w:rsidR="54F9B8B7" w:rsidRDefault="54F9B8B7" w:rsidP="000B58F1">
      <w:r w:rsidRPr="090008D6">
        <w:rPr>
          <w:rFonts w:eastAsia="Calibri" w:cs="Calibri"/>
        </w:rPr>
        <w:t xml:space="preserve"> </w:t>
      </w:r>
    </w:p>
    <w:p w14:paraId="6C37D4C3" w14:textId="23DF5705" w:rsidR="54F9B8B7" w:rsidRDefault="2E702595" w:rsidP="000B58F1">
      <w:r w:rsidRPr="56B52501">
        <w:rPr>
          <w:rFonts w:eastAsia="Calibri" w:cs="Calibri"/>
          <w:b/>
          <w:bCs/>
        </w:rPr>
        <w:t xml:space="preserve">Status: </w:t>
      </w:r>
      <w:r w:rsidR="2C128FF8" w:rsidRPr="56B52501">
        <w:rPr>
          <w:rFonts w:eastAsia="Calibri" w:cs="Calibri"/>
        </w:rPr>
        <w:t xml:space="preserve"> </w:t>
      </w:r>
      <w:r w:rsidR="4109FBD7" w:rsidRPr="56B52501">
        <w:rPr>
          <w:rFonts w:eastAsia="Calibri" w:cs="Calibri"/>
        </w:rPr>
        <w:t>A</w:t>
      </w:r>
      <w:r w:rsidR="26448C3E" w:rsidRPr="56B52501">
        <w:rPr>
          <w:rFonts w:eastAsia="Calibri" w:cs="Calibri"/>
        </w:rPr>
        <w:t xml:space="preserve"> case file review is necessary to gather the facts needed</w:t>
      </w:r>
      <w:r w:rsidR="2C128FF8" w:rsidRPr="56B52501">
        <w:rPr>
          <w:rFonts w:eastAsia="Calibri" w:cs="Calibri"/>
        </w:rPr>
        <w:t xml:space="preserve"> to evaluate </w:t>
      </w:r>
      <w:r w:rsidR="526729FC" w:rsidRPr="56B52501">
        <w:rPr>
          <w:rFonts w:eastAsia="Calibri" w:cs="Calibri"/>
        </w:rPr>
        <w:t>performance in relation to this</w:t>
      </w:r>
      <w:r w:rsidRPr="56B52501">
        <w:rPr>
          <w:rFonts w:eastAsia="Calibri" w:cs="Calibri"/>
        </w:rPr>
        <w:t xml:space="preserve"> observation</w:t>
      </w:r>
      <w:r w:rsidR="1E663AA5" w:rsidRPr="56B52501">
        <w:rPr>
          <w:rFonts w:eastAsia="Calibri" w:cs="Calibri"/>
        </w:rPr>
        <w:t xml:space="preserve">.  </w:t>
      </w:r>
      <w:r w:rsidR="59E7981D" w:rsidRPr="56B52501">
        <w:rPr>
          <w:rFonts w:eastAsia="Calibri" w:cs="Calibri"/>
        </w:rPr>
        <w:t>T</w:t>
      </w:r>
      <w:r w:rsidR="645F6100" w:rsidRPr="56B52501">
        <w:rPr>
          <w:rFonts w:eastAsia="Calibri" w:cs="Calibri"/>
        </w:rPr>
        <w:t xml:space="preserve">his observation will be </w:t>
      </w:r>
      <w:r w:rsidRPr="56B52501">
        <w:rPr>
          <w:rFonts w:eastAsia="Calibri" w:cs="Calibri"/>
        </w:rPr>
        <w:t xml:space="preserve">a focus </w:t>
      </w:r>
      <w:r w:rsidR="59E7981D" w:rsidRPr="56B52501">
        <w:rPr>
          <w:rFonts w:eastAsia="Calibri" w:cs="Calibri"/>
        </w:rPr>
        <w:t>of next year’s</w:t>
      </w:r>
      <w:r w:rsidRPr="56B52501">
        <w:rPr>
          <w:rFonts w:eastAsia="Calibri" w:cs="Calibri"/>
        </w:rPr>
        <w:t xml:space="preserve"> on-site case file review </w:t>
      </w:r>
      <w:r w:rsidR="629BAA28" w:rsidRPr="56B52501">
        <w:rPr>
          <w:rFonts w:eastAsia="Calibri" w:cs="Calibri"/>
        </w:rPr>
        <w:t>during</w:t>
      </w:r>
      <w:r w:rsidRPr="56B52501">
        <w:rPr>
          <w:rFonts w:eastAsia="Calibri" w:cs="Calibri"/>
        </w:rPr>
        <w:t xml:space="preserve"> the FY 2023 comprehensive FAME.</w:t>
      </w:r>
      <w:r w:rsidR="017C00B3" w:rsidRPr="56B52501">
        <w:rPr>
          <w:rFonts w:eastAsia="Calibri" w:cs="Calibri"/>
        </w:rPr>
        <w:t xml:space="preserve">  This observation </w:t>
      </w:r>
      <w:r w:rsidR="002C0E1B" w:rsidRPr="56B52501">
        <w:rPr>
          <w:rFonts w:eastAsia="Calibri" w:cs="Calibri"/>
        </w:rPr>
        <w:t>is</w:t>
      </w:r>
      <w:r w:rsidR="017C00B3" w:rsidRPr="56B52501">
        <w:rPr>
          <w:rFonts w:eastAsia="Calibri" w:cs="Calibri"/>
        </w:rPr>
        <w:t xml:space="preserve"> continued.  </w:t>
      </w:r>
    </w:p>
    <w:p w14:paraId="443BECA2" w14:textId="5E6A792A" w:rsidR="54F9B8B7" w:rsidRDefault="54F9B8B7" w:rsidP="000B58F1">
      <w:r w:rsidRPr="090008D6">
        <w:rPr>
          <w:rFonts w:eastAsia="Calibri" w:cs="Calibri"/>
          <w:b/>
          <w:bCs/>
        </w:rPr>
        <w:t xml:space="preserve"> </w:t>
      </w:r>
    </w:p>
    <w:p w14:paraId="7E0CE52A" w14:textId="3AD67BCE" w:rsidR="54F9B8B7" w:rsidRDefault="54F9B8B7" w:rsidP="000B58F1">
      <w:r w:rsidRPr="090008D6">
        <w:rPr>
          <w:rFonts w:eastAsia="Calibri" w:cs="Calibri"/>
          <w:b/>
          <w:bCs/>
        </w:rPr>
        <w:t xml:space="preserve">Observation FY 2022-OB-07 (FY 2021-OB-07):  </w:t>
      </w:r>
      <w:r w:rsidR="007F1897">
        <w:rPr>
          <w:rFonts w:eastAsia="Calibri" w:cs="Calibri"/>
        </w:rPr>
        <w:t>In FY 2021, i</w:t>
      </w:r>
      <w:r w:rsidRPr="090008D6">
        <w:rPr>
          <w:rFonts w:eastAsia="Calibri" w:cs="Calibri"/>
        </w:rPr>
        <w:t xml:space="preserve">n </w:t>
      </w:r>
      <w:r w:rsidR="001342FB">
        <w:rPr>
          <w:rFonts w:eastAsia="Calibri" w:cs="Calibri"/>
        </w:rPr>
        <w:t>two</w:t>
      </w:r>
      <w:r w:rsidR="001D00E5" w:rsidRPr="090008D6">
        <w:rPr>
          <w:rFonts w:eastAsia="Calibri" w:cs="Calibri"/>
        </w:rPr>
        <w:t xml:space="preserve"> </w:t>
      </w:r>
      <w:r w:rsidRPr="090008D6">
        <w:rPr>
          <w:rFonts w:eastAsia="Calibri" w:cs="Calibri"/>
        </w:rPr>
        <w:t xml:space="preserve">of 16 (13%) state and local government agency case files, there was no documentation of the List of Hazards being sent to the union representatives. </w:t>
      </w:r>
    </w:p>
    <w:p w14:paraId="719281F6" w14:textId="316B0249" w:rsidR="54F9B8B7" w:rsidRDefault="54F9B8B7" w:rsidP="000B58F1">
      <w:r w:rsidRPr="090008D6">
        <w:rPr>
          <w:rFonts w:eastAsia="Calibri" w:cs="Calibri"/>
        </w:rPr>
        <w:t xml:space="preserve"> </w:t>
      </w:r>
    </w:p>
    <w:p w14:paraId="1FE4CF13" w14:textId="51585431" w:rsidR="54F9B8B7" w:rsidRDefault="2E702595" w:rsidP="000B58F1">
      <w:pPr>
        <w:rPr>
          <w:rFonts w:eastAsia="Calibri" w:cs="Calibri"/>
        </w:rPr>
      </w:pPr>
      <w:r w:rsidRPr="011E1980">
        <w:rPr>
          <w:rFonts w:eastAsia="Calibri" w:cs="Calibri"/>
          <w:b/>
          <w:bCs/>
        </w:rPr>
        <w:t xml:space="preserve">Status:  </w:t>
      </w:r>
      <w:r w:rsidR="007F1897">
        <w:rPr>
          <w:rFonts w:eastAsia="Calibri" w:cs="Calibri"/>
        </w:rPr>
        <w:t>In FY 2021, t</w:t>
      </w:r>
      <w:r w:rsidRPr="011E1980">
        <w:rPr>
          <w:rFonts w:eastAsia="Calibri" w:cs="Calibri"/>
        </w:rPr>
        <w:t xml:space="preserve">his observation </w:t>
      </w:r>
      <w:r w:rsidR="4140E8AD" w:rsidRPr="011E1980">
        <w:rPr>
          <w:rFonts w:eastAsia="Calibri" w:cs="Calibri"/>
        </w:rPr>
        <w:t>was specific to state and local government agency consultation visit files.</w:t>
      </w:r>
      <w:r w:rsidR="48CEAC56" w:rsidRPr="011E1980">
        <w:rPr>
          <w:rFonts w:eastAsia="Calibri" w:cs="Calibri"/>
        </w:rPr>
        <w:t xml:space="preserve"> </w:t>
      </w:r>
      <w:r w:rsidR="00721AFE">
        <w:rPr>
          <w:rFonts w:eastAsia="Calibri" w:cs="Calibri"/>
        </w:rPr>
        <w:t xml:space="preserve"> </w:t>
      </w:r>
      <w:r w:rsidR="48CEAC56" w:rsidRPr="011E1980">
        <w:rPr>
          <w:rFonts w:eastAsia="Calibri" w:cs="Calibri"/>
        </w:rPr>
        <w:t xml:space="preserve">An on-site </w:t>
      </w:r>
      <w:r w:rsidR="6B500BC0" w:rsidRPr="011E1980">
        <w:rPr>
          <w:rFonts w:eastAsia="Calibri" w:cs="Calibri"/>
        </w:rPr>
        <w:t xml:space="preserve">consultation </w:t>
      </w:r>
      <w:r w:rsidR="48CEAC56" w:rsidRPr="011E1980">
        <w:rPr>
          <w:rFonts w:eastAsia="Calibri" w:cs="Calibri"/>
        </w:rPr>
        <w:t>case file review was conducted in December 2022</w:t>
      </w:r>
      <w:r w:rsidR="36000D48" w:rsidRPr="011E1980">
        <w:rPr>
          <w:rFonts w:eastAsia="Calibri" w:cs="Calibri"/>
        </w:rPr>
        <w:t xml:space="preserve"> to evaluate the status of this observation.  </w:t>
      </w:r>
      <w:r w:rsidR="00FD1F6F">
        <w:rPr>
          <w:rFonts w:eastAsia="Calibri" w:cs="Calibri"/>
        </w:rPr>
        <w:t xml:space="preserve">In the </w:t>
      </w:r>
      <w:r w:rsidR="36000D48" w:rsidRPr="011E1980">
        <w:rPr>
          <w:rFonts w:eastAsia="Calibri" w:cs="Calibri"/>
        </w:rPr>
        <w:t>14 state and local government agency visit files reviewed, non</w:t>
      </w:r>
      <w:r w:rsidR="0BDE009D" w:rsidRPr="011E1980">
        <w:rPr>
          <w:rFonts w:eastAsia="Calibri" w:cs="Calibri"/>
        </w:rPr>
        <w:t xml:space="preserve">e included workplaces where the employees were represented by a union.  </w:t>
      </w:r>
      <w:r w:rsidR="00380220" w:rsidRPr="011E1980">
        <w:rPr>
          <w:rFonts w:eastAsia="Calibri" w:cs="Calibri"/>
        </w:rPr>
        <w:t xml:space="preserve">This </w:t>
      </w:r>
      <w:r w:rsidR="00380220">
        <w:rPr>
          <w:rFonts w:eastAsia="Calibri" w:cs="Calibri"/>
        </w:rPr>
        <w:t>observation</w:t>
      </w:r>
      <w:r w:rsidR="00380220" w:rsidRPr="011E1980">
        <w:rPr>
          <w:rFonts w:eastAsia="Calibri" w:cs="Calibri"/>
        </w:rPr>
        <w:t xml:space="preserve"> will be </w:t>
      </w:r>
      <w:r w:rsidR="00380220" w:rsidRPr="00770A17">
        <w:rPr>
          <w:rFonts w:eastAsia="Calibri" w:cs="Calibri"/>
        </w:rPr>
        <w:t xml:space="preserve">a focus of next year’s on-site case file review during the FY 2023 comprehensive FAME and </w:t>
      </w:r>
      <w:r w:rsidR="002C0E1B" w:rsidRPr="00770A17">
        <w:rPr>
          <w:rFonts w:eastAsia="Calibri" w:cs="Calibri"/>
        </w:rPr>
        <w:t>is</w:t>
      </w:r>
      <w:r w:rsidR="695CB2C0" w:rsidRPr="00770A17">
        <w:rPr>
          <w:rFonts w:eastAsia="Calibri" w:cs="Calibri"/>
        </w:rPr>
        <w:t xml:space="preserve"> continued.</w:t>
      </w:r>
      <w:r w:rsidR="695CB2C0" w:rsidRPr="011E1980">
        <w:rPr>
          <w:rFonts w:eastAsia="Calibri" w:cs="Calibri"/>
        </w:rPr>
        <w:t xml:space="preserve"> </w:t>
      </w:r>
    </w:p>
    <w:p w14:paraId="1FF22364" w14:textId="274480BB" w:rsidR="009C18D3" w:rsidRDefault="009C18D3" w:rsidP="000B58F1">
      <w:pPr>
        <w:rPr>
          <w:rFonts w:eastAsia="Calibri" w:cs="Calibri"/>
        </w:rPr>
      </w:pPr>
    </w:p>
    <w:p w14:paraId="0A0B51C4" w14:textId="5785EA8A" w:rsidR="009C18D3" w:rsidRPr="009C18D3" w:rsidRDefault="009C18D3" w:rsidP="000B58F1">
      <w:pPr>
        <w:rPr>
          <w:rFonts w:eastAsia="Calibri" w:cs="Calibri"/>
          <w:b/>
          <w:bCs/>
        </w:rPr>
      </w:pPr>
      <w:r w:rsidRPr="009C18D3">
        <w:rPr>
          <w:rFonts w:eastAsia="Calibri" w:cs="Calibri"/>
          <w:b/>
          <w:bCs/>
        </w:rPr>
        <w:t>Closed Observations</w:t>
      </w:r>
    </w:p>
    <w:p w14:paraId="47839B35" w14:textId="1EE60963" w:rsidR="009C18D3" w:rsidRDefault="009C18D3" w:rsidP="000B58F1">
      <w:pPr>
        <w:rPr>
          <w:rFonts w:eastAsia="Calibri" w:cs="Calibri"/>
        </w:rPr>
      </w:pPr>
    </w:p>
    <w:p w14:paraId="7A02D93A" w14:textId="14ABD920" w:rsidR="009C18D3" w:rsidRDefault="009C18D3" w:rsidP="000B58F1">
      <w:pPr>
        <w:rPr>
          <w:rFonts w:eastAsia="Calibri" w:cs="Calibri"/>
        </w:rPr>
      </w:pPr>
      <w:r>
        <w:rPr>
          <w:rFonts w:eastAsia="Calibri" w:cs="Calibri"/>
        </w:rPr>
        <w:t>There were no closed observations.</w:t>
      </w:r>
    </w:p>
    <w:p w14:paraId="7D2C3557" w14:textId="240741D2" w:rsidR="009C18D3" w:rsidRDefault="009C18D3" w:rsidP="000B58F1">
      <w:pPr>
        <w:rPr>
          <w:rFonts w:eastAsia="Calibri" w:cs="Calibri"/>
        </w:rPr>
      </w:pPr>
    </w:p>
    <w:p w14:paraId="4574C877" w14:textId="000DE5CD" w:rsidR="009C18D3" w:rsidRPr="009C18D3" w:rsidRDefault="009C18D3" w:rsidP="000B58F1">
      <w:pPr>
        <w:rPr>
          <w:rFonts w:eastAsia="Calibri" w:cs="Calibri"/>
          <w:b/>
          <w:bCs/>
        </w:rPr>
      </w:pPr>
      <w:r w:rsidRPr="009C18D3">
        <w:rPr>
          <w:rFonts w:eastAsia="Calibri" w:cs="Calibri"/>
          <w:b/>
          <w:bCs/>
        </w:rPr>
        <w:t>New Observations</w:t>
      </w:r>
    </w:p>
    <w:p w14:paraId="30359B14" w14:textId="138B0B30" w:rsidR="009C18D3" w:rsidRDefault="009C18D3" w:rsidP="000B58F1">
      <w:pPr>
        <w:rPr>
          <w:rFonts w:eastAsia="Calibri" w:cs="Calibri"/>
        </w:rPr>
      </w:pPr>
    </w:p>
    <w:p w14:paraId="28A2E67C" w14:textId="42F32192" w:rsidR="009C18D3" w:rsidRDefault="009C18D3" w:rsidP="000B58F1">
      <w:pPr>
        <w:rPr>
          <w:rFonts w:eastAsia="Calibri" w:cs="Calibri"/>
        </w:rPr>
      </w:pPr>
      <w:r>
        <w:rPr>
          <w:rFonts w:eastAsia="Calibri" w:cs="Calibri"/>
        </w:rPr>
        <w:t xml:space="preserve">There were no new observations identified in FY 2022. </w:t>
      </w:r>
    </w:p>
    <w:p w14:paraId="698227C6" w14:textId="5E738869" w:rsidR="005E038B" w:rsidRDefault="005E038B" w:rsidP="000B58F1">
      <w:pPr>
        <w:widowControl/>
        <w:rPr>
          <w:rFonts w:cs="Calibri"/>
          <w:b/>
          <w:highlight w:val="yellow"/>
        </w:rPr>
      </w:pPr>
    </w:p>
    <w:p w14:paraId="3B828F9D" w14:textId="42FF1A21" w:rsidR="00F132A8" w:rsidRPr="0061362E" w:rsidRDefault="00465D7E" w:rsidP="00685C25">
      <w:pPr>
        <w:pStyle w:val="Heading3"/>
      </w:pPr>
      <w:bookmarkStart w:id="23" w:name="_Toc118900177"/>
      <w:bookmarkStart w:id="24" w:name="_Toc118905016"/>
      <w:r>
        <w:t xml:space="preserve">     </w:t>
      </w:r>
      <w:bookmarkStart w:id="25" w:name="_Toc128388236"/>
      <w:r>
        <w:t xml:space="preserve">C.  </w:t>
      </w:r>
      <w:r w:rsidR="00F132A8" w:rsidRPr="0061362E">
        <w:t>State Activity Mandated Measures (SAMM)</w:t>
      </w:r>
      <w:r w:rsidR="00A243D6" w:rsidRPr="0061362E">
        <w:t xml:space="preserve"> Highlights</w:t>
      </w:r>
      <w:bookmarkEnd w:id="23"/>
      <w:bookmarkEnd w:id="24"/>
      <w:bookmarkEnd w:id="25"/>
    </w:p>
    <w:p w14:paraId="6AD12CC3" w14:textId="3763E8BE" w:rsidR="00C14885" w:rsidRPr="002D22CC" w:rsidRDefault="00C14885" w:rsidP="000B58F1">
      <w:pPr>
        <w:widowControl/>
        <w:autoSpaceDE/>
        <w:adjustRightInd/>
        <w:rPr>
          <w:rFonts w:cs="Calibri"/>
          <w:iCs/>
          <w:color w:val="0070C0"/>
        </w:rPr>
      </w:pPr>
    </w:p>
    <w:p w14:paraId="6334AF51" w14:textId="77777777" w:rsidR="00C219A4" w:rsidRDefault="02D01C39" w:rsidP="000B58F1">
      <w:pPr>
        <w:rPr>
          <w:rFonts w:eastAsia="Calibri" w:cs="Calibri"/>
        </w:rPr>
      </w:pPr>
      <w:r w:rsidRPr="090008D6">
        <w:rPr>
          <w:rFonts w:eastAsia="Calibri" w:cs="Calibri"/>
        </w:rPr>
        <w:t xml:space="preserve">Each SAMM measure has an agreed upon </w:t>
      </w:r>
      <w:r w:rsidR="00472102">
        <w:rPr>
          <w:rFonts w:eastAsia="Calibri" w:cs="Calibri"/>
        </w:rPr>
        <w:t>FRL</w:t>
      </w:r>
      <w:r w:rsidRPr="090008D6">
        <w:rPr>
          <w:rFonts w:eastAsia="Calibri" w:cs="Calibri"/>
        </w:rPr>
        <w:t xml:space="preserve"> which can be either a single number or a range of numbers above and below the national average.  State Plan SAMM data that falls outside of the FRL triggers a closer look at the underlying performance of the mandatory activity.  Appendix D presents the State Plan’s FY 2022 </w:t>
      </w:r>
      <w:r w:rsidR="003E141C">
        <w:rPr>
          <w:rFonts w:eastAsia="Calibri" w:cs="Calibri"/>
        </w:rPr>
        <w:t>SAMM</w:t>
      </w:r>
      <w:r w:rsidRPr="090008D6">
        <w:rPr>
          <w:rFonts w:eastAsia="Calibri" w:cs="Calibri"/>
        </w:rPr>
        <w:t xml:space="preserve"> Report and includes the FRLs for each measure.</w:t>
      </w:r>
    </w:p>
    <w:p w14:paraId="078221C1" w14:textId="0B3498BE" w:rsidR="00C219A4" w:rsidRDefault="00C219A4" w:rsidP="000B58F1">
      <w:pPr>
        <w:rPr>
          <w:rFonts w:eastAsia="Calibri" w:cs="Calibri"/>
        </w:rPr>
      </w:pPr>
    </w:p>
    <w:p w14:paraId="7BD4592F" w14:textId="300214F9" w:rsidR="00C219A4" w:rsidRDefault="00C219A4" w:rsidP="000B58F1">
      <w:pPr>
        <w:rPr>
          <w:rFonts w:eastAsia="Calibri" w:cs="Calibri"/>
        </w:rPr>
      </w:pPr>
      <w:r w:rsidRPr="00DB278E">
        <w:rPr>
          <w:rFonts w:cs="Calibri"/>
        </w:rPr>
        <w:t xml:space="preserve">It should be noted that OSHA is in the final stages of transitioning from the Whistleblower Application in the OSHA IT Support System (OITSS), a legacy data system, to the Whistleblower </w:t>
      </w:r>
      <w:r w:rsidRPr="00DB278E">
        <w:rPr>
          <w:rFonts w:cs="Calibri"/>
        </w:rPr>
        <w:lastRenderedPageBreak/>
        <w:t>module in OIS, a modern data system.  For FY 2022, a portion of the State Plan whistleblower data was recorded OITSS, and a portion was captured in OIS.   OSHA encountered challenges in combining the report that generates SAMM 14, 15, and 16 from both systems.  As such, OSHA will not be relying on SAMMs 14, 15, or 16 in their evaluation of the State Plans whistleblower programs for FY 2022.</w:t>
      </w:r>
    </w:p>
    <w:p w14:paraId="3B1AB8E9" w14:textId="77777777" w:rsidR="00C219A4" w:rsidRDefault="00C219A4" w:rsidP="000B58F1">
      <w:pPr>
        <w:rPr>
          <w:rFonts w:eastAsia="Calibri" w:cs="Calibri"/>
        </w:rPr>
      </w:pPr>
    </w:p>
    <w:p w14:paraId="39B8F3DA" w14:textId="33B6AD92" w:rsidR="02D01C39" w:rsidRDefault="02D01C39" w:rsidP="000B58F1">
      <w:r w:rsidRPr="090008D6">
        <w:rPr>
          <w:rFonts w:eastAsia="Calibri" w:cs="Calibri"/>
        </w:rPr>
        <w:t xml:space="preserve">The </w:t>
      </w:r>
      <w:r w:rsidR="00A73AD4">
        <w:rPr>
          <w:rFonts w:eastAsia="Calibri" w:cs="Calibri"/>
        </w:rPr>
        <w:t>Arizona</w:t>
      </w:r>
      <w:r w:rsidRPr="090008D6">
        <w:rPr>
          <w:rFonts w:eastAsia="Calibri" w:cs="Calibri"/>
        </w:rPr>
        <w:t xml:space="preserve"> State Plan was outside the FRL on the following SAMMs:</w:t>
      </w:r>
    </w:p>
    <w:p w14:paraId="560C097F" w14:textId="41DEEB75" w:rsidR="02D01C39" w:rsidRDefault="02D01C39" w:rsidP="000B58F1"/>
    <w:p w14:paraId="7AEB0497" w14:textId="1BC167F4" w:rsidR="02D01C39" w:rsidRDefault="02D01C39" w:rsidP="000B58F1">
      <w:r w:rsidRPr="090008D6">
        <w:rPr>
          <w:rFonts w:eastAsia="Calibri" w:cs="Calibri"/>
          <w:b/>
          <w:bCs/>
        </w:rPr>
        <w:t xml:space="preserve">SAMM 8 – Average </w:t>
      </w:r>
      <w:r w:rsidR="00D27CBA">
        <w:rPr>
          <w:rFonts w:eastAsia="Calibri" w:cs="Calibri"/>
          <w:b/>
          <w:bCs/>
        </w:rPr>
        <w:t>C</w:t>
      </w:r>
      <w:r w:rsidRPr="090008D6">
        <w:rPr>
          <w:rFonts w:eastAsia="Calibri" w:cs="Calibri"/>
          <w:b/>
          <w:bCs/>
        </w:rPr>
        <w:t xml:space="preserve">urrent </w:t>
      </w:r>
      <w:r w:rsidR="00D27CBA">
        <w:rPr>
          <w:rFonts w:eastAsia="Calibri" w:cs="Calibri"/>
          <w:b/>
          <w:bCs/>
        </w:rPr>
        <w:t>S</w:t>
      </w:r>
      <w:r w:rsidRPr="090008D6">
        <w:rPr>
          <w:rFonts w:eastAsia="Calibri" w:cs="Calibri"/>
          <w:b/>
          <w:bCs/>
        </w:rPr>
        <w:t xml:space="preserve">erious </w:t>
      </w:r>
      <w:r w:rsidR="00D27CBA">
        <w:rPr>
          <w:rFonts w:eastAsia="Calibri" w:cs="Calibri"/>
          <w:b/>
          <w:bCs/>
        </w:rPr>
        <w:t>P</w:t>
      </w:r>
      <w:r w:rsidRPr="090008D6">
        <w:rPr>
          <w:rFonts w:eastAsia="Calibri" w:cs="Calibri"/>
          <w:b/>
          <w:bCs/>
        </w:rPr>
        <w:t xml:space="preserve">enalty in </w:t>
      </w:r>
      <w:r w:rsidR="00D27CBA">
        <w:rPr>
          <w:rFonts w:eastAsia="Calibri" w:cs="Calibri"/>
          <w:b/>
          <w:bCs/>
        </w:rPr>
        <w:t>P</w:t>
      </w:r>
      <w:r w:rsidRPr="090008D6">
        <w:rPr>
          <w:rFonts w:eastAsia="Calibri" w:cs="Calibri"/>
          <w:b/>
          <w:bCs/>
        </w:rPr>
        <w:t xml:space="preserve">rivate </w:t>
      </w:r>
      <w:r w:rsidR="00D27CBA">
        <w:rPr>
          <w:rFonts w:eastAsia="Calibri" w:cs="Calibri"/>
          <w:b/>
          <w:bCs/>
        </w:rPr>
        <w:t>S</w:t>
      </w:r>
      <w:r w:rsidRPr="090008D6">
        <w:rPr>
          <w:rFonts w:eastAsia="Calibri" w:cs="Calibri"/>
          <w:b/>
          <w:bCs/>
        </w:rPr>
        <w:t xml:space="preserve">ector – total (1 to </w:t>
      </w:r>
      <w:r w:rsidR="000F21D0">
        <w:rPr>
          <w:rFonts w:eastAsia="Calibri" w:cs="Calibri"/>
          <w:b/>
          <w:bCs/>
        </w:rPr>
        <w:t>G</w:t>
      </w:r>
      <w:r w:rsidRPr="090008D6">
        <w:rPr>
          <w:rFonts w:eastAsia="Calibri" w:cs="Calibri"/>
          <w:b/>
          <w:bCs/>
        </w:rPr>
        <w:t xml:space="preserve">reater than 250 </w:t>
      </w:r>
      <w:r w:rsidR="000F21D0">
        <w:rPr>
          <w:rFonts w:eastAsia="Calibri" w:cs="Calibri"/>
          <w:b/>
          <w:bCs/>
        </w:rPr>
        <w:t>W</w:t>
      </w:r>
      <w:r w:rsidR="000F21D0" w:rsidRPr="090008D6">
        <w:rPr>
          <w:rFonts w:eastAsia="Calibri" w:cs="Calibri"/>
          <w:b/>
          <w:bCs/>
        </w:rPr>
        <w:t>orkers</w:t>
      </w:r>
      <w:r w:rsidRPr="090008D6">
        <w:rPr>
          <w:rFonts w:eastAsia="Calibri" w:cs="Calibri"/>
          <w:b/>
          <w:bCs/>
        </w:rPr>
        <w:t>)</w:t>
      </w:r>
    </w:p>
    <w:p w14:paraId="3A74F96C" w14:textId="2D926E12" w:rsidR="02D01C39" w:rsidRDefault="02D01C39" w:rsidP="000B58F1">
      <w:r w:rsidRPr="090008D6">
        <w:rPr>
          <w:rFonts w:eastAsia="Calibri" w:cs="Calibri"/>
        </w:rPr>
        <w:t xml:space="preserve"> </w:t>
      </w:r>
    </w:p>
    <w:p w14:paraId="6CD6DAB4" w14:textId="176CD3DC" w:rsidR="00ED7795" w:rsidRDefault="4775F50F" w:rsidP="000B58F1">
      <w:pPr>
        <w:rPr>
          <w:rFonts w:eastAsia="Calibri" w:cs="Calibri"/>
        </w:rPr>
      </w:pPr>
      <w:r w:rsidRPr="56B52501">
        <w:rPr>
          <w:rFonts w:eastAsia="Calibri" w:cs="Calibri"/>
          <w:b/>
          <w:bCs/>
        </w:rPr>
        <w:t>Discussion of State Plan Data and FRL:</w:t>
      </w:r>
      <w:r w:rsidRPr="56B52501">
        <w:rPr>
          <w:rFonts w:eastAsia="Calibri" w:cs="Calibri"/>
        </w:rPr>
        <w:t xml:space="preserve">  The FRL for the average current serious penalty for 1-250+ workers </w:t>
      </w:r>
      <w:proofErr w:type="gramStart"/>
      <w:r w:rsidRPr="56B52501">
        <w:rPr>
          <w:rFonts w:eastAsia="Calibri" w:cs="Calibri"/>
        </w:rPr>
        <w:t>was</w:t>
      </w:r>
      <w:proofErr w:type="gramEnd"/>
      <w:r w:rsidRPr="56B52501">
        <w:rPr>
          <w:rFonts w:eastAsia="Calibri" w:cs="Calibri"/>
        </w:rPr>
        <w:t xml:space="preserve"> +/- </w:t>
      </w:r>
      <w:r w:rsidR="46E2BE27" w:rsidRPr="56B52501">
        <w:rPr>
          <w:rFonts w:eastAsia="Calibri" w:cs="Calibri"/>
        </w:rPr>
        <w:t xml:space="preserve">25% of </w:t>
      </w:r>
      <w:r w:rsidRPr="56B52501">
        <w:rPr>
          <w:rFonts w:eastAsia="Calibri" w:cs="Calibri"/>
        </w:rPr>
        <w:t>$3,295.35, which was based on a three-year national average</w:t>
      </w:r>
      <w:r w:rsidR="00117C4F">
        <w:rPr>
          <w:rFonts w:eastAsia="Calibri" w:cs="Calibri"/>
        </w:rPr>
        <w:t xml:space="preserve"> and </w:t>
      </w:r>
      <w:r w:rsidR="006B1BC5" w:rsidRPr="56B52501">
        <w:rPr>
          <w:rFonts w:eastAsia="Calibri" w:cs="Calibri"/>
        </w:rPr>
        <w:t>provid</w:t>
      </w:r>
      <w:r w:rsidR="00117C4F">
        <w:rPr>
          <w:rFonts w:eastAsia="Calibri" w:cs="Calibri"/>
        </w:rPr>
        <w:t>es</w:t>
      </w:r>
      <w:r w:rsidR="006B1BC5" w:rsidRPr="56B52501">
        <w:rPr>
          <w:rFonts w:eastAsia="Calibri" w:cs="Calibri"/>
        </w:rPr>
        <w:t xml:space="preserve"> a range of</w:t>
      </w:r>
      <w:r w:rsidRPr="56B52501">
        <w:rPr>
          <w:rFonts w:eastAsia="Calibri" w:cs="Calibri"/>
        </w:rPr>
        <w:t xml:space="preserve"> $2,444.51</w:t>
      </w:r>
      <w:r w:rsidR="006B1BC5" w:rsidRPr="56B52501">
        <w:rPr>
          <w:rFonts w:eastAsia="Calibri" w:cs="Calibri"/>
        </w:rPr>
        <w:t xml:space="preserve"> to</w:t>
      </w:r>
      <w:r w:rsidRPr="56B52501">
        <w:rPr>
          <w:rFonts w:eastAsia="Calibri" w:cs="Calibri"/>
        </w:rPr>
        <w:t xml:space="preserve"> $4,074.19</w:t>
      </w:r>
      <w:r w:rsidR="006B1BC5" w:rsidRPr="56B52501">
        <w:rPr>
          <w:rFonts w:eastAsia="Calibri" w:cs="Calibri"/>
        </w:rPr>
        <w:t xml:space="preserve">. </w:t>
      </w:r>
      <w:r w:rsidR="00C01D0B">
        <w:rPr>
          <w:rFonts w:eastAsia="Calibri" w:cs="Calibri"/>
        </w:rPr>
        <w:t xml:space="preserve"> </w:t>
      </w:r>
      <w:r w:rsidR="52822B3F" w:rsidRPr="56B52501">
        <w:rPr>
          <w:rFonts w:eastAsia="Calibri" w:cs="Calibri"/>
        </w:rPr>
        <w:t xml:space="preserve">Employers with 1-250+ workers in Arizona were penalized </w:t>
      </w:r>
      <w:r w:rsidR="006B1BC5" w:rsidRPr="56B52501">
        <w:rPr>
          <w:rFonts w:eastAsia="Calibri" w:cs="Calibri"/>
        </w:rPr>
        <w:t>at an average</w:t>
      </w:r>
      <w:r w:rsidR="03CFC830" w:rsidRPr="56B52501">
        <w:rPr>
          <w:rFonts w:eastAsia="Calibri" w:cs="Calibri"/>
        </w:rPr>
        <w:t xml:space="preserve"> of </w:t>
      </w:r>
      <w:r w:rsidRPr="56B52501">
        <w:rPr>
          <w:rFonts w:eastAsia="Calibri" w:cs="Calibri"/>
        </w:rPr>
        <w:t>$1,191.</w:t>
      </w:r>
      <w:r w:rsidR="03CFC830" w:rsidRPr="56B52501">
        <w:rPr>
          <w:rFonts w:eastAsia="Calibri" w:cs="Calibri"/>
        </w:rPr>
        <w:t>59</w:t>
      </w:r>
      <w:r w:rsidR="006B1BC5" w:rsidRPr="56B52501">
        <w:rPr>
          <w:rFonts w:eastAsia="Calibri" w:cs="Calibri"/>
        </w:rPr>
        <w:t xml:space="preserve"> per serious violation</w:t>
      </w:r>
      <w:r w:rsidR="03CFC830" w:rsidRPr="56B52501">
        <w:rPr>
          <w:rFonts w:eastAsia="Calibri" w:cs="Calibri"/>
        </w:rPr>
        <w:t xml:space="preserve">, which was below the FRL range.  </w:t>
      </w:r>
      <w:r w:rsidR="3849347D" w:rsidRPr="56B52501">
        <w:rPr>
          <w:rFonts w:eastAsia="Calibri" w:cs="Calibri"/>
        </w:rPr>
        <w:t xml:space="preserve">ADOSH was below the FRL for all employer sizes.  </w:t>
      </w:r>
      <w:r w:rsidR="005735E6">
        <w:rPr>
          <w:rFonts w:asciiTheme="minorHAnsi" w:hAnsiTheme="minorHAnsi" w:cstheme="minorHAnsi"/>
        </w:rPr>
        <w:t>ADOSH</w:t>
      </w:r>
      <w:r w:rsidR="005735E6" w:rsidRPr="00835182">
        <w:rPr>
          <w:rFonts w:asciiTheme="minorHAnsi" w:hAnsiTheme="minorHAnsi" w:cstheme="minorHAnsi"/>
        </w:rPr>
        <w:t>’s penalties in relation to the FRL for each category is provided in Appendix D under SAMM #8.</w:t>
      </w:r>
      <w:r w:rsidR="005735E6">
        <w:rPr>
          <w:rFonts w:asciiTheme="minorHAnsi" w:hAnsiTheme="minorHAnsi" w:cstheme="minorHAnsi"/>
        </w:rPr>
        <w:t xml:space="preserve"> </w:t>
      </w:r>
    </w:p>
    <w:p w14:paraId="3C631651" w14:textId="77777777" w:rsidR="00005C39" w:rsidRDefault="00005C39" w:rsidP="000B58F1"/>
    <w:p w14:paraId="4913913A" w14:textId="520FB9AC" w:rsidR="02D01C39" w:rsidRDefault="4775F50F" w:rsidP="000B58F1">
      <w:r w:rsidRPr="56B52501">
        <w:rPr>
          <w:rFonts w:eastAsia="Calibri" w:cs="Calibri"/>
          <w:b/>
          <w:bCs/>
        </w:rPr>
        <w:t>Explanation:</w:t>
      </w:r>
      <w:r w:rsidRPr="56B52501">
        <w:rPr>
          <w:rFonts w:eastAsia="Calibri" w:cs="Calibri"/>
        </w:rPr>
        <w:t xml:space="preserve">  </w:t>
      </w:r>
      <w:r w:rsidRPr="56B52501">
        <w:rPr>
          <w:rFonts w:eastAsia="Calibri" w:cs="Calibri"/>
          <w:color w:val="000000" w:themeColor="text1"/>
        </w:rPr>
        <w:t xml:space="preserve">Arizona House Bill 2120, designed to increase penalty levels to match OSHA’s maximum penalty structure, was signed by the Governor on July 6, 2022, and went into effect September 24, 2022. </w:t>
      </w:r>
      <w:r w:rsidR="18A1D2D5" w:rsidRPr="56B52501">
        <w:rPr>
          <w:rFonts w:eastAsia="Calibri" w:cs="Calibri"/>
          <w:color w:val="000000" w:themeColor="text1"/>
        </w:rPr>
        <w:t xml:space="preserve"> </w:t>
      </w:r>
      <w:r w:rsidRPr="56B52501">
        <w:rPr>
          <w:rFonts w:eastAsia="Calibri" w:cs="Calibri"/>
          <w:color w:val="000000" w:themeColor="text1"/>
        </w:rPr>
        <w:t xml:space="preserve">As a result, it is expected that the average current serious penalty will rise substantially in FY </w:t>
      </w:r>
      <w:r w:rsidR="18A1D2D5" w:rsidRPr="56B52501">
        <w:rPr>
          <w:rFonts w:eastAsia="Calibri" w:cs="Calibri"/>
          <w:color w:val="000000" w:themeColor="text1"/>
        </w:rPr>
        <w:t>20</w:t>
      </w:r>
      <w:r w:rsidRPr="56B52501">
        <w:rPr>
          <w:rFonts w:eastAsia="Calibri" w:cs="Calibri"/>
          <w:color w:val="000000" w:themeColor="text1"/>
        </w:rPr>
        <w:t>23.</w:t>
      </w:r>
      <w:r w:rsidR="16E1647F" w:rsidRPr="56B52501">
        <w:rPr>
          <w:rFonts w:eastAsia="Calibri" w:cs="Calibri"/>
          <w:color w:val="000000" w:themeColor="text1"/>
        </w:rPr>
        <w:t xml:space="preserve">  OSHA will continue to monitor </w:t>
      </w:r>
      <w:r w:rsidR="006B1BC5" w:rsidRPr="56B52501">
        <w:rPr>
          <w:rFonts w:eastAsia="Calibri" w:cs="Calibri"/>
          <w:color w:val="000000" w:themeColor="text1"/>
        </w:rPr>
        <w:t>average penalties during</w:t>
      </w:r>
      <w:r w:rsidR="16E1647F" w:rsidRPr="56B52501">
        <w:rPr>
          <w:rFonts w:eastAsia="Calibri" w:cs="Calibri"/>
          <w:color w:val="000000" w:themeColor="text1"/>
        </w:rPr>
        <w:t xml:space="preserve"> quarterly meetings. </w:t>
      </w:r>
    </w:p>
    <w:p w14:paraId="6B656237" w14:textId="45FEE9EF" w:rsidR="02D01C39" w:rsidRDefault="02D01C39" w:rsidP="000B58F1">
      <w:r w:rsidRPr="090008D6">
        <w:rPr>
          <w:rFonts w:eastAsia="Calibri" w:cs="Calibri"/>
        </w:rPr>
        <w:t xml:space="preserve"> </w:t>
      </w:r>
    </w:p>
    <w:p w14:paraId="78C520A1" w14:textId="38F3BBCA" w:rsidR="02D01C39" w:rsidRDefault="02D01C39" w:rsidP="000B58F1">
      <w:r w:rsidRPr="090008D6">
        <w:rPr>
          <w:rFonts w:eastAsia="Calibri" w:cs="Calibri"/>
          <w:b/>
          <w:bCs/>
        </w:rPr>
        <w:t xml:space="preserve">SAMM 10 – Percent of </w:t>
      </w:r>
      <w:r w:rsidRPr="090008D6" w:rsidDel="001C4530">
        <w:rPr>
          <w:rFonts w:eastAsia="Calibri" w:cs="Calibri"/>
          <w:b/>
          <w:bCs/>
        </w:rPr>
        <w:t>W</w:t>
      </w:r>
      <w:r w:rsidRPr="090008D6">
        <w:rPr>
          <w:rFonts w:eastAsia="Calibri" w:cs="Calibri"/>
          <w:b/>
          <w:bCs/>
        </w:rPr>
        <w:t>ork-</w:t>
      </w:r>
      <w:r w:rsidRPr="090008D6" w:rsidDel="001C4530">
        <w:rPr>
          <w:rFonts w:eastAsia="Calibri" w:cs="Calibri"/>
          <w:b/>
          <w:bCs/>
        </w:rPr>
        <w:t xml:space="preserve">Related Fatalities Responded </w:t>
      </w:r>
      <w:r w:rsidRPr="090008D6">
        <w:rPr>
          <w:rFonts w:eastAsia="Calibri" w:cs="Calibri"/>
          <w:b/>
          <w:bCs/>
        </w:rPr>
        <w:t xml:space="preserve">to in </w:t>
      </w:r>
      <w:r w:rsidR="00A107C9">
        <w:rPr>
          <w:rFonts w:eastAsia="Calibri" w:cs="Calibri"/>
          <w:b/>
          <w:bCs/>
        </w:rPr>
        <w:t>One</w:t>
      </w:r>
      <w:r w:rsidRPr="090008D6">
        <w:rPr>
          <w:rFonts w:eastAsia="Calibri" w:cs="Calibri"/>
          <w:b/>
          <w:bCs/>
        </w:rPr>
        <w:t xml:space="preserve"> Work</w:t>
      </w:r>
      <w:r w:rsidR="00A107C9">
        <w:rPr>
          <w:rFonts w:eastAsia="Calibri" w:cs="Calibri"/>
          <w:b/>
          <w:bCs/>
        </w:rPr>
        <w:t>day</w:t>
      </w:r>
    </w:p>
    <w:p w14:paraId="6D078C57" w14:textId="31E2372D" w:rsidR="02D01C39" w:rsidRDefault="02D01C39" w:rsidP="000B58F1">
      <w:r w:rsidRPr="090008D6">
        <w:rPr>
          <w:rFonts w:eastAsia="Calibri" w:cs="Calibri"/>
        </w:rPr>
        <w:t xml:space="preserve"> </w:t>
      </w:r>
    </w:p>
    <w:p w14:paraId="2F0091D8" w14:textId="09B6D5C1" w:rsidR="02D01C39" w:rsidRDefault="02D01C39" w:rsidP="000B58F1">
      <w:r w:rsidRPr="00BB7E1F">
        <w:rPr>
          <w:rFonts w:eastAsia="Calibri" w:cs="Calibri"/>
          <w:b/>
        </w:rPr>
        <w:t>Discussion of State Plan Data and FRL:</w:t>
      </w:r>
      <w:r w:rsidRPr="090008D6">
        <w:rPr>
          <w:rFonts w:eastAsia="Calibri" w:cs="Calibri"/>
        </w:rPr>
        <w:t xml:space="preserve">  The FRL is fixed at 100% for all State Plans. </w:t>
      </w:r>
      <w:r w:rsidR="0014746D">
        <w:rPr>
          <w:rFonts w:eastAsia="Calibri" w:cs="Calibri"/>
        </w:rPr>
        <w:t xml:space="preserve"> </w:t>
      </w:r>
      <w:r w:rsidRPr="090008D6">
        <w:rPr>
          <w:rFonts w:eastAsia="Calibri" w:cs="Calibri"/>
        </w:rPr>
        <w:t>ADOSH’s percent of work-related fatalities responded to within one day was 88.98%</w:t>
      </w:r>
      <w:r w:rsidR="001C4530">
        <w:rPr>
          <w:rFonts w:eastAsia="Calibri" w:cs="Calibri"/>
        </w:rPr>
        <w:t xml:space="preserve">.  </w:t>
      </w:r>
      <w:r w:rsidRPr="090008D6">
        <w:rPr>
          <w:rFonts w:eastAsia="Calibri" w:cs="Calibri"/>
        </w:rPr>
        <w:t>One fatality was not responded to within one workday.</w:t>
      </w:r>
    </w:p>
    <w:p w14:paraId="2A2FB0D0" w14:textId="420930E7" w:rsidR="02D01C39" w:rsidRDefault="02D01C39" w:rsidP="000B58F1">
      <w:r w:rsidRPr="090008D6">
        <w:rPr>
          <w:rFonts w:eastAsia="Calibri" w:cs="Calibri"/>
        </w:rPr>
        <w:t xml:space="preserve"> </w:t>
      </w:r>
    </w:p>
    <w:p w14:paraId="0B2D1416" w14:textId="7511087D" w:rsidR="02D01C39" w:rsidRDefault="02D01C39" w:rsidP="000B58F1">
      <w:pPr>
        <w:rPr>
          <w:rFonts w:eastAsia="Calibri" w:cs="Calibri"/>
        </w:rPr>
      </w:pPr>
      <w:r w:rsidRPr="3E48814D">
        <w:rPr>
          <w:rFonts w:eastAsia="Calibri" w:cs="Calibri"/>
          <w:b/>
          <w:bCs/>
        </w:rPr>
        <w:t>Explanation:</w:t>
      </w:r>
      <w:r w:rsidRPr="3E48814D">
        <w:rPr>
          <w:rFonts w:eastAsia="Calibri" w:cs="Calibri"/>
        </w:rPr>
        <w:t xml:space="preserve">  </w:t>
      </w:r>
      <w:r w:rsidR="00147895">
        <w:rPr>
          <w:rFonts w:eastAsia="Calibri" w:cs="Calibri"/>
        </w:rPr>
        <w:t>According to Appendix D, SAMM 10, o</w:t>
      </w:r>
      <w:r w:rsidR="00147895" w:rsidRPr="5E2F759B">
        <w:rPr>
          <w:rFonts w:eastAsia="Calibri" w:cs="Calibri"/>
        </w:rPr>
        <w:t xml:space="preserve">ne fatality out of nine was not responded to within one workday.  </w:t>
      </w:r>
      <w:r w:rsidR="00147895">
        <w:rPr>
          <w:rFonts w:eastAsia="Calibri" w:cs="Calibri"/>
        </w:rPr>
        <w:t xml:space="preserve">ADOSH reported this was a fatality where the employee was initially hospitalized due to COVID-19 and later passed.  ADOSH was notified of the fatality and opened an inspection with the employer on the same day via telephone.  This was a data entry error in OIS and has been resolved.  </w:t>
      </w:r>
      <w:r w:rsidR="00147895" w:rsidRPr="5E2F759B">
        <w:rPr>
          <w:rFonts w:eastAsia="Calibri" w:cs="Calibri"/>
        </w:rPr>
        <w:t xml:space="preserve">OSHA will continue to monitor </w:t>
      </w:r>
      <w:r w:rsidR="00147895">
        <w:rPr>
          <w:rFonts w:eastAsia="Calibri" w:cs="Calibri"/>
        </w:rPr>
        <w:t>fatality response times</w:t>
      </w:r>
      <w:r w:rsidR="00147895" w:rsidRPr="5E2F759B">
        <w:rPr>
          <w:rFonts w:eastAsia="Calibri" w:cs="Calibri"/>
        </w:rPr>
        <w:t xml:space="preserve"> </w:t>
      </w:r>
      <w:r w:rsidR="00147895">
        <w:rPr>
          <w:rFonts w:eastAsia="Calibri" w:cs="Calibri"/>
        </w:rPr>
        <w:t>during</w:t>
      </w:r>
      <w:r w:rsidR="00147895" w:rsidRPr="5E2F759B">
        <w:rPr>
          <w:rFonts w:eastAsia="Calibri" w:cs="Calibri"/>
        </w:rPr>
        <w:t xml:space="preserve"> quarterly meetings.</w:t>
      </w:r>
    </w:p>
    <w:p w14:paraId="387292F0" w14:textId="4E6EA7FC" w:rsidR="02D01C39" w:rsidRDefault="02D01C39" w:rsidP="000B58F1">
      <w:r w:rsidRPr="090008D6">
        <w:rPr>
          <w:rFonts w:eastAsia="Calibri" w:cs="Calibri"/>
          <w:color w:val="7030A0"/>
        </w:rPr>
        <w:t xml:space="preserve"> </w:t>
      </w:r>
    </w:p>
    <w:p w14:paraId="24F899A9" w14:textId="0F75C27A" w:rsidR="02D01C39" w:rsidRDefault="02D01C39" w:rsidP="000B58F1">
      <w:r w:rsidRPr="090008D6">
        <w:rPr>
          <w:rFonts w:eastAsia="Calibri" w:cs="Calibri"/>
          <w:b/>
          <w:bCs/>
        </w:rPr>
        <w:t xml:space="preserve">SAMM 13 – Percent of Initial </w:t>
      </w:r>
      <w:r w:rsidRPr="090008D6" w:rsidDel="001F7AFD">
        <w:rPr>
          <w:rFonts w:eastAsia="Calibri" w:cs="Calibri"/>
          <w:b/>
          <w:bCs/>
        </w:rPr>
        <w:t>I</w:t>
      </w:r>
      <w:r w:rsidRPr="090008D6">
        <w:rPr>
          <w:rFonts w:eastAsia="Calibri" w:cs="Calibri"/>
          <w:b/>
          <w:bCs/>
        </w:rPr>
        <w:t xml:space="preserve">nspections with </w:t>
      </w:r>
      <w:r w:rsidR="00A107C9">
        <w:rPr>
          <w:rFonts w:eastAsia="Calibri" w:cs="Calibri"/>
          <w:b/>
          <w:bCs/>
        </w:rPr>
        <w:t>Worker</w:t>
      </w:r>
      <w:r w:rsidRPr="090008D6">
        <w:rPr>
          <w:rFonts w:eastAsia="Calibri" w:cs="Calibri"/>
          <w:b/>
          <w:bCs/>
        </w:rPr>
        <w:t xml:space="preserve"> </w:t>
      </w:r>
      <w:r w:rsidRPr="090008D6" w:rsidDel="001F7AFD">
        <w:rPr>
          <w:rFonts w:eastAsia="Calibri" w:cs="Calibri"/>
          <w:b/>
          <w:bCs/>
        </w:rPr>
        <w:t>Walk</w:t>
      </w:r>
      <w:r w:rsidR="001F7AFD">
        <w:rPr>
          <w:rFonts w:eastAsia="Calibri" w:cs="Calibri"/>
          <w:b/>
          <w:bCs/>
        </w:rPr>
        <w:t>-</w:t>
      </w:r>
      <w:r w:rsidRPr="090008D6">
        <w:rPr>
          <w:rFonts w:eastAsia="Calibri" w:cs="Calibri"/>
          <w:b/>
          <w:bCs/>
        </w:rPr>
        <w:t xml:space="preserve">around </w:t>
      </w:r>
      <w:r w:rsidRPr="090008D6" w:rsidDel="001F7AFD">
        <w:rPr>
          <w:rFonts w:eastAsia="Calibri" w:cs="Calibri"/>
          <w:b/>
          <w:bCs/>
        </w:rPr>
        <w:t>R</w:t>
      </w:r>
      <w:r w:rsidRPr="090008D6">
        <w:rPr>
          <w:rFonts w:eastAsia="Calibri" w:cs="Calibri"/>
          <w:b/>
          <w:bCs/>
        </w:rPr>
        <w:t xml:space="preserve">epresentation or </w:t>
      </w:r>
      <w:r w:rsidR="00C60693">
        <w:rPr>
          <w:rFonts w:eastAsia="Calibri" w:cs="Calibri"/>
          <w:b/>
          <w:bCs/>
        </w:rPr>
        <w:t xml:space="preserve">Worker </w:t>
      </w:r>
      <w:r w:rsidRPr="090008D6">
        <w:rPr>
          <w:rFonts w:eastAsia="Calibri" w:cs="Calibri"/>
          <w:b/>
          <w:bCs/>
        </w:rPr>
        <w:t>Interview</w:t>
      </w:r>
    </w:p>
    <w:p w14:paraId="596ABF1C" w14:textId="346EAF69" w:rsidR="02D01C39" w:rsidRDefault="02D01C39" w:rsidP="000B58F1">
      <w:r w:rsidRPr="090008D6">
        <w:rPr>
          <w:rFonts w:eastAsia="Calibri" w:cs="Calibri"/>
        </w:rPr>
        <w:t xml:space="preserve"> </w:t>
      </w:r>
    </w:p>
    <w:p w14:paraId="3D6E649B" w14:textId="7313DB83" w:rsidR="02D01C39" w:rsidRDefault="02D01C39" w:rsidP="000B58F1">
      <w:r w:rsidRPr="00BB7E1F">
        <w:rPr>
          <w:rFonts w:eastAsia="Calibri" w:cs="Calibri"/>
          <w:b/>
        </w:rPr>
        <w:t>Discussion of State Plan Data and FRL:</w:t>
      </w:r>
      <w:r w:rsidRPr="090008D6">
        <w:rPr>
          <w:rFonts w:eastAsia="Calibri" w:cs="Calibri"/>
        </w:rPr>
        <w:t xml:space="preserve">  The FRL is fixed at 100% for all State Plans.</w:t>
      </w:r>
    </w:p>
    <w:p w14:paraId="7F207FFD" w14:textId="49343B71" w:rsidR="02D01C39" w:rsidRDefault="02D01C39" w:rsidP="000B58F1">
      <w:r w:rsidRPr="090008D6">
        <w:rPr>
          <w:rFonts w:eastAsia="Calibri" w:cs="Calibri"/>
        </w:rPr>
        <w:t xml:space="preserve"> </w:t>
      </w:r>
    </w:p>
    <w:p w14:paraId="1FF4B923" w14:textId="008F776E" w:rsidR="00425070" w:rsidRDefault="02D01C39" w:rsidP="000B58F1">
      <w:pPr>
        <w:rPr>
          <w:rFonts w:eastAsia="Calibri" w:cs="Calibri"/>
          <w:color w:val="7030A0"/>
        </w:rPr>
      </w:pPr>
      <w:r w:rsidRPr="3E48814D">
        <w:rPr>
          <w:rFonts w:eastAsia="Calibri" w:cs="Calibri"/>
          <w:b/>
          <w:bCs/>
        </w:rPr>
        <w:t>Explanation:</w:t>
      </w:r>
      <w:r w:rsidRPr="3E48814D">
        <w:rPr>
          <w:rFonts w:eastAsia="Calibri" w:cs="Calibri"/>
        </w:rPr>
        <w:t xml:space="preserve">  </w:t>
      </w:r>
      <w:r w:rsidR="00147895">
        <w:rPr>
          <w:rFonts w:eastAsia="Calibri" w:cs="Calibri"/>
        </w:rPr>
        <w:t xml:space="preserve">According to Appendix D, SAMM 13, </w:t>
      </w:r>
      <w:r w:rsidR="00147895" w:rsidRPr="32437083">
        <w:rPr>
          <w:rFonts w:eastAsia="Calibri" w:cs="Calibri"/>
        </w:rPr>
        <w:t>three</w:t>
      </w:r>
      <w:r w:rsidR="00147895" w:rsidRPr="3E48814D">
        <w:rPr>
          <w:rFonts w:eastAsia="Calibri" w:cs="Calibri"/>
        </w:rPr>
        <w:t xml:space="preserve"> inspections did not contain employee interviews, or an employee representative during the walk around.  </w:t>
      </w:r>
      <w:r w:rsidR="00147895" w:rsidRPr="32437083">
        <w:rPr>
          <w:rFonts w:eastAsia="Calibri" w:cs="Calibri"/>
        </w:rPr>
        <w:t>ADOSH</w:t>
      </w:r>
      <w:r w:rsidR="00147895">
        <w:rPr>
          <w:rFonts w:eastAsia="Calibri" w:cs="Calibri"/>
        </w:rPr>
        <w:t xml:space="preserve"> identified this as a </w:t>
      </w:r>
      <w:r w:rsidR="00147895">
        <w:rPr>
          <w:rFonts w:eastAsia="Calibri" w:cs="Calibri"/>
        </w:rPr>
        <w:lastRenderedPageBreak/>
        <w:t>data entry error in OIS</w:t>
      </w:r>
      <w:r w:rsidR="00147895" w:rsidRPr="32437083">
        <w:rPr>
          <w:rFonts w:eastAsia="Calibri" w:cs="Calibri"/>
        </w:rPr>
        <w:t xml:space="preserve"> </w:t>
      </w:r>
      <w:r w:rsidR="00147895">
        <w:rPr>
          <w:rFonts w:eastAsia="Calibri" w:cs="Calibri"/>
        </w:rPr>
        <w:t>and has been resolved</w:t>
      </w:r>
      <w:r w:rsidR="00147895" w:rsidRPr="32437083">
        <w:rPr>
          <w:rFonts w:eastAsia="Calibri" w:cs="Calibri"/>
        </w:rPr>
        <w:t>.</w:t>
      </w:r>
      <w:r w:rsidR="00147895">
        <w:rPr>
          <w:rFonts w:eastAsia="Calibri" w:cs="Calibri"/>
        </w:rPr>
        <w:t xml:space="preserve">  </w:t>
      </w:r>
      <w:r w:rsidR="00147895" w:rsidRPr="3E48814D">
        <w:rPr>
          <w:rFonts w:eastAsia="Calibri" w:cs="Calibri"/>
        </w:rPr>
        <w:t xml:space="preserve">OSHA will continue to monitor </w:t>
      </w:r>
      <w:r w:rsidR="00147895">
        <w:rPr>
          <w:rFonts w:eastAsia="Calibri" w:cs="Calibri"/>
        </w:rPr>
        <w:t>worker involvement during</w:t>
      </w:r>
      <w:r w:rsidR="00147895" w:rsidRPr="3E48814D">
        <w:rPr>
          <w:rFonts w:eastAsia="Calibri" w:cs="Calibri"/>
        </w:rPr>
        <w:t xml:space="preserve"> quarterly meetings.</w:t>
      </w:r>
      <w:r w:rsidR="00147895" w:rsidRPr="3E48814D">
        <w:rPr>
          <w:rFonts w:eastAsia="Calibri" w:cs="Calibri"/>
          <w:color w:val="7030A0"/>
        </w:rPr>
        <w:t xml:space="preserve"> </w:t>
      </w:r>
    </w:p>
    <w:p w14:paraId="1EC53EF9" w14:textId="3BB79688" w:rsidR="02D01C39" w:rsidRDefault="02D01C39" w:rsidP="000B58F1">
      <w:r w:rsidRPr="090008D6">
        <w:rPr>
          <w:rFonts w:eastAsia="Calibri" w:cs="Calibri"/>
          <w:b/>
          <w:bCs/>
        </w:rPr>
        <w:t xml:space="preserve">SAMM 17 – Percent of </w:t>
      </w:r>
      <w:r w:rsidR="004D5F3D">
        <w:rPr>
          <w:rFonts w:eastAsia="Calibri" w:cs="Calibri"/>
          <w:b/>
          <w:bCs/>
        </w:rPr>
        <w:t>E</w:t>
      </w:r>
      <w:r w:rsidRPr="090008D6">
        <w:rPr>
          <w:rFonts w:eastAsia="Calibri" w:cs="Calibri"/>
          <w:b/>
          <w:bCs/>
        </w:rPr>
        <w:t xml:space="preserve">nforcement </w:t>
      </w:r>
      <w:r w:rsidR="004D5F3D">
        <w:rPr>
          <w:rFonts w:eastAsia="Calibri" w:cs="Calibri"/>
          <w:b/>
          <w:bCs/>
        </w:rPr>
        <w:t>P</w:t>
      </w:r>
      <w:r w:rsidRPr="090008D6">
        <w:rPr>
          <w:rFonts w:eastAsia="Calibri" w:cs="Calibri"/>
          <w:b/>
          <w:bCs/>
        </w:rPr>
        <w:t>resence</w:t>
      </w:r>
    </w:p>
    <w:p w14:paraId="09EB2B68" w14:textId="54029621" w:rsidR="02D01C39" w:rsidRDefault="02D01C39" w:rsidP="000B58F1">
      <w:r w:rsidRPr="090008D6">
        <w:rPr>
          <w:rFonts w:eastAsia="Calibri" w:cs="Calibri"/>
        </w:rPr>
        <w:t xml:space="preserve"> </w:t>
      </w:r>
    </w:p>
    <w:p w14:paraId="4B7AFE37" w14:textId="65148BBB" w:rsidR="02D01C39" w:rsidRDefault="4775F50F" w:rsidP="000B58F1">
      <w:r w:rsidRPr="00BB7E1F">
        <w:rPr>
          <w:rFonts w:eastAsia="Calibri" w:cs="Calibri"/>
          <w:b/>
        </w:rPr>
        <w:t>Discussion of State Plan Data and FRL:</w:t>
      </w:r>
      <w:r w:rsidRPr="011E1980">
        <w:rPr>
          <w:rFonts w:eastAsia="Calibri" w:cs="Calibri"/>
        </w:rPr>
        <w:t xml:space="preserve">  The </w:t>
      </w:r>
      <w:r w:rsidR="4BA3579A" w:rsidRPr="011E1980">
        <w:rPr>
          <w:rFonts w:eastAsia="Calibri" w:cs="Calibri"/>
        </w:rPr>
        <w:t>FRL</w:t>
      </w:r>
      <w:r w:rsidRPr="011E1980">
        <w:rPr>
          <w:rFonts w:eastAsia="Calibri" w:cs="Calibri"/>
        </w:rPr>
        <w:t xml:space="preserve"> is based on a three-year national average.  The range of acceptable data not requiring further review is from </w:t>
      </w:r>
      <w:r w:rsidR="0A266643" w:rsidRPr="011E1980">
        <w:rPr>
          <w:rFonts w:eastAsia="Calibri" w:cs="Calibri"/>
        </w:rPr>
        <w:t>1</w:t>
      </w:r>
      <w:r w:rsidR="1B234154" w:rsidRPr="011E1980">
        <w:rPr>
          <w:rFonts w:eastAsia="Calibri" w:cs="Calibri"/>
        </w:rPr>
        <w:t>.2</w:t>
      </w:r>
      <w:r w:rsidR="3949161C" w:rsidRPr="011E1980">
        <w:rPr>
          <w:rFonts w:eastAsia="Calibri" w:cs="Calibri"/>
        </w:rPr>
        <w:t>3</w:t>
      </w:r>
      <w:r w:rsidRPr="011E1980">
        <w:rPr>
          <w:rFonts w:eastAsia="Calibri" w:cs="Calibri"/>
        </w:rPr>
        <w:t xml:space="preserve">% to </w:t>
      </w:r>
      <w:r w:rsidR="4FEF8797" w:rsidRPr="011E1980">
        <w:rPr>
          <w:rFonts w:eastAsia="Calibri" w:cs="Calibri"/>
        </w:rPr>
        <w:t>2</w:t>
      </w:r>
      <w:r w:rsidR="3949161C" w:rsidRPr="011E1980">
        <w:rPr>
          <w:rFonts w:eastAsia="Calibri" w:cs="Calibri"/>
        </w:rPr>
        <w:t>.05</w:t>
      </w:r>
      <w:r w:rsidRPr="011E1980">
        <w:rPr>
          <w:rFonts w:eastAsia="Calibri" w:cs="Calibri"/>
        </w:rPr>
        <w:t xml:space="preserve">%. </w:t>
      </w:r>
      <w:r w:rsidR="149E8210" w:rsidRPr="011E1980">
        <w:rPr>
          <w:rFonts w:eastAsia="Calibri" w:cs="Calibri"/>
        </w:rPr>
        <w:t xml:space="preserve"> </w:t>
      </w:r>
      <w:r w:rsidRPr="011E1980">
        <w:rPr>
          <w:rFonts w:eastAsia="Calibri" w:cs="Calibri"/>
        </w:rPr>
        <w:t xml:space="preserve">Arizona’s enforcement presence was at 0.31%. </w:t>
      </w:r>
    </w:p>
    <w:p w14:paraId="163FFE7E" w14:textId="73664D78" w:rsidR="02D01C39" w:rsidRDefault="02D01C39" w:rsidP="000B58F1">
      <w:r w:rsidRPr="090008D6">
        <w:rPr>
          <w:rFonts w:eastAsia="Calibri" w:cs="Calibri"/>
          <w:color w:val="7030A0"/>
        </w:rPr>
        <w:t xml:space="preserve"> </w:t>
      </w:r>
    </w:p>
    <w:p w14:paraId="4DD4CBB7" w14:textId="228142D1" w:rsidR="00111D6D" w:rsidRPr="001C1E47" w:rsidRDefault="4775F50F" w:rsidP="00133058">
      <w:pPr>
        <w:widowControl/>
        <w:autoSpaceDE/>
        <w:autoSpaceDN/>
        <w:adjustRightInd/>
        <w:rPr>
          <w:rFonts w:cs="Calibri"/>
        </w:rPr>
        <w:sectPr w:rsidR="00111D6D" w:rsidRPr="001C1E47" w:rsidSect="00783189">
          <w:footerReference w:type="default" r:id="rId13"/>
          <w:headerReference w:type="first" r:id="rId14"/>
          <w:footerReference w:type="first" r:id="rId15"/>
          <w:pgSz w:w="12240" w:h="15840"/>
          <w:pgMar w:top="1440" w:right="1260" w:bottom="1260" w:left="1440" w:header="720" w:footer="526" w:gutter="0"/>
          <w:pgNumType w:start="1"/>
          <w:cols w:space="720"/>
          <w:titlePg/>
          <w:docGrid w:linePitch="360"/>
        </w:sectPr>
      </w:pPr>
      <w:r w:rsidRPr="56B52501">
        <w:rPr>
          <w:rFonts w:eastAsia="Calibri" w:cs="Calibri"/>
          <w:b/>
          <w:bCs/>
        </w:rPr>
        <w:t>Explanation:</w:t>
      </w:r>
      <w:r w:rsidRPr="56B52501">
        <w:rPr>
          <w:rFonts w:eastAsia="Calibri" w:cs="Calibri"/>
        </w:rPr>
        <w:t xml:space="preserve">  The percent of enforcement presence describes the number of safety and health inspections conducted compared to the number of employer establishments in the state. </w:t>
      </w:r>
      <w:r w:rsidR="3977F8B2" w:rsidRPr="56B52501">
        <w:rPr>
          <w:rFonts w:eastAsia="Calibri" w:cs="Calibri"/>
        </w:rPr>
        <w:t xml:space="preserve"> </w:t>
      </w:r>
      <w:r w:rsidR="09F713D2" w:rsidRPr="56B52501">
        <w:rPr>
          <w:rFonts w:eastAsia="Calibri" w:cs="Calibri"/>
        </w:rPr>
        <w:t xml:space="preserve">In FY 2022 </w:t>
      </w:r>
      <w:r w:rsidRPr="56B52501">
        <w:rPr>
          <w:rFonts w:eastAsia="Calibri" w:cs="Calibri"/>
        </w:rPr>
        <w:t>Arizona’s enforcement presence was</w:t>
      </w:r>
      <w:r w:rsidR="23ED9793" w:rsidRPr="56B52501">
        <w:rPr>
          <w:rFonts w:eastAsia="Calibri" w:cs="Calibri"/>
        </w:rPr>
        <w:t xml:space="preserve"> </w:t>
      </w:r>
      <w:r w:rsidR="09F713D2" w:rsidRPr="56B52501">
        <w:rPr>
          <w:rFonts w:cs="Calibri"/>
        </w:rPr>
        <w:t>0.31%</w:t>
      </w:r>
      <w:r w:rsidR="00133058" w:rsidRPr="56B52501">
        <w:rPr>
          <w:rFonts w:cs="Calibri"/>
        </w:rPr>
        <w:t xml:space="preserve"> and below the FRL.  This </w:t>
      </w:r>
      <w:r w:rsidR="001737B7" w:rsidRPr="56B52501">
        <w:rPr>
          <w:rFonts w:cs="Calibri"/>
        </w:rPr>
        <w:t xml:space="preserve">is also a </w:t>
      </w:r>
      <w:r w:rsidR="09F713D2" w:rsidRPr="56B52501">
        <w:rPr>
          <w:rFonts w:cs="Calibri"/>
        </w:rPr>
        <w:t>decrease from 0.43% in FY 2021</w:t>
      </w:r>
      <w:r w:rsidR="00A05C65" w:rsidRPr="56B52501">
        <w:rPr>
          <w:rFonts w:cs="Calibri"/>
        </w:rPr>
        <w:t xml:space="preserve">, which means that ADOSH </w:t>
      </w:r>
      <w:r w:rsidR="00111D6D" w:rsidRPr="56B52501">
        <w:rPr>
          <w:rFonts w:cs="Calibri"/>
        </w:rPr>
        <w:t xml:space="preserve">reached fewer employers with enforcement activity than the national average. </w:t>
      </w:r>
    </w:p>
    <w:p w14:paraId="516D3ECD" w14:textId="77777777" w:rsidR="00B6741C" w:rsidRPr="0002572C" w:rsidRDefault="18538A78" w:rsidP="00685C25">
      <w:pPr>
        <w:pStyle w:val="Heading3"/>
      </w:pPr>
      <w:bookmarkStart w:id="26" w:name="_Toc118905017"/>
      <w:bookmarkStart w:id="27" w:name="_Toc128388237"/>
      <w:r>
        <w:lastRenderedPageBreak/>
        <w:t>Appendix A – New and Continued Findings and Recommendations</w:t>
      </w:r>
      <w:bookmarkEnd w:id="26"/>
      <w:bookmarkEnd w:id="27"/>
    </w:p>
    <w:p w14:paraId="670F195C" w14:textId="21673060" w:rsidR="00B6741C" w:rsidRDefault="00B6741C" w:rsidP="00B6741C">
      <w:r w:rsidRPr="00A0706F">
        <w:rPr>
          <w:color w:val="000000" w:themeColor="text1"/>
        </w:rPr>
        <w:t xml:space="preserve">FY 2022 </w:t>
      </w:r>
      <w:r w:rsidR="006D2E91">
        <w:rPr>
          <w:color w:val="000000" w:themeColor="text1"/>
        </w:rPr>
        <w:t xml:space="preserve">Arizona Division of Occupational Safety and Health </w:t>
      </w:r>
      <w:r w:rsidRPr="00A0706F">
        <w:rPr>
          <w:color w:val="000000" w:themeColor="text1"/>
        </w:rPr>
        <w:t>Follow-up FAME Report</w:t>
      </w:r>
    </w:p>
    <w:p w14:paraId="212A24A3" w14:textId="77777777" w:rsidR="000A134A" w:rsidRPr="001C1E47" w:rsidRDefault="000A134A" w:rsidP="007A71AC">
      <w:pPr>
        <w:widowControl/>
        <w:tabs>
          <w:tab w:val="left" w:pos="3630"/>
        </w:tabs>
        <w:autoSpaceDE/>
        <w:autoSpaceDN/>
        <w:adjustRightInd/>
        <w:rPr>
          <w:rFonts w:cs="Calibri"/>
        </w:rPr>
      </w:pPr>
    </w:p>
    <w:tbl>
      <w:tblPr>
        <w:tblStyle w:val="TableGridLight"/>
        <w:tblW w:w="12870" w:type="dxa"/>
        <w:tblInd w:w="-5" w:type="dxa"/>
        <w:tblLook w:val="01E0" w:firstRow="1" w:lastRow="1" w:firstColumn="1" w:lastColumn="1" w:noHBand="0" w:noVBand="0"/>
      </w:tblPr>
      <w:tblGrid>
        <w:gridCol w:w="1525"/>
        <w:gridCol w:w="4680"/>
        <w:gridCol w:w="5040"/>
        <w:gridCol w:w="1625"/>
      </w:tblGrid>
      <w:tr w:rsidR="090008D6" w14:paraId="07D9DC8B" w14:textId="77777777" w:rsidTr="004B2201">
        <w:trPr>
          <w:cantSplit/>
          <w:trHeight w:val="345"/>
          <w:tblHeader/>
        </w:trPr>
        <w:tc>
          <w:tcPr>
            <w:tcW w:w="15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B7F83D7" w14:textId="082CBE38" w:rsidR="090008D6" w:rsidRPr="00701C1A" w:rsidRDefault="090008D6" w:rsidP="003E3437">
            <w:r w:rsidRPr="00701C1A">
              <w:rPr>
                <w:rFonts w:eastAsia="Calibri" w:cs="Calibri"/>
                <w:b/>
                <w:bCs/>
              </w:rPr>
              <w:t xml:space="preserve">FY </w:t>
            </w:r>
            <w:r w:rsidR="3F9153C1" w:rsidRPr="00701C1A">
              <w:rPr>
                <w:rFonts w:eastAsia="Calibri" w:cs="Calibri"/>
                <w:b/>
                <w:bCs/>
              </w:rPr>
              <w:t>20</w:t>
            </w:r>
            <w:r w:rsidR="3B622017" w:rsidRPr="00701C1A">
              <w:rPr>
                <w:rFonts w:eastAsia="Calibri" w:cs="Calibri"/>
                <w:b/>
                <w:bCs/>
              </w:rPr>
              <w:t>22</w:t>
            </w:r>
            <w:r w:rsidRPr="00701C1A">
              <w:rPr>
                <w:rFonts w:eastAsia="Calibri" w:cs="Calibri"/>
                <w:b/>
                <w:bCs/>
              </w:rPr>
              <w:t>-#</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8C113F" w14:textId="3056689A" w:rsidR="090008D6" w:rsidRPr="00701C1A" w:rsidRDefault="090008D6" w:rsidP="003E3437">
            <w:r w:rsidRPr="00701C1A">
              <w:rPr>
                <w:rFonts w:eastAsia="Calibri" w:cs="Calibri"/>
                <w:b/>
                <w:bCs/>
              </w:rPr>
              <w:t>Finding</w:t>
            </w:r>
          </w:p>
        </w:tc>
        <w:tc>
          <w:tcPr>
            <w:tcW w:w="50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B29E39D" w14:textId="660C9F97" w:rsidR="090008D6" w:rsidRPr="00701C1A" w:rsidRDefault="090008D6" w:rsidP="003E3437">
            <w:r w:rsidRPr="00701C1A">
              <w:rPr>
                <w:rFonts w:eastAsia="Calibri" w:cs="Calibri"/>
                <w:b/>
                <w:bCs/>
              </w:rPr>
              <w:t>Recommendation</w:t>
            </w:r>
          </w:p>
        </w:tc>
        <w:tc>
          <w:tcPr>
            <w:tcW w:w="16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ABD1DC7" w14:textId="6EEAECC0" w:rsidR="090008D6" w:rsidRPr="00701C1A" w:rsidRDefault="40C13279" w:rsidP="003E3437">
            <w:r w:rsidRPr="3E48814D">
              <w:rPr>
                <w:rFonts w:eastAsia="Calibri" w:cs="Calibri"/>
                <w:b/>
                <w:bCs/>
              </w:rPr>
              <w:t xml:space="preserve">FY </w:t>
            </w:r>
            <w:r w:rsidR="793EB2C2" w:rsidRPr="3E48814D">
              <w:rPr>
                <w:rFonts w:eastAsia="Calibri" w:cs="Calibri"/>
                <w:b/>
                <w:bCs/>
              </w:rPr>
              <w:t>20</w:t>
            </w:r>
            <w:r w:rsidR="049AC867" w:rsidRPr="3E48814D">
              <w:rPr>
                <w:rFonts w:eastAsia="Calibri" w:cs="Calibri"/>
                <w:b/>
                <w:bCs/>
              </w:rPr>
              <w:t>21</w:t>
            </w:r>
            <w:r w:rsidRPr="3E48814D">
              <w:rPr>
                <w:rFonts w:eastAsia="Calibri" w:cs="Calibri"/>
                <w:b/>
                <w:bCs/>
              </w:rPr>
              <w:t xml:space="preserve">-# or </w:t>
            </w:r>
          </w:p>
          <w:p w14:paraId="03D7B341" w14:textId="4A3BB6CA" w:rsidR="090008D6" w:rsidRPr="00701C1A" w:rsidRDefault="40C13279" w:rsidP="003E3437">
            <w:r w:rsidRPr="3E48814D">
              <w:rPr>
                <w:rFonts w:eastAsia="Calibri" w:cs="Calibri"/>
                <w:b/>
                <w:bCs/>
              </w:rPr>
              <w:t xml:space="preserve">FY </w:t>
            </w:r>
            <w:r w:rsidR="793EB2C2" w:rsidRPr="3E48814D">
              <w:rPr>
                <w:rFonts w:eastAsia="Calibri" w:cs="Calibri"/>
                <w:b/>
                <w:bCs/>
              </w:rPr>
              <w:t>20</w:t>
            </w:r>
            <w:r w:rsidR="049AC867" w:rsidRPr="3E48814D">
              <w:rPr>
                <w:rFonts w:eastAsia="Calibri" w:cs="Calibri"/>
                <w:b/>
                <w:bCs/>
              </w:rPr>
              <w:t>21</w:t>
            </w:r>
            <w:r w:rsidRPr="3E48814D">
              <w:rPr>
                <w:rFonts w:eastAsia="Calibri" w:cs="Calibri"/>
                <w:b/>
                <w:bCs/>
              </w:rPr>
              <w:t>-OB-#</w:t>
            </w:r>
          </w:p>
        </w:tc>
      </w:tr>
      <w:tr w:rsidR="090008D6" w:rsidRPr="009F1F01" w14:paraId="2B014D4B" w14:textId="77777777" w:rsidTr="004B2201">
        <w:trPr>
          <w:cantSplit/>
          <w:tblHeader/>
        </w:trPr>
        <w:tc>
          <w:tcPr>
            <w:tcW w:w="15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4EC72C7" w14:textId="78A4DB69" w:rsidR="090008D6" w:rsidRPr="00701C1A" w:rsidRDefault="090008D6">
            <w:pPr>
              <w:rPr>
                <w:sz w:val="22"/>
                <w:szCs w:val="22"/>
              </w:rPr>
            </w:pPr>
            <w:r w:rsidRPr="00701C1A">
              <w:rPr>
                <w:rFonts w:eastAsia="Calibri" w:cs="Calibri"/>
                <w:sz w:val="22"/>
                <w:szCs w:val="22"/>
              </w:rPr>
              <w:t xml:space="preserve"> FY 2022-01</w:t>
            </w:r>
          </w:p>
          <w:p w14:paraId="3A41246E" w14:textId="0C2A8188" w:rsidR="090008D6" w:rsidRPr="00701C1A" w:rsidRDefault="090008D6">
            <w:pPr>
              <w:rPr>
                <w:sz w:val="22"/>
                <w:szCs w:val="22"/>
              </w:rPr>
            </w:pPr>
            <w:r w:rsidRPr="00701C1A">
              <w:rPr>
                <w:rFonts w:eastAsia="Calibri" w:cs="Calibri"/>
                <w:sz w:val="22"/>
                <w:szCs w:val="22"/>
              </w:rPr>
              <w:t xml:space="preserve"> </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3463D56" w14:textId="56B56159" w:rsidR="090008D6" w:rsidRPr="00701C1A" w:rsidRDefault="005A5164" w:rsidP="090008D6">
            <w:pPr>
              <w:tabs>
                <w:tab w:val="center" w:pos="270"/>
                <w:tab w:val="left" w:pos="360"/>
              </w:tabs>
              <w:rPr>
                <w:sz w:val="22"/>
                <w:szCs w:val="22"/>
              </w:rPr>
            </w:pPr>
            <w:r w:rsidRPr="00701C1A">
              <w:rPr>
                <w:rFonts w:eastAsia="Calibri" w:cs="Calibri"/>
                <w:sz w:val="22"/>
                <w:szCs w:val="22"/>
              </w:rPr>
              <w:t>A total of 486 (44%) inspections were conducted and this was below the goal of 1,100 inspections (SAMM 7).</w:t>
            </w:r>
          </w:p>
          <w:p w14:paraId="2AAA87A3" w14:textId="4CFFCD02" w:rsidR="090008D6" w:rsidRPr="00701C1A" w:rsidRDefault="090008D6">
            <w:pPr>
              <w:rPr>
                <w:sz w:val="22"/>
                <w:szCs w:val="22"/>
              </w:rPr>
            </w:pPr>
            <w:r w:rsidRPr="00701C1A">
              <w:rPr>
                <w:rFonts w:eastAsia="Calibri" w:cs="Calibri"/>
                <w:sz w:val="22"/>
                <w:szCs w:val="22"/>
              </w:rPr>
              <w:t xml:space="preserve"> </w:t>
            </w:r>
          </w:p>
        </w:tc>
        <w:tc>
          <w:tcPr>
            <w:tcW w:w="50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B339040" w14:textId="77777777" w:rsidR="090008D6" w:rsidRDefault="090008D6">
            <w:pPr>
              <w:rPr>
                <w:rFonts w:eastAsia="Calibri" w:cs="Calibri"/>
                <w:sz w:val="22"/>
                <w:szCs w:val="22"/>
              </w:rPr>
            </w:pPr>
            <w:r w:rsidRPr="00701C1A">
              <w:rPr>
                <w:rFonts w:eastAsia="Calibri" w:cs="Calibri"/>
                <w:sz w:val="22"/>
                <w:szCs w:val="22"/>
              </w:rPr>
              <w:t>ADOSH should determine the cause and implement corrective action to meet inspection goals and provide a stronger enforcement presence to ensure worker safety.</w:t>
            </w:r>
          </w:p>
          <w:p w14:paraId="3914B4FC" w14:textId="174B9F86" w:rsidR="009C18D3" w:rsidRPr="00701C1A" w:rsidRDefault="009C18D3">
            <w:pPr>
              <w:rPr>
                <w:sz w:val="22"/>
                <w:szCs w:val="22"/>
              </w:rPr>
            </w:pPr>
          </w:p>
        </w:tc>
        <w:tc>
          <w:tcPr>
            <w:tcW w:w="16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FD3E52" w14:textId="4F6BF978" w:rsidR="00410C19" w:rsidRDefault="54A3B41A">
            <w:pPr>
              <w:rPr>
                <w:rFonts w:eastAsia="Calibri" w:cs="Calibri"/>
                <w:sz w:val="22"/>
                <w:szCs w:val="22"/>
              </w:rPr>
            </w:pPr>
            <w:r w:rsidRPr="0999E32A">
              <w:rPr>
                <w:rFonts w:eastAsia="Calibri" w:cs="Calibri"/>
                <w:sz w:val="22"/>
                <w:szCs w:val="22"/>
              </w:rPr>
              <w:t>FY 2021-02</w:t>
            </w:r>
            <w:r w:rsidR="395DBFE0" w:rsidRPr="0999E32A">
              <w:rPr>
                <w:rFonts w:eastAsia="Calibri" w:cs="Calibri"/>
                <w:sz w:val="22"/>
                <w:szCs w:val="22"/>
              </w:rPr>
              <w:t xml:space="preserve"> </w:t>
            </w:r>
          </w:p>
          <w:p w14:paraId="07A5912A" w14:textId="1451BF3D" w:rsidR="00410C19" w:rsidRDefault="395DBFE0">
            <w:pPr>
              <w:rPr>
                <w:rFonts w:eastAsia="Calibri" w:cs="Calibri"/>
                <w:sz w:val="22"/>
                <w:szCs w:val="22"/>
              </w:rPr>
            </w:pPr>
            <w:r w:rsidRPr="0999E32A">
              <w:rPr>
                <w:rFonts w:eastAsia="Calibri" w:cs="Calibri"/>
                <w:sz w:val="22"/>
                <w:szCs w:val="22"/>
              </w:rPr>
              <w:t xml:space="preserve">FY 2020-02 </w:t>
            </w:r>
          </w:p>
          <w:p w14:paraId="62D70C03" w14:textId="77777777" w:rsidR="090008D6" w:rsidRDefault="395DBFE0">
            <w:pPr>
              <w:rPr>
                <w:rFonts w:eastAsia="Calibri" w:cs="Calibri"/>
                <w:sz w:val="22"/>
                <w:szCs w:val="22"/>
              </w:rPr>
            </w:pPr>
            <w:r w:rsidRPr="0999E32A">
              <w:rPr>
                <w:rFonts w:eastAsia="Calibri" w:cs="Calibri"/>
                <w:sz w:val="22"/>
                <w:szCs w:val="22"/>
              </w:rPr>
              <w:t>FY 2019-02</w:t>
            </w:r>
          </w:p>
          <w:p w14:paraId="37E7CF0C" w14:textId="46A7A282" w:rsidR="005C3C86" w:rsidRPr="00701C1A" w:rsidRDefault="005C3C86">
            <w:pPr>
              <w:rPr>
                <w:sz w:val="22"/>
                <w:szCs w:val="22"/>
              </w:rPr>
            </w:pPr>
            <w:r>
              <w:rPr>
                <w:sz w:val="22"/>
                <w:szCs w:val="22"/>
              </w:rPr>
              <w:t>FY 2018-08</w:t>
            </w:r>
          </w:p>
        </w:tc>
      </w:tr>
      <w:tr w:rsidR="090008D6" w:rsidRPr="009F1F01" w14:paraId="449933D0" w14:textId="77777777" w:rsidTr="004B2201">
        <w:trPr>
          <w:cantSplit/>
          <w:tblHeader/>
        </w:trPr>
        <w:tc>
          <w:tcPr>
            <w:tcW w:w="15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CB3BAE8" w14:textId="789E2ED9" w:rsidR="090008D6" w:rsidRPr="00701C1A" w:rsidRDefault="090008D6">
            <w:pPr>
              <w:rPr>
                <w:sz w:val="22"/>
                <w:szCs w:val="22"/>
              </w:rPr>
            </w:pPr>
            <w:r w:rsidRPr="00701C1A">
              <w:rPr>
                <w:rFonts w:eastAsia="Calibri" w:cs="Calibri"/>
                <w:sz w:val="22"/>
                <w:szCs w:val="22"/>
              </w:rPr>
              <w:t xml:space="preserve"> FY 2022-02</w:t>
            </w:r>
          </w:p>
          <w:p w14:paraId="03CF4720" w14:textId="10AACB3B" w:rsidR="090008D6" w:rsidRPr="00701C1A" w:rsidRDefault="090008D6">
            <w:pPr>
              <w:rPr>
                <w:sz w:val="22"/>
                <w:szCs w:val="22"/>
              </w:rPr>
            </w:pPr>
            <w:r w:rsidRPr="00701C1A">
              <w:rPr>
                <w:rFonts w:eastAsia="Calibri" w:cs="Calibri"/>
                <w:sz w:val="22"/>
                <w:szCs w:val="22"/>
              </w:rPr>
              <w:t xml:space="preserve"> </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25A3176" w14:textId="33C5A2C0" w:rsidR="090008D6" w:rsidRPr="00701C1A" w:rsidRDefault="007F2395" w:rsidP="007F2395">
            <w:pPr>
              <w:rPr>
                <w:sz w:val="22"/>
                <w:szCs w:val="22"/>
              </w:rPr>
            </w:pPr>
            <w:r w:rsidRPr="00701C1A">
              <w:rPr>
                <w:rFonts w:eastAsia="Calibri" w:cs="Calibri"/>
                <w:sz w:val="22"/>
                <w:szCs w:val="22"/>
              </w:rPr>
              <w:t>A total of 276 of the projected 525 construction</w:t>
            </w:r>
            <w:r w:rsidR="00642F7C" w:rsidRPr="00701C1A">
              <w:rPr>
                <w:rFonts w:eastAsia="Calibri"/>
                <w:sz w:val="22"/>
                <w:szCs w:val="22"/>
              </w:rPr>
              <w:t xml:space="preserve"> </w:t>
            </w:r>
            <w:r w:rsidRPr="00701C1A">
              <w:rPr>
                <w:rFonts w:eastAsia="Calibri" w:cs="Calibri"/>
                <w:sz w:val="22"/>
                <w:szCs w:val="22"/>
              </w:rPr>
              <w:t>inspections (53%) were conducted.  A total of 185 (23% of the goal of 800) violations were issued for FY 2021.</w:t>
            </w:r>
          </w:p>
          <w:p w14:paraId="06F62585" w14:textId="01F1D719" w:rsidR="090008D6" w:rsidRPr="00701C1A" w:rsidRDefault="090008D6">
            <w:pPr>
              <w:rPr>
                <w:sz w:val="22"/>
                <w:szCs w:val="22"/>
              </w:rPr>
            </w:pPr>
            <w:r w:rsidRPr="00701C1A">
              <w:rPr>
                <w:rFonts w:eastAsia="Calibri" w:cs="Calibri"/>
                <w:sz w:val="22"/>
                <w:szCs w:val="22"/>
              </w:rPr>
              <w:t xml:space="preserve"> </w:t>
            </w:r>
          </w:p>
        </w:tc>
        <w:tc>
          <w:tcPr>
            <w:tcW w:w="50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97A7D6F" w14:textId="0B07531B" w:rsidR="090008D6" w:rsidRPr="00701C1A" w:rsidRDefault="090008D6">
            <w:pPr>
              <w:rPr>
                <w:sz w:val="22"/>
                <w:szCs w:val="22"/>
              </w:rPr>
            </w:pPr>
            <w:r w:rsidRPr="00701C1A">
              <w:rPr>
                <w:rFonts w:eastAsia="Calibri" w:cs="Calibri"/>
                <w:sz w:val="22"/>
                <w:szCs w:val="22"/>
              </w:rPr>
              <w:t xml:space="preserve">ADOSH </w:t>
            </w:r>
            <w:r w:rsidR="0077010D" w:rsidRPr="00701C1A">
              <w:rPr>
                <w:rFonts w:eastAsia="Calibri" w:cs="Calibri"/>
                <w:sz w:val="22"/>
                <w:szCs w:val="22"/>
              </w:rPr>
              <w:t>s</w:t>
            </w:r>
            <w:r w:rsidRPr="00701C1A">
              <w:rPr>
                <w:rFonts w:eastAsia="Calibri" w:cs="Calibri"/>
                <w:sz w:val="22"/>
                <w:szCs w:val="22"/>
              </w:rPr>
              <w:t>hould determine the cause of the low number of construction inspections and violations issued and implement corrective action</w:t>
            </w:r>
            <w:r w:rsidR="0077010D" w:rsidRPr="00701C1A">
              <w:rPr>
                <w:rFonts w:eastAsia="Calibri" w:cs="Calibri"/>
                <w:sz w:val="22"/>
                <w:szCs w:val="22"/>
              </w:rPr>
              <w:t>.</w:t>
            </w:r>
          </w:p>
          <w:p w14:paraId="1189FABE" w14:textId="04E935A9" w:rsidR="090008D6" w:rsidRPr="00701C1A" w:rsidRDefault="090008D6">
            <w:pPr>
              <w:rPr>
                <w:sz w:val="22"/>
                <w:szCs w:val="22"/>
              </w:rPr>
            </w:pPr>
            <w:r w:rsidRPr="00701C1A">
              <w:rPr>
                <w:rFonts w:eastAsia="Calibri" w:cs="Calibri"/>
                <w:sz w:val="22"/>
                <w:szCs w:val="22"/>
              </w:rPr>
              <w:t xml:space="preserve"> </w:t>
            </w:r>
          </w:p>
        </w:tc>
        <w:tc>
          <w:tcPr>
            <w:tcW w:w="16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2BA2B1C" w14:textId="265DEBA1" w:rsidR="00410C19" w:rsidRDefault="54A3B41A" w:rsidP="0999E32A">
            <w:pPr>
              <w:rPr>
                <w:rFonts w:eastAsia="Calibri" w:cs="Calibri"/>
                <w:sz w:val="22"/>
                <w:szCs w:val="22"/>
              </w:rPr>
            </w:pPr>
            <w:r w:rsidRPr="0999E32A">
              <w:rPr>
                <w:rFonts w:eastAsia="Calibri" w:cs="Calibri"/>
                <w:sz w:val="22"/>
                <w:szCs w:val="22"/>
              </w:rPr>
              <w:t>FY 2021-03</w:t>
            </w:r>
            <w:r w:rsidR="3509B960" w:rsidRPr="0999E32A">
              <w:rPr>
                <w:rFonts w:eastAsia="Calibri" w:cs="Calibri"/>
                <w:sz w:val="22"/>
                <w:szCs w:val="22"/>
              </w:rPr>
              <w:t xml:space="preserve"> </w:t>
            </w:r>
          </w:p>
          <w:p w14:paraId="0457DF8F" w14:textId="1A8EF679" w:rsidR="00410C19" w:rsidRPr="006D42CB" w:rsidRDefault="3509B960" w:rsidP="0999E32A">
            <w:pPr>
              <w:rPr>
                <w:rFonts w:eastAsia="Calibri" w:cs="Calibri"/>
                <w:sz w:val="22"/>
                <w:szCs w:val="22"/>
              </w:rPr>
            </w:pPr>
            <w:r w:rsidRPr="00410C19">
              <w:rPr>
                <w:rFonts w:eastAsia="Calibri" w:cs="Calibri"/>
                <w:sz w:val="22"/>
                <w:szCs w:val="22"/>
              </w:rPr>
              <w:t xml:space="preserve">FY </w:t>
            </w:r>
            <w:r w:rsidRPr="006D42CB">
              <w:rPr>
                <w:rFonts w:eastAsia="Calibri" w:cs="Calibri"/>
                <w:sz w:val="22"/>
                <w:szCs w:val="22"/>
              </w:rPr>
              <w:t xml:space="preserve">2020-03 </w:t>
            </w:r>
          </w:p>
          <w:p w14:paraId="5C9BD13C" w14:textId="77777777" w:rsidR="090008D6" w:rsidRDefault="3509B960" w:rsidP="0999E32A">
            <w:pPr>
              <w:rPr>
                <w:rFonts w:eastAsia="Calibri" w:cs="Calibri"/>
                <w:sz w:val="22"/>
                <w:szCs w:val="22"/>
              </w:rPr>
            </w:pPr>
            <w:r w:rsidRPr="006D42CB">
              <w:rPr>
                <w:rFonts w:eastAsia="Calibri" w:cs="Calibri"/>
                <w:sz w:val="22"/>
                <w:szCs w:val="22"/>
              </w:rPr>
              <w:t>FY 2019-03</w:t>
            </w:r>
          </w:p>
          <w:p w14:paraId="157DE962" w14:textId="7726695A" w:rsidR="005C3C86" w:rsidRPr="00701C1A" w:rsidRDefault="005C3C86" w:rsidP="0999E32A">
            <w:pPr>
              <w:rPr>
                <w:rFonts w:eastAsia="Calibri" w:cs="Calibri"/>
                <w:sz w:val="22"/>
                <w:szCs w:val="22"/>
              </w:rPr>
            </w:pPr>
            <w:r>
              <w:rPr>
                <w:rFonts w:eastAsia="Calibri" w:cs="Calibri"/>
                <w:sz w:val="22"/>
                <w:szCs w:val="22"/>
              </w:rPr>
              <w:t>FY 2018-09</w:t>
            </w:r>
          </w:p>
        </w:tc>
      </w:tr>
      <w:tr w:rsidR="090008D6" w:rsidRPr="009F1F01" w14:paraId="4158585D" w14:textId="77777777" w:rsidTr="004B2201">
        <w:trPr>
          <w:cantSplit/>
          <w:tblHeader/>
        </w:trPr>
        <w:tc>
          <w:tcPr>
            <w:tcW w:w="15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9EC5DAC" w14:textId="10D2264B" w:rsidR="090008D6" w:rsidRPr="00701C1A" w:rsidRDefault="090008D6">
            <w:pPr>
              <w:rPr>
                <w:sz w:val="22"/>
                <w:szCs w:val="22"/>
              </w:rPr>
            </w:pPr>
            <w:r w:rsidRPr="00701C1A">
              <w:rPr>
                <w:rFonts w:eastAsia="Calibri" w:cs="Calibri"/>
                <w:sz w:val="22"/>
                <w:szCs w:val="22"/>
              </w:rPr>
              <w:t>FY 2022-03</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F513D91" w14:textId="391E769D" w:rsidR="090008D6" w:rsidRPr="00701C1A" w:rsidRDefault="090008D6">
            <w:pPr>
              <w:rPr>
                <w:sz w:val="22"/>
                <w:szCs w:val="22"/>
              </w:rPr>
            </w:pPr>
            <w:r w:rsidRPr="00701C1A">
              <w:rPr>
                <w:rFonts w:eastAsia="Calibri" w:cs="Calibri"/>
                <w:sz w:val="22"/>
                <w:szCs w:val="22"/>
              </w:rPr>
              <w:t>There were 23 violations where the severity assessed was not supported by the case file documentation</w:t>
            </w:r>
            <w:r w:rsidR="001A72A7" w:rsidRPr="00701C1A">
              <w:rPr>
                <w:rFonts w:eastAsia="Calibri" w:cs="Calibri"/>
                <w:sz w:val="22"/>
                <w:szCs w:val="22"/>
              </w:rPr>
              <w:t>.</w:t>
            </w:r>
          </w:p>
        </w:tc>
        <w:tc>
          <w:tcPr>
            <w:tcW w:w="50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549577D8" w14:textId="0523812C" w:rsidR="090008D6" w:rsidRDefault="090008D6">
            <w:pPr>
              <w:rPr>
                <w:rFonts w:eastAsia="Calibri" w:cs="Calibri"/>
                <w:sz w:val="22"/>
                <w:szCs w:val="22"/>
              </w:rPr>
            </w:pPr>
            <w:r w:rsidRPr="00701C1A">
              <w:rPr>
                <w:rFonts w:eastAsia="Calibri" w:cs="Calibri"/>
                <w:sz w:val="22"/>
                <w:szCs w:val="22"/>
              </w:rPr>
              <w:t>ADOSH should implement oversight of the case files to ensure the severity assessment supports the most likely injury to occur</w:t>
            </w:r>
            <w:r w:rsidR="009C18D3">
              <w:rPr>
                <w:rFonts w:eastAsia="Calibri" w:cs="Calibri"/>
                <w:sz w:val="22"/>
                <w:szCs w:val="22"/>
              </w:rPr>
              <w:t>.</w:t>
            </w:r>
          </w:p>
          <w:p w14:paraId="0AA01335" w14:textId="1431C669" w:rsidR="009C18D3" w:rsidRPr="00701C1A" w:rsidRDefault="009C18D3">
            <w:pPr>
              <w:rPr>
                <w:sz w:val="22"/>
                <w:szCs w:val="22"/>
              </w:rPr>
            </w:pPr>
          </w:p>
        </w:tc>
        <w:tc>
          <w:tcPr>
            <w:tcW w:w="16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6BE0301E" w14:textId="313C2B83" w:rsidR="090008D6" w:rsidRPr="00701C1A" w:rsidRDefault="090008D6">
            <w:pPr>
              <w:rPr>
                <w:sz w:val="22"/>
                <w:szCs w:val="22"/>
              </w:rPr>
            </w:pPr>
            <w:r w:rsidRPr="00701C1A">
              <w:rPr>
                <w:rFonts w:eastAsia="Calibri" w:cs="Calibri"/>
                <w:sz w:val="22"/>
                <w:szCs w:val="22"/>
              </w:rPr>
              <w:t>FY 2021-05</w:t>
            </w:r>
          </w:p>
        </w:tc>
      </w:tr>
      <w:tr w:rsidR="7EB95616" w:rsidRPr="009F1F01" w14:paraId="1E8944C3" w14:textId="77777777" w:rsidTr="004B2201">
        <w:trPr>
          <w:cantSplit/>
          <w:trHeight w:val="300"/>
          <w:tblHeader/>
        </w:trPr>
        <w:tc>
          <w:tcPr>
            <w:tcW w:w="15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08FB56D2" w14:textId="725AF92F" w:rsidR="72C7CEE4" w:rsidRPr="00701C1A" w:rsidRDefault="72C7CEE4" w:rsidP="7EB95616">
            <w:pPr>
              <w:rPr>
                <w:rFonts w:eastAsia="Calibri" w:cs="Calibri"/>
                <w:sz w:val="22"/>
                <w:szCs w:val="22"/>
              </w:rPr>
            </w:pPr>
            <w:r w:rsidRPr="00701C1A">
              <w:rPr>
                <w:rFonts w:eastAsia="Calibri" w:cs="Calibri"/>
                <w:sz w:val="22"/>
                <w:szCs w:val="22"/>
              </w:rPr>
              <w:t>FY 2022-04</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3C178CFF" w14:textId="1A0C4DEA" w:rsidR="72C7CEE4" w:rsidRPr="00701C1A" w:rsidRDefault="72C7CEE4" w:rsidP="7EB95616">
            <w:pPr>
              <w:widowControl/>
              <w:rPr>
                <w:rFonts w:eastAsia="Calibri" w:cs="Calibri"/>
                <w:sz w:val="22"/>
                <w:szCs w:val="22"/>
              </w:rPr>
            </w:pPr>
            <w:r w:rsidRPr="00701C1A">
              <w:rPr>
                <w:rFonts w:eastAsia="Calibri" w:cs="Calibri"/>
                <w:sz w:val="22"/>
                <w:szCs w:val="22"/>
              </w:rPr>
              <w:t>The Probability Factors Worksheet was not constructed to assign numerical value to calculate all the factors from the AZ FOM.</w:t>
            </w:r>
          </w:p>
          <w:p w14:paraId="2D0D0C6E" w14:textId="7D3A318E" w:rsidR="7EB95616" w:rsidRPr="00701C1A" w:rsidRDefault="7EB95616" w:rsidP="7EB95616">
            <w:pPr>
              <w:rPr>
                <w:rFonts w:eastAsia="Calibri" w:cs="Calibri"/>
                <w:sz w:val="22"/>
                <w:szCs w:val="22"/>
              </w:rPr>
            </w:pPr>
          </w:p>
        </w:tc>
        <w:tc>
          <w:tcPr>
            <w:tcW w:w="50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DF9D611" w14:textId="15120D23" w:rsidR="50653FC6" w:rsidRPr="00701C1A" w:rsidRDefault="50653FC6" w:rsidP="7EB95616">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701C1A">
              <w:rPr>
                <w:rFonts w:eastAsia="PMingLiU" w:cs="Calibri"/>
                <w:sz w:val="22"/>
                <w:szCs w:val="22"/>
              </w:rPr>
              <w:t>ADOSH should ensure all requirements listed in the AZ FOM are used to calculate probability.</w:t>
            </w:r>
          </w:p>
          <w:p w14:paraId="6D2C5A91" w14:textId="6DC4CEBF" w:rsidR="7EB95616" w:rsidRPr="00701C1A" w:rsidRDefault="7EB95616" w:rsidP="7EB95616">
            <w:pPr>
              <w:rPr>
                <w:rFonts w:eastAsia="Calibri" w:cs="Calibri"/>
                <w:sz w:val="22"/>
                <w:szCs w:val="22"/>
              </w:rPr>
            </w:pPr>
          </w:p>
        </w:tc>
        <w:tc>
          <w:tcPr>
            <w:tcW w:w="16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6AEB52A" w14:textId="191C7BC4" w:rsidR="00410C19" w:rsidRDefault="72C7CEE4" w:rsidP="0999E32A">
            <w:pPr>
              <w:rPr>
                <w:rFonts w:eastAsia="Calibri" w:cs="Calibri"/>
                <w:sz w:val="22"/>
                <w:szCs w:val="22"/>
              </w:rPr>
            </w:pPr>
            <w:r w:rsidRPr="0999E32A">
              <w:rPr>
                <w:rFonts w:eastAsia="Calibri" w:cs="Calibri"/>
                <w:sz w:val="22"/>
                <w:szCs w:val="22"/>
              </w:rPr>
              <w:t>FY 2021-07</w:t>
            </w:r>
            <w:r w:rsidR="7DE50953" w:rsidRPr="0999E32A">
              <w:rPr>
                <w:rFonts w:eastAsia="Calibri" w:cs="Calibri"/>
                <w:sz w:val="22"/>
                <w:szCs w:val="22"/>
              </w:rPr>
              <w:t xml:space="preserve"> </w:t>
            </w:r>
          </w:p>
          <w:p w14:paraId="19E98DC3" w14:textId="475E904C" w:rsidR="00410C19" w:rsidRDefault="7DE50953" w:rsidP="0999E32A">
            <w:pPr>
              <w:rPr>
                <w:rFonts w:eastAsia="Calibri" w:cs="Calibri"/>
                <w:sz w:val="22"/>
                <w:szCs w:val="22"/>
              </w:rPr>
            </w:pPr>
            <w:r w:rsidRPr="006D42CB">
              <w:rPr>
                <w:rFonts w:eastAsia="Calibri" w:cs="Calibri"/>
                <w:sz w:val="22"/>
                <w:szCs w:val="22"/>
              </w:rPr>
              <w:t xml:space="preserve">FY 2020-06 </w:t>
            </w:r>
          </w:p>
          <w:p w14:paraId="23C85CC3" w14:textId="6BD9B45F" w:rsidR="72C7CEE4" w:rsidRPr="00410C19" w:rsidRDefault="7DE50953" w:rsidP="0999E32A">
            <w:pPr>
              <w:rPr>
                <w:rFonts w:eastAsia="Calibri" w:cs="Calibri"/>
                <w:sz w:val="22"/>
                <w:szCs w:val="22"/>
              </w:rPr>
            </w:pPr>
            <w:r w:rsidRPr="006D42CB">
              <w:rPr>
                <w:rFonts w:eastAsia="Calibri" w:cs="Calibri"/>
                <w:sz w:val="22"/>
                <w:szCs w:val="22"/>
              </w:rPr>
              <w:t>FY 2019-07</w:t>
            </w:r>
          </w:p>
        </w:tc>
      </w:tr>
      <w:tr w:rsidR="00C80B99" w:rsidRPr="009F1F01" w14:paraId="0C1E5F81" w14:textId="77777777" w:rsidTr="004B2201">
        <w:trPr>
          <w:cantSplit/>
          <w:trHeight w:val="300"/>
          <w:tblHeader/>
        </w:trPr>
        <w:tc>
          <w:tcPr>
            <w:tcW w:w="15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1D5369E7" w14:textId="117C8D04" w:rsidR="00C80B99" w:rsidRPr="00701C1A" w:rsidRDefault="00C80B99" w:rsidP="7EB95616">
            <w:pPr>
              <w:rPr>
                <w:rFonts w:eastAsia="Calibri" w:cs="Calibri"/>
                <w:sz w:val="22"/>
                <w:szCs w:val="22"/>
              </w:rPr>
            </w:pPr>
            <w:r w:rsidRPr="00701C1A">
              <w:rPr>
                <w:rFonts w:eastAsia="Calibri" w:cs="Calibri"/>
                <w:sz w:val="22"/>
                <w:szCs w:val="22"/>
              </w:rPr>
              <w:t>FY 2022-05</w:t>
            </w:r>
          </w:p>
        </w:tc>
        <w:tc>
          <w:tcPr>
            <w:tcW w:w="46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4B935C77" w14:textId="77777777" w:rsidR="00C80B99" w:rsidRDefault="00E10136" w:rsidP="7EB95616">
            <w:pPr>
              <w:widowControl/>
              <w:rPr>
                <w:rFonts w:eastAsia="Calibri" w:cs="Calibri"/>
                <w:sz w:val="22"/>
                <w:szCs w:val="22"/>
              </w:rPr>
            </w:pPr>
            <w:r w:rsidRPr="00701C1A">
              <w:rPr>
                <w:rFonts w:eastAsia="Calibri" w:cs="Calibri"/>
                <w:sz w:val="22"/>
                <w:szCs w:val="22"/>
              </w:rPr>
              <w:t>Requirements for adopting Federal Program Changes (FPCs) were not completed within six-months of the effective date of the directive or official issuance date of the Federal Register Notice.</w:t>
            </w:r>
          </w:p>
          <w:p w14:paraId="241280A9" w14:textId="045BA9F2" w:rsidR="009C18D3" w:rsidRPr="00701C1A" w:rsidRDefault="009C18D3" w:rsidP="7EB95616">
            <w:pPr>
              <w:widowControl/>
              <w:rPr>
                <w:rFonts w:eastAsia="Calibri" w:cs="Calibri"/>
                <w:sz w:val="22"/>
                <w:szCs w:val="22"/>
              </w:rPr>
            </w:pPr>
          </w:p>
        </w:tc>
        <w:tc>
          <w:tcPr>
            <w:tcW w:w="50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74DEA0A5" w14:textId="4FEC92CB" w:rsidR="00C80B99" w:rsidRPr="00701C1A" w:rsidRDefault="00835C61" w:rsidP="7EB95616">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701C1A">
              <w:rPr>
                <w:rFonts w:eastAsia="Calibri" w:cs="Calibri"/>
                <w:sz w:val="22"/>
                <w:szCs w:val="22"/>
              </w:rPr>
              <w:t xml:space="preserve">ADOSH should ensure that they meet the requirements for response </w:t>
            </w:r>
            <w:r w:rsidR="004E4355" w:rsidRPr="00701C1A">
              <w:rPr>
                <w:rFonts w:eastAsia="Calibri" w:cs="Calibri"/>
                <w:sz w:val="22"/>
                <w:szCs w:val="22"/>
              </w:rPr>
              <w:t>and</w:t>
            </w:r>
            <w:r w:rsidRPr="00701C1A">
              <w:rPr>
                <w:rFonts w:eastAsia="Calibri" w:cs="Calibri"/>
                <w:sz w:val="22"/>
                <w:szCs w:val="22"/>
              </w:rPr>
              <w:t xml:space="preserve"> adoption of OSHA’s Federal Program Changes. </w:t>
            </w:r>
          </w:p>
        </w:tc>
        <w:tc>
          <w:tcPr>
            <w:tcW w:w="16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Pr>
          <w:p w14:paraId="211D6F4D" w14:textId="77777777" w:rsidR="00C80B99" w:rsidRDefault="00F851AA" w:rsidP="7EB95616">
            <w:pPr>
              <w:rPr>
                <w:rFonts w:eastAsia="Calibri" w:cs="Calibri"/>
                <w:sz w:val="22"/>
                <w:szCs w:val="22"/>
              </w:rPr>
            </w:pPr>
            <w:r w:rsidRPr="00701C1A">
              <w:rPr>
                <w:rFonts w:eastAsia="Calibri" w:cs="Calibri"/>
                <w:sz w:val="22"/>
                <w:szCs w:val="22"/>
              </w:rPr>
              <w:t>FY 2021-10</w:t>
            </w:r>
          </w:p>
          <w:p w14:paraId="29B81E0D" w14:textId="77777777" w:rsidR="005C3C86" w:rsidRDefault="005C3C86" w:rsidP="7EB95616">
            <w:pPr>
              <w:rPr>
                <w:rFonts w:eastAsia="Calibri" w:cs="Calibri"/>
                <w:sz w:val="22"/>
                <w:szCs w:val="22"/>
              </w:rPr>
            </w:pPr>
            <w:r>
              <w:rPr>
                <w:rFonts w:eastAsia="Calibri" w:cs="Calibri"/>
                <w:sz w:val="22"/>
                <w:szCs w:val="22"/>
              </w:rPr>
              <w:t>FY 2020-08</w:t>
            </w:r>
          </w:p>
          <w:p w14:paraId="1BC5BE33" w14:textId="0C7646CC" w:rsidR="005C3C86" w:rsidRPr="00701C1A" w:rsidRDefault="005C3C86" w:rsidP="7EB95616">
            <w:pPr>
              <w:rPr>
                <w:rFonts w:eastAsia="Calibri" w:cs="Calibri"/>
                <w:sz w:val="22"/>
                <w:szCs w:val="22"/>
              </w:rPr>
            </w:pPr>
            <w:r>
              <w:rPr>
                <w:rFonts w:eastAsia="Calibri" w:cs="Calibri"/>
                <w:sz w:val="22"/>
                <w:szCs w:val="22"/>
              </w:rPr>
              <w:t>FY 2019-09</w:t>
            </w:r>
          </w:p>
        </w:tc>
      </w:tr>
    </w:tbl>
    <w:p w14:paraId="3C1E0E19" w14:textId="59429E7F" w:rsidR="000A134A" w:rsidRPr="001C1E47" w:rsidRDefault="000A134A" w:rsidP="007A71AC">
      <w:pPr>
        <w:widowControl/>
        <w:autoSpaceDE/>
        <w:autoSpaceDN/>
        <w:adjustRightInd/>
        <w:rPr>
          <w:rFonts w:cs="Calibri"/>
        </w:rPr>
      </w:pPr>
    </w:p>
    <w:p w14:paraId="039B49D1" w14:textId="77777777" w:rsidR="00D86879" w:rsidRPr="001C1E47" w:rsidRDefault="00D86879" w:rsidP="007A71AC">
      <w:pPr>
        <w:widowControl/>
        <w:autoSpaceDE/>
        <w:autoSpaceDN/>
        <w:adjustRightInd/>
        <w:rPr>
          <w:rFonts w:cs="Calibri"/>
          <w:i/>
        </w:rPr>
      </w:pPr>
    </w:p>
    <w:p w14:paraId="5E283150" w14:textId="4FCC6EB2" w:rsidR="00B6741C" w:rsidRPr="0002572C" w:rsidRDefault="00701C1A" w:rsidP="00C53BC8">
      <w:pPr>
        <w:widowControl/>
        <w:autoSpaceDE/>
        <w:autoSpaceDN/>
        <w:adjustRightInd/>
      </w:pPr>
      <w:r>
        <w:br w:type="column"/>
      </w:r>
    </w:p>
    <w:p w14:paraId="72DA695E" w14:textId="5EAB6FC3" w:rsidR="00B6741C" w:rsidRPr="0002572C" w:rsidRDefault="00B6741C" w:rsidP="00685C25">
      <w:pPr>
        <w:pStyle w:val="Heading3"/>
      </w:pPr>
      <w:bookmarkStart w:id="28" w:name="_Toc118905018"/>
      <w:bookmarkStart w:id="29" w:name="_Toc128388238"/>
      <w:r w:rsidRPr="0002572C">
        <w:t>Appendix B – Observations Subject to Continued Monitoring</w:t>
      </w:r>
      <w:bookmarkEnd w:id="28"/>
      <w:bookmarkEnd w:id="29"/>
    </w:p>
    <w:p w14:paraId="2352A70A" w14:textId="09C4FA4A" w:rsidR="00E759AB" w:rsidRDefault="00B6741C" w:rsidP="001742A8">
      <w:r>
        <w:t>FY 20</w:t>
      </w:r>
      <w:r w:rsidR="00282EA8">
        <w:t xml:space="preserve">22 </w:t>
      </w:r>
      <w:r w:rsidR="006D2E91">
        <w:t xml:space="preserve">Arizona Division of Occupational Safety and Health </w:t>
      </w:r>
      <w:r>
        <w:t>Follow-up FAME Report</w:t>
      </w:r>
    </w:p>
    <w:p w14:paraId="47C990B9" w14:textId="77777777" w:rsidR="001742A8" w:rsidRDefault="001742A8" w:rsidP="001742A8"/>
    <w:tbl>
      <w:tblPr>
        <w:tblStyle w:val="TableGrid"/>
        <w:tblpPr w:leftFromText="180" w:rightFromText="180" w:vertAnchor="text" w:tblpY="1"/>
        <w:tblOverlap w:val="never"/>
        <w:tblW w:w="0" w:type="auto"/>
        <w:tblLook w:val="04A0" w:firstRow="1" w:lastRow="0" w:firstColumn="1" w:lastColumn="0" w:noHBand="0" w:noVBand="1"/>
      </w:tblPr>
      <w:tblGrid>
        <w:gridCol w:w="2155"/>
        <w:gridCol w:w="3025"/>
        <w:gridCol w:w="2590"/>
        <w:gridCol w:w="2590"/>
        <w:gridCol w:w="2590"/>
      </w:tblGrid>
      <w:tr w:rsidR="001742A8" w14:paraId="2A1F4DBA" w14:textId="77777777" w:rsidTr="00FA5FB8">
        <w:trPr>
          <w:cantSplit/>
          <w:tblHeader/>
        </w:trPr>
        <w:tc>
          <w:tcPr>
            <w:tcW w:w="2155" w:type="dxa"/>
          </w:tcPr>
          <w:p w14:paraId="7C8354E3" w14:textId="77777777" w:rsidR="001742A8" w:rsidRPr="00701C1A" w:rsidRDefault="001742A8" w:rsidP="001742A8">
            <w:pPr>
              <w:widowControl/>
              <w:autoSpaceDE/>
              <w:autoSpaceDN/>
              <w:adjustRightInd/>
              <w:rPr>
                <w:rFonts w:cs="Calibri"/>
                <w:b/>
              </w:rPr>
            </w:pPr>
            <w:r w:rsidRPr="00701C1A">
              <w:rPr>
                <w:rFonts w:cs="Calibri"/>
                <w:b/>
              </w:rPr>
              <w:t>Observation #</w:t>
            </w:r>
          </w:p>
          <w:p w14:paraId="12BDB53B" w14:textId="555C90FC" w:rsidR="001742A8" w:rsidRPr="00701C1A" w:rsidRDefault="001742A8" w:rsidP="001742A8">
            <w:r w:rsidRPr="00701C1A">
              <w:rPr>
                <w:rFonts w:cs="Calibri"/>
                <w:b/>
              </w:rPr>
              <w:t xml:space="preserve">FY </w:t>
            </w:r>
            <w:r w:rsidRPr="00701C1A">
              <w:rPr>
                <w:rFonts w:cs="Calibri"/>
                <w:b/>
                <w:bCs/>
              </w:rPr>
              <w:t>2022</w:t>
            </w:r>
            <w:r w:rsidRPr="00701C1A">
              <w:rPr>
                <w:rFonts w:cs="Calibri"/>
                <w:b/>
              </w:rPr>
              <w:t>-OB-#</w:t>
            </w:r>
          </w:p>
        </w:tc>
        <w:tc>
          <w:tcPr>
            <w:tcW w:w="3025" w:type="dxa"/>
          </w:tcPr>
          <w:p w14:paraId="5B32EB96" w14:textId="77777777" w:rsidR="001742A8" w:rsidRPr="00701C1A" w:rsidRDefault="001742A8" w:rsidP="001742A8">
            <w:pPr>
              <w:widowControl/>
              <w:autoSpaceDE/>
              <w:autoSpaceDN/>
              <w:adjustRightInd/>
              <w:rPr>
                <w:rFonts w:cs="Calibri"/>
                <w:b/>
              </w:rPr>
            </w:pPr>
            <w:r w:rsidRPr="00701C1A">
              <w:rPr>
                <w:rFonts w:cs="Calibri"/>
                <w:b/>
              </w:rPr>
              <w:t>Observation#</w:t>
            </w:r>
          </w:p>
          <w:p w14:paraId="12DE65B0" w14:textId="4B84C3BD" w:rsidR="001742A8" w:rsidRPr="00701C1A" w:rsidRDefault="001742A8" w:rsidP="001742A8">
            <w:r w:rsidRPr="00701C1A">
              <w:rPr>
                <w:rFonts w:cs="Calibri"/>
                <w:b/>
              </w:rPr>
              <w:t xml:space="preserve">FY </w:t>
            </w:r>
            <w:r w:rsidRPr="00701C1A">
              <w:rPr>
                <w:rFonts w:cs="Calibri"/>
                <w:b/>
                <w:bCs/>
              </w:rPr>
              <w:t>2021</w:t>
            </w:r>
            <w:r w:rsidRPr="00701C1A">
              <w:rPr>
                <w:rFonts w:cs="Calibri"/>
                <w:b/>
              </w:rPr>
              <w:t xml:space="preserve">-OB-# </w:t>
            </w:r>
            <w:r w:rsidRPr="00701C1A">
              <w:rPr>
                <w:rFonts w:cs="Calibri"/>
                <w:b/>
                <w:i/>
              </w:rPr>
              <w:t>or</w:t>
            </w:r>
            <w:r w:rsidRPr="00701C1A">
              <w:rPr>
                <w:rFonts w:cs="Calibri"/>
                <w:b/>
              </w:rPr>
              <w:t xml:space="preserve"> FY </w:t>
            </w:r>
            <w:r w:rsidRPr="00701C1A">
              <w:rPr>
                <w:rFonts w:cs="Calibri"/>
                <w:b/>
                <w:bCs/>
              </w:rPr>
              <w:t>2021</w:t>
            </w:r>
            <w:r w:rsidRPr="00701C1A">
              <w:rPr>
                <w:rFonts w:cs="Calibri"/>
                <w:b/>
              </w:rPr>
              <w:t>-#</w:t>
            </w:r>
          </w:p>
        </w:tc>
        <w:tc>
          <w:tcPr>
            <w:tcW w:w="2590" w:type="dxa"/>
          </w:tcPr>
          <w:p w14:paraId="78EFCED3" w14:textId="3F56193B" w:rsidR="001742A8" w:rsidRPr="00701C1A" w:rsidRDefault="001742A8" w:rsidP="001742A8">
            <w:r w:rsidRPr="00701C1A">
              <w:rPr>
                <w:rFonts w:cs="Calibri"/>
                <w:b/>
              </w:rPr>
              <w:t>Observation</w:t>
            </w:r>
          </w:p>
        </w:tc>
        <w:tc>
          <w:tcPr>
            <w:tcW w:w="2590" w:type="dxa"/>
          </w:tcPr>
          <w:p w14:paraId="22DE7635" w14:textId="6512B1AA" w:rsidR="001742A8" w:rsidRPr="00701C1A" w:rsidRDefault="001742A8" w:rsidP="001742A8">
            <w:r w:rsidRPr="00701C1A">
              <w:rPr>
                <w:rFonts w:cs="Calibri"/>
                <w:b/>
              </w:rPr>
              <w:t>Federal Monitoring Plan</w:t>
            </w:r>
          </w:p>
        </w:tc>
        <w:tc>
          <w:tcPr>
            <w:tcW w:w="2590" w:type="dxa"/>
          </w:tcPr>
          <w:p w14:paraId="4B6984FA" w14:textId="648A27E7" w:rsidR="001742A8" w:rsidRPr="00701C1A" w:rsidRDefault="001742A8" w:rsidP="001742A8">
            <w:r w:rsidRPr="00701C1A">
              <w:rPr>
                <w:rFonts w:cs="Calibri"/>
                <w:b/>
              </w:rPr>
              <w:t>Current Status</w:t>
            </w:r>
          </w:p>
        </w:tc>
      </w:tr>
      <w:tr w:rsidR="00DE4193" w14:paraId="6BF428EF" w14:textId="77777777" w:rsidTr="00FA5FB8">
        <w:trPr>
          <w:cantSplit/>
        </w:trPr>
        <w:tc>
          <w:tcPr>
            <w:tcW w:w="2155" w:type="dxa"/>
          </w:tcPr>
          <w:p w14:paraId="031D4B5F" w14:textId="73EA81F1" w:rsidR="00DE4193" w:rsidRPr="001C1E47" w:rsidRDefault="00DE4193" w:rsidP="00DE4193">
            <w:pPr>
              <w:widowControl/>
              <w:autoSpaceDE/>
              <w:autoSpaceDN/>
              <w:adjustRightInd/>
              <w:rPr>
                <w:rFonts w:cs="Calibri"/>
                <w:b/>
                <w:sz w:val="22"/>
                <w:szCs w:val="22"/>
              </w:rPr>
            </w:pPr>
            <w:r w:rsidRPr="000D18C4">
              <w:rPr>
                <w:rFonts w:cs="Calibri"/>
                <w:iCs/>
                <w:color w:val="000000" w:themeColor="text1"/>
                <w:sz w:val="22"/>
                <w:szCs w:val="22"/>
              </w:rPr>
              <w:t>FY 2022-OB-01</w:t>
            </w:r>
          </w:p>
        </w:tc>
        <w:tc>
          <w:tcPr>
            <w:tcW w:w="3025" w:type="dxa"/>
          </w:tcPr>
          <w:p w14:paraId="15E11C2F" w14:textId="0688009A" w:rsidR="00DE4193" w:rsidRPr="001C1E47" w:rsidRDefault="00DE4193" w:rsidP="00DE4193">
            <w:pPr>
              <w:widowControl/>
              <w:autoSpaceDE/>
              <w:autoSpaceDN/>
              <w:adjustRightInd/>
              <w:rPr>
                <w:rFonts w:cs="Calibri"/>
                <w:b/>
                <w:sz w:val="22"/>
                <w:szCs w:val="22"/>
              </w:rPr>
            </w:pPr>
            <w:r w:rsidRPr="000D18C4">
              <w:rPr>
                <w:rFonts w:cs="Calibri"/>
                <w:iCs/>
                <w:color w:val="000000" w:themeColor="text1"/>
                <w:sz w:val="22"/>
                <w:szCs w:val="22"/>
              </w:rPr>
              <w:t>FY 2021-OB-01</w:t>
            </w:r>
          </w:p>
        </w:tc>
        <w:tc>
          <w:tcPr>
            <w:tcW w:w="2590" w:type="dxa"/>
          </w:tcPr>
          <w:p w14:paraId="48A05548" w14:textId="77777777" w:rsidR="00DE4193" w:rsidRDefault="00DE4193" w:rsidP="00DE4193">
            <w:pPr>
              <w:rPr>
                <w:sz w:val="22"/>
                <w:szCs w:val="22"/>
              </w:rPr>
            </w:pPr>
            <w:r w:rsidRPr="00C53BC8">
              <w:rPr>
                <w:rFonts w:cs="Calibri"/>
                <w:bCs/>
                <w:sz w:val="22"/>
                <w:szCs w:val="22"/>
              </w:rPr>
              <w:t>The internal evaluation system was not fully utilized to identify and act on issues such as unaccounted e-Complaints, inspections open after six- months with draft citations not issued, inspections with no abatement entered or not accounted for, inspections where penalty payments had not been entered, other open inspections, and complaints in federal jurisdiction that were not referred to OSHA.</w:t>
            </w:r>
            <w:r w:rsidRPr="00C53BC8">
              <w:rPr>
                <w:sz w:val="22"/>
                <w:szCs w:val="22"/>
              </w:rPr>
              <w:t xml:space="preserve"> </w:t>
            </w:r>
          </w:p>
          <w:p w14:paraId="7802F20B" w14:textId="6F4F19DE" w:rsidR="009C18D3" w:rsidRPr="001C1E47" w:rsidRDefault="009C18D3" w:rsidP="00DE4193">
            <w:pPr>
              <w:rPr>
                <w:rFonts w:cs="Calibri"/>
                <w:b/>
                <w:sz w:val="22"/>
                <w:szCs w:val="22"/>
              </w:rPr>
            </w:pPr>
          </w:p>
        </w:tc>
        <w:tc>
          <w:tcPr>
            <w:tcW w:w="2590" w:type="dxa"/>
          </w:tcPr>
          <w:p w14:paraId="240C7EF8" w14:textId="4F2F0EC0" w:rsidR="00DE4193" w:rsidRPr="001C1E47" w:rsidRDefault="00DE4193" w:rsidP="00DE4193">
            <w:pPr>
              <w:rPr>
                <w:rFonts w:cs="Calibri"/>
                <w:b/>
                <w:sz w:val="22"/>
                <w:szCs w:val="22"/>
              </w:rPr>
            </w:pPr>
            <w:r w:rsidRPr="00C53BC8">
              <w:rPr>
                <w:rFonts w:cs="Calibri"/>
                <w:iCs/>
                <w:color w:val="000000" w:themeColor="text1"/>
                <w:sz w:val="22"/>
                <w:szCs w:val="22"/>
              </w:rPr>
              <w:t>OSHA will monitor during quarterly meetings to ensure that the internal evaluation program tracks key metrics, so case files and complaints are handled appropriately.</w:t>
            </w:r>
          </w:p>
        </w:tc>
        <w:tc>
          <w:tcPr>
            <w:tcW w:w="2590" w:type="dxa"/>
          </w:tcPr>
          <w:p w14:paraId="0E6FA406" w14:textId="5B55C313" w:rsidR="00DE4193" w:rsidRPr="001C1E47" w:rsidRDefault="00DE4193" w:rsidP="00DE4193">
            <w:pPr>
              <w:rPr>
                <w:rFonts w:cs="Calibri"/>
                <w:b/>
                <w:sz w:val="22"/>
                <w:szCs w:val="22"/>
              </w:rPr>
            </w:pPr>
            <w:r w:rsidRPr="000D18C4">
              <w:rPr>
                <w:rFonts w:cs="Calibri"/>
                <w:iCs/>
                <w:color w:val="000000" w:themeColor="text1"/>
                <w:sz w:val="22"/>
                <w:szCs w:val="22"/>
              </w:rPr>
              <w:t>Continued</w:t>
            </w:r>
          </w:p>
        </w:tc>
      </w:tr>
      <w:tr w:rsidR="00DE4193" w14:paraId="6F9D5238" w14:textId="77777777" w:rsidTr="00FA5FB8">
        <w:trPr>
          <w:cantSplit/>
        </w:trPr>
        <w:tc>
          <w:tcPr>
            <w:tcW w:w="2155" w:type="dxa"/>
          </w:tcPr>
          <w:p w14:paraId="6AFE7A13" w14:textId="2283B8B0" w:rsidR="00DE4193" w:rsidRPr="000D18C4" w:rsidRDefault="00DE4193" w:rsidP="00DE4193">
            <w:pPr>
              <w:widowControl/>
              <w:autoSpaceDE/>
              <w:autoSpaceDN/>
              <w:adjustRightInd/>
              <w:rPr>
                <w:rFonts w:cs="Calibri"/>
                <w:iCs/>
                <w:color w:val="000000" w:themeColor="text1"/>
                <w:sz w:val="22"/>
                <w:szCs w:val="22"/>
              </w:rPr>
            </w:pPr>
            <w:r w:rsidRPr="000D18C4">
              <w:rPr>
                <w:rFonts w:cs="Calibri"/>
                <w:iCs/>
                <w:color w:val="000000" w:themeColor="text1"/>
                <w:sz w:val="22"/>
                <w:szCs w:val="22"/>
              </w:rPr>
              <w:t xml:space="preserve">FY 2022-OB-02 </w:t>
            </w:r>
          </w:p>
        </w:tc>
        <w:tc>
          <w:tcPr>
            <w:tcW w:w="3025" w:type="dxa"/>
          </w:tcPr>
          <w:p w14:paraId="3F9E11C7" w14:textId="3250EE30" w:rsidR="00DE4193" w:rsidRPr="000D18C4" w:rsidRDefault="00DE4193" w:rsidP="00DE4193">
            <w:pPr>
              <w:widowControl/>
              <w:autoSpaceDE/>
              <w:autoSpaceDN/>
              <w:adjustRightInd/>
              <w:rPr>
                <w:rFonts w:cs="Calibri"/>
                <w:iCs/>
                <w:color w:val="000000" w:themeColor="text1"/>
                <w:sz w:val="22"/>
                <w:szCs w:val="22"/>
              </w:rPr>
            </w:pPr>
            <w:r w:rsidRPr="000D18C4">
              <w:rPr>
                <w:rFonts w:cs="Calibri"/>
                <w:iCs/>
                <w:color w:val="000000" w:themeColor="text1"/>
                <w:sz w:val="22"/>
                <w:szCs w:val="22"/>
              </w:rPr>
              <w:t>FY 2021-OB-02</w:t>
            </w:r>
          </w:p>
        </w:tc>
        <w:tc>
          <w:tcPr>
            <w:tcW w:w="2590" w:type="dxa"/>
          </w:tcPr>
          <w:p w14:paraId="56B5AE84" w14:textId="77777777" w:rsidR="00DE4193" w:rsidRDefault="00DE4193" w:rsidP="00DE4193">
            <w:pPr>
              <w:rPr>
                <w:rFonts w:cs="Calibri"/>
                <w:iCs/>
                <w:color w:val="000000" w:themeColor="text1"/>
                <w:sz w:val="22"/>
                <w:szCs w:val="22"/>
              </w:rPr>
            </w:pPr>
            <w:r w:rsidRPr="000D18C4">
              <w:rPr>
                <w:rFonts w:cs="Calibri"/>
                <w:iCs/>
                <w:color w:val="000000" w:themeColor="text1"/>
                <w:sz w:val="22"/>
                <w:szCs w:val="22"/>
              </w:rPr>
              <w:t>The number of qualified compliance officers that were</w:t>
            </w:r>
            <w:r>
              <w:rPr>
                <w:rFonts w:cs="Calibri"/>
                <w:iCs/>
                <w:color w:val="000000" w:themeColor="text1"/>
                <w:sz w:val="22"/>
                <w:szCs w:val="22"/>
              </w:rPr>
              <w:t xml:space="preserve"> </w:t>
            </w:r>
            <w:r w:rsidRPr="000D18C4">
              <w:rPr>
                <w:rFonts w:cs="Calibri"/>
                <w:iCs/>
                <w:color w:val="000000" w:themeColor="text1"/>
                <w:sz w:val="22"/>
                <w:szCs w:val="22"/>
              </w:rPr>
              <w:t>able to conduct inspections independently declined from 13 to five by the end of FY 2021.</w:t>
            </w:r>
          </w:p>
          <w:p w14:paraId="2E1CE845" w14:textId="4AE74F6B" w:rsidR="005463F5" w:rsidRPr="00C53BC8" w:rsidRDefault="005463F5" w:rsidP="00DE4193">
            <w:pPr>
              <w:rPr>
                <w:rFonts w:cs="Calibri"/>
                <w:bCs/>
                <w:sz w:val="22"/>
                <w:szCs w:val="22"/>
              </w:rPr>
            </w:pPr>
          </w:p>
        </w:tc>
        <w:tc>
          <w:tcPr>
            <w:tcW w:w="2590" w:type="dxa"/>
          </w:tcPr>
          <w:p w14:paraId="260764E7" w14:textId="3B6DF30E" w:rsidR="00DE4193" w:rsidRPr="00C53BC8" w:rsidRDefault="00DE4193" w:rsidP="00DE4193">
            <w:pPr>
              <w:rPr>
                <w:rFonts w:cs="Calibri"/>
                <w:iCs/>
                <w:color w:val="000000" w:themeColor="text1"/>
                <w:sz w:val="22"/>
                <w:szCs w:val="22"/>
              </w:rPr>
            </w:pPr>
            <w:r w:rsidRPr="005C3115">
              <w:rPr>
                <w:rFonts w:cs="Calibri"/>
                <w:iCs/>
                <w:color w:val="000000" w:themeColor="text1"/>
                <w:sz w:val="22"/>
                <w:szCs w:val="22"/>
              </w:rPr>
              <w:t>OSHA will monitor and discuss the number of qualified compliance officers during quarterly meetings.</w:t>
            </w:r>
          </w:p>
        </w:tc>
        <w:tc>
          <w:tcPr>
            <w:tcW w:w="2590" w:type="dxa"/>
          </w:tcPr>
          <w:p w14:paraId="04B6B07D" w14:textId="04123C2D" w:rsidR="00DE4193" w:rsidRPr="000D18C4" w:rsidRDefault="00DE4193" w:rsidP="00DE4193">
            <w:pPr>
              <w:rPr>
                <w:rFonts w:cs="Calibri"/>
                <w:iCs/>
                <w:color w:val="000000" w:themeColor="text1"/>
                <w:sz w:val="22"/>
                <w:szCs w:val="22"/>
              </w:rPr>
            </w:pPr>
            <w:r w:rsidRPr="000D18C4">
              <w:rPr>
                <w:rFonts w:cs="Calibri"/>
                <w:iCs/>
                <w:color w:val="000000" w:themeColor="text1"/>
                <w:sz w:val="22"/>
                <w:szCs w:val="22"/>
              </w:rPr>
              <w:t>Continued</w:t>
            </w:r>
          </w:p>
        </w:tc>
      </w:tr>
      <w:tr w:rsidR="00D25A22" w14:paraId="45B33FE4" w14:textId="77777777" w:rsidTr="00FA5FB8">
        <w:trPr>
          <w:cantSplit/>
        </w:trPr>
        <w:tc>
          <w:tcPr>
            <w:tcW w:w="2155" w:type="dxa"/>
          </w:tcPr>
          <w:p w14:paraId="0C18904F" w14:textId="3EEFD28D" w:rsidR="00D25A22" w:rsidRPr="000D18C4" w:rsidRDefault="00D25A22" w:rsidP="00D25A22">
            <w:pPr>
              <w:widowControl/>
              <w:autoSpaceDE/>
              <w:autoSpaceDN/>
              <w:adjustRightInd/>
              <w:rPr>
                <w:rFonts w:cs="Calibri"/>
                <w:iCs/>
                <w:color w:val="000000" w:themeColor="text1"/>
                <w:sz w:val="22"/>
                <w:szCs w:val="22"/>
              </w:rPr>
            </w:pPr>
            <w:r w:rsidRPr="000D18C4">
              <w:rPr>
                <w:rFonts w:cs="Calibri"/>
                <w:iCs/>
                <w:color w:val="000000" w:themeColor="text1"/>
                <w:sz w:val="22"/>
                <w:szCs w:val="22"/>
              </w:rPr>
              <w:lastRenderedPageBreak/>
              <w:t>FY 2022-OB-03</w:t>
            </w:r>
          </w:p>
        </w:tc>
        <w:tc>
          <w:tcPr>
            <w:tcW w:w="3025" w:type="dxa"/>
          </w:tcPr>
          <w:p w14:paraId="2564E5A4" w14:textId="116D3AE0" w:rsidR="00D25A22" w:rsidRPr="000D18C4" w:rsidRDefault="00D25A22" w:rsidP="00D25A22">
            <w:pPr>
              <w:widowControl/>
              <w:autoSpaceDE/>
              <w:autoSpaceDN/>
              <w:adjustRightInd/>
              <w:rPr>
                <w:rFonts w:cs="Calibri"/>
                <w:iCs/>
                <w:color w:val="000000" w:themeColor="text1"/>
                <w:sz w:val="22"/>
                <w:szCs w:val="22"/>
              </w:rPr>
            </w:pPr>
            <w:r w:rsidRPr="000D18C4">
              <w:rPr>
                <w:rFonts w:cs="Calibri"/>
                <w:iCs/>
                <w:color w:val="000000" w:themeColor="text1"/>
                <w:sz w:val="22"/>
                <w:szCs w:val="22"/>
              </w:rPr>
              <w:t>FY 2021-OB-03</w:t>
            </w:r>
          </w:p>
        </w:tc>
        <w:tc>
          <w:tcPr>
            <w:tcW w:w="2590" w:type="dxa"/>
          </w:tcPr>
          <w:p w14:paraId="26785A13" w14:textId="77777777" w:rsidR="00D25A22" w:rsidRPr="00F64E49" w:rsidRDefault="00D25A22" w:rsidP="00D25A22">
            <w:pPr>
              <w:widowControl/>
              <w:autoSpaceDE/>
              <w:autoSpaceDN/>
              <w:adjustRightInd/>
              <w:rPr>
                <w:rFonts w:cs="Calibri"/>
                <w:bCs/>
                <w:sz w:val="22"/>
                <w:szCs w:val="22"/>
              </w:rPr>
            </w:pPr>
            <w:r w:rsidRPr="00F64E49">
              <w:rPr>
                <w:rFonts w:cs="Calibri"/>
                <w:bCs/>
                <w:sz w:val="22"/>
                <w:szCs w:val="22"/>
              </w:rPr>
              <w:t xml:space="preserve">ADOSH’s response time to initiate </w:t>
            </w:r>
            <w:proofErr w:type="gramStart"/>
            <w:r w:rsidRPr="00F64E49">
              <w:rPr>
                <w:rFonts w:cs="Calibri"/>
                <w:bCs/>
                <w:sz w:val="22"/>
                <w:szCs w:val="22"/>
              </w:rPr>
              <w:t>complaint</w:t>
            </w:r>
            <w:proofErr w:type="gramEnd"/>
          </w:p>
          <w:p w14:paraId="42F58F73" w14:textId="77777777" w:rsidR="00D25A22" w:rsidRDefault="00D25A22" w:rsidP="00D25A22">
            <w:pPr>
              <w:rPr>
                <w:rFonts w:cs="Calibri"/>
                <w:bCs/>
                <w:sz w:val="22"/>
                <w:szCs w:val="22"/>
              </w:rPr>
            </w:pPr>
            <w:r w:rsidRPr="00F64E49">
              <w:rPr>
                <w:rFonts w:cs="Calibri"/>
                <w:bCs/>
                <w:sz w:val="22"/>
                <w:szCs w:val="22"/>
              </w:rPr>
              <w:t xml:space="preserve">investigations </w:t>
            </w:r>
            <w:proofErr w:type="gramStart"/>
            <w:r w:rsidRPr="00F64E49">
              <w:rPr>
                <w:rFonts w:cs="Calibri"/>
                <w:bCs/>
                <w:sz w:val="22"/>
                <w:szCs w:val="22"/>
              </w:rPr>
              <w:t>was</w:t>
            </w:r>
            <w:proofErr w:type="gramEnd"/>
            <w:r w:rsidRPr="00F64E49">
              <w:rPr>
                <w:rFonts w:cs="Calibri"/>
                <w:bCs/>
                <w:sz w:val="22"/>
                <w:szCs w:val="22"/>
              </w:rPr>
              <w:t xml:space="preserve"> 4.28 (SAMM 2</w:t>
            </w:r>
            <w:r>
              <w:rPr>
                <w:rFonts w:cs="Calibri"/>
                <w:bCs/>
                <w:sz w:val="22"/>
                <w:szCs w:val="22"/>
              </w:rPr>
              <w:t>a</w:t>
            </w:r>
            <w:r w:rsidRPr="00F64E49">
              <w:rPr>
                <w:rFonts w:cs="Calibri"/>
                <w:bCs/>
                <w:sz w:val="22"/>
                <w:szCs w:val="22"/>
              </w:rPr>
              <w:t>), which was above the goal of three working days.</w:t>
            </w:r>
          </w:p>
          <w:p w14:paraId="2ACA8E3C" w14:textId="49F479E8" w:rsidR="009C18D3" w:rsidRPr="000D18C4" w:rsidRDefault="009C18D3" w:rsidP="00D25A22">
            <w:pPr>
              <w:rPr>
                <w:rFonts w:cs="Calibri"/>
                <w:iCs/>
                <w:color w:val="000000" w:themeColor="text1"/>
                <w:sz w:val="22"/>
                <w:szCs w:val="22"/>
              </w:rPr>
            </w:pPr>
          </w:p>
        </w:tc>
        <w:tc>
          <w:tcPr>
            <w:tcW w:w="2590" w:type="dxa"/>
          </w:tcPr>
          <w:p w14:paraId="76E97955" w14:textId="77777777" w:rsidR="00D25A22" w:rsidRPr="000D18C4" w:rsidRDefault="00D25A22" w:rsidP="00D25A22">
            <w:pPr>
              <w:widowControl/>
              <w:autoSpaceDE/>
              <w:autoSpaceDN/>
              <w:adjustRightInd/>
              <w:rPr>
                <w:rFonts w:cs="Calibri"/>
                <w:iCs/>
                <w:color w:val="000000" w:themeColor="text1"/>
                <w:sz w:val="22"/>
                <w:szCs w:val="22"/>
              </w:rPr>
            </w:pPr>
            <w:r w:rsidRPr="000D18C4">
              <w:rPr>
                <w:rFonts w:cs="Calibri"/>
                <w:iCs/>
                <w:color w:val="000000" w:themeColor="text1"/>
                <w:sz w:val="22"/>
                <w:szCs w:val="22"/>
              </w:rPr>
              <w:t>OSHA will monitor and discuss ADOSH’s progress to ensure complaints are processed timely during quarterly meetings.</w:t>
            </w:r>
          </w:p>
          <w:p w14:paraId="37BF5C7A" w14:textId="77777777" w:rsidR="00D25A22" w:rsidRPr="005C3115" w:rsidRDefault="00D25A22" w:rsidP="00D25A22">
            <w:pPr>
              <w:rPr>
                <w:rFonts w:cs="Calibri"/>
                <w:iCs/>
                <w:color w:val="000000" w:themeColor="text1"/>
                <w:sz w:val="22"/>
                <w:szCs w:val="22"/>
              </w:rPr>
            </w:pPr>
          </w:p>
        </w:tc>
        <w:tc>
          <w:tcPr>
            <w:tcW w:w="2590" w:type="dxa"/>
          </w:tcPr>
          <w:p w14:paraId="434B9581" w14:textId="75E0B693" w:rsidR="00D25A22" w:rsidRPr="000D18C4" w:rsidRDefault="00D25A22" w:rsidP="00D25A22">
            <w:pPr>
              <w:rPr>
                <w:rFonts w:cs="Calibri"/>
                <w:iCs/>
                <w:color w:val="000000" w:themeColor="text1"/>
                <w:sz w:val="22"/>
                <w:szCs w:val="22"/>
              </w:rPr>
            </w:pPr>
            <w:r w:rsidRPr="000D18C4">
              <w:rPr>
                <w:rFonts w:cs="Calibri"/>
                <w:iCs/>
                <w:color w:val="000000" w:themeColor="text1"/>
                <w:sz w:val="22"/>
                <w:szCs w:val="22"/>
              </w:rPr>
              <w:t>Continued</w:t>
            </w:r>
          </w:p>
        </w:tc>
      </w:tr>
      <w:tr w:rsidR="00D25A22" w14:paraId="631E9993" w14:textId="77777777" w:rsidTr="00FA5FB8">
        <w:trPr>
          <w:cantSplit/>
        </w:trPr>
        <w:tc>
          <w:tcPr>
            <w:tcW w:w="2155" w:type="dxa"/>
          </w:tcPr>
          <w:p w14:paraId="5CEFFF07" w14:textId="4809BA04" w:rsidR="00D25A22" w:rsidRPr="000D18C4" w:rsidRDefault="00D25A22" w:rsidP="00D25A22">
            <w:pPr>
              <w:widowControl/>
              <w:autoSpaceDE/>
              <w:autoSpaceDN/>
              <w:adjustRightInd/>
              <w:rPr>
                <w:rFonts w:cs="Calibri"/>
                <w:iCs/>
                <w:color w:val="000000" w:themeColor="text1"/>
                <w:sz w:val="22"/>
                <w:szCs w:val="22"/>
              </w:rPr>
            </w:pPr>
            <w:r w:rsidRPr="000D18C4">
              <w:rPr>
                <w:rFonts w:cs="Calibri"/>
                <w:iCs/>
                <w:color w:val="000000" w:themeColor="text1"/>
                <w:sz w:val="22"/>
                <w:szCs w:val="22"/>
              </w:rPr>
              <w:t>FY 2022-OB-04</w:t>
            </w:r>
          </w:p>
        </w:tc>
        <w:tc>
          <w:tcPr>
            <w:tcW w:w="3025" w:type="dxa"/>
          </w:tcPr>
          <w:p w14:paraId="7E1794C5" w14:textId="38320EE2" w:rsidR="00D25A22" w:rsidRPr="000D18C4" w:rsidRDefault="00D25A22" w:rsidP="00D25A22">
            <w:pPr>
              <w:widowControl/>
              <w:autoSpaceDE/>
              <w:autoSpaceDN/>
              <w:adjustRightInd/>
              <w:rPr>
                <w:rFonts w:cs="Calibri"/>
                <w:iCs/>
                <w:color w:val="000000" w:themeColor="text1"/>
                <w:sz w:val="22"/>
                <w:szCs w:val="22"/>
              </w:rPr>
            </w:pPr>
            <w:r w:rsidRPr="000D18C4">
              <w:rPr>
                <w:rFonts w:cs="Calibri"/>
                <w:iCs/>
                <w:color w:val="000000" w:themeColor="text1"/>
                <w:sz w:val="22"/>
                <w:szCs w:val="22"/>
              </w:rPr>
              <w:t>FY 2021-OB-04</w:t>
            </w:r>
          </w:p>
        </w:tc>
        <w:tc>
          <w:tcPr>
            <w:tcW w:w="2590" w:type="dxa"/>
          </w:tcPr>
          <w:p w14:paraId="7371CF5D" w14:textId="77777777" w:rsidR="00D25A22" w:rsidRPr="0077291F" w:rsidRDefault="00D25A22" w:rsidP="00D25A22">
            <w:pPr>
              <w:widowControl/>
              <w:autoSpaceDE/>
              <w:autoSpaceDN/>
              <w:adjustRightInd/>
              <w:rPr>
                <w:rFonts w:cs="Calibri"/>
                <w:bCs/>
                <w:sz w:val="22"/>
                <w:szCs w:val="22"/>
              </w:rPr>
            </w:pPr>
            <w:r w:rsidRPr="0077291F">
              <w:rPr>
                <w:rFonts w:cs="Calibri"/>
                <w:bCs/>
                <w:sz w:val="22"/>
                <w:szCs w:val="22"/>
              </w:rPr>
              <w:t>ADOSH other-than-serious violations per inspection</w:t>
            </w:r>
          </w:p>
          <w:p w14:paraId="79E9AE91" w14:textId="77777777" w:rsidR="00D25A22" w:rsidRDefault="00D25A22" w:rsidP="00D25A22">
            <w:pPr>
              <w:widowControl/>
              <w:autoSpaceDE/>
              <w:autoSpaceDN/>
              <w:adjustRightInd/>
              <w:rPr>
                <w:rFonts w:cs="Calibri"/>
                <w:bCs/>
                <w:sz w:val="22"/>
                <w:szCs w:val="22"/>
              </w:rPr>
            </w:pPr>
            <w:r w:rsidRPr="0077291F">
              <w:rPr>
                <w:rFonts w:cs="Calibri"/>
                <w:bCs/>
                <w:sz w:val="22"/>
                <w:szCs w:val="22"/>
              </w:rPr>
              <w:t>was 1.19 (SAMM 5</w:t>
            </w:r>
            <w:r>
              <w:rPr>
                <w:rFonts w:cs="Calibri"/>
                <w:bCs/>
                <w:sz w:val="22"/>
                <w:szCs w:val="22"/>
              </w:rPr>
              <w:t>b</w:t>
            </w:r>
            <w:r w:rsidRPr="0077291F">
              <w:rPr>
                <w:rFonts w:cs="Calibri"/>
                <w:bCs/>
                <w:sz w:val="22"/>
                <w:szCs w:val="22"/>
              </w:rPr>
              <w:t xml:space="preserve">) and </w:t>
            </w:r>
            <w:r w:rsidRPr="000D18C4">
              <w:rPr>
                <w:rFonts w:cs="Calibri"/>
                <w:bCs/>
                <w:sz w:val="22"/>
                <w:szCs w:val="22"/>
              </w:rPr>
              <w:t>above</w:t>
            </w:r>
            <w:r w:rsidRPr="0077291F">
              <w:rPr>
                <w:rFonts w:cs="Calibri"/>
                <w:bCs/>
                <w:sz w:val="22"/>
                <w:szCs w:val="22"/>
              </w:rPr>
              <w:t xml:space="preserve"> the FRL range of 0.73 to 1.09.</w:t>
            </w:r>
          </w:p>
          <w:p w14:paraId="69B3329D" w14:textId="618D0445" w:rsidR="009C18D3" w:rsidRPr="00F64E49" w:rsidRDefault="009C18D3" w:rsidP="00D25A22">
            <w:pPr>
              <w:widowControl/>
              <w:autoSpaceDE/>
              <w:autoSpaceDN/>
              <w:adjustRightInd/>
              <w:rPr>
                <w:rFonts w:cs="Calibri"/>
                <w:bCs/>
                <w:sz w:val="22"/>
                <w:szCs w:val="22"/>
              </w:rPr>
            </w:pPr>
          </w:p>
        </w:tc>
        <w:tc>
          <w:tcPr>
            <w:tcW w:w="2590" w:type="dxa"/>
          </w:tcPr>
          <w:p w14:paraId="1AA9A45A" w14:textId="0A430819" w:rsidR="00D25A22" w:rsidRPr="000D18C4" w:rsidRDefault="00D25A22" w:rsidP="00D25A22">
            <w:pPr>
              <w:widowControl/>
              <w:autoSpaceDE/>
              <w:autoSpaceDN/>
              <w:adjustRightInd/>
              <w:rPr>
                <w:rFonts w:cs="Calibri"/>
                <w:iCs/>
                <w:color w:val="000000" w:themeColor="text1"/>
                <w:sz w:val="22"/>
                <w:szCs w:val="22"/>
              </w:rPr>
            </w:pPr>
            <w:r w:rsidRPr="000D18C4">
              <w:rPr>
                <w:rFonts w:cs="Calibri"/>
                <w:iCs/>
                <w:color w:val="000000" w:themeColor="text1"/>
                <w:sz w:val="22"/>
                <w:szCs w:val="22"/>
              </w:rPr>
              <w:t>OSHA will monitor the other-than-serious violations per inspections to ensure they are within the FRL.</w:t>
            </w:r>
          </w:p>
        </w:tc>
        <w:tc>
          <w:tcPr>
            <w:tcW w:w="2590" w:type="dxa"/>
          </w:tcPr>
          <w:p w14:paraId="7912D913" w14:textId="489A5D1B" w:rsidR="00D25A22" w:rsidRPr="000D18C4" w:rsidRDefault="00D25A22" w:rsidP="00D25A22">
            <w:pPr>
              <w:rPr>
                <w:rFonts w:cs="Calibri"/>
                <w:iCs/>
                <w:color w:val="000000" w:themeColor="text1"/>
                <w:sz w:val="22"/>
                <w:szCs w:val="22"/>
              </w:rPr>
            </w:pPr>
            <w:r w:rsidRPr="000D18C4">
              <w:rPr>
                <w:rFonts w:cs="Calibri"/>
                <w:iCs/>
                <w:color w:val="000000" w:themeColor="text1"/>
                <w:sz w:val="22"/>
                <w:szCs w:val="22"/>
              </w:rPr>
              <w:t>Continued</w:t>
            </w:r>
          </w:p>
        </w:tc>
      </w:tr>
      <w:tr w:rsidR="00D25A22" w14:paraId="1E54F21D" w14:textId="77777777" w:rsidTr="00FA5FB8">
        <w:trPr>
          <w:cantSplit/>
        </w:trPr>
        <w:tc>
          <w:tcPr>
            <w:tcW w:w="2155" w:type="dxa"/>
          </w:tcPr>
          <w:p w14:paraId="4B7F9178" w14:textId="64F2AD39" w:rsidR="00D25A22" w:rsidRPr="000D18C4" w:rsidRDefault="00D25A22" w:rsidP="00D25A22">
            <w:pPr>
              <w:widowControl/>
              <w:autoSpaceDE/>
              <w:autoSpaceDN/>
              <w:adjustRightInd/>
              <w:rPr>
                <w:rFonts w:cs="Calibri"/>
                <w:iCs/>
                <w:color w:val="000000" w:themeColor="text1"/>
                <w:sz w:val="22"/>
                <w:szCs w:val="22"/>
              </w:rPr>
            </w:pPr>
            <w:r w:rsidRPr="000D18C4">
              <w:rPr>
                <w:rFonts w:cs="Calibri"/>
                <w:iCs/>
                <w:color w:val="000000" w:themeColor="text1"/>
                <w:sz w:val="22"/>
                <w:szCs w:val="22"/>
              </w:rPr>
              <w:t>FY 2022-OB-05</w:t>
            </w:r>
          </w:p>
        </w:tc>
        <w:tc>
          <w:tcPr>
            <w:tcW w:w="3025" w:type="dxa"/>
          </w:tcPr>
          <w:p w14:paraId="77FC75D7" w14:textId="4CEC4A6F" w:rsidR="00D25A22" w:rsidRPr="000D18C4" w:rsidRDefault="00D25A22" w:rsidP="00D25A22">
            <w:pPr>
              <w:widowControl/>
              <w:autoSpaceDE/>
              <w:autoSpaceDN/>
              <w:adjustRightInd/>
              <w:rPr>
                <w:rFonts w:cs="Calibri"/>
                <w:iCs/>
                <w:color w:val="000000" w:themeColor="text1"/>
                <w:sz w:val="22"/>
                <w:szCs w:val="22"/>
              </w:rPr>
            </w:pPr>
            <w:r w:rsidRPr="000D18C4">
              <w:rPr>
                <w:rFonts w:cs="Calibri"/>
                <w:iCs/>
                <w:color w:val="000000" w:themeColor="text1"/>
                <w:sz w:val="22"/>
                <w:szCs w:val="22"/>
              </w:rPr>
              <w:t>FY 2021-OB-05</w:t>
            </w:r>
          </w:p>
        </w:tc>
        <w:tc>
          <w:tcPr>
            <w:tcW w:w="2590" w:type="dxa"/>
          </w:tcPr>
          <w:p w14:paraId="2F99AB00" w14:textId="1B3CCB3F" w:rsidR="00D25A22" w:rsidRDefault="00D25A22" w:rsidP="00D25A22">
            <w:pPr>
              <w:widowControl/>
              <w:autoSpaceDE/>
              <w:autoSpaceDN/>
              <w:adjustRightInd/>
              <w:rPr>
                <w:rFonts w:cs="Calibri"/>
                <w:sz w:val="22"/>
                <w:szCs w:val="22"/>
              </w:rPr>
            </w:pPr>
            <w:r w:rsidRPr="0077291F">
              <w:rPr>
                <w:rFonts w:cs="Calibri"/>
                <w:sz w:val="22"/>
                <w:szCs w:val="22"/>
              </w:rPr>
              <w:t>The rate of violations</w:t>
            </w:r>
            <w:r w:rsidR="007D0578">
              <w:rPr>
                <w:rFonts w:cs="Calibri"/>
                <w:sz w:val="22"/>
                <w:szCs w:val="22"/>
              </w:rPr>
              <w:t xml:space="preserve"> </w:t>
            </w:r>
            <w:r w:rsidRPr="0077291F">
              <w:rPr>
                <w:rFonts w:cs="Calibri"/>
                <w:sz w:val="22"/>
                <w:szCs w:val="22"/>
              </w:rPr>
              <w:t>reclassified after contest was 25%</w:t>
            </w:r>
            <w:r w:rsidR="00147895">
              <w:rPr>
                <w:rFonts w:cs="Calibri"/>
                <w:sz w:val="22"/>
                <w:szCs w:val="22"/>
              </w:rPr>
              <w:t>,</w:t>
            </w:r>
            <w:r w:rsidRPr="0077291F">
              <w:rPr>
                <w:rFonts w:cs="Calibri"/>
                <w:sz w:val="22"/>
                <w:szCs w:val="22"/>
              </w:rPr>
              <w:t xml:space="preserve"> </w:t>
            </w:r>
            <w:r w:rsidR="007D0578">
              <w:rPr>
                <w:rFonts w:cs="Calibri"/>
                <w:sz w:val="22"/>
                <w:szCs w:val="22"/>
              </w:rPr>
              <w:t>which was</w:t>
            </w:r>
            <w:r w:rsidRPr="0077291F">
              <w:rPr>
                <w:rFonts w:cs="Calibri"/>
                <w:sz w:val="22"/>
                <w:szCs w:val="22"/>
              </w:rPr>
              <w:t xml:space="preserve"> higher than the national average of</w:t>
            </w:r>
            <w:r>
              <w:rPr>
                <w:rFonts w:cs="Calibri"/>
                <w:sz w:val="22"/>
                <w:szCs w:val="22"/>
              </w:rPr>
              <w:t xml:space="preserve"> </w:t>
            </w:r>
            <w:r w:rsidRPr="0077291F">
              <w:rPr>
                <w:rFonts w:cs="Calibri"/>
                <w:sz w:val="22"/>
                <w:szCs w:val="22"/>
              </w:rPr>
              <w:t>12.17%.</w:t>
            </w:r>
          </w:p>
          <w:p w14:paraId="436F5DF4" w14:textId="77777777" w:rsidR="009C18D3" w:rsidRDefault="009C18D3" w:rsidP="00D25A22">
            <w:pPr>
              <w:widowControl/>
              <w:autoSpaceDE/>
              <w:autoSpaceDN/>
              <w:adjustRightInd/>
              <w:rPr>
                <w:rFonts w:cs="Calibri"/>
                <w:bCs/>
                <w:sz w:val="22"/>
                <w:szCs w:val="22"/>
              </w:rPr>
            </w:pPr>
          </w:p>
          <w:p w14:paraId="6151CB8C" w14:textId="77777777" w:rsidR="009C18D3" w:rsidRDefault="009C18D3" w:rsidP="00D25A22">
            <w:pPr>
              <w:widowControl/>
              <w:autoSpaceDE/>
              <w:autoSpaceDN/>
              <w:adjustRightInd/>
              <w:rPr>
                <w:rFonts w:cs="Calibri"/>
                <w:bCs/>
                <w:sz w:val="22"/>
                <w:szCs w:val="22"/>
              </w:rPr>
            </w:pPr>
          </w:p>
          <w:p w14:paraId="4222B099" w14:textId="77777777" w:rsidR="009C18D3" w:rsidRDefault="009C18D3" w:rsidP="00D25A22">
            <w:pPr>
              <w:widowControl/>
              <w:autoSpaceDE/>
              <w:autoSpaceDN/>
              <w:adjustRightInd/>
              <w:rPr>
                <w:rFonts w:cs="Calibri"/>
                <w:bCs/>
                <w:sz w:val="22"/>
                <w:szCs w:val="22"/>
              </w:rPr>
            </w:pPr>
          </w:p>
          <w:p w14:paraId="1F3A22C3" w14:textId="77777777" w:rsidR="009C18D3" w:rsidRDefault="009C18D3" w:rsidP="00D25A22">
            <w:pPr>
              <w:widowControl/>
              <w:autoSpaceDE/>
              <w:autoSpaceDN/>
              <w:adjustRightInd/>
              <w:rPr>
                <w:rFonts w:cs="Calibri"/>
                <w:bCs/>
                <w:sz w:val="22"/>
                <w:szCs w:val="22"/>
              </w:rPr>
            </w:pPr>
          </w:p>
          <w:p w14:paraId="040595F8" w14:textId="77777777" w:rsidR="009C18D3" w:rsidRDefault="009C18D3" w:rsidP="00D25A22">
            <w:pPr>
              <w:widowControl/>
              <w:autoSpaceDE/>
              <w:autoSpaceDN/>
              <w:adjustRightInd/>
              <w:rPr>
                <w:rFonts w:cs="Calibri"/>
                <w:bCs/>
                <w:sz w:val="22"/>
                <w:szCs w:val="22"/>
              </w:rPr>
            </w:pPr>
          </w:p>
          <w:p w14:paraId="528E39F2" w14:textId="77777777" w:rsidR="009C18D3" w:rsidRDefault="009C18D3" w:rsidP="00D25A22">
            <w:pPr>
              <w:widowControl/>
              <w:autoSpaceDE/>
              <w:autoSpaceDN/>
              <w:adjustRightInd/>
              <w:rPr>
                <w:rFonts w:cs="Calibri"/>
                <w:bCs/>
                <w:sz w:val="22"/>
                <w:szCs w:val="22"/>
              </w:rPr>
            </w:pPr>
          </w:p>
          <w:p w14:paraId="227BC058" w14:textId="77777777" w:rsidR="009C18D3" w:rsidRDefault="009C18D3" w:rsidP="00D25A22">
            <w:pPr>
              <w:widowControl/>
              <w:autoSpaceDE/>
              <w:autoSpaceDN/>
              <w:adjustRightInd/>
              <w:rPr>
                <w:rFonts w:cs="Calibri"/>
                <w:bCs/>
                <w:sz w:val="22"/>
                <w:szCs w:val="22"/>
              </w:rPr>
            </w:pPr>
          </w:p>
          <w:p w14:paraId="7C6BAF36" w14:textId="77777777" w:rsidR="009C18D3" w:rsidRDefault="009C18D3" w:rsidP="00D25A22">
            <w:pPr>
              <w:widowControl/>
              <w:autoSpaceDE/>
              <w:autoSpaceDN/>
              <w:adjustRightInd/>
              <w:rPr>
                <w:rFonts w:cs="Calibri"/>
                <w:bCs/>
                <w:sz w:val="22"/>
                <w:szCs w:val="22"/>
              </w:rPr>
            </w:pPr>
          </w:p>
          <w:p w14:paraId="0738BEF3" w14:textId="41893976" w:rsidR="009C18D3" w:rsidRDefault="009C18D3" w:rsidP="00D25A22">
            <w:pPr>
              <w:widowControl/>
              <w:autoSpaceDE/>
              <w:autoSpaceDN/>
              <w:adjustRightInd/>
              <w:rPr>
                <w:rFonts w:cs="Calibri"/>
                <w:bCs/>
                <w:sz w:val="22"/>
                <w:szCs w:val="22"/>
              </w:rPr>
            </w:pPr>
          </w:p>
          <w:p w14:paraId="486E45CC" w14:textId="77777777" w:rsidR="009C18D3" w:rsidRDefault="009C18D3" w:rsidP="00D25A22">
            <w:pPr>
              <w:widowControl/>
              <w:autoSpaceDE/>
              <w:autoSpaceDN/>
              <w:adjustRightInd/>
              <w:rPr>
                <w:rFonts w:cs="Calibri"/>
                <w:bCs/>
                <w:sz w:val="22"/>
                <w:szCs w:val="22"/>
              </w:rPr>
            </w:pPr>
          </w:p>
          <w:p w14:paraId="2B41C3B9" w14:textId="27022F5E" w:rsidR="009C18D3" w:rsidRPr="00F64E49" w:rsidRDefault="009C18D3" w:rsidP="00D25A22">
            <w:pPr>
              <w:widowControl/>
              <w:autoSpaceDE/>
              <w:autoSpaceDN/>
              <w:adjustRightInd/>
              <w:rPr>
                <w:rFonts w:cs="Calibri"/>
                <w:bCs/>
                <w:sz w:val="22"/>
                <w:szCs w:val="22"/>
              </w:rPr>
            </w:pPr>
          </w:p>
        </w:tc>
        <w:tc>
          <w:tcPr>
            <w:tcW w:w="2590" w:type="dxa"/>
          </w:tcPr>
          <w:p w14:paraId="14FE6B8C" w14:textId="7828F526" w:rsidR="00D25A22" w:rsidRPr="000D18C4" w:rsidRDefault="00D25A22" w:rsidP="00D25A22">
            <w:pPr>
              <w:widowControl/>
              <w:autoSpaceDE/>
              <w:autoSpaceDN/>
              <w:adjustRightInd/>
              <w:rPr>
                <w:rFonts w:cs="Calibri"/>
                <w:iCs/>
                <w:color w:val="000000" w:themeColor="text1"/>
                <w:sz w:val="22"/>
                <w:szCs w:val="22"/>
              </w:rPr>
            </w:pPr>
            <w:r w:rsidRPr="000D18C4">
              <w:rPr>
                <w:rFonts w:cs="Calibri"/>
                <w:iCs/>
                <w:color w:val="000000" w:themeColor="text1"/>
                <w:sz w:val="22"/>
                <w:szCs w:val="22"/>
              </w:rPr>
              <w:t xml:space="preserve">OSHA will monitor the rate of violations reclassified after contest during the quarterly meetings. </w:t>
            </w:r>
          </w:p>
        </w:tc>
        <w:tc>
          <w:tcPr>
            <w:tcW w:w="2590" w:type="dxa"/>
          </w:tcPr>
          <w:p w14:paraId="7F709D71" w14:textId="6889B235" w:rsidR="00D25A22" w:rsidRPr="000D18C4" w:rsidRDefault="00D25A22" w:rsidP="00D25A22">
            <w:pPr>
              <w:rPr>
                <w:rFonts w:cs="Calibri"/>
                <w:iCs/>
                <w:color w:val="000000" w:themeColor="text1"/>
                <w:sz w:val="22"/>
                <w:szCs w:val="22"/>
              </w:rPr>
            </w:pPr>
            <w:r w:rsidRPr="000D18C4">
              <w:rPr>
                <w:rFonts w:cs="Calibri"/>
                <w:iCs/>
                <w:color w:val="000000" w:themeColor="text1"/>
                <w:sz w:val="22"/>
                <w:szCs w:val="22"/>
              </w:rPr>
              <w:t>Continued</w:t>
            </w:r>
          </w:p>
        </w:tc>
      </w:tr>
      <w:tr w:rsidR="00475436" w14:paraId="62254ADE" w14:textId="77777777" w:rsidTr="00FA5FB8">
        <w:trPr>
          <w:cantSplit/>
        </w:trPr>
        <w:tc>
          <w:tcPr>
            <w:tcW w:w="2155" w:type="dxa"/>
          </w:tcPr>
          <w:p w14:paraId="10ED305D" w14:textId="7F77ADF3" w:rsidR="00475436" w:rsidRPr="000D18C4" w:rsidRDefault="00475436" w:rsidP="00475436">
            <w:pPr>
              <w:widowControl/>
              <w:autoSpaceDE/>
              <w:autoSpaceDN/>
              <w:adjustRightInd/>
              <w:rPr>
                <w:rFonts w:cs="Calibri"/>
                <w:iCs/>
                <w:color w:val="000000" w:themeColor="text1"/>
                <w:sz w:val="22"/>
                <w:szCs w:val="22"/>
              </w:rPr>
            </w:pPr>
            <w:r w:rsidRPr="000D18C4">
              <w:rPr>
                <w:rFonts w:cs="Calibri"/>
                <w:iCs/>
                <w:color w:val="000000" w:themeColor="text1"/>
                <w:sz w:val="22"/>
                <w:szCs w:val="22"/>
              </w:rPr>
              <w:t>FY 2022-OB-06</w:t>
            </w:r>
          </w:p>
        </w:tc>
        <w:tc>
          <w:tcPr>
            <w:tcW w:w="3025" w:type="dxa"/>
          </w:tcPr>
          <w:p w14:paraId="766513C8" w14:textId="2D59322C" w:rsidR="00475436" w:rsidRPr="000D18C4" w:rsidRDefault="00475436" w:rsidP="00475436">
            <w:pPr>
              <w:widowControl/>
              <w:autoSpaceDE/>
              <w:autoSpaceDN/>
              <w:adjustRightInd/>
              <w:rPr>
                <w:rFonts w:cs="Calibri"/>
                <w:iCs/>
                <w:color w:val="000000" w:themeColor="text1"/>
                <w:sz w:val="22"/>
                <w:szCs w:val="22"/>
              </w:rPr>
            </w:pPr>
            <w:r w:rsidRPr="000D18C4">
              <w:rPr>
                <w:rFonts w:cs="Calibri"/>
                <w:iCs/>
                <w:color w:val="000000" w:themeColor="text1"/>
                <w:sz w:val="22"/>
                <w:szCs w:val="22"/>
              </w:rPr>
              <w:t>FY 2021-OB-06</w:t>
            </w:r>
          </w:p>
        </w:tc>
        <w:tc>
          <w:tcPr>
            <w:tcW w:w="2590" w:type="dxa"/>
          </w:tcPr>
          <w:p w14:paraId="72235E51" w14:textId="77777777" w:rsidR="00475436" w:rsidRDefault="00475436" w:rsidP="00475436">
            <w:pPr>
              <w:widowControl/>
              <w:autoSpaceDE/>
              <w:autoSpaceDN/>
              <w:adjustRightInd/>
              <w:rPr>
                <w:rFonts w:cs="Calibri"/>
                <w:sz w:val="22"/>
                <w:szCs w:val="22"/>
              </w:rPr>
            </w:pPr>
            <w:r w:rsidRPr="0077291F">
              <w:rPr>
                <w:rFonts w:cs="Calibri"/>
                <w:sz w:val="22"/>
                <w:szCs w:val="22"/>
              </w:rPr>
              <w:t xml:space="preserve">Retaliation case files lacked the required documentation such as </w:t>
            </w:r>
            <w:r w:rsidRPr="0077291F">
              <w:rPr>
                <w:rFonts w:cs="Calibri"/>
                <w:sz w:val="22"/>
                <w:szCs w:val="22"/>
              </w:rPr>
              <w:lastRenderedPageBreak/>
              <w:t>final signatures on settlement agreements, correspondence between ADOSH and the parties, evidence of review by a supervisor, letters of designation, complaint summaries, interview summaries, rebuttal interviews, or other documents required to be in the retaliation case file.  In addition, medical information was not protected.</w:t>
            </w:r>
          </w:p>
          <w:p w14:paraId="1EB4E21C" w14:textId="1CEAAE09" w:rsidR="009C18D3" w:rsidRPr="00F64E49" w:rsidRDefault="009C18D3" w:rsidP="00475436">
            <w:pPr>
              <w:widowControl/>
              <w:autoSpaceDE/>
              <w:autoSpaceDN/>
              <w:adjustRightInd/>
              <w:rPr>
                <w:rFonts w:cs="Calibri"/>
                <w:bCs/>
                <w:sz w:val="22"/>
                <w:szCs w:val="22"/>
              </w:rPr>
            </w:pPr>
          </w:p>
        </w:tc>
        <w:tc>
          <w:tcPr>
            <w:tcW w:w="2590" w:type="dxa"/>
          </w:tcPr>
          <w:p w14:paraId="1C5308CB" w14:textId="15F7CAB5" w:rsidR="00475436" w:rsidRPr="000D18C4" w:rsidRDefault="00475436" w:rsidP="00475436">
            <w:pPr>
              <w:widowControl/>
              <w:autoSpaceDE/>
              <w:autoSpaceDN/>
              <w:adjustRightInd/>
              <w:rPr>
                <w:rFonts w:cs="Calibri"/>
                <w:iCs/>
                <w:color w:val="000000" w:themeColor="text1"/>
                <w:sz w:val="22"/>
                <w:szCs w:val="22"/>
              </w:rPr>
            </w:pPr>
            <w:r w:rsidRPr="000D18C4">
              <w:rPr>
                <w:rFonts w:cs="Calibri"/>
                <w:iCs/>
                <w:color w:val="000000" w:themeColor="text1"/>
                <w:sz w:val="22"/>
                <w:szCs w:val="22"/>
              </w:rPr>
              <w:lastRenderedPageBreak/>
              <w:t xml:space="preserve">OSHA will monitor the lack of required </w:t>
            </w:r>
            <w:r w:rsidRPr="000D18C4">
              <w:rPr>
                <w:rFonts w:cs="Calibri"/>
                <w:iCs/>
                <w:color w:val="000000" w:themeColor="text1"/>
                <w:sz w:val="22"/>
                <w:szCs w:val="22"/>
              </w:rPr>
              <w:lastRenderedPageBreak/>
              <w:t>documentation during quarterly meetings.</w:t>
            </w:r>
          </w:p>
        </w:tc>
        <w:tc>
          <w:tcPr>
            <w:tcW w:w="2590" w:type="dxa"/>
          </w:tcPr>
          <w:p w14:paraId="38850533" w14:textId="5E284629" w:rsidR="00475436" w:rsidRPr="000D18C4" w:rsidRDefault="00475436" w:rsidP="00475436">
            <w:pPr>
              <w:rPr>
                <w:rFonts w:cs="Calibri"/>
                <w:iCs/>
                <w:color w:val="000000" w:themeColor="text1"/>
                <w:sz w:val="22"/>
                <w:szCs w:val="22"/>
              </w:rPr>
            </w:pPr>
            <w:r w:rsidRPr="000D18C4">
              <w:rPr>
                <w:rFonts w:cs="Calibri"/>
                <w:iCs/>
                <w:color w:val="000000" w:themeColor="text1"/>
                <w:sz w:val="22"/>
                <w:szCs w:val="22"/>
              </w:rPr>
              <w:lastRenderedPageBreak/>
              <w:t>Continued</w:t>
            </w:r>
          </w:p>
        </w:tc>
      </w:tr>
      <w:tr w:rsidR="00475436" w14:paraId="2E91906C" w14:textId="77777777" w:rsidTr="00FA5FB8">
        <w:trPr>
          <w:cantSplit/>
        </w:trPr>
        <w:tc>
          <w:tcPr>
            <w:tcW w:w="2155" w:type="dxa"/>
          </w:tcPr>
          <w:p w14:paraId="53D4362A" w14:textId="066A42B3" w:rsidR="00475436" w:rsidRPr="000D18C4" w:rsidRDefault="00475436" w:rsidP="00475436">
            <w:pPr>
              <w:widowControl/>
              <w:autoSpaceDE/>
              <w:autoSpaceDN/>
              <w:adjustRightInd/>
              <w:rPr>
                <w:rFonts w:cs="Calibri"/>
                <w:iCs/>
                <w:color w:val="000000" w:themeColor="text1"/>
                <w:sz w:val="22"/>
                <w:szCs w:val="22"/>
              </w:rPr>
            </w:pPr>
            <w:r w:rsidRPr="000D18C4">
              <w:rPr>
                <w:rFonts w:cs="Calibri"/>
                <w:iCs/>
                <w:color w:val="000000" w:themeColor="text1"/>
                <w:sz w:val="22"/>
                <w:szCs w:val="22"/>
              </w:rPr>
              <w:t>FY 2022-OB-07</w:t>
            </w:r>
          </w:p>
        </w:tc>
        <w:tc>
          <w:tcPr>
            <w:tcW w:w="3025" w:type="dxa"/>
          </w:tcPr>
          <w:p w14:paraId="0F2EBC0F" w14:textId="358D830D" w:rsidR="00475436" w:rsidRPr="000D18C4" w:rsidRDefault="00475436" w:rsidP="00475436">
            <w:pPr>
              <w:widowControl/>
              <w:autoSpaceDE/>
              <w:autoSpaceDN/>
              <w:adjustRightInd/>
              <w:rPr>
                <w:rFonts w:cs="Calibri"/>
                <w:iCs/>
                <w:color w:val="000000" w:themeColor="text1"/>
                <w:sz w:val="22"/>
                <w:szCs w:val="22"/>
              </w:rPr>
            </w:pPr>
            <w:r w:rsidRPr="000D18C4">
              <w:rPr>
                <w:rFonts w:cs="Calibri"/>
                <w:iCs/>
                <w:color w:val="000000" w:themeColor="text1"/>
                <w:sz w:val="22"/>
                <w:szCs w:val="22"/>
              </w:rPr>
              <w:t>FY 2021-OB-07</w:t>
            </w:r>
          </w:p>
        </w:tc>
        <w:tc>
          <w:tcPr>
            <w:tcW w:w="2590" w:type="dxa"/>
          </w:tcPr>
          <w:p w14:paraId="08842FC2" w14:textId="77777777" w:rsidR="00475436" w:rsidRDefault="00475436" w:rsidP="00475436">
            <w:pPr>
              <w:widowControl/>
              <w:autoSpaceDE/>
              <w:autoSpaceDN/>
              <w:adjustRightInd/>
              <w:rPr>
                <w:rFonts w:cs="Calibri"/>
                <w:sz w:val="22"/>
                <w:szCs w:val="22"/>
              </w:rPr>
            </w:pPr>
            <w:r w:rsidRPr="00A51320">
              <w:rPr>
                <w:rFonts w:cs="Calibri"/>
                <w:sz w:val="22"/>
                <w:szCs w:val="22"/>
              </w:rPr>
              <w:t>In two of 16 (13%) state and local government agency case files, there was no documentation of the List of Hazards being sent to the union representatives.</w:t>
            </w:r>
          </w:p>
          <w:p w14:paraId="0EF133EA" w14:textId="51E63B77" w:rsidR="009C18D3" w:rsidRPr="0077291F" w:rsidRDefault="009C18D3" w:rsidP="00475436">
            <w:pPr>
              <w:widowControl/>
              <w:autoSpaceDE/>
              <w:autoSpaceDN/>
              <w:adjustRightInd/>
              <w:rPr>
                <w:rFonts w:cs="Calibri"/>
                <w:sz w:val="22"/>
                <w:szCs w:val="22"/>
              </w:rPr>
            </w:pPr>
          </w:p>
        </w:tc>
        <w:tc>
          <w:tcPr>
            <w:tcW w:w="2590" w:type="dxa"/>
          </w:tcPr>
          <w:p w14:paraId="56614EC8" w14:textId="6466BF71" w:rsidR="00475436" w:rsidRPr="000D18C4" w:rsidRDefault="00475436" w:rsidP="00475436">
            <w:pPr>
              <w:widowControl/>
              <w:autoSpaceDE/>
              <w:autoSpaceDN/>
              <w:adjustRightInd/>
              <w:rPr>
                <w:rFonts w:cs="Calibri"/>
                <w:iCs/>
                <w:color w:val="000000" w:themeColor="text1"/>
                <w:sz w:val="22"/>
                <w:szCs w:val="22"/>
              </w:rPr>
            </w:pPr>
            <w:r w:rsidRPr="00A51320">
              <w:rPr>
                <w:color w:val="000000" w:themeColor="text1"/>
                <w:sz w:val="22"/>
                <w:szCs w:val="22"/>
              </w:rPr>
              <w:t>OSHA will monitor and discuss ADOSH’s progress to ensure the list of hazards is transmitted to union representatives and documented in the case file.</w:t>
            </w:r>
          </w:p>
        </w:tc>
        <w:tc>
          <w:tcPr>
            <w:tcW w:w="2590" w:type="dxa"/>
          </w:tcPr>
          <w:p w14:paraId="6E182007" w14:textId="54CB2D03" w:rsidR="00475436" w:rsidRPr="000D18C4" w:rsidRDefault="00475436" w:rsidP="00475436">
            <w:pPr>
              <w:rPr>
                <w:rFonts w:cs="Calibri"/>
                <w:iCs/>
                <w:color w:val="000000" w:themeColor="text1"/>
                <w:sz w:val="22"/>
                <w:szCs w:val="22"/>
              </w:rPr>
            </w:pPr>
            <w:r w:rsidRPr="000D18C4">
              <w:rPr>
                <w:rFonts w:cs="Calibri"/>
                <w:iCs/>
                <w:color w:val="000000" w:themeColor="text1"/>
                <w:sz w:val="22"/>
                <w:szCs w:val="22"/>
              </w:rPr>
              <w:t>Continued</w:t>
            </w:r>
          </w:p>
        </w:tc>
      </w:tr>
    </w:tbl>
    <w:p w14:paraId="37A1EB9E" w14:textId="77777777" w:rsidR="00E35D43" w:rsidRDefault="00E35D43"/>
    <w:p w14:paraId="01CCC673" w14:textId="62A235F8" w:rsidR="00E35D43" w:rsidRDefault="00E35D43"/>
    <w:p w14:paraId="196149DB" w14:textId="451481D2" w:rsidR="001742A8" w:rsidRPr="001742A8" w:rsidRDefault="001742A8" w:rsidP="001742A8"/>
    <w:p w14:paraId="5966FA9F" w14:textId="77777777" w:rsidR="000A134A" w:rsidRPr="001C1E47" w:rsidRDefault="000A134A" w:rsidP="007A71AC">
      <w:pPr>
        <w:widowControl/>
        <w:autoSpaceDE/>
        <w:autoSpaceDN/>
        <w:adjustRightInd/>
        <w:rPr>
          <w:rFonts w:cs="Calibri"/>
          <w:i/>
          <w:sz w:val="22"/>
          <w:szCs w:val="22"/>
        </w:rPr>
        <w:sectPr w:rsidR="000A134A" w:rsidRPr="001C1E47" w:rsidSect="00476C08">
          <w:headerReference w:type="even" r:id="rId16"/>
          <w:headerReference w:type="default" r:id="rId17"/>
          <w:headerReference w:type="first" r:id="rId18"/>
          <w:footerReference w:type="first" r:id="rId19"/>
          <w:type w:val="continuous"/>
          <w:pgSz w:w="15840" w:h="12240" w:orient="landscape"/>
          <w:pgMar w:top="1440" w:right="1440" w:bottom="1440" w:left="1440" w:header="720" w:footer="720" w:gutter="0"/>
          <w:cols w:space="720"/>
          <w:titlePg/>
          <w:docGrid w:linePitch="360"/>
        </w:sectPr>
      </w:pPr>
    </w:p>
    <w:p w14:paraId="01176981" w14:textId="23988031" w:rsidR="00747710" w:rsidRDefault="00747710" w:rsidP="00685C25">
      <w:pPr>
        <w:pStyle w:val="Heading3"/>
      </w:pPr>
      <w:bookmarkStart w:id="30" w:name="_Toc118905019"/>
      <w:bookmarkStart w:id="31" w:name="_Toc128388239"/>
      <w:r w:rsidRPr="00747710">
        <w:lastRenderedPageBreak/>
        <w:t>Appendix C - Status of FY 20</w:t>
      </w:r>
      <w:r w:rsidR="00F773B4">
        <w:t>21</w:t>
      </w:r>
      <w:r w:rsidRPr="00747710">
        <w:t xml:space="preserve"> Findings and Recommendations</w:t>
      </w:r>
      <w:bookmarkEnd w:id="30"/>
      <w:bookmarkEnd w:id="31"/>
    </w:p>
    <w:p w14:paraId="45E6B5CB" w14:textId="4670466A" w:rsidR="005367D5" w:rsidRPr="005960B2" w:rsidRDefault="00747710" w:rsidP="005960B2">
      <w:r w:rsidRPr="00747710">
        <w:t xml:space="preserve">FY 2022 </w:t>
      </w:r>
      <w:r w:rsidR="00F773B4" w:rsidRPr="00F773B4">
        <w:rPr>
          <w:color w:val="000000" w:themeColor="text1"/>
        </w:rPr>
        <w:t>A</w:t>
      </w:r>
      <w:r w:rsidR="006D2E91">
        <w:rPr>
          <w:color w:val="000000" w:themeColor="text1"/>
        </w:rPr>
        <w:t xml:space="preserve">rizona Division of Occupational Safety and Health </w:t>
      </w:r>
      <w:r w:rsidRPr="00747710">
        <w:t>Follow-up FAME Report</w:t>
      </w:r>
    </w:p>
    <w:tbl>
      <w:tblPr>
        <w:tblStyle w:val="TableGridLight"/>
        <w:tblpPr w:leftFromText="180" w:rightFromText="180" w:vertAnchor="page" w:horzAnchor="page" w:tblpX="1202" w:tblpY="2409"/>
        <w:tblW w:w="13821" w:type="dxa"/>
        <w:tblLayout w:type="fixed"/>
        <w:tblLook w:val="00A0" w:firstRow="1" w:lastRow="0" w:firstColumn="1" w:lastColumn="0" w:noHBand="0" w:noVBand="0"/>
      </w:tblPr>
      <w:tblGrid>
        <w:gridCol w:w="1435"/>
        <w:gridCol w:w="2098"/>
        <w:gridCol w:w="2250"/>
        <w:gridCol w:w="4196"/>
        <w:gridCol w:w="1592"/>
        <w:gridCol w:w="2250"/>
      </w:tblGrid>
      <w:tr w:rsidR="005367D5" w:rsidRPr="001C1E47" w14:paraId="04152CB8" w14:textId="77777777" w:rsidTr="009C18D3">
        <w:trPr>
          <w:cantSplit/>
          <w:trHeight w:val="412"/>
          <w:tblHeader/>
        </w:trPr>
        <w:tc>
          <w:tcPr>
            <w:tcW w:w="1435" w:type="dxa"/>
          </w:tcPr>
          <w:p w14:paraId="0FAB4AA2" w14:textId="4B1C104B" w:rsidR="005367D5" w:rsidRPr="00701C1A" w:rsidRDefault="005367D5" w:rsidP="00D93CB3">
            <w:pPr>
              <w:rPr>
                <w:rFonts w:cs="Calibri"/>
                <w:b/>
              </w:rPr>
            </w:pPr>
            <w:r w:rsidRPr="00701C1A">
              <w:rPr>
                <w:rFonts w:cs="Calibri"/>
                <w:b/>
              </w:rPr>
              <w:t xml:space="preserve">FY </w:t>
            </w:r>
            <w:r w:rsidR="42F6A8EA" w:rsidRPr="00701C1A">
              <w:rPr>
                <w:rFonts w:cs="Calibri"/>
                <w:b/>
                <w:bCs/>
              </w:rPr>
              <w:t>20</w:t>
            </w:r>
            <w:r w:rsidR="535A3244" w:rsidRPr="00701C1A">
              <w:rPr>
                <w:rFonts w:cs="Calibri"/>
                <w:b/>
                <w:bCs/>
              </w:rPr>
              <w:t>21</w:t>
            </w:r>
            <w:r w:rsidRPr="00701C1A">
              <w:rPr>
                <w:rFonts w:cs="Calibri"/>
                <w:b/>
              </w:rPr>
              <w:t>-#</w:t>
            </w:r>
          </w:p>
        </w:tc>
        <w:tc>
          <w:tcPr>
            <w:tcW w:w="2098" w:type="dxa"/>
          </w:tcPr>
          <w:p w14:paraId="395AE41F" w14:textId="77777777" w:rsidR="005367D5" w:rsidRPr="00701C1A" w:rsidRDefault="005367D5" w:rsidP="00D93CB3">
            <w:pPr>
              <w:rPr>
                <w:rFonts w:cs="Calibri"/>
                <w:b/>
              </w:rPr>
            </w:pPr>
            <w:r w:rsidRPr="00701C1A">
              <w:rPr>
                <w:rFonts w:cs="Calibri"/>
                <w:b/>
              </w:rPr>
              <w:t>Finding</w:t>
            </w:r>
          </w:p>
        </w:tc>
        <w:tc>
          <w:tcPr>
            <w:tcW w:w="2250" w:type="dxa"/>
          </w:tcPr>
          <w:p w14:paraId="6EEE46BC" w14:textId="77777777" w:rsidR="005367D5" w:rsidRPr="00701C1A" w:rsidRDefault="005367D5" w:rsidP="00D93CB3">
            <w:pPr>
              <w:rPr>
                <w:rFonts w:cs="Calibri"/>
                <w:b/>
              </w:rPr>
            </w:pPr>
            <w:r w:rsidRPr="00701C1A">
              <w:rPr>
                <w:rFonts w:cs="Calibri"/>
                <w:b/>
              </w:rPr>
              <w:t>Recommendation</w:t>
            </w:r>
          </w:p>
        </w:tc>
        <w:tc>
          <w:tcPr>
            <w:tcW w:w="4196" w:type="dxa"/>
          </w:tcPr>
          <w:p w14:paraId="461C9375" w14:textId="77777777" w:rsidR="005367D5" w:rsidRPr="00701C1A" w:rsidRDefault="005367D5" w:rsidP="00D93CB3">
            <w:pPr>
              <w:rPr>
                <w:rFonts w:cs="Calibri"/>
                <w:b/>
              </w:rPr>
            </w:pPr>
            <w:r w:rsidRPr="00701C1A">
              <w:rPr>
                <w:rFonts w:cs="Calibri"/>
                <w:b/>
              </w:rPr>
              <w:t>State Plan Corrective Action</w:t>
            </w:r>
          </w:p>
        </w:tc>
        <w:tc>
          <w:tcPr>
            <w:tcW w:w="1592" w:type="dxa"/>
          </w:tcPr>
          <w:p w14:paraId="5151BE67" w14:textId="77777777" w:rsidR="005367D5" w:rsidRPr="00701C1A" w:rsidRDefault="005367D5" w:rsidP="00D93CB3">
            <w:pPr>
              <w:rPr>
                <w:rFonts w:cs="Calibri"/>
                <w:b/>
              </w:rPr>
            </w:pPr>
            <w:r w:rsidRPr="00701C1A">
              <w:rPr>
                <w:rFonts w:cs="Calibri"/>
                <w:b/>
              </w:rPr>
              <w:t>Completion Date</w:t>
            </w:r>
          </w:p>
        </w:tc>
        <w:tc>
          <w:tcPr>
            <w:tcW w:w="2250" w:type="dxa"/>
          </w:tcPr>
          <w:p w14:paraId="48025986" w14:textId="77777777" w:rsidR="005367D5" w:rsidRPr="00701C1A" w:rsidRDefault="005367D5" w:rsidP="00D93CB3">
            <w:pPr>
              <w:rPr>
                <w:rFonts w:cs="Calibri"/>
                <w:b/>
              </w:rPr>
            </w:pPr>
            <w:r w:rsidRPr="00701C1A">
              <w:rPr>
                <w:rFonts w:cs="Calibri"/>
                <w:b/>
              </w:rPr>
              <w:t xml:space="preserve">Current Status </w:t>
            </w:r>
          </w:p>
          <w:p w14:paraId="1D3136EF" w14:textId="77777777" w:rsidR="005367D5" w:rsidRPr="00701C1A" w:rsidRDefault="005367D5" w:rsidP="00D93CB3">
            <w:pPr>
              <w:rPr>
                <w:rFonts w:cs="Calibri"/>
                <w:b/>
              </w:rPr>
            </w:pPr>
            <w:r w:rsidRPr="00701C1A">
              <w:rPr>
                <w:rFonts w:cs="Calibri"/>
                <w:b/>
              </w:rPr>
              <w:t>and Date</w:t>
            </w:r>
          </w:p>
        </w:tc>
      </w:tr>
      <w:tr w:rsidR="005367D5" w:rsidRPr="001C1E47" w14:paraId="7244A508" w14:textId="77777777" w:rsidTr="009C18D3">
        <w:trPr>
          <w:cantSplit/>
          <w:trHeight w:val="412"/>
        </w:trPr>
        <w:tc>
          <w:tcPr>
            <w:tcW w:w="1435" w:type="dxa"/>
          </w:tcPr>
          <w:p w14:paraId="3B6143AB" w14:textId="6EB46EC5" w:rsidR="005367D5" w:rsidRPr="001504C2" w:rsidRDefault="009553B7"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FY 2021-01</w:t>
            </w:r>
            <w:r w:rsidR="005367D5" w:rsidRPr="001504C2">
              <w:rPr>
                <w:rFonts w:eastAsia="PMingLiU" w:cs="Calibri"/>
                <w:sz w:val="22"/>
                <w:szCs w:val="22"/>
              </w:rPr>
              <w:t> </w:t>
            </w:r>
          </w:p>
        </w:tc>
        <w:tc>
          <w:tcPr>
            <w:tcW w:w="2098" w:type="dxa"/>
          </w:tcPr>
          <w:p w14:paraId="1D6DD323" w14:textId="7095E2D6" w:rsidR="005367D5" w:rsidRPr="001504C2" w:rsidRDefault="009553B7"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Citations proposed in two fatality cases were legally unenforceable because they were not issued within the six-month statute of limitation.</w:t>
            </w:r>
          </w:p>
        </w:tc>
        <w:tc>
          <w:tcPr>
            <w:tcW w:w="2250" w:type="dxa"/>
          </w:tcPr>
          <w:p w14:paraId="19499B4B" w14:textId="37143F7F" w:rsidR="005367D5" w:rsidRPr="001504C2" w:rsidRDefault="005948C1"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 xml:space="preserve">ADOSH should track all fatality cases to ensure proposed citations are issued within the time limits required by A.R.S. </w:t>
            </w:r>
            <w:r w:rsidR="00E07656" w:rsidRPr="001504C2">
              <w:rPr>
                <w:rFonts w:eastAsia="PMingLiU" w:cs="Calibri"/>
                <w:sz w:val="22"/>
                <w:szCs w:val="22"/>
              </w:rPr>
              <w:t>§</w:t>
            </w:r>
            <w:r w:rsidR="00882FC7" w:rsidRPr="001504C2">
              <w:rPr>
                <w:rFonts w:eastAsia="PMingLiU" w:cs="Calibri"/>
                <w:sz w:val="22"/>
                <w:szCs w:val="22"/>
              </w:rPr>
              <w:t>23-415.</w:t>
            </w:r>
          </w:p>
        </w:tc>
        <w:tc>
          <w:tcPr>
            <w:tcW w:w="4196" w:type="dxa"/>
          </w:tcPr>
          <w:p w14:paraId="021B1135" w14:textId="77777777" w:rsidR="005367D5" w:rsidRDefault="001A3E40"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 xml:space="preserve">The Assistant Directors for </w:t>
            </w:r>
            <w:r w:rsidR="00186E9E" w:rsidRPr="001504C2">
              <w:rPr>
                <w:rFonts w:eastAsia="PMingLiU" w:cs="Calibri"/>
                <w:sz w:val="22"/>
                <w:szCs w:val="22"/>
              </w:rPr>
              <w:t>Compliance will work with Supervisors to review Salesforce Reports for all inspections, with</w:t>
            </w:r>
            <w:r w:rsidR="00CB178A" w:rsidRPr="001504C2">
              <w:rPr>
                <w:rFonts w:eastAsia="PMingLiU" w:cs="Calibri"/>
                <w:sz w:val="22"/>
                <w:szCs w:val="22"/>
              </w:rPr>
              <w:t xml:space="preserve"> citations, are issued within the time limits required by A.R.S. §23-415.  This will be communicated during huddle meetings, supervisor meetings, and all-hands meetings quarterly.  Multiple supervisor meetings were held to highlight the specific cases found by OSHA.</w:t>
            </w:r>
          </w:p>
          <w:p w14:paraId="37D73ADA" w14:textId="5228CBB0" w:rsidR="009C18D3" w:rsidRPr="001504C2"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1592" w:type="dxa"/>
          </w:tcPr>
          <w:p w14:paraId="56F99649" w14:textId="0AA130B3" w:rsidR="005367D5" w:rsidRPr="001504C2" w:rsidRDefault="00AE2D8C"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11/15/2022</w:t>
            </w:r>
          </w:p>
        </w:tc>
        <w:tc>
          <w:tcPr>
            <w:tcW w:w="2250" w:type="dxa"/>
          </w:tcPr>
          <w:p w14:paraId="3B33BE68" w14:textId="56CF7052" w:rsidR="005367D5" w:rsidRDefault="00030024"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Completed</w:t>
            </w:r>
          </w:p>
          <w:p w14:paraId="6F14D20D" w14:textId="362C6955" w:rsidR="00646251" w:rsidRDefault="00646251"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11/15/2022</w:t>
            </w:r>
          </w:p>
          <w:p w14:paraId="4007473C" w14:textId="0E849F99" w:rsidR="00957359" w:rsidRPr="009553B7" w:rsidRDefault="00957359" w:rsidP="3E48814D">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r>
      <w:tr w:rsidR="005367D5" w:rsidRPr="001C1E47" w14:paraId="4703F521" w14:textId="77777777" w:rsidTr="009C18D3">
        <w:trPr>
          <w:cantSplit/>
          <w:trHeight w:val="385"/>
        </w:trPr>
        <w:tc>
          <w:tcPr>
            <w:tcW w:w="1435" w:type="dxa"/>
          </w:tcPr>
          <w:p w14:paraId="4E7C14BF" w14:textId="571EF350" w:rsidR="005367D5" w:rsidRPr="001504C2" w:rsidRDefault="005367D5"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 </w:t>
            </w:r>
            <w:r w:rsidR="00834B87" w:rsidRPr="001504C2">
              <w:rPr>
                <w:rFonts w:eastAsia="PMingLiU" w:cs="Calibri"/>
                <w:sz w:val="22"/>
                <w:szCs w:val="22"/>
              </w:rPr>
              <w:t>FY 2021-02</w:t>
            </w:r>
          </w:p>
        </w:tc>
        <w:tc>
          <w:tcPr>
            <w:tcW w:w="2098" w:type="dxa"/>
          </w:tcPr>
          <w:p w14:paraId="0934D282" w14:textId="2D5965E9" w:rsidR="005367D5" w:rsidRPr="001504C2" w:rsidRDefault="00834B87"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A total of 486 (44%) inspections were conducted and this was below the goal of 1,100 inspections (SAMM 7).</w:t>
            </w:r>
          </w:p>
        </w:tc>
        <w:tc>
          <w:tcPr>
            <w:tcW w:w="2250" w:type="dxa"/>
          </w:tcPr>
          <w:p w14:paraId="53D0A47A" w14:textId="77777777" w:rsidR="005367D5" w:rsidRDefault="00834B87"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ADOSH should determine the cause and implement corrective action to meet inspection goals and provide a stronger enforcement presence to ensure worker safety.</w:t>
            </w:r>
          </w:p>
          <w:p w14:paraId="4EEAE448" w14:textId="77777777" w:rsidR="009C18D3"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7206FFF1" w14:textId="77777777" w:rsidR="009C18D3"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3A2FF0EE" w14:textId="77777777" w:rsidR="009C18D3"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4FD98589" w14:textId="3E1F3772" w:rsidR="009C18D3"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4E9EEEAC" w14:textId="423729A8" w:rsidR="009C18D3"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5945DE75" w14:textId="77777777" w:rsidR="009C18D3"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714E1DB1" w14:textId="77777777" w:rsidR="009C18D3"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1868D8DB" w14:textId="77777777" w:rsidR="009C18D3"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4A7C8703" w14:textId="5CD5FD72" w:rsidR="009C18D3" w:rsidRPr="001504C2"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4196" w:type="dxa"/>
          </w:tcPr>
          <w:p w14:paraId="26546A5D" w14:textId="5BF7734F" w:rsidR="005367D5" w:rsidRPr="001504C2" w:rsidRDefault="005367D5"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 </w:t>
            </w:r>
            <w:r w:rsidR="00330239" w:rsidRPr="001504C2">
              <w:rPr>
                <w:rFonts w:eastAsia="PMingLiU" w:cs="Calibri"/>
                <w:sz w:val="22"/>
                <w:szCs w:val="22"/>
              </w:rPr>
              <w:t xml:space="preserve">ADOSH will continue to recruit and hire qualified </w:t>
            </w:r>
            <w:r w:rsidR="00790070" w:rsidRPr="001504C2">
              <w:rPr>
                <w:rFonts w:eastAsia="PMingLiU" w:cs="Calibri"/>
                <w:sz w:val="22"/>
                <w:szCs w:val="22"/>
              </w:rPr>
              <w:t>safety and health professionals and those with the knowledge, skills, and abilities related to safety and health.  By December 31, 2022, ADOSH will have all positions filled.</w:t>
            </w:r>
          </w:p>
        </w:tc>
        <w:tc>
          <w:tcPr>
            <w:tcW w:w="1592" w:type="dxa"/>
          </w:tcPr>
          <w:p w14:paraId="0F813752" w14:textId="57686FBB" w:rsidR="005367D5" w:rsidRPr="001504C2" w:rsidRDefault="00957359"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Not Applicable</w:t>
            </w:r>
          </w:p>
        </w:tc>
        <w:tc>
          <w:tcPr>
            <w:tcW w:w="2250" w:type="dxa"/>
          </w:tcPr>
          <w:p w14:paraId="6C365485" w14:textId="3455826D" w:rsidR="001D00E5" w:rsidRDefault="00030024"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Open</w:t>
            </w:r>
          </w:p>
          <w:p w14:paraId="6B340DD8" w14:textId="3CB34EA3" w:rsidR="00B9386C" w:rsidRPr="009553B7" w:rsidRDefault="00646251" w:rsidP="3E48814D">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02/24/2023</w:t>
            </w:r>
          </w:p>
        </w:tc>
      </w:tr>
      <w:tr w:rsidR="00D93CB3" w:rsidRPr="001C1E47" w14:paraId="3FC304A6" w14:textId="77777777" w:rsidTr="009C18D3">
        <w:trPr>
          <w:cantSplit/>
          <w:trHeight w:val="385"/>
        </w:trPr>
        <w:tc>
          <w:tcPr>
            <w:tcW w:w="1435" w:type="dxa"/>
          </w:tcPr>
          <w:p w14:paraId="2D7BC92D" w14:textId="0C715AAC" w:rsidR="00D93CB3" w:rsidRPr="001504C2" w:rsidRDefault="0006683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lastRenderedPageBreak/>
              <w:t>FY 2021-03</w:t>
            </w:r>
          </w:p>
        </w:tc>
        <w:tc>
          <w:tcPr>
            <w:tcW w:w="2098" w:type="dxa"/>
          </w:tcPr>
          <w:p w14:paraId="62A574F8" w14:textId="518C9AA5" w:rsidR="001D00E5" w:rsidRDefault="0006683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A total of 276 of 525 projected construction inspections (53%) were conducted.  A total of 185</w:t>
            </w:r>
            <w:r w:rsidR="0029507C">
              <w:rPr>
                <w:rFonts w:eastAsia="PMingLiU" w:cs="Calibri"/>
                <w:sz w:val="22"/>
                <w:szCs w:val="22"/>
              </w:rPr>
              <w:t xml:space="preserve"> </w:t>
            </w:r>
            <w:r w:rsidR="00A2087F">
              <w:rPr>
                <w:rFonts w:eastAsia="PMingLiU" w:cs="Calibri"/>
                <w:sz w:val="22"/>
                <w:szCs w:val="22"/>
              </w:rPr>
              <w:t>of a projected 800</w:t>
            </w:r>
          </w:p>
          <w:p w14:paraId="0A9A95DD" w14:textId="77777777" w:rsidR="00D93CB3" w:rsidRDefault="0006683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(23%) violations were issued for FY 2021.</w:t>
            </w:r>
          </w:p>
          <w:p w14:paraId="00E182D1" w14:textId="6B006E76" w:rsidR="009C18D3" w:rsidRPr="001504C2"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2250" w:type="dxa"/>
          </w:tcPr>
          <w:p w14:paraId="666439A1" w14:textId="1EFA31E0" w:rsidR="00D93CB3" w:rsidRPr="001504C2" w:rsidRDefault="0006683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 xml:space="preserve">ADOSH should determine the cause of the low number of construction inspections </w:t>
            </w:r>
            <w:r w:rsidR="004F59B5" w:rsidRPr="001504C2">
              <w:rPr>
                <w:rFonts w:eastAsia="PMingLiU" w:cs="Calibri"/>
                <w:sz w:val="22"/>
                <w:szCs w:val="22"/>
              </w:rPr>
              <w:t>and violations issued and implement corrective action.</w:t>
            </w:r>
          </w:p>
        </w:tc>
        <w:tc>
          <w:tcPr>
            <w:tcW w:w="4196" w:type="dxa"/>
          </w:tcPr>
          <w:p w14:paraId="4B1634C0" w14:textId="77777777" w:rsidR="00D93CB3" w:rsidRDefault="00D37060"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 xml:space="preserve">ADOSH will continue to recruit and hire qualified </w:t>
            </w:r>
            <w:r w:rsidR="00254630" w:rsidRPr="001504C2">
              <w:rPr>
                <w:rFonts w:eastAsia="PMingLiU" w:cs="Calibri"/>
                <w:sz w:val="22"/>
                <w:szCs w:val="22"/>
              </w:rPr>
              <w:t>safety and health professionals and those with the knowledge, skills, and abilities related to the construction industry.  By December 31, 2022, ADOSH will have all positions filled.</w:t>
            </w:r>
          </w:p>
          <w:p w14:paraId="2E03CE0D" w14:textId="0642C898" w:rsidR="009C18D3" w:rsidRPr="001504C2"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1592" w:type="dxa"/>
          </w:tcPr>
          <w:p w14:paraId="630491A0" w14:textId="593A01EB" w:rsidR="00D93CB3" w:rsidRPr="001504C2" w:rsidRDefault="0005058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Not Applicable</w:t>
            </w:r>
          </w:p>
        </w:tc>
        <w:tc>
          <w:tcPr>
            <w:tcW w:w="2250" w:type="dxa"/>
          </w:tcPr>
          <w:p w14:paraId="36E1F22B" w14:textId="4F796BD5" w:rsidR="00D93CB3" w:rsidRDefault="00030024"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Open</w:t>
            </w:r>
          </w:p>
          <w:p w14:paraId="41539D36" w14:textId="2CA45C5F" w:rsidR="001B7866" w:rsidRPr="009553B7" w:rsidRDefault="00646251" w:rsidP="3E48814D">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02/24/2023</w:t>
            </w:r>
          </w:p>
        </w:tc>
      </w:tr>
      <w:tr w:rsidR="00254630" w:rsidRPr="001C1E47" w14:paraId="5B4186BE" w14:textId="77777777" w:rsidTr="009C18D3">
        <w:trPr>
          <w:cantSplit/>
          <w:trHeight w:val="385"/>
        </w:trPr>
        <w:tc>
          <w:tcPr>
            <w:tcW w:w="1435" w:type="dxa"/>
          </w:tcPr>
          <w:p w14:paraId="4F463F60" w14:textId="59BB736E" w:rsidR="00254630" w:rsidRPr="001504C2" w:rsidRDefault="00744FB2"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FY 2021-04</w:t>
            </w:r>
          </w:p>
        </w:tc>
        <w:tc>
          <w:tcPr>
            <w:tcW w:w="2098" w:type="dxa"/>
          </w:tcPr>
          <w:p w14:paraId="54FA28A1" w14:textId="7F4934CD" w:rsidR="00254630" w:rsidRPr="001504C2" w:rsidRDefault="00744FB2"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ADOSH’s safety in-compliance rate was 54.59%, which was above the FRL range of 25.32% to 37.98% (SAMM 9</w:t>
            </w:r>
            <w:r w:rsidR="002F742E">
              <w:rPr>
                <w:rFonts w:eastAsia="PMingLiU" w:cs="Calibri"/>
                <w:sz w:val="22"/>
                <w:szCs w:val="22"/>
              </w:rPr>
              <w:t>a</w:t>
            </w:r>
            <w:r w:rsidRPr="001504C2">
              <w:rPr>
                <w:rFonts w:eastAsia="PMingLiU" w:cs="Calibri"/>
                <w:sz w:val="22"/>
                <w:szCs w:val="22"/>
              </w:rPr>
              <w:t>).</w:t>
            </w:r>
          </w:p>
        </w:tc>
        <w:tc>
          <w:tcPr>
            <w:tcW w:w="2250" w:type="dxa"/>
          </w:tcPr>
          <w:p w14:paraId="1BF59D3B" w14:textId="5D4E2685" w:rsidR="00254630" w:rsidRPr="001504C2" w:rsidRDefault="00515E12"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 xml:space="preserve">ADOSH should determine the cause of the </w:t>
            </w:r>
            <w:proofErr w:type="gramStart"/>
            <w:r w:rsidRPr="001504C2">
              <w:rPr>
                <w:rFonts w:eastAsia="PMingLiU" w:cs="Calibri"/>
                <w:sz w:val="22"/>
                <w:szCs w:val="22"/>
              </w:rPr>
              <w:t>high safety</w:t>
            </w:r>
            <w:proofErr w:type="gramEnd"/>
            <w:r w:rsidRPr="001504C2">
              <w:rPr>
                <w:rFonts w:eastAsia="PMingLiU" w:cs="Calibri"/>
                <w:sz w:val="22"/>
                <w:szCs w:val="22"/>
              </w:rPr>
              <w:t xml:space="preserve"> in-compliance rate and implement corrective action.</w:t>
            </w:r>
          </w:p>
        </w:tc>
        <w:tc>
          <w:tcPr>
            <w:tcW w:w="4196" w:type="dxa"/>
          </w:tcPr>
          <w:p w14:paraId="6E3740F3" w14:textId="77777777" w:rsidR="00254630" w:rsidRDefault="007424CC" w:rsidP="00DA15A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 xml:space="preserve">The reason for high safety in-compliance rate is due to new and inexperienced staff hired within ADOSH.  ADOSH will continue to train staff </w:t>
            </w:r>
            <w:r w:rsidR="00947967">
              <w:rPr>
                <w:rFonts w:eastAsia="PMingLiU" w:cs="Calibri"/>
                <w:sz w:val="22"/>
                <w:szCs w:val="22"/>
              </w:rPr>
              <w:t>to</w:t>
            </w:r>
            <w:r w:rsidRPr="001504C2">
              <w:rPr>
                <w:rFonts w:eastAsia="PMingLiU" w:cs="Calibri"/>
                <w:sz w:val="22"/>
                <w:szCs w:val="22"/>
              </w:rPr>
              <w:t xml:space="preserve"> recognize hazards in the field.</w:t>
            </w:r>
            <w:r w:rsidR="007D016D" w:rsidRPr="001504C2">
              <w:rPr>
                <w:rFonts w:eastAsia="PMingLiU" w:cs="Calibri"/>
                <w:sz w:val="22"/>
                <w:szCs w:val="22"/>
              </w:rPr>
              <w:t xml:space="preserve">  ADOSH will use a variety of training, including OSHA OTI, OSHA OTI Education Centers, third party subject matter experts, and in-house training.  The Arizona TED Manual will help guide training for staff.  Multiple staff and supervisor training has been provided since December 2021 when the audit took place.</w:t>
            </w:r>
          </w:p>
          <w:p w14:paraId="61E96B09" w14:textId="77777777" w:rsidR="009C18D3" w:rsidRDefault="009C18D3" w:rsidP="00DA15A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193CB23A" w14:textId="77777777" w:rsidR="009C18D3" w:rsidRDefault="009C18D3" w:rsidP="00DA15A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0F7FE3A0" w14:textId="77777777" w:rsidR="009C18D3" w:rsidRDefault="009C18D3" w:rsidP="00DA15A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5DF3C4CB" w14:textId="77777777" w:rsidR="009C18D3" w:rsidRDefault="009C18D3" w:rsidP="00DA15A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622EB340" w14:textId="77777777" w:rsidR="009C18D3" w:rsidRDefault="009C18D3" w:rsidP="00DA15A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69B9E361" w14:textId="77777777" w:rsidR="009C18D3" w:rsidRDefault="009C18D3" w:rsidP="00DA15A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26A2C4DD" w14:textId="687412D5" w:rsidR="009C18D3" w:rsidRDefault="009C18D3" w:rsidP="00DA15A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48035789" w14:textId="77777777" w:rsidR="009C18D3" w:rsidRDefault="009C18D3" w:rsidP="00DA15A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389D93C3" w14:textId="1B54FE0C" w:rsidR="009C18D3" w:rsidRPr="001504C2" w:rsidRDefault="009C18D3" w:rsidP="00DA15A1">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1592" w:type="dxa"/>
          </w:tcPr>
          <w:p w14:paraId="103A6394" w14:textId="3F380CC6" w:rsidR="00254630" w:rsidRPr="001504C2" w:rsidRDefault="00AE2D8C"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11/15/2022</w:t>
            </w:r>
          </w:p>
        </w:tc>
        <w:tc>
          <w:tcPr>
            <w:tcW w:w="2250" w:type="dxa"/>
          </w:tcPr>
          <w:p w14:paraId="5AB39022" w14:textId="184707B7" w:rsidR="00254630" w:rsidRDefault="002954E4"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Completed</w:t>
            </w:r>
          </w:p>
          <w:p w14:paraId="77FFB2E5" w14:textId="0086F68A" w:rsidR="00646251" w:rsidRDefault="00646251"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11/15/2022</w:t>
            </w:r>
          </w:p>
          <w:p w14:paraId="2B0AE009" w14:textId="00517F88" w:rsidR="003E34DC" w:rsidRDefault="003E34DC" w:rsidP="3E48814D">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r>
      <w:tr w:rsidR="007D016D" w:rsidRPr="001C1E47" w14:paraId="4E4F6B0B" w14:textId="77777777" w:rsidTr="009C18D3">
        <w:trPr>
          <w:cantSplit/>
          <w:trHeight w:val="385"/>
        </w:trPr>
        <w:tc>
          <w:tcPr>
            <w:tcW w:w="1435" w:type="dxa"/>
          </w:tcPr>
          <w:p w14:paraId="72706474" w14:textId="195957D9" w:rsidR="007D016D" w:rsidRPr="001504C2" w:rsidRDefault="00EA0571"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lastRenderedPageBreak/>
              <w:t>FY 2021-05</w:t>
            </w:r>
          </w:p>
        </w:tc>
        <w:tc>
          <w:tcPr>
            <w:tcW w:w="2098" w:type="dxa"/>
          </w:tcPr>
          <w:p w14:paraId="5CCAA3C2" w14:textId="1287ADC2" w:rsidR="007D016D" w:rsidRPr="001504C2" w:rsidRDefault="00EA0571"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There were 23 violations where the severity assessed was not supported by the case file documentation.</w:t>
            </w:r>
          </w:p>
        </w:tc>
        <w:tc>
          <w:tcPr>
            <w:tcW w:w="2250" w:type="dxa"/>
          </w:tcPr>
          <w:p w14:paraId="64F93FC9" w14:textId="18720720" w:rsidR="007D016D" w:rsidRPr="001504C2" w:rsidRDefault="00EA0571"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ADOSH should implement oversight of the case files to ensure the severity assessment supports the most likely injury to occur.</w:t>
            </w:r>
          </w:p>
        </w:tc>
        <w:tc>
          <w:tcPr>
            <w:tcW w:w="4196" w:type="dxa"/>
          </w:tcPr>
          <w:p w14:paraId="7780A408" w14:textId="77777777" w:rsidR="007D016D" w:rsidRDefault="009B61EC"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ADOSH will continue to train employees on documenting safety and health violations within their Field Notes or Interview Field Notes and use the FOM Probability Factors to support serious and non-serious violations.  This will be communicated during huddle meetings, supervisor meetings, and all-hands meetings quarterly.  On August 10, 2022, the Assistant Director held a meeting with all compliance staff using a power</w:t>
            </w:r>
            <w:r w:rsidR="00545EEE" w:rsidRPr="001504C2">
              <w:rPr>
                <w:rFonts w:eastAsia="PMingLiU" w:cs="Calibri"/>
                <w:sz w:val="22"/>
                <w:szCs w:val="22"/>
              </w:rPr>
              <w:t xml:space="preserve"> point presentation for Probability Factors according to the Arizona FOM.</w:t>
            </w:r>
          </w:p>
          <w:p w14:paraId="4910FAF4" w14:textId="09540641" w:rsidR="009C18D3" w:rsidRPr="001504C2"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1592" w:type="dxa"/>
          </w:tcPr>
          <w:p w14:paraId="2B7842ED" w14:textId="2E536E89" w:rsidR="007D016D" w:rsidRPr="001504C2" w:rsidRDefault="00D63B84"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w:t>
            </w:r>
            <w:r w:rsidR="00471292">
              <w:rPr>
                <w:rFonts w:eastAsia="PMingLiU" w:cs="Calibri"/>
                <w:sz w:val="22"/>
                <w:szCs w:val="22"/>
              </w:rPr>
              <w:t>8/10/2022</w:t>
            </w:r>
          </w:p>
        </w:tc>
        <w:tc>
          <w:tcPr>
            <w:tcW w:w="2250" w:type="dxa"/>
          </w:tcPr>
          <w:p w14:paraId="1B84CFE7" w14:textId="66BDA794" w:rsidR="007D016D" w:rsidRDefault="00545EEE"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Awaiting Verification</w:t>
            </w:r>
          </w:p>
          <w:p w14:paraId="14D2B455" w14:textId="3DC72579" w:rsidR="00646251" w:rsidRDefault="00646251"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02/24/2023</w:t>
            </w:r>
          </w:p>
          <w:p w14:paraId="3FAC413C" w14:textId="5765A4FA" w:rsidR="006C60B8" w:rsidRDefault="006C60B8" w:rsidP="3E48814D">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r>
      <w:tr w:rsidR="00545EEE" w:rsidRPr="001C1E47" w14:paraId="7F14C076" w14:textId="77777777" w:rsidTr="009C18D3">
        <w:trPr>
          <w:cantSplit/>
          <w:trHeight w:val="385"/>
        </w:trPr>
        <w:tc>
          <w:tcPr>
            <w:tcW w:w="1435" w:type="dxa"/>
          </w:tcPr>
          <w:p w14:paraId="1543AC94" w14:textId="45FBF473" w:rsidR="00545EEE" w:rsidRPr="001504C2" w:rsidRDefault="007F1FBF"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FY 2021-06</w:t>
            </w:r>
          </w:p>
        </w:tc>
        <w:tc>
          <w:tcPr>
            <w:tcW w:w="2098" w:type="dxa"/>
          </w:tcPr>
          <w:p w14:paraId="60406867" w14:textId="3E2C3D7E" w:rsidR="00545EEE" w:rsidRPr="001504C2" w:rsidRDefault="007F1FBF"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The average lapse time of 74.02 days (SAMM 11</w:t>
            </w:r>
            <w:r w:rsidR="009750DC">
              <w:rPr>
                <w:rFonts w:eastAsia="PMingLiU" w:cs="Calibri"/>
                <w:sz w:val="22"/>
                <w:szCs w:val="22"/>
              </w:rPr>
              <w:t>a</w:t>
            </w:r>
            <w:r w:rsidRPr="001504C2">
              <w:rPr>
                <w:rFonts w:eastAsia="PMingLiU" w:cs="Calibri"/>
                <w:sz w:val="22"/>
                <w:szCs w:val="22"/>
              </w:rPr>
              <w:t>) for safety inspections was above the FRL range of 41.94 to 62.90 days.</w:t>
            </w:r>
          </w:p>
        </w:tc>
        <w:tc>
          <w:tcPr>
            <w:tcW w:w="2250" w:type="dxa"/>
          </w:tcPr>
          <w:p w14:paraId="21F231EE" w14:textId="7BBAE287" w:rsidR="00545EEE" w:rsidRPr="001504C2" w:rsidRDefault="00162A72"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ADOSH management should identify the factors contributing to the high lapse time and implement a corrective action to reduce it.</w:t>
            </w:r>
          </w:p>
        </w:tc>
        <w:tc>
          <w:tcPr>
            <w:tcW w:w="4196" w:type="dxa"/>
          </w:tcPr>
          <w:p w14:paraId="3295BDB8" w14:textId="77777777" w:rsidR="00545EEE" w:rsidRDefault="00162A72"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ADOSH developed an A3 Project related to the Arizona Management System.  The project involves CSHOs, Supervisors, and Assistant Directors to determine a root cause for high lapse time.  Items were identified that contribute to high lapse time and ADOSH created milestones and day to day activities following an inspection to ensure that they are produced without delay.  Individual team members, Supervisors, or Assistant Directors are assigned action items to promote a faster turnaround time for any file.</w:t>
            </w:r>
          </w:p>
          <w:p w14:paraId="06C77F53" w14:textId="77777777" w:rsidR="009C18D3"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0865FC9E" w14:textId="77777777" w:rsidR="009C18D3"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553A01B5" w14:textId="77777777" w:rsidR="009C18D3"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p w14:paraId="63722A43" w14:textId="4341FAA9" w:rsidR="009C18D3" w:rsidRPr="001504C2"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1592" w:type="dxa"/>
          </w:tcPr>
          <w:p w14:paraId="412CB33C" w14:textId="77777777" w:rsidR="00545EEE" w:rsidRDefault="006C251A"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11/15</w:t>
            </w:r>
            <w:r w:rsidR="00162A72" w:rsidRPr="001504C2">
              <w:rPr>
                <w:rFonts w:eastAsia="PMingLiU" w:cs="Calibri"/>
                <w:sz w:val="22"/>
                <w:szCs w:val="22"/>
              </w:rPr>
              <w:t>/2022</w:t>
            </w:r>
          </w:p>
          <w:p w14:paraId="2DCC2C06" w14:textId="15F7EB4B" w:rsidR="00185C42" w:rsidRPr="001504C2" w:rsidRDefault="00185C42"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2250" w:type="dxa"/>
          </w:tcPr>
          <w:p w14:paraId="6554BAE1" w14:textId="16024E2B" w:rsidR="00185C42" w:rsidRDefault="009F2EA4"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Completed</w:t>
            </w:r>
          </w:p>
          <w:p w14:paraId="717D7FAA" w14:textId="3A909A1D" w:rsidR="00646251" w:rsidRDefault="00646251"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02/24/2023</w:t>
            </w:r>
          </w:p>
          <w:p w14:paraId="0CC1BA4C" w14:textId="53606AC7" w:rsidR="00895419" w:rsidRDefault="00895419" w:rsidP="3E48814D">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r>
      <w:tr w:rsidR="00FA40DB" w:rsidRPr="001C1E47" w14:paraId="2EE872C5" w14:textId="77777777" w:rsidTr="009C18D3">
        <w:trPr>
          <w:cantSplit/>
          <w:trHeight w:val="385"/>
        </w:trPr>
        <w:tc>
          <w:tcPr>
            <w:tcW w:w="1435" w:type="dxa"/>
          </w:tcPr>
          <w:p w14:paraId="4C403D03" w14:textId="570B5F7D" w:rsidR="00FA40DB" w:rsidRPr="001504C2" w:rsidRDefault="00730248"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lastRenderedPageBreak/>
              <w:t>FY 2021-07</w:t>
            </w:r>
          </w:p>
        </w:tc>
        <w:tc>
          <w:tcPr>
            <w:tcW w:w="2098" w:type="dxa"/>
          </w:tcPr>
          <w:p w14:paraId="57717E65" w14:textId="2566D29D" w:rsidR="00FA40DB" w:rsidRPr="001504C2" w:rsidRDefault="00730248"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The Probability Factors Worksheet was not constructed to assign numerical value to calculate all the factors from the AZ FOM.</w:t>
            </w:r>
          </w:p>
        </w:tc>
        <w:tc>
          <w:tcPr>
            <w:tcW w:w="2250" w:type="dxa"/>
          </w:tcPr>
          <w:p w14:paraId="380ACE85" w14:textId="1BD021BA" w:rsidR="00FA40DB" w:rsidRPr="001504C2" w:rsidRDefault="00CF3938"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ADOSH should ensure all requirements listed in the AZ FOM are used to calculate probability.</w:t>
            </w:r>
          </w:p>
        </w:tc>
        <w:tc>
          <w:tcPr>
            <w:tcW w:w="4196" w:type="dxa"/>
          </w:tcPr>
          <w:p w14:paraId="3C2FF7D4" w14:textId="77777777" w:rsidR="00FA40DB" w:rsidRDefault="00CF3938"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ADOSH follows the AZ FOM and the same probability factors used by OSHA.  Routine training aimed at understanding Probability Factors have been developed and provided to staff in a mass meeting training.  On August 10, 2022, the Assistant Director held a meeting with all compliance staff using a power point presentation for Probability Factors according to the Arizona FOM.</w:t>
            </w:r>
          </w:p>
          <w:p w14:paraId="11A19864" w14:textId="359BFC6F" w:rsidR="009C18D3" w:rsidRPr="001504C2"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1592" w:type="dxa"/>
          </w:tcPr>
          <w:p w14:paraId="7F5FE028" w14:textId="386DE39E" w:rsidR="00FA40DB" w:rsidRPr="001504C2" w:rsidRDefault="00D63B84"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w:t>
            </w:r>
            <w:r w:rsidR="006F2CB7">
              <w:rPr>
                <w:rFonts w:eastAsia="PMingLiU" w:cs="Calibri"/>
                <w:sz w:val="22"/>
                <w:szCs w:val="22"/>
              </w:rPr>
              <w:t>8/10/2022</w:t>
            </w:r>
          </w:p>
        </w:tc>
        <w:tc>
          <w:tcPr>
            <w:tcW w:w="2250" w:type="dxa"/>
          </w:tcPr>
          <w:p w14:paraId="56135214" w14:textId="2DA20445" w:rsidR="00FA40DB" w:rsidRDefault="1A6024D2" w:rsidP="7EB95616">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rPr>
                <w:rFonts w:eastAsia="PMingLiU" w:cs="Calibri"/>
                <w:sz w:val="22"/>
                <w:szCs w:val="22"/>
              </w:rPr>
            </w:pPr>
            <w:r w:rsidRPr="7EB95616">
              <w:rPr>
                <w:rFonts w:eastAsia="PMingLiU" w:cs="Calibri"/>
                <w:sz w:val="22"/>
                <w:szCs w:val="22"/>
              </w:rPr>
              <w:t>Awaiting Verification</w:t>
            </w:r>
          </w:p>
          <w:p w14:paraId="3B8AA967" w14:textId="2A1055B7" w:rsidR="00646251" w:rsidRDefault="00646251" w:rsidP="7EB95616">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rPr>
                <w:rFonts w:eastAsia="PMingLiU" w:cs="Calibri"/>
                <w:sz w:val="22"/>
                <w:szCs w:val="22"/>
              </w:rPr>
            </w:pPr>
            <w:r>
              <w:rPr>
                <w:rFonts w:eastAsia="PMingLiU" w:cs="Calibri"/>
                <w:sz w:val="22"/>
                <w:szCs w:val="22"/>
              </w:rPr>
              <w:t>02/24/2023</w:t>
            </w:r>
          </w:p>
          <w:p w14:paraId="1C2768B4" w14:textId="54CA06F3" w:rsidR="00F96947" w:rsidRDefault="00F96947" w:rsidP="3E48814D">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spacing w:line="259" w:lineRule="auto"/>
              <w:rPr>
                <w:rFonts w:eastAsia="PMingLiU" w:cs="Calibri"/>
                <w:sz w:val="22"/>
                <w:szCs w:val="22"/>
              </w:rPr>
            </w:pPr>
          </w:p>
        </w:tc>
      </w:tr>
      <w:tr w:rsidR="00FD618C" w:rsidRPr="001C1E47" w14:paraId="0E07DA1B" w14:textId="77777777" w:rsidTr="009C18D3">
        <w:trPr>
          <w:cantSplit/>
          <w:trHeight w:val="385"/>
        </w:trPr>
        <w:tc>
          <w:tcPr>
            <w:tcW w:w="1435" w:type="dxa"/>
          </w:tcPr>
          <w:p w14:paraId="7C3BBB6E" w14:textId="369D768E" w:rsidR="00FD618C" w:rsidRPr="001504C2" w:rsidRDefault="00D6195A"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FY 2021-08</w:t>
            </w:r>
          </w:p>
        </w:tc>
        <w:tc>
          <w:tcPr>
            <w:tcW w:w="2098" w:type="dxa"/>
          </w:tcPr>
          <w:p w14:paraId="0EF1CBB0" w14:textId="77777777" w:rsidR="00FD618C" w:rsidRDefault="00D6195A"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The Arizona State Plan has failed to adopt OSHA’s initial FY 2016 maximum and minimum penalty increase and subsequent annual penalty amount increases.</w:t>
            </w:r>
          </w:p>
          <w:p w14:paraId="1A9261CD" w14:textId="17436120" w:rsidR="009C18D3" w:rsidRPr="001504C2"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2250" w:type="dxa"/>
          </w:tcPr>
          <w:p w14:paraId="7CBEAC3E" w14:textId="3D655050" w:rsidR="00FD618C" w:rsidRPr="001504C2" w:rsidRDefault="00D6195A"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 xml:space="preserve">The Arizona State Plan </w:t>
            </w:r>
            <w:r w:rsidR="00D2723C" w:rsidRPr="001504C2">
              <w:rPr>
                <w:rFonts w:eastAsia="PMingLiU" w:cs="Calibri"/>
                <w:sz w:val="22"/>
                <w:szCs w:val="22"/>
              </w:rPr>
              <w:t>should work to update policies and procedures to implement maximum and minimum penalty amounts.</w:t>
            </w:r>
          </w:p>
        </w:tc>
        <w:tc>
          <w:tcPr>
            <w:tcW w:w="4196" w:type="dxa"/>
          </w:tcPr>
          <w:p w14:paraId="39E2BE42" w14:textId="00C0FF7B" w:rsidR="00FD618C" w:rsidRPr="001504C2" w:rsidRDefault="00D2723C"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House Bill 2120 was signed by the Governor on July 6, 2022.  The bill will go into effect on September 24, 2022.</w:t>
            </w:r>
          </w:p>
        </w:tc>
        <w:tc>
          <w:tcPr>
            <w:tcW w:w="1592" w:type="dxa"/>
          </w:tcPr>
          <w:p w14:paraId="4AA9CE01" w14:textId="09789132" w:rsidR="00D2723C" w:rsidRPr="001504C2" w:rsidRDefault="00D63B84"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w:t>
            </w:r>
            <w:r w:rsidR="00D2723C" w:rsidRPr="001504C2">
              <w:rPr>
                <w:rFonts w:eastAsia="PMingLiU" w:cs="Calibri"/>
                <w:sz w:val="22"/>
                <w:szCs w:val="22"/>
              </w:rPr>
              <w:t>9/24/2022</w:t>
            </w:r>
          </w:p>
        </w:tc>
        <w:tc>
          <w:tcPr>
            <w:tcW w:w="2250" w:type="dxa"/>
          </w:tcPr>
          <w:p w14:paraId="466DC526" w14:textId="6B92497E" w:rsidR="00626CB4" w:rsidRDefault="002954E4"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Completed</w:t>
            </w:r>
          </w:p>
          <w:p w14:paraId="661A5717" w14:textId="01691EBE" w:rsidR="00646251" w:rsidRDefault="00646251"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10/18/2022</w:t>
            </w:r>
          </w:p>
          <w:p w14:paraId="6F50E902" w14:textId="48CCA239" w:rsidR="00207662" w:rsidRDefault="00207662" w:rsidP="3E48814D">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r>
      <w:tr w:rsidR="006775E3" w:rsidRPr="001C1E47" w14:paraId="7E5B2403" w14:textId="77777777" w:rsidTr="009C18D3">
        <w:trPr>
          <w:cantSplit/>
          <w:trHeight w:val="385"/>
        </w:trPr>
        <w:tc>
          <w:tcPr>
            <w:tcW w:w="1435" w:type="dxa"/>
          </w:tcPr>
          <w:p w14:paraId="4B09DE89" w14:textId="0DBCD9E4" w:rsidR="006775E3" w:rsidRPr="001504C2" w:rsidRDefault="00AE7D74"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FY 2021-09</w:t>
            </w:r>
          </w:p>
        </w:tc>
        <w:tc>
          <w:tcPr>
            <w:tcW w:w="2098" w:type="dxa"/>
          </w:tcPr>
          <w:p w14:paraId="54AB1D90" w14:textId="1510DE96" w:rsidR="006775E3" w:rsidRPr="001504C2" w:rsidRDefault="00AE7D74"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OSHA standards were not adopted by the adoption due date.</w:t>
            </w:r>
          </w:p>
        </w:tc>
        <w:tc>
          <w:tcPr>
            <w:tcW w:w="2250" w:type="dxa"/>
          </w:tcPr>
          <w:p w14:paraId="4399F774" w14:textId="758EE75C" w:rsidR="006775E3" w:rsidRPr="001504C2" w:rsidRDefault="00940C09"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ADOSH should ensure each standard is adopted by the due date.</w:t>
            </w:r>
          </w:p>
        </w:tc>
        <w:tc>
          <w:tcPr>
            <w:tcW w:w="4196" w:type="dxa"/>
          </w:tcPr>
          <w:p w14:paraId="060414A4" w14:textId="6D7E09D2" w:rsidR="009C18D3" w:rsidRDefault="00940C09"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ADOSH will continue to work with the ICA Legal Division to adopt standards in a timely manner.  This will include an initial meeting to discuss the standard, assignment to an available attorney, a follow-up meeting to discuss any specifics related to the standard, request for rule making, documentation sent to the Attorney General’s Office for review, and then posting in the Arizona Administrative Registe</w:t>
            </w:r>
            <w:r w:rsidR="009C18D3">
              <w:rPr>
                <w:rFonts w:eastAsia="PMingLiU" w:cs="Calibri"/>
                <w:sz w:val="22"/>
                <w:szCs w:val="22"/>
              </w:rPr>
              <w:t xml:space="preserve">r. </w:t>
            </w:r>
          </w:p>
          <w:p w14:paraId="04B6E454" w14:textId="6D1FE837" w:rsidR="009C18D3" w:rsidRPr="001504C2"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1592" w:type="dxa"/>
          </w:tcPr>
          <w:p w14:paraId="77620D0E" w14:textId="73802BAF" w:rsidR="006775E3" w:rsidRPr="001504C2" w:rsidRDefault="00D63B84"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w:t>
            </w:r>
            <w:r w:rsidR="00940C09" w:rsidRPr="001504C2">
              <w:rPr>
                <w:rFonts w:eastAsia="PMingLiU" w:cs="Calibri"/>
                <w:sz w:val="22"/>
                <w:szCs w:val="22"/>
              </w:rPr>
              <w:t>8/1/2022</w:t>
            </w:r>
          </w:p>
        </w:tc>
        <w:tc>
          <w:tcPr>
            <w:tcW w:w="2250" w:type="dxa"/>
          </w:tcPr>
          <w:p w14:paraId="2BC58CA0" w14:textId="2D9D14C0" w:rsidR="00626CB4" w:rsidRDefault="002954E4"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Completed</w:t>
            </w:r>
          </w:p>
          <w:p w14:paraId="7E31CD42" w14:textId="79B31CFC" w:rsidR="00646251" w:rsidRDefault="00646251"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10/18/2022</w:t>
            </w:r>
          </w:p>
          <w:p w14:paraId="079BC82D" w14:textId="4AD733B5" w:rsidR="009F2EA4" w:rsidRDefault="009F2EA4" w:rsidP="3E48814D">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r>
      <w:tr w:rsidR="00FF245B" w:rsidRPr="001C1E47" w14:paraId="00DA7A90" w14:textId="77777777" w:rsidTr="009C18D3">
        <w:trPr>
          <w:cantSplit/>
          <w:trHeight w:val="3137"/>
        </w:trPr>
        <w:tc>
          <w:tcPr>
            <w:tcW w:w="1435" w:type="dxa"/>
          </w:tcPr>
          <w:p w14:paraId="01A4DB47" w14:textId="5A35391C" w:rsidR="00FF245B" w:rsidRPr="001504C2" w:rsidRDefault="000E0245"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lastRenderedPageBreak/>
              <w:t>FY 2021-10</w:t>
            </w:r>
          </w:p>
        </w:tc>
        <w:tc>
          <w:tcPr>
            <w:tcW w:w="2098" w:type="dxa"/>
          </w:tcPr>
          <w:p w14:paraId="2C7CD2B7" w14:textId="28BE5081" w:rsidR="00FF245B" w:rsidRPr="001504C2" w:rsidRDefault="000E0245"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Requirements for adopting Federal Program Changes (FPCs) were not completed within six-months of the effective date of the directive or official issuance date of the Federal Register Notice.</w:t>
            </w:r>
          </w:p>
        </w:tc>
        <w:tc>
          <w:tcPr>
            <w:tcW w:w="2250" w:type="dxa"/>
          </w:tcPr>
          <w:p w14:paraId="4BAC787E" w14:textId="775F89EB" w:rsidR="00FF245B" w:rsidRPr="001504C2" w:rsidRDefault="000E0245"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 xml:space="preserve">ADOSH should ensure that they </w:t>
            </w:r>
            <w:r w:rsidR="00ED2746" w:rsidRPr="001504C2">
              <w:rPr>
                <w:rFonts w:eastAsia="PMingLiU" w:cs="Calibri"/>
                <w:sz w:val="22"/>
                <w:szCs w:val="22"/>
              </w:rPr>
              <w:t>meet the requirements for response and adoption of OSHA’s Federal Program Changes.</w:t>
            </w:r>
          </w:p>
        </w:tc>
        <w:tc>
          <w:tcPr>
            <w:tcW w:w="4196" w:type="dxa"/>
          </w:tcPr>
          <w:p w14:paraId="32976017" w14:textId="2769B622" w:rsidR="00FF245B" w:rsidRPr="001504C2" w:rsidRDefault="00ED2746"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 xml:space="preserve">ADOSH will continue to work with the local and </w:t>
            </w:r>
            <w:r w:rsidR="005D3E81">
              <w:rPr>
                <w:rFonts w:eastAsia="PMingLiU" w:cs="Calibri"/>
                <w:sz w:val="22"/>
                <w:szCs w:val="22"/>
              </w:rPr>
              <w:t>r</w:t>
            </w:r>
            <w:r w:rsidRPr="001504C2">
              <w:rPr>
                <w:rFonts w:eastAsia="PMingLiU" w:cs="Calibri"/>
                <w:sz w:val="22"/>
                <w:szCs w:val="22"/>
              </w:rPr>
              <w:t>egional offices when adopting FPC that are required and update the SPA when specified in OSHA’s document.</w:t>
            </w:r>
          </w:p>
        </w:tc>
        <w:tc>
          <w:tcPr>
            <w:tcW w:w="1592" w:type="dxa"/>
          </w:tcPr>
          <w:p w14:paraId="744E1A22" w14:textId="63DDF993" w:rsidR="00FF245B" w:rsidRPr="001504C2" w:rsidRDefault="00B71310"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Not applicable</w:t>
            </w:r>
          </w:p>
        </w:tc>
        <w:tc>
          <w:tcPr>
            <w:tcW w:w="2250" w:type="dxa"/>
          </w:tcPr>
          <w:p w14:paraId="3F40C565" w14:textId="1137A86A" w:rsidR="00FF245B" w:rsidRDefault="00935D60" w:rsidP="011E1980">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Open</w:t>
            </w:r>
          </w:p>
          <w:p w14:paraId="1F449A17" w14:textId="4339F88A" w:rsidR="00646251" w:rsidRDefault="00646251" w:rsidP="011E1980">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02/24/2023</w:t>
            </w:r>
          </w:p>
          <w:p w14:paraId="734D8B00" w14:textId="3555ED1B" w:rsidR="00F96947" w:rsidRDefault="00F96947" w:rsidP="011E1980">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r>
      <w:tr w:rsidR="001F0F6A" w:rsidRPr="001C1E47" w14:paraId="4568939C" w14:textId="77777777" w:rsidTr="009C18D3">
        <w:trPr>
          <w:cantSplit/>
          <w:trHeight w:val="385"/>
        </w:trPr>
        <w:tc>
          <w:tcPr>
            <w:tcW w:w="1435" w:type="dxa"/>
          </w:tcPr>
          <w:p w14:paraId="2793569C" w14:textId="628DA6CE" w:rsidR="001F0F6A" w:rsidRPr="001504C2" w:rsidRDefault="003026DE"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FY 2021-11</w:t>
            </w:r>
          </w:p>
        </w:tc>
        <w:tc>
          <w:tcPr>
            <w:tcW w:w="2098" w:type="dxa"/>
          </w:tcPr>
          <w:p w14:paraId="62A4E560" w14:textId="77777777" w:rsidR="001F0F6A" w:rsidRDefault="003026DE"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ADOSH conducted 1.85% (nine of 486) of inspections in state and local government agencies, which was below the FRL range of 4.32% to 4.77% (SAMM 6).</w:t>
            </w:r>
          </w:p>
          <w:p w14:paraId="5A6E56A5" w14:textId="2D604E34" w:rsidR="009C18D3" w:rsidRPr="001504C2"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2250" w:type="dxa"/>
          </w:tcPr>
          <w:p w14:paraId="55FED138" w14:textId="394C566F" w:rsidR="001F0F6A" w:rsidRPr="001504C2" w:rsidRDefault="00590F7F"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ADOSH should ensure action is taken to meet inspection goals for state and local government agencies.</w:t>
            </w:r>
          </w:p>
        </w:tc>
        <w:tc>
          <w:tcPr>
            <w:tcW w:w="4196" w:type="dxa"/>
          </w:tcPr>
          <w:p w14:paraId="794F329E" w14:textId="77777777" w:rsidR="001F0F6A" w:rsidRDefault="00590F7F"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 xml:space="preserve">ADOSH developed annual goals for </w:t>
            </w:r>
            <w:r w:rsidR="00DA46A0" w:rsidRPr="001504C2">
              <w:rPr>
                <w:rFonts w:eastAsia="PMingLiU" w:cs="Calibri"/>
                <w:sz w:val="22"/>
                <w:szCs w:val="22"/>
              </w:rPr>
              <w:t xml:space="preserve">public and local entity inspections as part of our </w:t>
            </w:r>
            <w:r w:rsidR="00026B78" w:rsidRPr="001504C2">
              <w:rPr>
                <w:rFonts w:eastAsia="PMingLiU" w:cs="Calibri"/>
                <w:sz w:val="22"/>
                <w:szCs w:val="22"/>
              </w:rPr>
              <w:t>5</w:t>
            </w:r>
            <w:r w:rsidR="00DA46A0" w:rsidRPr="001504C2">
              <w:rPr>
                <w:rFonts w:eastAsia="PMingLiU" w:cs="Calibri"/>
                <w:sz w:val="22"/>
                <w:szCs w:val="22"/>
              </w:rPr>
              <w:t>-year goals.  Monthly, the Phoenix Assistant Director of Compliance will run a Salesforce report and an OIS SAMM report to determine ADOSH’s FRL range for state and local governments and determine if additional inspections are needed.</w:t>
            </w:r>
          </w:p>
          <w:p w14:paraId="2BAD2843" w14:textId="6B49625B" w:rsidR="009C18D3" w:rsidRPr="001504C2" w:rsidRDefault="009C18D3"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c>
          <w:tcPr>
            <w:tcW w:w="1592" w:type="dxa"/>
          </w:tcPr>
          <w:p w14:paraId="2CEE60CB" w14:textId="5910DC41" w:rsidR="001F0F6A" w:rsidRPr="001504C2" w:rsidRDefault="00456ACC"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sidRPr="001504C2">
              <w:rPr>
                <w:rFonts w:eastAsia="PMingLiU" w:cs="Calibri"/>
                <w:sz w:val="22"/>
                <w:szCs w:val="22"/>
              </w:rPr>
              <w:t>11/15</w:t>
            </w:r>
            <w:r w:rsidR="00026B78" w:rsidRPr="001504C2">
              <w:rPr>
                <w:rFonts w:eastAsia="PMingLiU" w:cs="Calibri"/>
                <w:sz w:val="22"/>
                <w:szCs w:val="22"/>
              </w:rPr>
              <w:t>/2022</w:t>
            </w:r>
          </w:p>
        </w:tc>
        <w:tc>
          <w:tcPr>
            <w:tcW w:w="2250" w:type="dxa"/>
          </w:tcPr>
          <w:p w14:paraId="0FFC9743" w14:textId="08D96DA8" w:rsidR="001F0F6A" w:rsidRDefault="002954E4"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Completed</w:t>
            </w:r>
          </w:p>
          <w:p w14:paraId="18508520" w14:textId="629D4D41" w:rsidR="00646251" w:rsidRDefault="00646251" w:rsidP="009553B7">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r>
              <w:rPr>
                <w:rFonts w:eastAsia="PMingLiU" w:cs="Calibri"/>
                <w:sz w:val="22"/>
                <w:szCs w:val="22"/>
              </w:rPr>
              <w:t>11/15/2022</w:t>
            </w:r>
          </w:p>
          <w:p w14:paraId="5004060A" w14:textId="7F5F4D14" w:rsidR="00F96947" w:rsidRDefault="00F96947" w:rsidP="3E48814D">
            <w:pPr>
              <w:tabs>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sz w:val="22"/>
                <w:szCs w:val="22"/>
              </w:rPr>
            </w:pPr>
          </w:p>
        </w:tc>
      </w:tr>
    </w:tbl>
    <w:p w14:paraId="56126B49" w14:textId="11417C11" w:rsidR="00AD505E" w:rsidRPr="00476C08" w:rsidRDefault="00AD505E" w:rsidP="007A71AC">
      <w:pPr>
        <w:widowControl/>
        <w:autoSpaceDE/>
        <w:autoSpaceDN/>
        <w:adjustRightInd/>
        <w:rPr>
          <w:rFonts w:cs="Calibri"/>
          <w:iCs/>
          <w:color w:val="0070C0"/>
        </w:rPr>
      </w:pPr>
    </w:p>
    <w:p w14:paraId="1BAAAA1C" w14:textId="77777777" w:rsidR="00AD505E" w:rsidRPr="00476C08" w:rsidRDefault="00AD505E" w:rsidP="007A71AC">
      <w:pPr>
        <w:widowControl/>
        <w:autoSpaceDE/>
        <w:autoSpaceDN/>
        <w:adjustRightInd/>
        <w:rPr>
          <w:rFonts w:cs="Calibri"/>
          <w:iCs/>
          <w:color w:val="0070C0"/>
        </w:rPr>
      </w:pPr>
    </w:p>
    <w:p w14:paraId="5A163C8E" w14:textId="02509343" w:rsidR="000A134A" w:rsidRPr="008164E8" w:rsidRDefault="000A134A" w:rsidP="008164E8">
      <w:pPr>
        <w:widowControl/>
        <w:tabs>
          <w:tab w:val="left" w:pos="630"/>
        </w:tabs>
        <w:autoSpaceDE/>
        <w:autoSpaceDN/>
        <w:adjustRightInd/>
        <w:ind w:left="720" w:hanging="360"/>
        <w:rPr>
          <w:rFonts w:cs="Calibri"/>
          <w:iCs/>
          <w:color w:val="0070C0"/>
        </w:rPr>
        <w:sectPr w:rsidR="000A134A" w:rsidRPr="008164E8" w:rsidSect="00476C08">
          <w:headerReference w:type="even" r:id="rId20"/>
          <w:headerReference w:type="default" r:id="rId21"/>
          <w:headerReference w:type="first" r:id="rId22"/>
          <w:footerReference w:type="first" r:id="rId23"/>
          <w:pgSz w:w="15840" w:h="12240" w:orient="landscape"/>
          <w:pgMar w:top="1440" w:right="1440" w:bottom="1440" w:left="1440" w:header="630" w:footer="720" w:gutter="0"/>
          <w:cols w:space="720"/>
          <w:titlePg/>
          <w:docGrid w:linePitch="360"/>
        </w:sectPr>
      </w:pPr>
    </w:p>
    <w:p w14:paraId="1B0B407C" w14:textId="77777777" w:rsidR="00690C0D" w:rsidRPr="00D93CB3" w:rsidRDefault="00690C0D" w:rsidP="00685C25">
      <w:pPr>
        <w:pStyle w:val="Heading3"/>
        <w:rPr>
          <w:color w:val="0070C0"/>
        </w:rPr>
      </w:pPr>
      <w:bookmarkStart w:id="32" w:name="_Toc128388240"/>
      <w:r w:rsidRPr="00D93CB3">
        <w:lastRenderedPageBreak/>
        <w:t xml:space="preserve">Appendix D – </w:t>
      </w:r>
      <w:bookmarkStart w:id="33" w:name="_Hlk119349018"/>
      <w:r w:rsidRPr="00D93CB3">
        <w:t>FY 2022 State Activity Mandated Measures (SAMM) Report</w:t>
      </w:r>
      <w:bookmarkEnd w:id="32"/>
      <w:bookmarkEnd w:id="33"/>
    </w:p>
    <w:p w14:paraId="19B594E3" w14:textId="2A882C3E" w:rsidR="00690C0D" w:rsidRPr="000767C0" w:rsidRDefault="00690C0D" w:rsidP="00476C08">
      <w:pPr>
        <w:pStyle w:val="Header"/>
      </w:pPr>
      <w:r w:rsidRPr="00042327">
        <w:t xml:space="preserve">FY </w:t>
      </w:r>
      <w:r>
        <w:t>2022</w:t>
      </w:r>
      <w:r w:rsidRPr="00042327">
        <w:t xml:space="preserve"> </w:t>
      </w:r>
      <w:r w:rsidR="006D2E91">
        <w:t xml:space="preserve">Arizona Division of Occupational Safety and Health </w:t>
      </w:r>
      <w:r>
        <w:t xml:space="preserve">Follow-up </w:t>
      </w:r>
      <w:r w:rsidRPr="00042327">
        <w:t>FAME Report</w:t>
      </w:r>
    </w:p>
    <w:p w14:paraId="221DF49F" w14:textId="77777777" w:rsidR="000A134A" w:rsidRPr="001C1E47" w:rsidRDefault="000A134A" w:rsidP="007A71AC">
      <w:pPr>
        <w:widowControl/>
        <w:autoSpaceDE/>
        <w:autoSpaceDN/>
        <w:adjustRightInd/>
        <w:rPr>
          <w:rFonts w:cs="Calibri"/>
          <w:b/>
          <w:color w:val="1F497D"/>
          <w:sz w:val="28"/>
          <w:szCs w:val="28"/>
        </w:rPr>
      </w:pPr>
    </w:p>
    <w:tbl>
      <w:tblPr>
        <w:tblStyle w:val="GridTable41"/>
        <w:tblW w:w="10350" w:type="dxa"/>
        <w:tblInd w:w="-365" w:type="dxa"/>
        <w:tblLook w:val="06A0" w:firstRow="1" w:lastRow="0" w:firstColumn="1" w:lastColumn="0" w:noHBand="1" w:noVBand="1"/>
        <w:tblCaption w:val="FY 20XX SAMM Report"/>
        <w:tblDescription w:val="Appendix D"/>
      </w:tblPr>
      <w:tblGrid>
        <w:gridCol w:w="1034"/>
        <w:gridCol w:w="2558"/>
        <w:gridCol w:w="1107"/>
        <w:gridCol w:w="1138"/>
        <w:gridCol w:w="4513"/>
      </w:tblGrid>
      <w:tr w:rsidR="005618CB" w:rsidRPr="005618CB" w14:paraId="63E37527" w14:textId="77777777" w:rsidTr="00E32E4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34" w:type="dxa"/>
            <w:tcBorders>
              <w:right w:val="single" w:sz="4" w:space="0" w:color="000000"/>
            </w:tcBorders>
            <w:shd w:val="clear" w:color="auto" w:fill="auto"/>
          </w:tcPr>
          <w:p w14:paraId="09927A76"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color w:val="000000"/>
              </w:rPr>
            </w:pPr>
            <w:r w:rsidRPr="005618CB">
              <w:rPr>
                <w:rFonts w:eastAsia="PMingLiU" w:cs="Calibri"/>
                <w:color w:val="000000"/>
              </w:rPr>
              <w:t>SAMM Number</w:t>
            </w:r>
          </w:p>
        </w:tc>
        <w:tc>
          <w:tcPr>
            <w:tcW w:w="2656" w:type="dxa"/>
            <w:tcBorders>
              <w:left w:val="single" w:sz="4" w:space="0" w:color="000000"/>
              <w:right w:val="single" w:sz="4" w:space="0" w:color="000000"/>
            </w:tcBorders>
            <w:shd w:val="clear" w:color="auto" w:fill="auto"/>
          </w:tcPr>
          <w:p w14:paraId="5370BF6E"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5618CB">
              <w:rPr>
                <w:rFonts w:eastAsia="PMingLiU" w:cs="Calibri"/>
                <w:color w:val="000000"/>
              </w:rPr>
              <w:t>SAMM Name</w:t>
            </w:r>
          </w:p>
        </w:tc>
        <w:tc>
          <w:tcPr>
            <w:tcW w:w="839" w:type="dxa"/>
            <w:tcBorders>
              <w:left w:val="single" w:sz="4" w:space="0" w:color="000000"/>
              <w:right w:val="single" w:sz="4" w:space="0" w:color="000000"/>
            </w:tcBorders>
            <w:shd w:val="clear" w:color="auto" w:fill="auto"/>
          </w:tcPr>
          <w:p w14:paraId="276CD281"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5618CB">
              <w:rPr>
                <w:rFonts w:eastAsia="PMingLiU" w:cs="Calibri"/>
                <w:color w:val="000000"/>
              </w:rPr>
              <w:t>State Plan Data</w:t>
            </w:r>
          </w:p>
        </w:tc>
        <w:tc>
          <w:tcPr>
            <w:tcW w:w="1141" w:type="dxa"/>
            <w:tcBorders>
              <w:left w:val="single" w:sz="4" w:space="0" w:color="000000"/>
              <w:right w:val="single" w:sz="4" w:space="0" w:color="000000"/>
            </w:tcBorders>
            <w:shd w:val="clear" w:color="auto" w:fill="auto"/>
          </w:tcPr>
          <w:p w14:paraId="14D455CA"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5618CB">
              <w:rPr>
                <w:rFonts w:eastAsia="PMingLiU" w:cs="Calibri"/>
                <w:color w:val="000000"/>
              </w:rPr>
              <w:t>Further Review Level</w:t>
            </w:r>
          </w:p>
        </w:tc>
        <w:tc>
          <w:tcPr>
            <w:tcW w:w="4680" w:type="dxa"/>
            <w:tcBorders>
              <w:left w:val="single" w:sz="4" w:space="0" w:color="000000"/>
            </w:tcBorders>
            <w:shd w:val="clear" w:color="auto" w:fill="auto"/>
          </w:tcPr>
          <w:p w14:paraId="30EBDF54"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cs="Calibri"/>
                <w:color w:val="000000"/>
              </w:rPr>
            </w:pPr>
            <w:r w:rsidRPr="005618CB">
              <w:rPr>
                <w:rFonts w:eastAsia="PMingLiU" w:cs="Calibri"/>
                <w:color w:val="000000"/>
              </w:rPr>
              <w:t>Notes</w:t>
            </w:r>
          </w:p>
        </w:tc>
      </w:tr>
      <w:tr w:rsidR="005618CB" w:rsidRPr="005618CB" w14:paraId="36FC3FFD"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281238A1"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1a</w:t>
            </w:r>
          </w:p>
        </w:tc>
        <w:tc>
          <w:tcPr>
            <w:tcW w:w="2656" w:type="dxa"/>
          </w:tcPr>
          <w:p w14:paraId="5E133BB3"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 xml:space="preserve">Average number of </w:t>
            </w:r>
            <w:proofErr w:type="gramStart"/>
            <w:r w:rsidRPr="005618CB">
              <w:rPr>
                <w:rFonts w:cs="Calibri"/>
                <w:sz w:val="22"/>
                <w:szCs w:val="22"/>
              </w:rPr>
              <w:t>work days</w:t>
            </w:r>
            <w:proofErr w:type="gramEnd"/>
            <w:r w:rsidRPr="005618CB">
              <w:rPr>
                <w:rFonts w:cs="Calibri"/>
                <w:sz w:val="22"/>
                <w:szCs w:val="22"/>
              </w:rPr>
              <w:t xml:space="preserve"> to initiate complaint inspections (state formula)</w:t>
            </w:r>
          </w:p>
        </w:tc>
        <w:tc>
          <w:tcPr>
            <w:tcW w:w="839" w:type="dxa"/>
          </w:tcPr>
          <w:p w14:paraId="22E6193F"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3.14</w:t>
            </w:r>
          </w:p>
        </w:tc>
        <w:tc>
          <w:tcPr>
            <w:tcW w:w="1141" w:type="dxa"/>
          </w:tcPr>
          <w:p w14:paraId="706349D8"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7</w:t>
            </w:r>
          </w:p>
        </w:tc>
        <w:tc>
          <w:tcPr>
            <w:tcW w:w="4680" w:type="dxa"/>
          </w:tcPr>
          <w:p w14:paraId="2C14DA02"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negotiated by OSHA and the State Plan.</w:t>
            </w:r>
          </w:p>
        </w:tc>
      </w:tr>
      <w:tr w:rsidR="005618CB" w:rsidRPr="005618CB" w14:paraId="6F2C4BBE"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062FAEC5"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1b</w:t>
            </w:r>
          </w:p>
        </w:tc>
        <w:tc>
          <w:tcPr>
            <w:tcW w:w="2656" w:type="dxa"/>
          </w:tcPr>
          <w:p w14:paraId="6E507795"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 xml:space="preserve">Average number of </w:t>
            </w:r>
            <w:proofErr w:type="gramStart"/>
            <w:r w:rsidRPr="005618CB">
              <w:rPr>
                <w:rFonts w:cs="Calibri"/>
                <w:sz w:val="22"/>
                <w:szCs w:val="22"/>
              </w:rPr>
              <w:t>work days</w:t>
            </w:r>
            <w:proofErr w:type="gramEnd"/>
            <w:r w:rsidRPr="005618CB">
              <w:rPr>
                <w:rFonts w:cs="Calibri"/>
                <w:sz w:val="22"/>
                <w:szCs w:val="22"/>
              </w:rPr>
              <w:t xml:space="preserve"> to initiate complaint inspections (federal formula)</w:t>
            </w:r>
          </w:p>
        </w:tc>
        <w:tc>
          <w:tcPr>
            <w:tcW w:w="839" w:type="dxa"/>
          </w:tcPr>
          <w:p w14:paraId="20087BED"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1.38</w:t>
            </w:r>
          </w:p>
        </w:tc>
        <w:tc>
          <w:tcPr>
            <w:tcW w:w="1141" w:type="dxa"/>
          </w:tcPr>
          <w:p w14:paraId="0087030D"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N/A</w:t>
            </w:r>
          </w:p>
        </w:tc>
        <w:tc>
          <w:tcPr>
            <w:tcW w:w="4680" w:type="dxa"/>
          </w:tcPr>
          <w:p w14:paraId="568CB5EE"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This measure is for informational purposes only and is not a mandated measure.</w:t>
            </w:r>
          </w:p>
        </w:tc>
      </w:tr>
      <w:tr w:rsidR="005618CB" w:rsidRPr="005618CB" w14:paraId="012CBE1B"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1162ACFD"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2a</w:t>
            </w:r>
          </w:p>
        </w:tc>
        <w:tc>
          <w:tcPr>
            <w:tcW w:w="2656" w:type="dxa"/>
          </w:tcPr>
          <w:p w14:paraId="11932E38"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 xml:space="preserve">Average number of </w:t>
            </w:r>
            <w:proofErr w:type="gramStart"/>
            <w:r w:rsidRPr="005618CB">
              <w:rPr>
                <w:rFonts w:cs="Calibri"/>
                <w:sz w:val="22"/>
                <w:szCs w:val="22"/>
              </w:rPr>
              <w:t>work days</w:t>
            </w:r>
            <w:proofErr w:type="gramEnd"/>
            <w:r w:rsidRPr="005618CB">
              <w:rPr>
                <w:rFonts w:cs="Calibri"/>
                <w:sz w:val="22"/>
                <w:szCs w:val="22"/>
              </w:rPr>
              <w:t xml:space="preserve"> to initiate complaint investigations (state formula)</w:t>
            </w:r>
          </w:p>
        </w:tc>
        <w:tc>
          <w:tcPr>
            <w:tcW w:w="839" w:type="dxa"/>
          </w:tcPr>
          <w:p w14:paraId="5660D8AF"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17.07</w:t>
            </w:r>
          </w:p>
        </w:tc>
        <w:tc>
          <w:tcPr>
            <w:tcW w:w="1141" w:type="dxa"/>
          </w:tcPr>
          <w:p w14:paraId="5C659035"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3</w:t>
            </w:r>
          </w:p>
        </w:tc>
        <w:tc>
          <w:tcPr>
            <w:tcW w:w="4680" w:type="dxa"/>
          </w:tcPr>
          <w:p w14:paraId="3F5A2AE7"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negotiated by OSHA and the State Plan.</w:t>
            </w:r>
          </w:p>
        </w:tc>
      </w:tr>
      <w:tr w:rsidR="005618CB" w:rsidRPr="005618CB" w14:paraId="56DFDC35"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2C85D1A6"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2b</w:t>
            </w:r>
          </w:p>
        </w:tc>
        <w:tc>
          <w:tcPr>
            <w:tcW w:w="2656" w:type="dxa"/>
          </w:tcPr>
          <w:p w14:paraId="24C89DDB"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 xml:space="preserve">Average number of </w:t>
            </w:r>
            <w:proofErr w:type="gramStart"/>
            <w:r w:rsidRPr="005618CB">
              <w:rPr>
                <w:rFonts w:cs="Calibri"/>
                <w:sz w:val="22"/>
                <w:szCs w:val="22"/>
              </w:rPr>
              <w:t>work days</w:t>
            </w:r>
            <w:proofErr w:type="gramEnd"/>
            <w:r w:rsidRPr="005618CB">
              <w:rPr>
                <w:rFonts w:cs="Calibri"/>
                <w:sz w:val="22"/>
                <w:szCs w:val="22"/>
              </w:rPr>
              <w:t xml:space="preserve"> to initiate complaint investigations (federal formula)</w:t>
            </w:r>
          </w:p>
        </w:tc>
        <w:tc>
          <w:tcPr>
            <w:tcW w:w="839" w:type="dxa"/>
          </w:tcPr>
          <w:p w14:paraId="3F5CA3A7"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9.66</w:t>
            </w:r>
          </w:p>
        </w:tc>
        <w:tc>
          <w:tcPr>
            <w:tcW w:w="1141" w:type="dxa"/>
          </w:tcPr>
          <w:p w14:paraId="5FFF0BA1"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N/A</w:t>
            </w:r>
          </w:p>
        </w:tc>
        <w:tc>
          <w:tcPr>
            <w:tcW w:w="4680" w:type="dxa"/>
          </w:tcPr>
          <w:p w14:paraId="566E0C6F"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This measure is for informational purposes only and is not a mandated measure.</w:t>
            </w:r>
          </w:p>
        </w:tc>
      </w:tr>
      <w:tr w:rsidR="005618CB" w:rsidRPr="005618CB" w14:paraId="4383CCB0"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650FCDF2"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3</w:t>
            </w:r>
          </w:p>
        </w:tc>
        <w:tc>
          <w:tcPr>
            <w:tcW w:w="2656" w:type="dxa"/>
          </w:tcPr>
          <w:p w14:paraId="2A5C9DF3"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Percent of complaints and referrals responded to within one workday (imminent danger)</w:t>
            </w:r>
          </w:p>
        </w:tc>
        <w:tc>
          <w:tcPr>
            <w:tcW w:w="839" w:type="dxa"/>
          </w:tcPr>
          <w:p w14:paraId="3E242F5F"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100%</w:t>
            </w:r>
          </w:p>
        </w:tc>
        <w:tc>
          <w:tcPr>
            <w:tcW w:w="1141" w:type="dxa"/>
          </w:tcPr>
          <w:p w14:paraId="0D3A1CEB"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100%</w:t>
            </w:r>
          </w:p>
        </w:tc>
        <w:tc>
          <w:tcPr>
            <w:tcW w:w="4680" w:type="dxa"/>
          </w:tcPr>
          <w:p w14:paraId="097408D7"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fixed for all State Plans.</w:t>
            </w:r>
          </w:p>
        </w:tc>
      </w:tr>
      <w:tr w:rsidR="005618CB" w:rsidRPr="005618CB" w14:paraId="4C8FB396"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325058B3"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4</w:t>
            </w:r>
          </w:p>
        </w:tc>
        <w:tc>
          <w:tcPr>
            <w:tcW w:w="2656" w:type="dxa"/>
          </w:tcPr>
          <w:p w14:paraId="4F679FEC"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Number of denials where entry not obtained</w:t>
            </w:r>
          </w:p>
        </w:tc>
        <w:tc>
          <w:tcPr>
            <w:tcW w:w="839" w:type="dxa"/>
          </w:tcPr>
          <w:p w14:paraId="556EF2DB"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0</w:t>
            </w:r>
          </w:p>
        </w:tc>
        <w:tc>
          <w:tcPr>
            <w:tcW w:w="1141" w:type="dxa"/>
          </w:tcPr>
          <w:p w14:paraId="1C679866"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0</w:t>
            </w:r>
          </w:p>
        </w:tc>
        <w:tc>
          <w:tcPr>
            <w:tcW w:w="4680" w:type="dxa"/>
          </w:tcPr>
          <w:p w14:paraId="4D4E368E"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fixed for all State Plans.</w:t>
            </w:r>
          </w:p>
        </w:tc>
      </w:tr>
      <w:tr w:rsidR="005618CB" w:rsidRPr="005618CB" w14:paraId="25134ADC" w14:textId="77777777" w:rsidTr="00E32E4B">
        <w:trPr>
          <w:trHeight w:val="854"/>
        </w:trPr>
        <w:tc>
          <w:tcPr>
            <w:cnfStyle w:val="001000000000" w:firstRow="0" w:lastRow="0" w:firstColumn="1" w:lastColumn="0" w:oddVBand="0" w:evenVBand="0" w:oddHBand="0" w:evenHBand="0" w:firstRowFirstColumn="0" w:firstRowLastColumn="0" w:lastRowFirstColumn="0" w:lastRowLastColumn="0"/>
            <w:tcW w:w="1034" w:type="dxa"/>
          </w:tcPr>
          <w:p w14:paraId="3FE95EB4"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5a</w:t>
            </w:r>
          </w:p>
        </w:tc>
        <w:tc>
          <w:tcPr>
            <w:tcW w:w="2656" w:type="dxa"/>
          </w:tcPr>
          <w:p w14:paraId="76E2F7BA"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Average number of violations per inspection with violations by violation type (SWRU)</w:t>
            </w:r>
          </w:p>
        </w:tc>
        <w:tc>
          <w:tcPr>
            <w:tcW w:w="839" w:type="dxa"/>
          </w:tcPr>
          <w:p w14:paraId="7C46A0B0"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1.35</w:t>
            </w:r>
          </w:p>
        </w:tc>
        <w:tc>
          <w:tcPr>
            <w:tcW w:w="1141" w:type="dxa"/>
          </w:tcPr>
          <w:p w14:paraId="3C8F8589"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+/- 20% of</w:t>
            </w:r>
          </w:p>
          <w:p w14:paraId="6902AD83"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1.77</w:t>
            </w:r>
          </w:p>
          <w:p w14:paraId="26C76524"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680" w:type="dxa"/>
          </w:tcPr>
          <w:p w14:paraId="4A7FD4CB"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 xml:space="preserve">The further review level is based on a three-year national average.  The range of acceptable data not requiring further review is from 1.42 to 2.12 for SWRU. </w:t>
            </w:r>
          </w:p>
        </w:tc>
      </w:tr>
      <w:tr w:rsidR="005618CB" w:rsidRPr="005618CB" w14:paraId="3286AB24"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702BAEF6"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5b</w:t>
            </w:r>
          </w:p>
        </w:tc>
        <w:tc>
          <w:tcPr>
            <w:tcW w:w="2656" w:type="dxa"/>
          </w:tcPr>
          <w:p w14:paraId="56E419CA"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Average number of violations per inspection with violations by violation type (other)</w:t>
            </w:r>
          </w:p>
        </w:tc>
        <w:tc>
          <w:tcPr>
            <w:tcW w:w="839" w:type="dxa"/>
          </w:tcPr>
          <w:p w14:paraId="07BE2F21"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1.56</w:t>
            </w:r>
          </w:p>
        </w:tc>
        <w:tc>
          <w:tcPr>
            <w:tcW w:w="1141" w:type="dxa"/>
          </w:tcPr>
          <w:p w14:paraId="2622C92D"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+/- 20% of</w:t>
            </w:r>
          </w:p>
          <w:p w14:paraId="1F8C8211"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0.90</w:t>
            </w:r>
          </w:p>
        </w:tc>
        <w:tc>
          <w:tcPr>
            <w:tcW w:w="4680" w:type="dxa"/>
          </w:tcPr>
          <w:p w14:paraId="6C667AEC"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The further review level is based on a three-year national average.  The range of acceptable data not requiring further review is from 0.72 to 1.08 for OTS.</w:t>
            </w:r>
          </w:p>
        </w:tc>
      </w:tr>
      <w:tr w:rsidR="005618CB" w:rsidRPr="005618CB" w14:paraId="3BB2DFE8"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73606435"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6</w:t>
            </w:r>
          </w:p>
        </w:tc>
        <w:tc>
          <w:tcPr>
            <w:tcW w:w="2656" w:type="dxa"/>
          </w:tcPr>
          <w:p w14:paraId="53F1472E"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Percent of total inspections in state and local government workplaces</w:t>
            </w:r>
          </w:p>
        </w:tc>
        <w:tc>
          <w:tcPr>
            <w:tcW w:w="839" w:type="dxa"/>
          </w:tcPr>
          <w:p w14:paraId="6A448859"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13.14%</w:t>
            </w:r>
          </w:p>
        </w:tc>
        <w:tc>
          <w:tcPr>
            <w:tcW w:w="1141" w:type="dxa"/>
          </w:tcPr>
          <w:p w14:paraId="622FB9F6"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+/- 5% of</w:t>
            </w:r>
          </w:p>
          <w:p w14:paraId="5BFE0754"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5.16%</w:t>
            </w:r>
          </w:p>
        </w:tc>
        <w:tc>
          <w:tcPr>
            <w:tcW w:w="4680" w:type="dxa"/>
          </w:tcPr>
          <w:p w14:paraId="3B6C101C"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The further review level is based on a number negotiated by OSHA and the State Plan through the grant application.  The range of acceptable data not requiring further review is from 4.90% to 5.42%.</w:t>
            </w:r>
          </w:p>
        </w:tc>
      </w:tr>
      <w:tr w:rsidR="005618CB" w:rsidRPr="005618CB" w14:paraId="2D360679"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5844AA09"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7a</w:t>
            </w:r>
          </w:p>
        </w:tc>
        <w:tc>
          <w:tcPr>
            <w:tcW w:w="2656" w:type="dxa"/>
          </w:tcPr>
          <w:p w14:paraId="5D3C048B"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Planned v. actual inspections (safety)</w:t>
            </w:r>
          </w:p>
        </w:tc>
        <w:tc>
          <w:tcPr>
            <w:tcW w:w="839" w:type="dxa"/>
          </w:tcPr>
          <w:p w14:paraId="62872A33"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244</w:t>
            </w:r>
          </w:p>
        </w:tc>
        <w:tc>
          <w:tcPr>
            <w:tcW w:w="1141" w:type="dxa"/>
          </w:tcPr>
          <w:p w14:paraId="766AE155"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xml:space="preserve">+/- 5% of </w:t>
            </w:r>
          </w:p>
          <w:p w14:paraId="7D536EEA"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505</w:t>
            </w:r>
          </w:p>
        </w:tc>
        <w:tc>
          <w:tcPr>
            <w:tcW w:w="4680" w:type="dxa"/>
          </w:tcPr>
          <w:p w14:paraId="04D2FCB9"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based on a number negotiated by OSHA and the State Plan through the grant application.  The range of acceptable data not requiring further review is from 479.75 to 530.25 for safety.</w:t>
            </w:r>
          </w:p>
        </w:tc>
      </w:tr>
      <w:tr w:rsidR="005618CB" w:rsidRPr="005618CB" w14:paraId="77264880"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0CA30B74"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lastRenderedPageBreak/>
              <w:t>7b</w:t>
            </w:r>
          </w:p>
        </w:tc>
        <w:tc>
          <w:tcPr>
            <w:tcW w:w="2656" w:type="dxa"/>
          </w:tcPr>
          <w:p w14:paraId="65FB1D28"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Planned v. actual inspections (health)</w:t>
            </w:r>
          </w:p>
        </w:tc>
        <w:tc>
          <w:tcPr>
            <w:tcW w:w="839" w:type="dxa"/>
          </w:tcPr>
          <w:p w14:paraId="6D9A7453"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106</w:t>
            </w:r>
          </w:p>
        </w:tc>
        <w:tc>
          <w:tcPr>
            <w:tcW w:w="1141" w:type="dxa"/>
          </w:tcPr>
          <w:p w14:paraId="596D8A77"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xml:space="preserve">+/- 5% of </w:t>
            </w:r>
          </w:p>
          <w:p w14:paraId="5A65C9E0"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270</w:t>
            </w:r>
          </w:p>
        </w:tc>
        <w:tc>
          <w:tcPr>
            <w:tcW w:w="4680" w:type="dxa"/>
          </w:tcPr>
          <w:p w14:paraId="0DFE7DA1"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based on a number negotiated by OSHA and the State Plan through the grant application.  The range of acceptable data not requiring further review is from 256.50 to 283.50 for health.</w:t>
            </w:r>
          </w:p>
        </w:tc>
      </w:tr>
      <w:tr w:rsidR="005618CB" w:rsidRPr="005618CB" w14:paraId="634BA093"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12B84D7D"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8</w:t>
            </w:r>
          </w:p>
        </w:tc>
        <w:tc>
          <w:tcPr>
            <w:tcW w:w="2656" w:type="dxa"/>
          </w:tcPr>
          <w:p w14:paraId="438178F8"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Average current serious penalty in private sector - total (1 to greater than 250 workers)</w:t>
            </w:r>
          </w:p>
        </w:tc>
        <w:tc>
          <w:tcPr>
            <w:tcW w:w="839" w:type="dxa"/>
          </w:tcPr>
          <w:p w14:paraId="590AA3A6"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$1,191.59</w:t>
            </w:r>
          </w:p>
        </w:tc>
        <w:tc>
          <w:tcPr>
            <w:tcW w:w="1141" w:type="dxa"/>
          </w:tcPr>
          <w:p w14:paraId="0835042E"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xml:space="preserve">+/- 25% of </w:t>
            </w:r>
          </w:p>
          <w:p w14:paraId="74EE0943"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$3,259.35</w:t>
            </w:r>
          </w:p>
          <w:p w14:paraId="6AE64427"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680" w:type="dxa"/>
          </w:tcPr>
          <w:p w14:paraId="1ED16CE7" w14:textId="77777777" w:rsidR="005618CB" w:rsidRPr="005618CB" w:rsidRDefault="005618CB" w:rsidP="005618CB">
            <w:pPr>
              <w:ind w:right="1331"/>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The further review level is based on a three-year national average.  The range of acceptable data not requiring further review is from $2,444.51 to $4,074.19.</w:t>
            </w:r>
          </w:p>
        </w:tc>
      </w:tr>
      <w:tr w:rsidR="005618CB" w:rsidRPr="005618CB" w14:paraId="6C203A96"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675C0C41"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p>
        </w:tc>
        <w:tc>
          <w:tcPr>
            <w:tcW w:w="2656" w:type="dxa"/>
          </w:tcPr>
          <w:p w14:paraId="514F062F" w14:textId="77777777" w:rsidR="005618CB" w:rsidRPr="005618CB" w:rsidRDefault="005618CB" w:rsidP="005618CB">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b/>
                <w:sz w:val="22"/>
                <w:szCs w:val="22"/>
              </w:rPr>
              <w:t>a</w:t>
            </w:r>
            <w:r w:rsidRPr="005618CB">
              <w:rPr>
                <w:rFonts w:cs="Calibri"/>
                <w:sz w:val="22"/>
                <w:szCs w:val="22"/>
              </w:rPr>
              <w:t>.  Average current serious penalty in private sector</w:t>
            </w:r>
          </w:p>
          <w:p w14:paraId="5FAD1A7B"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xml:space="preserve"> (1-25 workers)</w:t>
            </w:r>
          </w:p>
        </w:tc>
        <w:tc>
          <w:tcPr>
            <w:tcW w:w="839" w:type="dxa"/>
          </w:tcPr>
          <w:p w14:paraId="0EDDBF9F"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$953.00</w:t>
            </w:r>
          </w:p>
        </w:tc>
        <w:tc>
          <w:tcPr>
            <w:tcW w:w="1141" w:type="dxa"/>
          </w:tcPr>
          <w:p w14:paraId="6C0CEF8E"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xml:space="preserve">+/- 25% of </w:t>
            </w:r>
          </w:p>
          <w:p w14:paraId="474F0EA6"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$2,145.46</w:t>
            </w:r>
          </w:p>
          <w:p w14:paraId="3EF1DE15"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680" w:type="dxa"/>
          </w:tcPr>
          <w:p w14:paraId="5FE1950F"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based on a three-year national average.  The range of acceptable data not requiring further review is from $1,609.10 to $2,681.83.</w:t>
            </w:r>
          </w:p>
        </w:tc>
      </w:tr>
      <w:tr w:rsidR="005618CB" w:rsidRPr="005618CB" w14:paraId="74B3468E"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2B747A0A"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p>
        </w:tc>
        <w:tc>
          <w:tcPr>
            <w:tcW w:w="2656" w:type="dxa"/>
          </w:tcPr>
          <w:p w14:paraId="2E7A9AB0" w14:textId="77777777" w:rsidR="005618CB" w:rsidRPr="005618CB" w:rsidRDefault="005618CB" w:rsidP="005618CB">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b/>
                <w:sz w:val="22"/>
                <w:szCs w:val="22"/>
              </w:rPr>
              <w:t>b</w:t>
            </w:r>
            <w:r w:rsidRPr="005618CB">
              <w:rPr>
                <w:rFonts w:cs="Calibri"/>
                <w:sz w:val="22"/>
                <w:szCs w:val="22"/>
              </w:rPr>
              <w:t xml:space="preserve">. Average current serious penalty in private sector </w:t>
            </w:r>
          </w:p>
          <w:p w14:paraId="308D2F99"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(26-100 workers</w:t>
            </w:r>
            <w:r w:rsidRPr="005618CB">
              <w:rPr>
                <w:rFonts w:cs="Calibri"/>
                <w:b/>
                <w:sz w:val="22"/>
                <w:szCs w:val="22"/>
              </w:rPr>
              <w:t>)</w:t>
            </w:r>
          </w:p>
        </w:tc>
        <w:tc>
          <w:tcPr>
            <w:tcW w:w="839" w:type="dxa"/>
          </w:tcPr>
          <w:p w14:paraId="3367DC5F"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$1,250.55</w:t>
            </w:r>
          </w:p>
        </w:tc>
        <w:tc>
          <w:tcPr>
            <w:tcW w:w="1141" w:type="dxa"/>
          </w:tcPr>
          <w:p w14:paraId="327DEF8B"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xml:space="preserve">+/- 25% of </w:t>
            </w:r>
          </w:p>
          <w:p w14:paraId="245B88D4"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$3,818.56</w:t>
            </w:r>
          </w:p>
          <w:p w14:paraId="669D04FB"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680" w:type="dxa"/>
          </w:tcPr>
          <w:p w14:paraId="30D4F477"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based on a three-year national average.  The range of acceptable data not requiring further review is from $2,863.92 to $4,773.20.</w:t>
            </w:r>
          </w:p>
        </w:tc>
      </w:tr>
      <w:tr w:rsidR="005618CB" w:rsidRPr="005618CB" w14:paraId="6AF3E99B"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1CA6A0D0"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p>
        </w:tc>
        <w:tc>
          <w:tcPr>
            <w:tcW w:w="2656" w:type="dxa"/>
          </w:tcPr>
          <w:p w14:paraId="3F73FC57" w14:textId="77777777" w:rsidR="005618CB" w:rsidRPr="005618CB" w:rsidRDefault="005618CB" w:rsidP="005618CB">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b/>
                <w:sz w:val="22"/>
                <w:szCs w:val="22"/>
              </w:rPr>
              <w:t>c</w:t>
            </w:r>
            <w:r w:rsidRPr="005618CB">
              <w:rPr>
                <w:rFonts w:cs="Calibri"/>
                <w:sz w:val="22"/>
                <w:szCs w:val="22"/>
              </w:rPr>
              <w:t>. Average current serious penalty in private sector</w:t>
            </w:r>
          </w:p>
          <w:p w14:paraId="5FA478F5"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(101-250 workers)</w:t>
            </w:r>
          </w:p>
        </w:tc>
        <w:tc>
          <w:tcPr>
            <w:tcW w:w="839" w:type="dxa"/>
          </w:tcPr>
          <w:p w14:paraId="43C149A9"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$1,760.50</w:t>
            </w:r>
          </w:p>
        </w:tc>
        <w:tc>
          <w:tcPr>
            <w:tcW w:w="1141" w:type="dxa"/>
          </w:tcPr>
          <w:p w14:paraId="6933BF7E"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xml:space="preserve">+/- 25% of </w:t>
            </w:r>
          </w:p>
          <w:p w14:paraId="01464295"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$5,469.60</w:t>
            </w:r>
          </w:p>
          <w:p w14:paraId="7F7500A1"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680" w:type="dxa"/>
          </w:tcPr>
          <w:p w14:paraId="46A60AAA"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based on a three-year national average.  The range of acceptable data not requiring further review is from $4,102.20 to $6,837.00.</w:t>
            </w:r>
          </w:p>
        </w:tc>
      </w:tr>
      <w:tr w:rsidR="005618CB" w:rsidRPr="005618CB" w14:paraId="3F2865E8"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2A55D4F3"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p>
        </w:tc>
        <w:tc>
          <w:tcPr>
            <w:tcW w:w="2656" w:type="dxa"/>
          </w:tcPr>
          <w:p w14:paraId="39D728A6" w14:textId="77777777" w:rsidR="005618CB" w:rsidRPr="005618CB" w:rsidRDefault="005618CB" w:rsidP="005618CB">
            <w:pPr>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b/>
                <w:sz w:val="22"/>
                <w:szCs w:val="22"/>
              </w:rPr>
              <w:t>d</w:t>
            </w:r>
            <w:r w:rsidRPr="005618CB">
              <w:rPr>
                <w:rFonts w:cs="Calibri"/>
                <w:sz w:val="22"/>
                <w:szCs w:val="22"/>
              </w:rPr>
              <w:t>. Average current serious penalty in private sector</w:t>
            </w:r>
          </w:p>
          <w:p w14:paraId="0E3F2EE4"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w:t>
            </w:r>
            <w:proofErr w:type="gramStart"/>
            <w:r w:rsidRPr="005618CB">
              <w:rPr>
                <w:rFonts w:cs="Calibri"/>
                <w:sz w:val="22"/>
                <w:szCs w:val="22"/>
              </w:rPr>
              <w:t>greater</w:t>
            </w:r>
            <w:proofErr w:type="gramEnd"/>
            <w:r w:rsidRPr="005618CB">
              <w:rPr>
                <w:rFonts w:cs="Calibri"/>
                <w:sz w:val="22"/>
                <w:szCs w:val="22"/>
              </w:rPr>
              <w:t xml:space="preserve"> than 250 workers)</w:t>
            </w:r>
          </w:p>
        </w:tc>
        <w:tc>
          <w:tcPr>
            <w:tcW w:w="839" w:type="dxa"/>
          </w:tcPr>
          <w:p w14:paraId="28F6985A"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$2,302.78</w:t>
            </w:r>
          </w:p>
        </w:tc>
        <w:tc>
          <w:tcPr>
            <w:tcW w:w="1141" w:type="dxa"/>
          </w:tcPr>
          <w:p w14:paraId="173F7F07"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xml:space="preserve">+/- 25% of </w:t>
            </w:r>
          </w:p>
          <w:p w14:paraId="79F8EA35"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$6,725.78</w:t>
            </w:r>
          </w:p>
          <w:p w14:paraId="5D3DFC12"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p>
        </w:tc>
        <w:tc>
          <w:tcPr>
            <w:tcW w:w="4680" w:type="dxa"/>
          </w:tcPr>
          <w:p w14:paraId="2DFC3274"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based on a three-year national average.  The range of acceptable data not requiring further review is from $5,044.34 to $8,407.23.</w:t>
            </w:r>
          </w:p>
        </w:tc>
      </w:tr>
      <w:tr w:rsidR="005618CB" w:rsidRPr="005618CB" w14:paraId="41B626DB"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0BDA3FFD"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9a</w:t>
            </w:r>
          </w:p>
        </w:tc>
        <w:tc>
          <w:tcPr>
            <w:tcW w:w="2656" w:type="dxa"/>
          </w:tcPr>
          <w:p w14:paraId="4ED5840F"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Percent in compliance (safety)</w:t>
            </w:r>
          </w:p>
        </w:tc>
        <w:tc>
          <w:tcPr>
            <w:tcW w:w="839" w:type="dxa"/>
          </w:tcPr>
          <w:p w14:paraId="7038014C"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36.36%</w:t>
            </w:r>
          </w:p>
        </w:tc>
        <w:tc>
          <w:tcPr>
            <w:tcW w:w="1141" w:type="dxa"/>
          </w:tcPr>
          <w:p w14:paraId="2F96B640"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+/- 20% of</w:t>
            </w:r>
          </w:p>
          <w:p w14:paraId="43DA6F9F"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32.25%</w:t>
            </w:r>
          </w:p>
        </w:tc>
        <w:tc>
          <w:tcPr>
            <w:tcW w:w="4680" w:type="dxa"/>
          </w:tcPr>
          <w:p w14:paraId="2DF8ED58"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based on a three-year national average.  The range of acceptable data not requiring further review is from 25.80% to 38.70% for safety.</w:t>
            </w:r>
          </w:p>
        </w:tc>
      </w:tr>
      <w:tr w:rsidR="005618CB" w:rsidRPr="005618CB" w14:paraId="58269F7E"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03FD69E4"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9b</w:t>
            </w:r>
          </w:p>
        </w:tc>
        <w:tc>
          <w:tcPr>
            <w:tcW w:w="2656" w:type="dxa"/>
          </w:tcPr>
          <w:p w14:paraId="2BD40A80"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Percent in compliance (health)</w:t>
            </w:r>
          </w:p>
        </w:tc>
        <w:tc>
          <w:tcPr>
            <w:tcW w:w="839" w:type="dxa"/>
          </w:tcPr>
          <w:p w14:paraId="00A38C99"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31.76%</w:t>
            </w:r>
          </w:p>
        </w:tc>
        <w:tc>
          <w:tcPr>
            <w:tcW w:w="1141" w:type="dxa"/>
          </w:tcPr>
          <w:p w14:paraId="1D55709F"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+/- 20% of</w:t>
            </w:r>
          </w:p>
          <w:p w14:paraId="71CE4F96"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44.42%</w:t>
            </w:r>
          </w:p>
        </w:tc>
        <w:tc>
          <w:tcPr>
            <w:tcW w:w="4680" w:type="dxa"/>
          </w:tcPr>
          <w:p w14:paraId="12D0324E"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based on a three-year national average.  The range of acceptable data not requiring further review is from 35.54% to 53.30% for health.</w:t>
            </w:r>
          </w:p>
        </w:tc>
      </w:tr>
      <w:tr w:rsidR="005618CB" w:rsidRPr="005618CB" w14:paraId="7F010602"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5CC197B6"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10</w:t>
            </w:r>
          </w:p>
        </w:tc>
        <w:tc>
          <w:tcPr>
            <w:tcW w:w="2656" w:type="dxa"/>
          </w:tcPr>
          <w:p w14:paraId="09E61363"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Percent of work-related fatalities responded to in one workday</w:t>
            </w:r>
          </w:p>
        </w:tc>
        <w:tc>
          <w:tcPr>
            <w:tcW w:w="839" w:type="dxa"/>
          </w:tcPr>
          <w:p w14:paraId="5A827084"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88.89%</w:t>
            </w:r>
          </w:p>
        </w:tc>
        <w:tc>
          <w:tcPr>
            <w:tcW w:w="1141" w:type="dxa"/>
          </w:tcPr>
          <w:p w14:paraId="59235098"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100%</w:t>
            </w:r>
          </w:p>
        </w:tc>
        <w:tc>
          <w:tcPr>
            <w:tcW w:w="4680" w:type="dxa"/>
          </w:tcPr>
          <w:p w14:paraId="3AD7AC7D"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fixed for all State Plans.</w:t>
            </w:r>
          </w:p>
        </w:tc>
      </w:tr>
      <w:tr w:rsidR="005618CB" w:rsidRPr="005618CB" w14:paraId="6C706F14"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65506952"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11a</w:t>
            </w:r>
          </w:p>
        </w:tc>
        <w:tc>
          <w:tcPr>
            <w:tcW w:w="2656" w:type="dxa"/>
          </w:tcPr>
          <w:p w14:paraId="58E54C86"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Average lapse time (safety)</w:t>
            </w:r>
          </w:p>
        </w:tc>
        <w:tc>
          <w:tcPr>
            <w:tcW w:w="839" w:type="dxa"/>
          </w:tcPr>
          <w:p w14:paraId="6FB5936F"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64.29</w:t>
            </w:r>
          </w:p>
        </w:tc>
        <w:tc>
          <w:tcPr>
            <w:tcW w:w="1141" w:type="dxa"/>
          </w:tcPr>
          <w:p w14:paraId="23E5F29A"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xml:space="preserve">+/- 20% of </w:t>
            </w:r>
          </w:p>
          <w:p w14:paraId="4798B95D"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54.58</w:t>
            </w:r>
          </w:p>
        </w:tc>
        <w:tc>
          <w:tcPr>
            <w:tcW w:w="4680" w:type="dxa"/>
          </w:tcPr>
          <w:p w14:paraId="490C0033"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xml:space="preserve">The further review level is based on a three-year national average.  The range of acceptable data not requiring further review is </w:t>
            </w:r>
            <w:r w:rsidRPr="005618CB">
              <w:rPr>
                <w:rFonts w:cs="Calibri"/>
                <w:sz w:val="22"/>
                <w:szCs w:val="22"/>
              </w:rPr>
              <w:lastRenderedPageBreak/>
              <w:t>from 43.66 to 65.50 for safety.</w:t>
            </w:r>
          </w:p>
        </w:tc>
      </w:tr>
      <w:tr w:rsidR="005618CB" w:rsidRPr="005618CB" w14:paraId="737846B0"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30624834"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lastRenderedPageBreak/>
              <w:t>11b</w:t>
            </w:r>
          </w:p>
        </w:tc>
        <w:tc>
          <w:tcPr>
            <w:tcW w:w="2656" w:type="dxa"/>
          </w:tcPr>
          <w:p w14:paraId="4578C922"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Average lapse time (health)</w:t>
            </w:r>
          </w:p>
        </w:tc>
        <w:tc>
          <w:tcPr>
            <w:tcW w:w="839" w:type="dxa"/>
          </w:tcPr>
          <w:p w14:paraId="45C8F9D0"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46.03</w:t>
            </w:r>
          </w:p>
        </w:tc>
        <w:tc>
          <w:tcPr>
            <w:tcW w:w="1141" w:type="dxa"/>
          </w:tcPr>
          <w:p w14:paraId="4A247FF2"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xml:space="preserve">+/- 20% of </w:t>
            </w:r>
          </w:p>
          <w:p w14:paraId="754D4984"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69.03</w:t>
            </w:r>
          </w:p>
        </w:tc>
        <w:tc>
          <w:tcPr>
            <w:tcW w:w="4680" w:type="dxa"/>
          </w:tcPr>
          <w:p w14:paraId="310A4EA8"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based on a three-year national average.  The range of acceptable data not requiring further review is from 55.22 to 82.84 for health.</w:t>
            </w:r>
          </w:p>
        </w:tc>
      </w:tr>
      <w:tr w:rsidR="005618CB" w:rsidRPr="005618CB" w14:paraId="6B43916B"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683CCEF6"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12</w:t>
            </w:r>
          </w:p>
        </w:tc>
        <w:tc>
          <w:tcPr>
            <w:tcW w:w="2656" w:type="dxa"/>
          </w:tcPr>
          <w:p w14:paraId="7FDCAB79"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Percent penalty retained</w:t>
            </w:r>
          </w:p>
        </w:tc>
        <w:tc>
          <w:tcPr>
            <w:tcW w:w="839" w:type="dxa"/>
          </w:tcPr>
          <w:p w14:paraId="4FAB47AD"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98.64%</w:t>
            </w:r>
          </w:p>
        </w:tc>
        <w:tc>
          <w:tcPr>
            <w:tcW w:w="1141" w:type="dxa"/>
          </w:tcPr>
          <w:p w14:paraId="78E9A876"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+/- 15% of</w:t>
            </w:r>
          </w:p>
          <w:p w14:paraId="36F0B74C"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69.97%</w:t>
            </w:r>
          </w:p>
        </w:tc>
        <w:tc>
          <w:tcPr>
            <w:tcW w:w="4680" w:type="dxa"/>
          </w:tcPr>
          <w:p w14:paraId="4BB49EF9"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based on a three-year national average.  The range of acceptable data not requiring further review is from 59.47% to 80.47%.</w:t>
            </w:r>
          </w:p>
        </w:tc>
      </w:tr>
      <w:tr w:rsidR="005618CB" w:rsidRPr="005618CB" w14:paraId="4EFDF95B"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1A2EA358"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13</w:t>
            </w:r>
          </w:p>
        </w:tc>
        <w:tc>
          <w:tcPr>
            <w:tcW w:w="2656" w:type="dxa"/>
          </w:tcPr>
          <w:p w14:paraId="0A3D28FC"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Percent of initial inspections with worker walk-around representation or worker interview</w:t>
            </w:r>
          </w:p>
        </w:tc>
        <w:tc>
          <w:tcPr>
            <w:tcW w:w="839" w:type="dxa"/>
          </w:tcPr>
          <w:p w14:paraId="6759FFFF"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99.14%</w:t>
            </w:r>
          </w:p>
        </w:tc>
        <w:tc>
          <w:tcPr>
            <w:tcW w:w="1141" w:type="dxa"/>
          </w:tcPr>
          <w:p w14:paraId="02BEB92D"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100%</w:t>
            </w:r>
          </w:p>
        </w:tc>
        <w:tc>
          <w:tcPr>
            <w:tcW w:w="4680" w:type="dxa"/>
          </w:tcPr>
          <w:p w14:paraId="69D29729"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fixed for all State Plans.</w:t>
            </w:r>
          </w:p>
        </w:tc>
      </w:tr>
      <w:tr w:rsidR="005618CB" w:rsidRPr="005618CB" w14:paraId="7DD87411"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0053F367"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14</w:t>
            </w:r>
          </w:p>
        </w:tc>
        <w:tc>
          <w:tcPr>
            <w:tcW w:w="2656" w:type="dxa"/>
          </w:tcPr>
          <w:p w14:paraId="2FAD53A4"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Percent of 11(c) investigations completed within 90 days</w:t>
            </w:r>
          </w:p>
        </w:tc>
        <w:tc>
          <w:tcPr>
            <w:tcW w:w="839" w:type="dxa"/>
          </w:tcPr>
          <w:p w14:paraId="276E8E47"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N/A*</w:t>
            </w:r>
          </w:p>
        </w:tc>
        <w:tc>
          <w:tcPr>
            <w:tcW w:w="1141" w:type="dxa"/>
          </w:tcPr>
          <w:p w14:paraId="5754F788"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N/A*</w:t>
            </w:r>
          </w:p>
        </w:tc>
        <w:tc>
          <w:tcPr>
            <w:tcW w:w="4680" w:type="dxa"/>
          </w:tcPr>
          <w:p w14:paraId="71A91005" w14:textId="6CB4DACD"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This measure is not being reported for FY 2022. Please see note below.</w:t>
            </w:r>
          </w:p>
        </w:tc>
      </w:tr>
      <w:tr w:rsidR="005618CB" w:rsidRPr="005618CB" w14:paraId="7F199C3E"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73E9B1E0"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15</w:t>
            </w:r>
          </w:p>
        </w:tc>
        <w:tc>
          <w:tcPr>
            <w:tcW w:w="2656" w:type="dxa"/>
          </w:tcPr>
          <w:p w14:paraId="6759C865"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Percent of 11(c) complaints that are meritorious</w:t>
            </w:r>
          </w:p>
        </w:tc>
        <w:tc>
          <w:tcPr>
            <w:tcW w:w="839" w:type="dxa"/>
          </w:tcPr>
          <w:p w14:paraId="7A69CBCA"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N/A*</w:t>
            </w:r>
          </w:p>
        </w:tc>
        <w:tc>
          <w:tcPr>
            <w:tcW w:w="1141" w:type="dxa"/>
          </w:tcPr>
          <w:p w14:paraId="47BC0350"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N/A*</w:t>
            </w:r>
          </w:p>
        </w:tc>
        <w:tc>
          <w:tcPr>
            <w:tcW w:w="4680" w:type="dxa"/>
          </w:tcPr>
          <w:p w14:paraId="12D7E284"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 xml:space="preserve">This measure is not being reported for FY 2022. Please see note below. </w:t>
            </w:r>
          </w:p>
        </w:tc>
      </w:tr>
      <w:tr w:rsidR="005618CB" w:rsidRPr="005618CB" w14:paraId="6FE32569"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148C02DE"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16</w:t>
            </w:r>
          </w:p>
        </w:tc>
        <w:tc>
          <w:tcPr>
            <w:tcW w:w="2656" w:type="dxa"/>
          </w:tcPr>
          <w:p w14:paraId="5A56BA5D"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Average number of calendar days to complete an 11(c) investigation</w:t>
            </w:r>
          </w:p>
        </w:tc>
        <w:tc>
          <w:tcPr>
            <w:tcW w:w="839" w:type="dxa"/>
          </w:tcPr>
          <w:p w14:paraId="4C387912"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N/A*</w:t>
            </w:r>
          </w:p>
        </w:tc>
        <w:tc>
          <w:tcPr>
            <w:tcW w:w="1141" w:type="dxa"/>
            <w:shd w:val="clear" w:color="auto" w:fill="auto"/>
          </w:tcPr>
          <w:p w14:paraId="2D8987F9"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N/A*</w:t>
            </w:r>
          </w:p>
        </w:tc>
        <w:tc>
          <w:tcPr>
            <w:tcW w:w="4680" w:type="dxa"/>
          </w:tcPr>
          <w:p w14:paraId="10322C88"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eastAsia="PMingLiU" w:cs="Calibri"/>
                <w:sz w:val="22"/>
                <w:szCs w:val="22"/>
              </w:rPr>
              <w:t>This measure is not being reported for FY 2022. Please see note below.</w:t>
            </w:r>
          </w:p>
        </w:tc>
      </w:tr>
      <w:tr w:rsidR="005618CB" w:rsidRPr="005618CB" w14:paraId="76BB0E2C" w14:textId="77777777" w:rsidTr="00E32E4B">
        <w:tc>
          <w:tcPr>
            <w:cnfStyle w:val="001000000000" w:firstRow="0" w:lastRow="0" w:firstColumn="1" w:lastColumn="0" w:oddVBand="0" w:evenVBand="0" w:oddHBand="0" w:evenHBand="0" w:firstRowFirstColumn="0" w:firstRowLastColumn="0" w:lastRowFirstColumn="0" w:lastRowLastColumn="0"/>
            <w:tcW w:w="1034" w:type="dxa"/>
          </w:tcPr>
          <w:p w14:paraId="781F1C56"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cs="Calibri"/>
              </w:rPr>
            </w:pPr>
            <w:r w:rsidRPr="005618CB">
              <w:rPr>
                <w:rFonts w:eastAsia="PMingLiU" w:cs="Calibri"/>
              </w:rPr>
              <w:t>17</w:t>
            </w:r>
          </w:p>
        </w:tc>
        <w:tc>
          <w:tcPr>
            <w:tcW w:w="2656" w:type="dxa"/>
          </w:tcPr>
          <w:p w14:paraId="5C8EFE5C"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Percent of enforcement presence</w:t>
            </w:r>
          </w:p>
        </w:tc>
        <w:tc>
          <w:tcPr>
            <w:tcW w:w="839" w:type="dxa"/>
          </w:tcPr>
          <w:p w14:paraId="74C0F7A5"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0.31%</w:t>
            </w:r>
          </w:p>
        </w:tc>
        <w:tc>
          <w:tcPr>
            <w:tcW w:w="1141" w:type="dxa"/>
          </w:tcPr>
          <w:p w14:paraId="29E9682F" w14:textId="77777777" w:rsidR="005618CB" w:rsidRPr="005618CB" w:rsidRDefault="005618CB" w:rsidP="00BB47FA">
            <w:pPr>
              <w:widowControl/>
              <w:autoSpaceDE/>
              <w:autoSpaceDN/>
              <w:adjustRightInd/>
              <w:cnfStyle w:val="000000000000" w:firstRow="0" w:lastRow="0" w:firstColumn="0" w:lastColumn="0" w:oddVBand="0" w:evenVBand="0" w:oddHBand="0" w:evenHBand="0" w:firstRowFirstColumn="0" w:firstRowLastColumn="0" w:lastRowFirstColumn="0" w:lastRowLastColumn="0"/>
              <w:rPr>
                <w:rFonts w:cs="Calibri"/>
                <w:sz w:val="22"/>
                <w:szCs w:val="22"/>
              </w:rPr>
            </w:pPr>
            <w:r w:rsidRPr="005618CB">
              <w:rPr>
                <w:rFonts w:cs="Calibri"/>
                <w:sz w:val="22"/>
                <w:szCs w:val="22"/>
              </w:rPr>
              <w:t>+/- 25% of</w:t>
            </w:r>
          </w:p>
          <w:p w14:paraId="7A4E94A2" w14:textId="77777777" w:rsidR="005618CB" w:rsidRPr="005618CB" w:rsidRDefault="005618CB" w:rsidP="00BB47F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1.64%</w:t>
            </w:r>
          </w:p>
        </w:tc>
        <w:tc>
          <w:tcPr>
            <w:tcW w:w="4680" w:type="dxa"/>
          </w:tcPr>
          <w:p w14:paraId="33A90895" w14:textId="77777777" w:rsidR="005618CB" w:rsidRPr="005618CB" w:rsidRDefault="005618CB" w:rsidP="005618CB">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cs="Calibri"/>
                <w:sz w:val="22"/>
                <w:szCs w:val="22"/>
              </w:rPr>
            </w:pPr>
            <w:r w:rsidRPr="005618CB">
              <w:rPr>
                <w:rFonts w:cs="Calibri"/>
                <w:sz w:val="22"/>
                <w:szCs w:val="22"/>
              </w:rPr>
              <w:t>The further review level is based on a three-year national average.  The range of acceptable data not requiring further review is from 1.23% to 2.05%.</w:t>
            </w:r>
          </w:p>
        </w:tc>
      </w:tr>
    </w:tbl>
    <w:p w14:paraId="6573BAF6" w14:textId="3FAD77B0" w:rsidR="00634539" w:rsidRDefault="00634539" w:rsidP="001A1FF9">
      <w:pPr>
        <w:widowControl/>
        <w:autoSpaceDE/>
        <w:autoSpaceDN/>
        <w:adjustRightInd/>
        <w:rPr>
          <w:rFonts w:cs="Calibri"/>
        </w:rPr>
      </w:pPr>
    </w:p>
    <w:p w14:paraId="5B6DD158" w14:textId="5722267E" w:rsidR="00FF320C" w:rsidRDefault="094708E6" w:rsidP="00FF320C">
      <w:r>
        <w:t>NOTE:  The national averages in this report are three-year rolling averages.  Unless otherwise noted, the data contained in this Appendix D are pulled from the State Activity Mandated Measures (SAMM) Report in OIS run on November 14, 2022, as part of OSHA’s official end-of-year data run.</w:t>
      </w:r>
    </w:p>
    <w:p w14:paraId="542B8BC9" w14:textId="77777777" w:rsidR="00E45BF0" w:rsidRDefault="00E45BF0" w:rsidP="00FF320C"/>
    <w:p w14:paraId="1F050C64" w14:textId="77777777" w:rsidR="00FF320C" w:rsidRPr="004E492F" w:rsidRDefault="094708E6" w:rsidP="011E1980">
      <w:pPr>
        <w:rPr>
          <w:rFonts w:cs="Calibri"/>
          <w:b/>
          <w:bCs/>
          <w:color w:val="1F497D"/>
          <w:sz w:val="28"/>
          <w:szCs w:val="28"/>
        </w:rPr>
      </w:pPr>
      <w:r>
        <w:t xml:space="preserve">*Due to the transition of 11(c) data from IMIS to OIS, SAMMs 14, 15, and 16 are not being reported for FY 2022. </w:t>
      </w:r>
    </w:p>
    <w:p w14:paraId="10A1B24F" w14:textId="77777777" w:rsidR="00FF320C" w:rsidRPr="001C1E47" w:rsidRDefault="00FF320C" w:rsidP="001A1FF9">
      <w:pPr>
        <w:widowControl/>
        <w:autoSpaceDE/>
        <w:autoSpaceDN/>
        <w:adjustRightInd/>
        <w:rPr>
          <w:rFonts w:cs="Calibri"/>
        </w:rPr>
      </w:pPr>
    </w:p>
    <w:sectPr w:rsidR="00FF320C" w:rsidRPr="001C1E47" w:rsidSect="001A1FF9">
      <w:headerReference w:type="even" r:id="rId24"/>
      <w:headerReference w:type="default" r:id="rId25"/>
      <w:footerReference w:type="default" r:id="rId26"/>
      <w:headerReference w:type="first" r:id="rId2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105F" w14:textId="77777777" w:rsidR="007D4D57" w:rsidRDefault="007D4D57" w:rsidP="00C872A0">
      <w:r>
        <w:separator/>
      </w:r>
    </w:p>
  </w:endnote>
  <w:endnote w:type="continuationSeparator" w:id="0">
    <w:p w14:paraId="4A0EBC80" w14:textId="77777777" w:rsidR="007D4D57" w:rsidRDefault="007D4D57" w:rsidP="00C872A0">
      <w:r>
        <w:continuationSeparator/>
      </w:r>
    </w:p>
  </w:endnote>
  <w:endnote w:type="continuationNotice" w:id="1">
    <w:p w14:paraId="024FF383" w14:textId="77777777" w:rsidR="007D4D57" w:rsidRDefault="007D4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32793"/>
      <w:docPartObj>
        <w:docPartGallery w:val="Page Numbers (Bottom of Page)"/>
        <w:docPartUnique/>
      </w:docPartObj>
    </w:sdtPr>
    <w:sdtEndPr>
      <w:rPr>
        <w:noProof/>
      </w:rPr>
    </w:sdtEndPr>
    <w:sdtContent>
      <w:p w14:paraId="11289CDA" w14:textId="1898EAA4" w:rsidR="00BE2642" w:rsidRDefault="00BE2642">
        <w:pPr>
          <w:pStyle w:val="Footer"/>
          <w:jc w:val="right"/>
        </w:pPr>
        <w:r>
          <w:fldChar w:fldCharType="begin"/>
        </w:r>
        <w:r>
          <w:instrText xml:space="preserve"> PAGE   \* MERGEFORMAT </w:instrText>
        </w:r>
        <w:r>
          <w:fldChar w:fldCharType="separate"/>
        </w:r>
        <w:r w:rsidR="00693BEB">
          <w:rPr>
            <w:noProof/>
          </w:rPr>
          <w:t>14</w:t>
        </w:r>
        <w:r>
          <w:rPr>
            <w:noProof/>
          </w:rPr>
          <w:fldChar w:fldCharType="end"/>
        </w:r>
      </w:p>
    </w:sdtContent>
  </w:sdt>
  <w:p w14:paraId="758E56D4" w14:textId="4502FAB5" w:rsidR="00BE2642" w:rsidRDefault="00BE264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4D72" w14:textId="77777777" w:rsidR="00BE2642" w:rsidRDefault="00BE2642">
    <w:pPr>
      <w:pStyle w:val="Footer"/>
      <w:jc w:val="center"/>
    </w:pPr>
  </w:p>
  <w:p w14:paraId="0AB20AA6" w14:textId="77777777" w:rsidR="00BE2642" w:rsidRDefault="00BE2642" w:rsidP="005C489D">
    <w:pPr>
      <w:pStyle w:val="Footer"/>
      <w:tabs>
        <w:tab w:val="clear" w:pos="4680"/>
        <w:tab w:val="clear" w:pos="9360"/>
        <w:tab w:val="left" w:pos="3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0F36" w14:textId="44D97C78" w:rsidR="00BE2642" w:rsidRDefault="00BE2642">
    <w:pPr>
      <w:pStyle w:val="Footer"/>
      <w:jc w:val="right"/>
    </w:pPr>
    <w:r>
      <w:fldChar w:fldCharType="begin"/>
    </w:r>
    <w:r>
      <w:instrText xml:space="preserve"> PAGE   \* MERGEFORMAT </w:instrText>
    </w:r>
    <w:r>
      <w:fldChar w:fldCharType="separate"/>
    </w:r>
    <w:r w:rsidR="00693BEB">
      <w:rPr>
        <w:noProof/>
      </w:rPr>
      <w:t>11</w:t>
    </w:r>
    <w:r>
      <w:rPr>
        <w:noProof/>
      </w:rPr>
      <w:fldChar w:fldCharType="end"/>
    </w:r>
  </w:p>
  <w:p w14:paraId="1056AAF8" w14:textId="77777777" w:rsidR="00BE2642" w:rsidRDefault="00BE26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F5BF" w14:textId="17ADC56E" w:rsidR="00BE2642" w:rsidRDefault="00BE2642">
    <w:pPr>
      <w:pStyle w:val="Footer"/>
      <w:jc w:val="right"/>
    </w:pPr>
    <w:r>
      <w:fldChar w:fldCharType="begin"/>
    </w:r>
    <w:r>
      <w:instrText xml:space="preserve"> PAGE   \* MERGEFORMAT </w:instrText>
    </w:r>
    <w:r>
      <w:fldChar w:fldCharType="separate"/>
    </w:r>
    <w:r w:rsidR="00693BEB">
      <w:rPr>
        <w:noProof/>
      </w:rPr>
      <w:t>15</w:t>
    </w:r>
    <w:r>
      <w:rPr>
        <w:noProof/>
      </w:rPr>
      <w:fldChar w:fldCharType="end"/>
    </w:r>
  </w:p>
  <w:p w14:paraId="2409E6FE" w14:textId="77777777" w:rsidR="00BE2642" w:rsidRDefault="00BE264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077810"/>
      <w:docPartObj>
        <w:docPartGallery w:val="Page Numbers (Bottom of Page)"/>
        <w:docPartUnique/>
      </w:docPartObj>
    </w:sdtPr>
    <w:sdtEndPr>
      <w:rPr>
        <w:noProof/>
      </w:rPr>
    </w:sdtEndPr>
    <w:sdtContent>
      <w:p w14:paraId="0A991431" w14:textId="213DEBB1" w:rsidR="00BE2642" w:rsidRDefault="00BE2642">
        <w:pPr>
          <w:pStyle w:val="Footer"/>
          <w:jc w:val="right"/>
        </w:pPr>
        <w:r>
          <w:fldChar w:fldCharType="begin"/>
        </w:r>
        <w:r>
          <w:instrText xml:space="preserve"> PAGE   \* MERGEFORMAT </w:instrText>
        </w:r>
        <w:r>
          <w:fldChar w:fldCharType="separate"/>
        </w:r>
        <w:r w:rsidR="00693BEB">
          <w:rPr>
            <w:noProof/>
          </w:rPr>
          <w:t>22</w:t>
        </w:r>
        <w:r>
          <w:rPr>
            <w:noProof/>
          </w:rPr>
          <w:fldChar w:fldCharType="end"/>
        </w:r>
      </w:p>
    </w:sdtContent>
  </w:sdt>
  <w:p w14:paraId="7859AADA" w14:textId="7AB042DC" w:rsidR="00BE2642" w:rsidRPr="000E07E7" w:rsidRDefault="00BE2642" w:rsidP="00F54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FC08" w14:textId="77777777" w:rsidR="007D4D57" w:rsidRDefault="007D4D57" w:rsidP="00C872A0">
      <w:r>
        <w:separator/>
      </w:r>
    </w:p>
  </w:footnote>
  <w:footnote w:type="continuationSeparator" w:id="0">
    <w:p w14:paraId="2A907640" w14:textId="77777777" w:rsidR="007D4D57" w:rsidRDefault="007D4D57" w:rsidP="00C872A0">
      <w:r>
        <w:continuationSeparator/>
      </w:r>
    </w:p>
  </w:footnote>
  <w:footnote w:type="continuationNotice" w:id="1">
    <w:p w14:paraId="63377AA6" w14:textId="77777777" w:rsidR="007D4D57" w:rsidRDefault="007D4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AEFD" w14:textId="582C118B" w:rsidR="00BE2642" w:rsidRDefault="00BE264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8963" w14:textId="48D511C1" w:rsidR="00BE2642" w:rsidRDefault="00BE2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0B28E" w14:textId="0EA5A136" w:rsidR="00BE2642" w:rsidRDefault="00BE2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2678" w14:textId="03264925" w:rsidR="00BE2642" w:rsidRDefault="00BE26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5A33" w14:textId="77777777" w:rsidR="00BE2642" w:rsidRDefault="00BE2642" w:rsidP="000A134A">
    <w:pPr>
      <w:jc w:val="center"/>
    </w:pPr>
  </w:p>
  <w:p w14:paraId="79523575" w14:textId="77777777" w:rsidR="00BE2642" w:rsidRDefault="00BE2642" w:rsidP="000A134A">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23E1C" w14:textId="5BDEAA30" w:rsidR="00BE2642" w:rsidRDefault="00BE264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B8D7" w14:textId="0833DDEA" w:rsidR="00BE2642" w:rsidRDefault="00BE2642" w:rsidP="009A2ED6">
    <w:pPr>
      <w:pStyle w:val="Header"/>
      <w:jc w:val="center"/>
      <w:rPr>
        <w:b/>
      </w:rPr>
    </w:pPr>
  </w:p>
  <w:p w14:paraId="2DCFF2A3" w14:textId="77777777" w:rsidR="00BE2642" w:rsidRPr="009A2ED6" w:rsidRDefault="00BE2642" w:rsidP="009A2ED6">
    <w:pPr>
      <w:pStyle w:val="Header"/>
      <w:jc w:val="center"/>
      <w:rPr>
        <w:b/>
      </w:rPr>
    </w:pPr>
  </w:p>
  <w:p w14:paraId="1D9C2B96" w14:textId="77777777" w:rsidR="00BE2642" w:rsidRPr="000767C0" w:rsidRDefault="00BE2642" w:rsidP="009A2ED6">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92CC" w14:textId="6ED0D094" w:rsidR="00BE2642" w:rsidRPr="006F2309" w:rsidRDefault="00BE2642" w:rsidP="006F2309">
    <w:pPr>
      <w:pStyle w:val="Header"/>
    </w:pPr>
    <w:r w:rsidRPr="006F2309">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AB3A" w14:textId="3116F859" w:rsidR="00BE2642" w:rsidRDefault="00BE26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E7B3" w14:textId="59424300" w:rsidR="00BE2642" w:rsidRPr="000767C0" w:rsidRDefault="00BE2642" w:rsidP="009A2ED6">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I4qQXZbl" int2:invalidationBookmarkName="" int2:hashCode="ZD4DPyxyvbq3AT" int2:id="xwJ3bzW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2"/>
    <w:multiLevelType w:val="multilevel"/>
    <w:tmpl w:val="021C6D6A"/>
    <w:name w:val="Roman"/>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0000003"/>
    <w:multiLevelType w:val="multilevel"/>
    <w:tmpl w:val="00000000"/>
    <w:name w:val="AutoList11"/>
    <w:lvl w:ilvl="0">
      <w:start w:val="1"/>
      <w:numFmt w:val="upperLetter"/>
      <w:lvlText w:val="%1."/>
      <w:lvlJc w:val="left"/>
      <w:rPr>
        <w:rFonts w:cs="Times New Roman"/>
      </w:rPr>
    </w:lvl>
    <w:lvl w:ilvl="1">
      <w:start w:val="1"/>
      <w:numFmt w:val="decimal"/>
      <w:pStyle w:val="Level2"/>
      <w:lvlText w:val="%2."/>
      <w:lvlJc w:val="left"/>
      <w:rPr>
        <w:rFonts w:cs="Times New Roman"/>
      </w:rPr>
    </w:lvl>
    <w:lvl w:ilvl="2">
      <w:start w:val="1"/>
      <w:numFmt w:val="lowerLetter"/>
      <w:pStyle w:val="Level3"/>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3" w15:restartNumberingAfterBreak="0">
    <w:nsid w:val="00000004"/>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4" w15:restartNumberingAfterBreak="0">
    <w:nsid w:val="00000005"/>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5" w15:restartNumberingAfterBreak="0">
    <w:nsid w:val="00000006"/>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0000007"/>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7" w15:restartNumberingAfterBreak="0">
    <w:nsid w:val="00000008"/>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8" w15:restartNumberingAfterBreak="0">
    <w:nsid w:val="00000009"/>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9" w15:restartNumberingAfterBreak="0">
    <w:nsid w:val="0000000A"/>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000000B"/>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1" w15:restartNumberingAfterBreak="0">
    <w:nsid w:val="0000000C"/>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2" w15:restartNumberingAfterBreak="0">
    <w:nsid w:val="0000000D"/>
    <w:multiLevelType w:val="multilevel"/>
    <w:tmpl w:val="00000000"/>
    <w:name w:val="AutoList11"/>
    <w:lvl w:ilvl="0">
      <w:start w:val="1"/>
      <w:numFmt w:val="upperLetter"/>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3" w15:restartNumberingAfterBreak="0">
    <w:nsid w:val="0000000E"/>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000000F"/>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5" w15:restartNumberingAfterBreak="0">
    <w:nsid w:val="00000010"/>
    <w:multiLevelType w:val="multilevel"/>
    <w:tmpl w:val="00000000"/>
    <w:name w:val="Triangles"/>
    <w:lvl w:ilvl="0">
      <w:start w:val="1"/>
      <w:numFmt w:val="decimal"/>
      <w:lvlText w:val="Ø"/>
      <w:lvlJc w:val="left"/>
      <w:rPr>
        <w:rFonts w:cs="Times New Roman"/>
      </w:rPr>
    </w:lvl>
    <w:lvl w:ilvl="1">
      <w:start w:val="1"/>
      <w:numFmt w:val="decimal"/>
      <w:lvlText w:val="Ø"/>
      <w:lvlJc w:val="left"/>
      <w:rPr>
        <w:rFonts w:cs="Times New Roman"/>
      </w:rPr>
    </w:lvl>
    <w:lvl w:ilvl="2">
      <w:start w:val="1"/>
      <w:numFmt w:val="decimal"/>
      <w:lvlText w:val="Ø"/>
      <w:lvlJc w:val="left"/>
      <w:rPr>
        <w:rFonts w:cs="Times New Roman"/>
      </w:rPr>
    </w:lvl>
    <w:lvl w:ilvl="3">
      <w:start w:val="1"/>
      <w:numFmt w:val="decimal"/>
      <w:lvlText w:val="Ø"/>
      <w:lvlJc w:val="left"/>
      <w:rPr>
        <w:rFonts w:cs="Times New Roman"/>
      </w:rPr>
    </w:lvl>
    <w:lvl w:ilvl="4">
      <w:start w:val="1"/>
      <w:numFmt w:val="decimal"/>
      <w:lvlText w:val="Ø"/>
      <w:lvlJc w:val="left"/>
      <w:rPr>
        <w:rFonts w:cs="Times New Roman"/>
      </w:rPr>
    </w:lvl>
    <w:lvl w:ilvl="5">
      <w:start w:val="1"/>
      <w:numFmt w:val="decimal"/>
      <w:lvlText w:val="Ø"/>
      <w:lvlJc w:val="left"/>
      <w:rPr>
        <w:rFonts w:cs="Times New Roman"/>
      </w:rPr>
    </w:lvl>
    <w:lvl w:ilvl="6">
      <w:start w:val="1"/>
      <w:numFmt w:val="decimal"/>
      <w:lvlText w:val="Ø"/>
      <w:lvlJc w:val="left"/>
      <w:rPr>
        <w:rFonts w:cs="Times New Roman"/>
      </w:rPr>
    </w:lvl>
    <w:lvl w:ilvl="7">
      <w:start w:val="1"/>
      <w:numFmt w:val="decimal"/>
      <w:lvlText w:val="Ø"/>
      <w:lvlJc w:val="left"/>
      <w:rPr>
        <w:rFonts w:cs="Times New Roman"/>
      </w:rPr>
    </w:lvl>
    <w:lvl w:ilvl="8">
      <w:numFmt w:val="decimal"/>
      <w:lvlText w:val=""/>
      <w:lvlJc w:val="left"/>
      <w:rPr>
        <w:rFonts w:cs="Times New Roman"/>
      </w:rPr>
    </w:lvl>
  </w:abstractNum>
  <w:abstractNum w:abstractNumId="16" w15:restartNumberingAfterBreak="0">
    <w:nsid w:val="00000011"/>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00000012"/>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8" w15:restartNumberingAfterBreak="0">
    <w:nsid w:val="00000013"/>
    <w:multiLevelType w:val="multilevel"/>
    <w:tmpl w:val="00000000"/>
    <w:name w:val="AutoList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15:restartNumberingAfterBreak="0">
    <w:nsid w:val="00000014"/>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3."/>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00000015"/>
    <w:multiLevelType w:val="multilevel"/>
    <w:tmpl w:val="00000000"/>
    <w:name w:val="AutoList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15:restartNumberingAfterBreak="0">
    <w:nsid w:val="00000016"/>
    <w:multiLevelType w:val="multilevel"/>
    <w:tmpl w:val="00000000"/>
    <w:name w:val="AutoList2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15:restartNumberingAfterBreak="0">
    <w:nsid w:val="00000017"/>
    <w:multiLevelType w:val="multilevel"/>
    <w:tmpl w:val="00000000"/>
    <w:name w:val="AutoList26"/>
    <w:lvl w:ilvl="0">
      <w:start w:val="1"/>
      <w:numFmt w:val="decimal"/>
      <w:pStyle w:val="Level1"/>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15:restartNumberingAfterBreak="0">
    <w:nsid w:val="0CD56A17"/>
    <w:multiLevelType w:val="hybridMultilevel"/>
    <w:tmpl w:val="43A21032"/>
    <w:lvl w:ilvl="0" w:tplc="04090013">
      <w:start w:val="1"/>
      <w:numFmt w:val="upperRoman"/>
      <w:lvlText w:val="%1."/>
      <w:lvlJc w:val="righ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11F3BFC5"/>
    <w:multiLevelType w:val="hybridMultilevel"/>
    <w:tmpl w:val="9EDA9EBC"/>
    <w:lvl w:ilvl="0" w:tplc="2F32D76E">
      <w:start w:val="1"/>
      <w:numFmt w:val="bullet"/>
      <w:lvlText w:val=""/>
      <w:lvlJc w:val="left"/>
      <w:pPr>
        <w:ind w:left="720" w:hanging="360"/>
      </w:pPr>
      <w:rPr>
        <w:rFonts w:ascii="Symbol" w:hAnsi="Symbol" w:hint="default"/>
      </w:rPr>
    </w:lvl>
    <w:lvl w:ilvl="1" w:tplc="3E6E831C">
      <w:start w:val="1"/>
      <w:numFmt w:val="bullet"/>
      <w:lvlText w:val="o"/>
      <w:lvlJc w:val="left"/>
      <w:pPr>
        <w:ind w:left="1440" w:hanging="360"/>
      </w:pPr>
      <w:rPr>
        <w:rFonts w:ascii="Courier New" w:hAnsi="Courier New" w:hint="default"/>
      </w:rPr>
    </w:lvl>
    <w:lvl w:ilvl="2" w:tplc="2FC4FD86">
      <w:start w:val="1"/>
      <w:numFmt w:val="bullet"/>
      <w:lvlText w:val=""/>
      <w:lvlJc w:val="left"/>
      <w:pPr>
        <w:ind w:left="2160" w:hanging="360"/>
      </w:pPr>
      <w:rPr>
        <w:rFonts w:ascii="Wingdings" w:hAnsi="Wingdings" w:hint="default"/>
      </w:rPr>
    </w:lvl>
    <w:lvl w:ilvl="3" w:tplc="AC0E17EC">
      <w:start w:val="1"/>
      <w:numFmt w:val="bullet"/>
      <w:lvlText w:val=""/>
      <w:lvlJc w:val="left"/>
      <w:pPr>
        <w:ind w:left="2880" w:hanging="360"/>
      </w:pPr>
      <w:rPr>
        <w:rFonts w:ascii="Symbol" w:hAnsi="Symbol" w:hint="default"/>
      </w:rPr>
    </w:lvl>
    <w:lvl w:ilvl="4" w:tplc="40708F6C">
      <w:start w:val="1"/>
      <w:numFmt w:val="bullet"/>
      <w:lvlText w:val="o"/>
      <w:lvlJc w:val="left"/>
      <w:pPr>
        <w:ind w:left="3600" w:hanging="360"/>
      </w:pPr>
      <w:rPr>
        <w:rFonts w:ascii="Courier New" w:hAnsi="Courier New" w:hint="default"/>
      </w:rPr>
    </w:lvl>
    <w:lvl w:ilvl="5" w:tplc="C3F4E62C">
      <w:start w:val="1"/>
      <w:numFmt w:val="bullet"/>
      <w:lvlText w:val=""/>
      <w:lvlJc w:val="left"/>
      <w:pPr>
        <w:ind w:left="4320" w:hanging="360"/>
      </w:pPr>
      <w:rPr>
        <w:rFonts w:ascii="Wingdings" w:hAnsi="Wingdings" w:hint="default"/>
      </w:rPr>
    </w:lvl>
    <w:lvl w:ilvl="6" w:tplc="E4180A70">
      <w:start w:val="1"/>
      <w:numFmt w:val="bullet"/>
      <w:lvlText w:val=""/>
      <w:lvlJc w:val="left"/>
      <w:pPr>
        <w:ind w:left="5040" w:hanging="360"/>
      </w:pPr>
      <w:rPr>
        <w:rFonts w:ascii="Symbol" w:hAnsi="Symbol" w:hint="default"/>
      </w:rPr>
    </w:lvl>
    <w:lvl w:ilvl="7" w:tplc="CB5C470A">
      <w:start w:val="1"/>
      <w:numFmt w:val="bullet"/>
      <w:lvlText w:val="o"/>
      <w:lvlJc w:val="left"/>
      <w:pPr>
        <w:ind w:left="5760" w:hanging="360"/>
      </w:pPr>
      <w:rPr>
        <w:rFonts w:ascii="Courier New" w:hAnsi="Courier New" w:hint="default"/>
      </w:rPr>
    </w:lvl>
    <w:lvl w:ilvl="8" w:tplc="D49AD8D2">
      <w:start w:val="1"/>
      <w:numFmt w:val="bullet"/>
      <w:lvlText w:val=""/>
      <w:lvlJc w:val="left"/>
      <w:pPr>
        <w:ind w:left="6480" w:hanging="360"/>
      </w:pPr>
      <w:rPr>
        <w:rFonts w:ascii="Wingdings" w:hAnsi="Wingdings" w:hint="default"/>
      </w:rPr>
    </w:lvl>
  </w:abstractNum>
  <w:abstractNum w:abstractNumId="25" w15:restartNumberingAfterBreak="0">
    <w:nsid w:val="1E8935DA"/>
    <w:multiLevelType w:val="hybridMultilevel"/>
    <w:tmpl w:val="628883D0"/>
    <w:lvl w:ilvl="0" w:tplc="4844E226">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6D47E6"/>
    <w:multiLevelType w:val="hybridMultilevel"/>
    <w:tmpl w:val="FF70EF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1F9B3E10"/>
    <w:multiLevelType w:val="hybridMultilevel"/>
    <w:tmpl w:val="BE8A3B6C"/>
    <w:lvl w:ilvl="0" w:tplc="12EA0D7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B477B"/>
    <w:multiLevelType w:val="hybridMultilevel"/>
    <w:tmpl w:val="911ED038"/>
    <w:lvl w:ilvl="0" w:tplc="78860A40">
      <w:start w:val="1"/>
      <w:numFmt w:val="upperLetter"/>
      <w:lvlText w:val="%1."/>
      <w:lvlJc w:val="left"/>
      <w:pPr>
        <w:ind w:left="720" w:hanging="360"/>
      </w:pPr>
      <w:rPr>
        <w:rFonts w:ascii="Calibri" w:hAnsi="Calibri"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5467A"/>
    <w:multiLevelType w:val="hybridMultilevel"/>
    <w:tmpl w:val="7BEEFD5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5BCF6043"/>
    <w:multiLevelType w:val="hybridMultilevel"/>
    <w:tmpl w:val="58D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BD0254"/>
    <w:multiLevelType w:val="hybridMultilevel"/>
    <w:tmpl w:val="00E6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91B4A"/>
    <w:multiLevelType w:val="hybridMultilevel"/>
    <w:tmpl w:val="D26E6E88"/>
    <w:lvl w:ilvl="0" w:tplc="E818A044">
      <w:start w:val="1"/>
      <w:numFmt w:val="bullet"/>
      <w:lvlText w:val=""/>
      <w:lvlJc w:val="left"/>
      <w:pPr>
        <w:tabs>
          <w:tab w:val="num" w:pos="1440"/>
        </w:tabs>
        <w:ind w:left="1440" w:hanging="360"/>
      </w:pPr>
      <w:rPr>
        <w:rFonts w:ascii="Symbol" w:hAnsi="Symbol" w:hint="default"/>
        <w:sz w:val="24"/>
        <w:szCs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03320DA"/>
    <w:multiLevelType w:val="hybridMultilevel"/>
    <w:tmpl w:val="41F6FED6"/>
    <w:lvl w:ilvl="0" w:tplc="EA58EA52">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304971133">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2" w16cid:durableId="24521665">
    <w:abstractNumId w:val="2"/>
    <w:lvlOverride w:ilvl="0">
      <w:startOverride w:val="1"/>
      <w:lvl w:ilvl="0">
        <w:start w:val="1"/>
        <w:numFmt w:val="upperLetter"/>
        <w:lvlText w:val="%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lowerLetter"/>
        <w:pStyle w:val="Level3"/>
        <w:lvlText w:val="(%3)"/>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upperRoman"/>
        <w:lvlText w:val="%5."/>
        <w:lvlJc w:val="left"/>
        <w:rPr>
          <w:rFonts w:cs="Times New Roman"/>
        </w:rPr>
      </w:lvl>
    </w:lvlOverride>
    <w:lvlOverride w:ilvl="5">
      <w:startOverride w:val="1"/>
      <w:lvl w:ilvl="5">
        <w:start w:val="1"/>
        <w:numFmt w:val="upperRoman"/>
        <w:lvlText w:val="%6."/>
        <w:lvlJc w:val="left"/>
        <w:rPr>
          <w:rFonts w:cs="Times New Roman"/>
        </w:rPr>
      </w:lvl>
    </w:lvlOverride>
    <w:lvlOverride w:ilvl="6">
      <w:startOverride w:val="1"/>
      <w:lvl w:ilvl="6">
        <w:start w:val="1"/>
        <w:numFmt w:val="upperRoman"/>
        <w:lvlText w:val="%7."/>
        <w:lvlJc w:val="left"/>
        <w:rPr>
          <w:rFonts w:cs="Times New Roman"/>
        </w:rPr>
      </w:lvl>
    </w:lvlOverride>
    <w:lvlOverride w:ilvl="7">
      <w:startOverride w:val="1"/>
      <w:lvl w:ilvl="7">
        <w:start w:val="1"/>
        <w:numFmt w:val="upperRoman"/>
        <w:lvlText w:val="%8."/>
        <w:lvlJc w:val="left"/>
        <w:rPr>
          <w:rFonts w:cs="Times New Roman"/>
        </w:rPr>
      </w:lvl>
    </w:lvlOverride>
  </w:num>
  <w:num w:numId="3" w16cid:durableId="1359507261">
    <w:abstractNumId w:val="22"/>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16cid:durableId="989752712">
    <w:abstractNumId w:val="32"/>
  </w:num>
  <w:num w:numId="5" w16cid:durableId="1097484421">
    <w:abstractNumId w:val="29"/>
  </w:num>
  <w:num w:numId="6" w16cid:durableId="370767453">
    <w:abstractNumId w:val="26"/>
  </w:num>
  <w:num w:numId="7" w16cid:durableId="1973630899">
    <w:abstractNumId w:val="27"/>
  </w:num>
  <w:num w:numId="8" w16cid:durableId="2055806338">
    <w:abstractNumId w:val="30"/>
  </w:num>
  <w:num w:numId="9" w16cid:durableId="592130779">
    <w:abstractNumId w:val="28"/>
  </w:num>
  <w:num w:numId="10" w16cid:durableId="886380472">
    <w:abstractNumId w:val="33"/>
  </w:num>
  <w:num w:numId="11" w16cid:durableId="588084410">
    <w:abstractNumId w:val="23"/>
  </w:num>
  <w:num w:numId="12" w16cid:durableId="156119752">
    <w:abstractNumId w:val="25"/>
  </w:num>
  <w:num w:numId="13" w16cid:durableId="726146331">
    <w:abstractNumId w:val="31"/>
  </w:num>
  <w:num w:numId="14" w16cid:durableId="72799502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2A0"/>
    <w:rsid w:val="000003C7"/>
    <w:rsid w:val="000011DF"/>
    <w:rsid w:val="00001DAC"/>
    <w:rsid w:val="0000201A"/>
    <w:rsid w:val="00002691"/>
    <w:rsid w:val="00002B73"/>
    <w:rsid w:val="000036AB"/>
    <w:rsid w:val="000037DE"/>
    <w:rsid w:val="00003ECB"/>
    <w:rsid w:val="00004200"/>
    <w:rsid w:val="00004D2C"/>
    <w:rsid w:val="00004E6B"/>
    <w:rsid w:val="00005931"/>
    <w:rsid w:val="00005C39"/>
    <w:rsid w:val="00006305"/>
    <w:rsid w:val="000069A3"/>
    <w:rsid w:val="000071BD"/>
    <w:rsid w:val="00007781"/>
    <w:rsid w:val="00007E85"/>
    <w:rsid w:val="000116C0"/>
    <w:rsid w:val="00011783"/>
    <w:rsid w:val="00011C94"/>
    <w:rsid w:val="00012FCA"/>
    <w:rsid w:val="00013986"/>
    <w:rsid w:val="00014401"/>
    <w:rsid w:val="0001485D"/>
    <w:rsid w:val="00014C7A"/>
    <w:rsid w:val="00015990"/>
    <w:rsid w:val="00016214"/>
    <w:rsid w:val="00016803"/>
    <w:rsid w:val="0001706D"/>
    <w:rsid w:val="00017349"/>
    <w:rsid w:val="00017354"/>
    <w:rsid w:val="000175B9"/>
    <w:rsid w:val="00017AEA"/>
    <w:rsid w:val="00020E3B"/>
    <w:rsid w:val="00021274"/>
    <w:rsid w:val="000216F4"/>
    <w:rsid w:val="00021710"/>
    <w:rsid w:val="000217D1"/>
    <w:rsid w:val="00021FE0"/>
    <w:rsid w:val="00022BEE"/>
    <w:rsid w:val="00023E67"/>
    <w:rsid w:val="000248F0"/>
    <w:rsid w:val="0002572C"/>
    <w:rsid w:val="000258E0"/>
    <w:rsid w:val="00025F57"/>
    <w:rsid w:val="00025F98"/>
    <w:rsid w:val="00026B78"/>
    <w:rsid w:val="00026D63"/>
    <w:rsid w:val="00027093"/>
    <w:rsid w:val="00030024"/>
    <w:rsid w:val="0003322D"/>
    <w:rsid w:val="000338FC"/>
    <w:rsid w:val="00033919"/>
    <w:rsid w:val="0003442F"/>
    <w:rsid w:val="00034A4E"/>
    <w:rsid w:val="00035083"/>
    <w:rsid w:val="0003567C"/>
    <w:rsid w:val="00036865"/>
    <w:rsid w:val="00036BF8"/>
    <w:rsid w:val="00036EB4"/>
    <w:rsid w:val="00036F0D"/>
    <w:rsid w:val="00037F48"/>
    <w:rsid w:val="000404ED"/>
    <w:rsid w:val="000405FF"/>
    <w:rsid w:val="0004086F"/>
    <w:rsid w:val="00042327"/>
    <w:rsid w:val="000427D1"/>
    <w:rsid w:val="00042942"/>
    <w:rsid w:val="00043515"/>
    <w:rsid w:val="00043CC7"/>
    <w:rsid w:val="00044436"/>
    <w:rsid w:val="000447C9"/>
    <w:rsid w:val="000449F8"/>
    <w:rsid w:val="00045479"/>
    <w:rsid w:val="00045BD6"/>
    <w:rsid w:val="00045C51"/>
    <w:rsid w:val="00046151"/>
    <w:rsid w:val="000468C6"/>
    <w:rsid w:val="00046BEE"/>
    <w:rsid w:val="00046E13"/>
    <w:rsid w:val="000470EE"/>
    <w:rsid w:val="00047189"/>
    <w:rsid w:val="00047621"/>
    <w:rsid w:val="0005007B"/>
    <w:rsid w:val="000501DB"/>
    <w:rsid w:val="00050583"/>
    <w:rsid w:val="00050FEB"/>
    <w:rsid w:val="00051309"/>
    <w:rsid w:val="000517FA"/>
    <w:rsid w:val="00051ABD"/>
    <w:rsid w:val="00051CB4"/>
    <w:rsid w:val="00052265"/>
    <w:rsid w:val="00052B36"/>
    <w:rsid w:val="00053052"/>
    <w:rsid w:val="00053A2C"/>
    <w:rsid w:val="00054416"/>
    <w:rsid w:val="000546AC"/>
    <w:rsid w:val="00054900"/>
    <w:rsid w:val="00055243"/>
    <w:rsid w:val="00055B40"/>
    <w:rsid w:val="00055F2C"/>
    <w:rsid w:val="00056114"/>
    <w:rsid w:val="0005766A"/>
    <w:rsid w:val="00057840"/>
    <w:rsid w:val="00060D39"/>
    <w:rsid w:val="00061474"/>
    <w:rsid w:val="00061875"/>
    <w:rsid w:val="0006210D"/>
    <w:rsid w:val="000625FB"/>
    <w:rsid w:val="00062D4B"/>
    <w:rsid w:val="00063032"/>
    <w:rsid w:val="000631DA"/>
    <w:rsid w:val="0006398D"/>
    <w:rsid w:val="000644F4"/>
    <w:rsid w:val="00065AB2"/>
    <w:rsid w:val="0006611A"/>
    <w:rsid w:val="00066833"/>
    <w:rsid w:val="00066A7B"/>
    <w:rsid w:val="00066C52"/>
    <w:rsid w:val="000701E4"/>
    <w:rsid w:val="00070201"/>
    <w:rsid w:val="00070454"/>
    <w:rsid w:val="0007073F"/>
    <w:rsid w:val="0007157F"/>
    <w:rsid w:val="00071E71"/>
    <w:rsid w:val="00071FC3"/>
    <w:rsid w:val="000724F1"/>
    <w:rsid w:val="00072799"/>
    <w:rsid w:val="0007306B"/>
    <w:rsid w:val="0007395B"/>
    <w:rsid w:val="000743D1"/>
    <w:rsid w:val="00074876"/>
    <w:rsid w:val="000760CB"/>
    <w:rsid w:val="0007636F"/>
    <w:rsid w:val="00076601"/>
    <w:rsid w:val="000767C0"/>
    <w:rsid w:val="00077260"/>
    <w:rsid w:val="00077410"/>
    <w:rsid w:val="00077B6B"/>
    <w:rsid w:val="00080FB6"/>
    <w:rsid w:val="00082A1B"/>
    <w:rsid w:val="00083A76"/>
    <w:rsid w:val="000846C8"/>
    <w:rsid w:val="00085230"/>
    <w:rsid w:val="00085DB4"/>
    <w:rsid w:val="000863BC"/>
    <w:rsid w:val="00086F2F"/>
    <w:rsid w:val="0008759E"/>
    <w:rsid w:val="00087844"/>
    <w:rsid w:val="00087EE9"/>
    <w:rsid w:val="00087F88"/>
    <w:rsid w:val="00090155"/>
    <w:rsid w:val="000902ED"/>
    <w:rsid w:val="0009134A"/>
    <w:rsid w:val="00091ABD"/>
    <w:rsid w:val="00091AE2"/>
    <w:rsid w:val="00091B54"/>
    <w:rsid w:val="000923E0"/>
    <w:rsid w:val="00092555"/>
    <w:rsid w:val="000929B5"/>
    <w:rsid w:val="00092F1B"/>
    <w:rsid w:val="00093239"/>
    <w:rsid w:val="0009535D"/>
    <w:rsid w:val="0009583F"/>
    <w:rsid w:val="000969E2"/>
    <w:rsid w:val="000A0AC7"/>
    <w:rsid w:val="000A134A"/>
    <w:rsid w:val="000A17BC"/>
    <w:rsid w:val="000A1CE9"/>
    <w:rsid w:val="000A2B9E"/>
    <w:rsid w:val="000A2BA2"/>
    <w:rsid w:val="000A2DE7"/>
    <w:rsid w:val="000A3878"/>
    <w:rsid w:val="000A40EC"/>
    <w:rsid w:val="000A55DB"/>
    <w:rsid w:val="000A658C"/>
    <w:rsid w:val="000A7279"/>
    <w:rsid w:val="000A7A05"/>
    <w:rsid w:val="000B0294"/>
    <w:rsid w:val="000B07D7"/>
    <w:rsid w:val="000B1A5B"/>
    <w:rsid w:val="000B1ECC"/>
    <w:rsid w:val="000B22E4"/>
    <w:rsid w:val="000B3A37"/>
    <w:rsid w:val="000B3DF2"/>
    <w:rsid w:val="000B440B"/>
    <w:rsid w:val="000B4852"/>
    <w:rsid w:val="000B55FD"/>
    <w:rsid w:val="000B58F1"/>
    <w:rsid w:val="000B6A8A"/>
    <w:rsid w:val="000B7ED6"/>
    <w:rsid w:val="000C04C6"/>
    <w:rsid w:val="000C0E15"/>
    <w:rsid w:val="000C12C6"/>
    <w:rsid w:val="000C16D9"/>
    <w:rsid w:val="000C1882"/>
    <w:rsid w:val="000C1ED8"/>
    <w:rsid w:val="000C2621"/>
    <w:rsid w:val="000C295F"/>
    <w:rsid w:val="000C2E74"/>
    <w:rsid w:val="000C35C3"/>
    <w:rsid w:val="000C368E"/>
    <w:rsid w:val="000C38BD"/>
    <w:rsid w:val="000C4141"/>
    <w:rsid w:val="000C43DE"/>
    <w:rsid w:val="000C46E4"/>
    <w:rsid w:val="000C496C"/>
    <w:rsid w:val="000C5C82"/>
    <w:rsid w:val="000C7C9A"/>
    <w:rsid w:val="000C7CCB"/>
    <w:rsid w:val="000D18C4"/>
    <w:rsid w:val="000D252F"/>
    <w:rsid w:val="000D343F"/>
    <w:rsid w:val="000D4560"/>
    <w:rsid w:val="000D4A64"/>
    <w:rsid w:val="000D4B27"/>
    <w:rsid w:val="000D4EF1"/>
    <w:rsid w:val="000D7440"/>
    <w:rsid w:val="000D750A"/>
    <w:rsid w:val="000D7AAD"/>
    <w:rsid w:val="000D7CFC"/>
    <w:rsid w:val="000E0245"/>
    <w:rsid w:val="000E0408"/>
    <w:rsid w:val="000E06B8"/>
    <w:rsid w:val="000E07E7"/>
    <w:rsid w:val="000E0A41"/>
    <w:rsid w:val="000E0DD1"/>
    <w:rsid w:val="000E1377"/>
    <w:rsid w:val="000E19CE"/>
    <w:rsid w:val="000E1AA2"/>
    <w:rsid w:val="000E1ED7"/>
    <w:rsid w:val="000E20A2"/>
    <w:rsid w:val="000E21C3"/>
    <w:rsid w:val="000E3AA5"/>
    <w:rsid w:val="000E3AC9"/>
    <w:rsid w:val="000E46F3"/>
    <w:rsid w:val="000E5687"/>
    <w:rsid w:val="000E569D"/>
    <w:rsid w:val="000E5C64"/>
    <w:rsid w:val="000E5FD1"/>
    <w:rsid w:val="000E6466"/>
    <w:rsid w:val="000E7A47"/>
    <w:rsid w:val="000E7F42"/>
    <w:rsid w:val="000F01AE"/>
    <w:rsid w:val="000F070C"/>
    <w:rsid w:val="000F1D68"/>
    <w:rsid w:val="000F1E49"/>
    <w:rsid w:val="000F21D0"/>
    <w:rsid w:val="000F22EB"/>
    <w:rsid w:val="000F30DE"/>
    <w:rsid w:val="000F35B7"/>
    <w:rsid w:val="000F35E3"/>
    <w:rsid w:val="000F46ED"/>
    <w:rsid w:val="000F47B1"/>
    <w:rsid w:val="000F4DA3"/>
    <w:rsid w:val="000F5631"/>
    <w:rsid w:val="000F5A36"/>
    <w:rsid w:val="000F63C1"/>
    <w:rsid w:val="000F6A5C"/>
    <w:rsid w:val="000F6AAA"/>
    <w:rsid w:val="000F7ECC"/>
    <w:rsid w:val="001002D7"/>
    <w:rsid w:val="001002DC"/>
    <w:rsid w:val="00101592"/>
    <w:rsid w:val="00101EA3"/>
    <w:rsid w:val="0010277B"/>
    <w:rsid w:val="00102FF2"/>
    <w:rsid w:val="001039FA"/>
    <w:rsid w:val="001056A7"/>
    <w:rsid w:val="001060AA"/>
    <w:rsid w:val="001064AC"/>
    <w:rsid w:val="00107F94"/>
    <w:rsid w:val="0011011A"/>
    <w:rsid w:val="0011063A"/>
    <w:rsid w:val="00110CB0"/>
    <w:rsid w:val="001113A1"/>
    <w:rsid w:val="00111D6D"/>
    <w:rsid w:val="00111E9E"/>
    <w:rsid w:val="00112C81"/>
    <w:rsid w:val="0011326F"/>
    <w:rsid w:val="00113761"/>
    <w:rsid w:val="00114ED6"/>
    <w:rsid w:val="0011522A"/>
    <w:rsid w:val="001153FD"/>
    <w:rsid w:val="00115B48"/>
    <w:rsid w:val="00115DF5"/>
    <w:rsid w:val="00116055"/>
    <w:rsid w:val="001170E4"/>
    <w:rsid w:val="00117115"/>
    <w:rsid w:val="00117494"/>
    <w:rsid w:val="001174A0"/>
    <w:rsid w:val="00117C4F"/>
    <w:rsid w:val="00117E82"/>
    <w:rsid w:val="001206B1"/>
    <w:rsid w:val="0012164B"/>
    <w:rsid w:val="00122228"/>
    <w:rsid w:val="0012279E"/>
    <w:rsid w:val="00122804"/>
    <w:rsid w:val="00122839"/>
    <w:rsid w:val="00122BD3"/>
    <w:rsid w:val="001234AB"/>
    <w:rsid w:val="0012359E"/>
    <w:rsid w:val="00123AC4"/>
    <w:rsid w:val="00123D55"/>
    <w:rsid w:val="00125065"/>
    <w:rsid w:val="00125345"/>
    <w:rsid w:val="00125919"/>
    <w:rsid w:val="00125936"/>
    <w:rsid w:val="00125C02"/>
    <w:rsid w:val="00125C8A"/>
    <w:rsid w:val="00126421"/>
    <w:rsid w:val="00126880"/>
    <w:rsid w:val="00126BE3"/>
    <w:rsid w:val="00127CBF"/>
    <w:rsid w:val="001319BE"/>
    <w:rsid w:val="00132507"/>
    <w:rsid w:val="00132739"/>
    <w:rsid w:val="001327BE"/>
    <w:rsid w:val="00132862"/>
    <w:rsid w:val="00132A12"/>
    <w:rsid w:val="00132AC8"/>
    <w:rsid w:val="00132F71"/>
    <w:rsid w:val="00133058"/>
    <w:rsid w:val="001330E6"/>
    <w:rsid w:val="001341FE"/>
    <w:rsid w:val="00134254"/>
    <w:rsid w:val="001342FB"/>
    <w:rsid w:val="00134F5C"/>
    <w:rsid w:val="00134F5D"/>
    <w:rsid w:val="001356E4"/>
    <w:rsid w:val="001356F0"/>
    <w:rsid w:val="001358F0"/>
    <w:rsid w:val="00135CF0"/>
    <w:rsid w:val="00135F4D"/>
    <w:rsid w:val="00136783"/>
    <w:rsid w:val="00136DA3"/>
    <w:rsid w:val="00137259"/>
    <w:rsid w:val="001376D1"/>
    <w:rsid w:val="0013778B"/>
    <w:rsid w:val="00140C21"/>
    <w:rsid w:val="00141128"/>
    <w:rsid w:val="00141224"/>
    <w:rsid w:val="00141758"/>
    <w:rsid w:val="0014199D"/>
    <w:rsid w:val="00142198"/>
    <w:rsid w:val="001434D0"/>
    <w:rsid w:val="00143ACD"/>
    <w:rsid w:val="0014420A"/>
    <w:rsid w:val="00144A53"/>
    <w:rsid w:val="00144B91"/>
    <w:rsid w:val="00144DF4"/>
    <w:rsid w:val="00145A77"/>
    <w:rsid w:val="00145B38"/>
    <w:rsid w:val="00145BC1"/>
    <w:rsid w:val="001469F6"/>
    <w:rsid w:val="001471B8"/>
    <w:rsid w:val="001471FB"/>
    <w:rsid w:val="0014746D"/>
    <w:rsid w:val="00147895"/>
    <w:rsid w:val="001479E2"/>
    <w:rsid w:val="00147B01"/>
    <w:rsid w:val="00147F8B"/>
    <w:rsid w:val="001504C2"/>
    <w:rsid w:val="0015084C"/>
    <w:rsid w:val="00150F03"/>
    <w:rsid w:val="001515BB"/>
    <w:rsid w:val="00151CFD"/>
    <w:rsid w:val="00152207"/>
    <w:rsid w:val="00152BC3"/>
    <w:rsid w:val="00152E4A"/>
    <w:rsid w:val="00155591"/>
    <w:rsid w:val="00156CD6"/>
    <w:rsid w:val="00156E0C"/>
    <w:rsid w:val="001570C7"/>
    <w:rsid w:val="001571AE"/>
    <w:rsid w:val="00157520"/>
    <w:rsid w:val="00157ED9"/>
    <w:rsid w:val="001606A0"/>
    <w:rsid w:val="00161446"/>
    <w:rsid w:val="00161740"/>
    <w:rsid w:val="00162A46"/>
    <w:rsid w:val="00162A72"/>
    <w:rsid w:val="0016336D"/>
    <w:rsid w:val="00163E90"/>
    <w:rsid w:val="001649DE"/>
    <w:rsid w:val="00164BE3"/>
    <w:rsid w:val="001657CA"/>
    <w:rsid w:val="00167407"/>
    <w:rsid w:val="00170191"/>
    <w:rsid w:val="0017063D"/>
    <w:rsid w:val="00172085"/>
    <w:rsid w:val="00172411"/>
    <w:rsid w:val="00172689"/>
    <w:rsid w:val="00172E8F"/>
    <w:rsid w:val="001737B7"/>
    <w:rsid w:val="00173853"/>
    <w:rsid w:val="00174194"/>
    <w:rsid w:val="001742A8"/>
    <w:rsid w:val="0017552C"/>
    <w:rsid w:val="00176DF8"/>
    <w:rsid w:val="00177A1E"/>
    <w:rsid w:val="00177D70"/>
    <w:rsid w:val="0018123D"/>
    <w:rsid w:val="0018135F"/>
    <w:rsid w:val="00182B5C"/>
    <w:rsid w:val="00182CE0"/>
    <w:rsid w:val="001843E2"/>
    <w:rsid w:val="00184E43"/>
    <w:rsid w:val="001850D3"/>
    <w:rsid w:val="00185C42"/>
    <w:rsid w:val="00185C7D"/>
    <w:rsid w:val="001861B8"/>
    <w:rsid w:val="00186E9E"/>
    <w:rsid w:val="00187065"/>
    <w:rsid w:val="00187182"/>
    <w:rsid w:val="001902FE"/>
    <w:rsid w:val="0019178D"/>
    <w:rsid w:val="001927A4"/>
    <w:rsid w:val="00192881"/>
    <w:rsid w:val="00192C14"/>
    <w:rsid w:val="00193412"/>
    <w:rsid w:val="00193E53"/>
    <w:rsid w:val="001941DE"/>
    <w:rsid w:val="0019479B"/>
    <w:rsid w:val="00194D44"/>
    <w:rsid w:val="00194F8D"/>
    <w:rsid w:val="00195153"/>
    <w:rsid w:val="001958C8"/>
    <w:rsid w:val="00195FD0"/>
    <w:rsid w:val="00197431"/>
    <w:rsid w:val="0019D09B"/>
    <w:rsid w:val="001A090D"/>
    <w:rsid w:val="001A1FF9"/>
    <w:rsid w:val="001A2592"/>
    <w:rsid w:val="001A2967"/>
    <w:rsid w:val="001A335E"/>
    <w:rsid w:val="001A3671"/>
    <w:rsid w:val="001A3E40"/>
    <w:rsid w:val="001A4E42"/>
    <w:rsid w:val="001A57D7"/>
    <w:rsid w:val="001A6B79"/>
    <w:rsid w:val="001A72A7"/>
    <w:rsid w:val="001A7BB9"/>
    <w:rsid w:val="001A7F60"/>
    <w:rsid w:val="001B0219"/>
    <w:rsid w:val="001B02D7"/>
    <w:rsid w:val="001B0632"/>
    <w:rsid w:val="001B0AF1"/>
    <w:rsid w:val="001B1075"/>
    <w:rsid w:val="001B160F"/>
    <w:rsid w:val="001B1654"/>
    <w:rsid w:val="001B284A"/>
    <w:rsid w:val="001B2D06"/>
    <w:rsid w:val="001B346B"/>
    <w:rsid w:val="001B5026"/>
    <w:rsid w:val="001B519D"/>
    <w:rsid w:val="001B6DA7"/>
    <w:rsid w:val="001B6E59"/>
    <w:rsid w:val="001B77A2"/>
    <w:rsid w:val="001B7866"/>
    <w:rsid w:val="001C142A"/>
    <w:rsid w:val="001C154D"/>
    <w:rsid w:val="001C1E47"/>
    <w:rsid w:val="001C2851"/>
    <w:rsid w:val="001C2B11"/>
    <w:rsid w:val="001C3276"/>
    <w:rsid w:val="001C44E8"/>
    <w:rsid w:val="001C4530"/>
    <w:rsid w:val="001C48D2"/>
    <w:rsid w:val="001C4B66"/>
    <w:rsid w:val="001C51A0"/>
    <w:rsid w:val="001C560E"/>
    <w:rsid w:val="001C58C2"/>
    <w:rsid w:val="001C620B"/>
    <w:rsid w:val="001C70D0"/>
    <w:rsid w:val="001C7661"/>
    <w:rsid w:val="001C76E1"/>
    <w:rsid w:val="001D000B"/>
    <w:rsid w:val="001D00E5"/>
    <w:rsid w:val="001D1819"/>
    <w:rsid w:val="001D1A16"/>
    <w:rsid w:val="001D2C23"/>
    <w:rsid w:val="001D2FEC"/>
    <w:rsid w:val="001D30D0"/>
    <w:rsid w:val="001D37C3"/>
    <w:rsid w:val="001D5C66"/>
    <w:rsid w:val="001D63E7"/>
    <w:rsid w:val="001D6530"/>
    <w:rsid w:val="001D681F"/>
    <w:rsid w:val="001D6C8D"/>
    <w:rsid w:val="001D6D59"/>
    <w:rsid w:val="001D7428"/>
    <w:rsid w:val="001D7613"/>
    <w:rsid w:val="001D7C4A"/>
    <w:rsid w:val="001E006E"/>
    <w:rsid w:val="001E0EFF"/>
    <w:rsid w:val="001E0FF4"/>
    <w:rsid w:val="001E1B09"/>
    <w:rsid w:val="001E1B35"/>
    <w:rsid w:val="001E1C5D"/>
    <w:rsid w:val="001E1FD1"/>
    <w:rsid w:val="001E227B"/>
    <w:rsid w:val="001E25C4"/>
    <w:rsid w:val="001E2D62"/>
    <w:rsid w:val="001E2FBB"/>
    <w:rsid w:val="001E3331"/>
    <w:rsid w:val="001E4F8A"/>
    <w:rsid w:val="001E5025"/>
    <w:rsid w:val="001E5ABD"/>
    <w:rsid w:val="001E5C43"/>
    <w:rsid w:val="001E5FE4"/>
    <w:rsid w:val="001E71BA"/>
    <w:rsid w:val="001E7F7E"/>
    <w:rsid w:val="001F006F"/>
    <w:rsid w:val="001F0B51"/>
    <w:rsid w:val="001F0F6A"/>
    <w:rsid w:val="001F1B61"/>
    <w:rsid w:val="001F1D8A"/>
    <w:rsid w:val="001F359C"/>
    <w:rsid w:val="001F35E6"/>
    <w:rsid w:val="001F3750"/>
    <w:rsid w:val="001F40E1"/>
    <w:rsid w:val="001F550D"/>
    <w:rsid w:val="001F58B8"/>
    <w:rsid w:val="001F7AFD"/>
    <w:rsid w:val="002003F2"/>
    <w:rsid w:val="00200D27"/>
    <w:rsid w:val="002011AC"/>
    <w:rsid w:val="00201AC8"/>
    <w:rsid w:val="00201D0A"/>
    <w:rsid w:val="00201EB9"/>
    <w:rsid w:val="00201FC9"/>
    <w:rsid w:val="0020210F"/>
    <w:rsid w:val="00202BD7"/>
    <w:rsid w:val="00203136"/>
    <w:rsid w:val="00203269"/>
    <w:rsid w:val="0020427A"/>
    <w:rsid w:val="002048CC"/>
    <w:rsid w:val="0020506D"/>
    <w:rsid w:val="00205391"/>
    <w:rsid w:val="00205A99"/>
    <w:rsid w:val="00205B95"/>
    <w:rsid w:val="00206196"/>
    <w:rsid w:val="0020733F"/>
    <w:rsid w:val="00207662"/>
    <w:rsid w:val="00207B94"/>
    <w:rsid w:val="00210CED"/>
    <w:rsid w:val="00210E15"/>
    <w:rsid w:val="0021144F"/>
    <w:rsid w:val="002114F3"/>
    <w:rsid w:val="00211626"/>
    <w:rsid w:val="00212686"/>
    <w:rsid w:val="0021277A"/>
    <w:rsid w:val="00212BC7"/>
    <w:rsid w:val="00212F58"/>
    <w:rsid w:val="0021380C"/>
    <w:rsid w:val="00213D76"/>
    <w:rsid w:val="00213FCA"/>
    <w:rsid w:val="00214FFE"/>
    <w:rsid w:val="00215113"/>
    <w:rsid w:val="00216043"/>
    <w:rsid w:val="00216621"/>
    <w:rsid w:val="00216B0E"/>
    <w:rsid w:val="00216D13"/>
    <w:rsid w:val="00217433"/>
    <w:rsid w:val="00217437"/>
    <w:rsid w:val="00222350"/>
    <w:rsid w:val="002225FC"/>
    <w:rsid w:val="00222A31"/>
    <w:rsid w:val="00222BF0"/>
    <w:rsid w:val="002231D3"/>
    <w:rsid w:val="002235F3"/>
    <w:rsid w:val="00223FA5"/>
    <w:rsid w:val="00224169"/>
    <w:rsid w:val="002247E7"/>
    <w:rsid w:val="0022537C"/>
    <w:rsid w:val="0022540F"/>
    <w:rsid w:val="0022685E"/>
    <w:rsid w:val="00227223"/>
    <w:rsid w:val="00227868"/>
    <w:rsid w:val="0023053C"/>
    <w:rsid w:val="00230915"/>
    <w:rsid w:val="00230BFF"/>
    <w:rsid w:val="00230D53"/>
    <w:rsid w:val="0023191B"/>
    <w:rsid w:val="002337B2"/>
    <w:rsid w:val="00233A8A"/>
    <w:rsid w:val="00233C64"/>
    <w:rsid w:val="002359CE"/>
    <w:rsid w:val="00236BE5"/>
    <w:rsid w:val="00236E70"/>
    <w:rsid w:val="002404BA"/>
    <w:rsid w:val="002427F7"/>
    <w:rsid w:val="00242F55"/>
    <w:rsid w:val="00243015"/>
    <w:rsid w:val="0024338F"/>
    <w:rsid w:val="00243845"/>
    <w:rsid w:val="002439DC"/>
    <w:rsid w:val="00244BF9"/>
    <w:rsid w:val="0024501E"/>
    <w:rsid w:val="00245EBD"/>
    <w:rsid w:val="00246AE7"/>
    <w:rsid w:val="002511A8"/>
    <w:rsid w:val="002511E9"/>
    <w:rsid w:val="002512E8"/>
    <w:rsid w:val="00251FA2"/>
    <w:rsid w:val="002523FB"/>
    <w:rsid w:val="002529E8"/>
    <w:rsid w:val="00253249"/>
    <w:rsid w:val="0025368E"/>
    <w:rsid w:val="002536CB"/>
    <w:rsid w:val="00254630"/>
    <w:rsid w:val="0025526A"/>
    <w:rsid w:val="00255EA4"/>
    <w:rsid w:val="0025674F"/>
    <w:rsid w:val="0026003F"/>
    <w:rsid w:val="00260A89"/>
    <w:rsid w:val="00260B09"/>
    <w:rsid w:val="00260C9F"/>
    <w:rsid w:val="00261A11"/>
    <w:rsid w:val="0026227C"/>
    <w:rsid w:val="00262A51"/>
    <w:rsid w:val="00262DDC"/>
    <w:rsid w:val="0026304B"/>
    <w:rsid w:val="00263552"/>
    <w:rsid w:val="002648FC"/>
    <w:rsid w:val="00264C13"/>
    <w:rsid w:val="00264C61"/>
    <w:rsid w:val="00265778"/>
    <w:rsid w:val="002658D0"/>
    <w:rsid w:val="00266AFD"/>
    <w:rsid w:val="002672D6"/>
    <w:rsid w:val="002679E5"/>
    <w:rsid w:val="00267B75"/>
    <w:rsid w:val="0027002A"/>
    <w:rsid w:val="00270452"/>
    <w:rsid w:val="00270695"/>
    <w:rsid w:val="002707B8"/>
    <w:rsid w:val="0027084D"/>
    <w:rsid w:val="00271401"/>
    <w:rsid w:val="00272012"/>
    <w:rsid w:val="002725BC"/>
    <w:rsid w:val="002731DE"/>
    <w:rsid w:val="002735F9"/>
    <w:rsid w:val="00273CD1"/>
    <w:rsid w:val="00274463"/>
    <w:rsid w:val="00274EC5"/>
    <w:rsid w:val="0027502F"/>
    <w:rsid w:val="0027506B"/>
    <w:rsid w:val="002757FF"/>
    <w:rsid w:val="00275886"/>
    <w:rsid w:val="00275E5D"/>
    <w:rsid w:val="00276C70"/>
    <w:rsid w:val="00277C24"/>
    <w:rsid w:val="00280D92"/>
    <w:rsid w:val="0028166F"/>
    <w:rsid w:val="00281733"/>
    <w:rsid w:val="0028174D"/>
    <w:rsid w:val="00281A30"/>
    <w:rsid w:val="0028225A"/>
    <w:rsid w:val="002823D9"/>
    <w:rsid w:val="00282CD6"/>
    <w:rsid w:val="00282EA8"/>
    <w:rsid w:val="002831C6"/>
    <w:rsid w:val="00283649"/>
    <w:rsid w:val="00283EEC"/>
    <w:rsid w:val="00283FF9"/>
    <w:rsid w:val="00284A4B"/>
    <w:rsid w:val="00284C7E"/>
    <w:rsid w:val="00284EA1"/>
    <w:rsid w:val="00284FC3"/>
    <w:rsid w:val="00286010"/>
    <w:rsid w:val="002878CC"/>
    <w:rsid w:val="00287CE8"/>
    <w:rsid w:val="00290663"/>
    <w:rsid w:val="00290915"/>
    <w:rsid w:val="00290B29"/>
    <w:rsid w:val="00290B6F"/>
    <w:rsid w:val="00292313"/>
    <w:rsid w:val="00294168"/>
    <w:rsid w:val="00294245"/>
    <w:rsid w:val="002948AE"/>
    <w:rsid w:val="00294FD0"/>
    <w:rsid w:val="0029507C"/>
    <w:rsid w:val="002954DC"/>
    <w:rsid w:val="002954E4"/>
    <w:rsid w:val="002957D3"/>
    <w:rsid w:val="0029592F"/>
    <w:rsid w:val="00295B0F"/>
    <w:rsid w:val="0029647F"/>
    <w:rsid w:val="00296B1E"/>
    <w:rsid w:val="00297ABC"/>
    <w:rsid w:val="002A0C93"/>
    <w:rsid w:val="002A2006"/>
    <w:rsid w:val="002A2421"/>
    <w:rsid w:val="002A2CA9"/>
    <w:rsid w:val="002A40A1"/>
    <w:rsid w:val="002A4594"/>
    <w:rsid w:val="002A4934"/>
    <w:rsid w:val="002A50A7"/>
    <w:rsid w:val="002A580F"/>
    <w:rsid w:val="002A65C4"/>
    <w:rsid w:val="002A6629"/>
    <w:rsid w:val="002A6CAA"/>
    <w:rsid w:val="002A6EA8"/>
    <w:rsid w:val="002A729B"/>
    <w:rsid w:val="002B020A"/>
    <w:rsid w:val="002B1764"/>
    <w:rsid w:val="002B1B5E"/>
    <w:rsid w:val="002B1C56"/>
    <w:rsid w:val="002B1F93"/>
    <w:rsid w:val="002B334F"/>
    <w:rsid w:val="002B3C0A"/>
    <w:rsid w:val="002B3E37"/>
    <w:rsid w:val="002B4100"/>
    <w:rsid w:val="002B4250"/>
    <w:rsid w:val="002B429D"/>
    <w:rsid w:val="002B43F3"/>
    <w:rsid w:val="002B4830"/>
    <w:rsid w:val="002B4A15"/>
    <w:rsid w:val="002B4F49"/>
    <w:rsid w:val="002B63FA"/>
    <w:rsid w:val="002B6FB8"/>
    <w:rsid w:val="002B7D36"/>
    <w:rsid w:val="002C0215"/>
    <w:rsid w:val="002C0E1B"/>
    <w:rsid w:val="002C185A"/>
    <w:rsid w:val="002C1E78"/>
    <w:rsid w:val="002C21A1"/>
    <w:rsid w:val="002C38E3"/>
    <w:rsid w:val="002C4147"/>
    <w:rsid w:val="002C42E5"/>
    <w:rsid w:val="002C4E8C"/>
    <w:rsid w:val="002C50B4"/>
    <w:rsid w:val="002C65D1"/>
    <w:rsid w:val="002C6992"/>
    <w:rsid w:val="002C7460"/>
    <w:rsid w:val="002D0261"/>
    <w:rsid w:val="002D09AF"/>
    <w:rsid w:val="002D11D9"/>
    <w:rsid w:val="002D14B7"/>
    <w:rsid w:val="002D1765"/>
    <w:rsid w:val="002D18D3"/>
    <w:rsid w:val="002D1D1E"/>
    <w:rsid w:val="002D1F46"/>
    <w:rsid w:val="002D22CC"/>
    <w:rsid w:val="002D27A8"/>
    <w:rsid w:val="002D3A32"/>
    <w:rsid w:val="002D3E35"/>
    <w:rsid w:val="002D3F2C"/>
    <w:rsid w:val="002D41C6"/>
    <w:rsid w:val="002D473A"/>
    <w:rsid w:val="002D4E4C"/>
    <w:rsid w:val="002D4F37"/>
    <w:rsid w:val="002D54B7"/>
    <w:rsid w:val="002D54E6"/>
    <w:rsid w:val="002D61CE"/>
    <w:rsid w:val="002D6B1D"/>
    <w:rsid w:val="002D6E03"/>
    <w:rsid w:val="002D6FD3"/>
    <w:rsid w:val="002D7910"/>
    <w:rsid w:val="002D7FDC"/>
    <w:rsid w:val="002E00D9"/>
    <w:rsid w:val="002E030B"/>
    <w:rsid w:val="002E211F"/>
    <w:rsid w:val="002E2523"/>
    <w:rsid w:val="002E397D"/>
    <w:rsid w:val="002E43B7"/>
    <w:rsid w:val="002E4405"/>
    <w:rsid w:val="002E461A"/>
    <w:rsid w:val="002E48D6"/>
    <w:rsid w:val="002E4FDC"/>
    <w:rsid w:val="002E50F9"/>
    <w:rsid w:val="002E516E"/>
    <w:rsid w:val="002E557E"/>
    <w:rsid w:val="002E5F0C"/>
    <w:rsid w:val="002E6386"/>
    <w:rsid w:val="002E64EC"/>
    <w:rsid w:val="002E6CB7"/>
    <w:rsid w:val="002E6E73"/>
    <w:rsid w:val="002E799C"/>
    <w:rsid w:val="002EAFE1"/>
    <w:rsid w:val="002F078D"/>
    <w:rsid w:val="002F08EA"/>
    <w:rsid w:val="002F140C"/>
    <w:rsid w:val="002F1815"/>
    <w:rsid w:val="002F1F1B"/>
    <w:rsid w:val="002F22E4"/>
    <w:rsid w:val="002F2493"/>
    <w:rsid w:val="002F261E"/>
    <w:rsid w:val="002F313C"/>
    <w:rsid w:val="002F3966"/>
    <w:rsid w:val="002F4FA0"/>
    <w:rsid w:val="002F4FB0"/>
    <w:rsid w:val="002F5F07"/>
    <w:rsid w:val="002F65DB"/>
    <w:rsid w:val="002F68AA"/>
    <w:rsid w:val="002F6D08"/>
    <w:rsid w:val="002F742E"/>
    <w:rsid w:val="002F78C9"/>
    <w:rsid w:val="002F7F47"/>
    <w:rsid w:val="0030105C"/>
    <w:rsid w:val="00301D6C"/>
    <w:rsid w:val="003026DE"/>
    <w:rsid w:val="003032A6"/>
    <w:rsid w:val="00304846"/>
    <w:rsid w:val="00304930"/>
    <w:rsid w:val="0030523E"/>
    <w:rsid w:val="003053EB"/>
    <w:rsid w:val="00305873"/>
    <w:rsid w:val="00306137"/>
    <w:rsid w:val="003076F0"/>
    <w:rsid w:val="00310D5C"/>
    <w:rsid w:val="00312D97"/>
    <w:rsid w:val="00312FAC"/>
    <w:rsid w:val="00312FDE"/>
    <w:rsid w:val="00313ADC"/>
    <w:rsid w:val="0031493F"/>
    <w:rsid w:val="00315E58"/>
    <w:rsid w:val="003169C0"/>
    <w:rsid w:val="00316C80"/>
    <w:rsid w:val="003175C4"/>
    <w:rsid w:val="003178E6"/>
    <w:rsid w:val="00317CB6"/>
    <w:rsid w:val="0032007A"/>
    <w:rsid w:val="00320812"/>
    <w:rsid w:val="00320A32"/>
    <w:rsid w:val="00322518"/>
    <w:rsid w:val="00322C51"/>
    <w:rsid w:val="003235C8"/>
    <w:rsid w:val="003246E3"/>
    <w:rsid w:val="003249AC"/>
    <w:rsid w:val="0032597C"/>
    <w:rsid w:val="00327926"/>
    <w:rsid w:val="00327BF4"/>
    <w:rsid w:val="00327E12"/>
    <w:rsid w:val="00330239"/>
    <w:rsid w:val="00330376"/>
    <w:rsid w:val="003306BF"/>
    <w:rsid w:val="00331E69"/>
    <w:rsid w:val="00331F49"/>
    <w:rsid w:val="00334155"/>
    <w:rsid w:val="0033468B"/>
    <w:rsid w:val="00334B7D"/>
    <w:rsid w:val="00336613"/>
    <w:rsid w:val="00336AF6"/>
    <w:rsid w:val="00336FF6"/>
    <w:rsid w:val="0033715B"/>
    <w:rsid w:val="003400CE"/>
    <w:rsid w:val="00340ED2"/>
    <w:rsid w:val="0034104D"/>
    <w:rsid w:val="00341DD1"/>
    <w:rsid w:val="00343604"/>
    <w:rsid w:val="00343858"/>
    <w:rsid w:val="00344186"/>
    <w:rsid w:val="003447DE"/>
    <w:rsid w:val="00344D3F"/>
    <w:rsid w:val="0034504D"/>
    <w:rsid w:val="00345174"/>
    <w:rsid w:val="00345308"/>
    <w:rsid w:val="0034562A"/>
    <w:rsid w:val="00345ACC"/>
    <w:rsid w:val="00345E45"/>
    <w:rsid w:val="00347404"/>
    <w:rsid w:val="003478A8"/>
    <w:rsid w:val="00351ABE"/>
    <w:rsid w:val="00351DAD"/>
    <w:rsid w:val="0035311B"/>
    <w:rsid w:val="0035346A"/>
    <w:rsid w:val="00353FB7"/>
    <w:rsid w:val="003545A8"/>
    <w:rsid w:val="0035483B"/>
    <w:rsid w:val="0035496E"/>
    <w:rsid w:val="003557CA"/>
    <w:rsid w:val="0035620E"/>
    <w:rsid w:val="00356F7A"/>
    <w:rsid w:val="0035765D"/>
    <w:rsid w:val="00357A83"/>
    <w:rsid w:val="00357F0B"/>
    <w:rsid w:val="00360CDE"/>
    <w:rsid w:val="003618D5"/>
    <w:rsid w:val="00361E30"/>
    <w:rsid w:val="003625AF"/>
    <w:rsid w:val="00363176"/>
    <w:rsid w:val="00363AF6"/>
    <w:rsid w:val="0036401E"/>
    <w:rsid w:val="0036420B"/>
    <w:rsid w:val="00364A4E"/>
    <w:rsid w:val="0036580B"/>
    <w:rsid w:val="00366FCA"/>
    <w:rsid w:val="003675BA"/>
    <w:rsid w:val="00367EDC"/>
    <w:rsid w:val="00371330"/>
    <w:rsid w:val="003725DB"/>
    <w:rsid w:val="00373067"/>
    <w:rsid w:val="00373624"/>
    <w:rsid w:val="00373FB3"/>
    <w:rsid w:val="00373FC5"/>
    <w:rsid w:val="00374643"/>
    <w:rsid w:val="00374E61"/>
    <w:rsid w:val="0037554E"/>
    <w:rsid w:val="003759CE"/>
    <w:rsid w:val="00375AFE"/>
    <w:rsid w:val="00375EB3"/>
    <w:rsid w:val="00377189"/>
    <w:rsid w:val="00380220"/>
    <w:rsid w:val="00380246"/>
    <w:rsid w:val="0038038C"/>
    <w:rsid w:val="00380DBE"/>
    <w:rsid w:val="003810F0"/>
    <w:rsid w:val="00381836"/>
    <w:rsid w:val="003822A8"/>
    <w:rsid w:val="00382632"/>
    <w:rsid w:val="00383151"/>
    <w:rsid w:val="00383223"/>
    <w:rsid w:val="0038345A"/>
    <w:rsid w:val="00384D3F"/>
    <w:rsid w:val="003861AB"/>
    <w:rsid w:val="0038622A"/>
    <w:rsid w:val="00386604"/>
    <w:rsid w:val="00386A92"/>
    <w:rsid w:val="00386ED8"/>
    <w:rsid w:val="003879AF"/>
    <w:rsid w:val="00387B03"/>
    <w:rsid w:val="00387C8A"/>
    <w:rsid w:val="00387F24"/>
    <w:rsid w:val="0039036E"/>
    <w:rsid w:val="00390ED9"/>
    <w:rsid w:val="00391D6F"/>
    <w:rsid w:val="003922D7"/>
    <w:rsid w:val="00392C0A"/>
    <w:rsid w:val="0039449B"/>
    <w:rsid w:val="0039497C"/>
    <w:rsid w:val="00395666"/>
    <w:rsid w:val="003957C3"/>
    <w:rsid w:val="00395A18"/>
    <w:rsid w:val="003962BC"/>
    <w:rsid w:val="0039632A"/>
    <w:rsid w:val="00396CFB"/>
    <w:rsid w:val="00396D50"/>
    <w:rsid w:val="00396EA0"/>
    <w:rsid w:val="003A15AE"/>
    <w:rsid w:val="003A1E5E"/>
    <w:rsid w:val="003A1F58"/>
    <w:rsid w:val="003A20DA"/>
    <w:rsid w:val="003A2119"/>
    <w:rsid w:val="003A23ED"/>
    <w:rsid w:val="003A450F"/>
    <w:rsid w:val="003A474C"/>
    <w:rsid w:val="003A4F3E"/>
    <w:rsid w:val="003A53CD"/>
    <w:rsid w:val="003A579D"/>
    <w:rsid w:val="003A6620"/>
    <w:rsid w:val="003A6DB0"/>
    <w:rsid w:val="003A79DB"/>
    <w:rsid w:val="003B15E9"/>
    <w:rsid w:val="003B2977"/>
    <w:rsid w:val="003B2A01"/>
    <w:rsid w:val="003B2C93"/>
    <w:rsid w:val="003B3314"/>
    <w:rsid w:val="003B3D85"/>
    <w:rsid w:val="003B3D91"/>
    <w:rsid w:val="003B3DD0"/>
    <w:rsid w:val="003B572B"/>
    <w:rsid w:val="003B5B99"/>
    <w:rsid w:val="003B6EE2"/>
    <w:rsid w:val="003B7931"/>
    <w:rsid w:val="003C0ADB"/>
    <w:rsid w:val="003C12C4"/>
    <w:rsid w:val="003C2060"/>
    <w:rsid w:val="003C22C6"/>
    <w:rsid w:val="003C24E4"/>
    <w:rsid w:val="003C25AC"/>
    <w:rsid w:val="003C373B"/>
    <w:rsid w:val="003C42AF"/>
    <w:rsid w:val="003C45C1"/>
    <w:rsid w:val="003C4F0D"/>
    <w:rsid w:val="003C553A"/>
    <w:rsid w:val="003C5C8B"/>
    <w:rsid w:val="003C664A"/>
    <w:rsid w:val="003C6834"/>
    <w:rsid w:val="003C6B51"/>
    <w:rsid w:val="003C6DA2"/>
    <w:rsid w:val="003C70C3"/>
    <w:rsid w:val="003D0C21"/>
    <w:rsid w:val="003D0D52"/>
    <w:rsid w:val="003D1CC6"/>
    <w:rsid w:val="003D248B"/>
    <w:rsid w:val="003D2EAE"/>
    <w:rsid w:val="003D2F9B"/>
    <w:rsid w:val="003D4ED4"/>
    <w:rsid w:val="003D53B8"/>
    <w:rsid w:val="003D5922"/>
    <w:rsid w:val="003D5D7B"/>
    <w:rsid w:val="003D62C7"/>
    <w:rsid w:val="003D6D33"/>
    <w:rsid w:val="003D750D"/>
    <w:rsid w:val="003D7547"/>
    <w:rsid w:val="003D7718"/>
    <w:rsid w:val="003D7B52"/>
    <w:rsid w:val="003E01A1"/>
    <w:rsid w:val="003E1251"/>
    <w:rsid w:val="003E141C"/>
    <w:rsid w:val="003E2170"/>
    <w:rsid w:val="003E3437"/>
    <w:rsid w:val="003E34DC"/>
    <w:rsid w:val="003E3564"/>
    <w:rsid w:val="003E375A"/>
    <w:rsid w:val="003E4294"/>
    <w:rsid w:val="003E4B5E"/>
    <w:rsid w:val="003E5995"/>
    <w:rsid w:val="003E5B36"/>
    <w:rsid w:val="003E6165"/>
    <w:rsid w:val="003E6A8F"/>
    <w:rsid w:val="003E6E8B"/>
    <w:rsid w:val="003E7A6E"/>
    <w:rsid w:val="003E7AEA"/>
    <w:rsid w:val="003F0994"/>
    <w:rsid w:val="003F0FB1"/>
    <w:rsid w:val="003F1958"/>
    <w:rsid w:val="003F2AF6"/>
    <w:rsid w:val="003F2C9D"/>
    <w:rsid w:val="003F2E2D"/>
    <w:rsid w:val="003F31E0"/>
    <w:rsid w:val="003F3341"/>
    <w:rsid w:val="003F3D88"/>
    <w:rsid w:val="003F43B2"/>
    <w:rsid w:val="003F46FA"/>
    <w:rsid w:val="003F69CD"/>
    <w:rsid w:val="003F6C61"/>
    <w:rsid w:val="003F7844"/>
    <w:rsid w:val="003F78C1"/>
    <w:rsid w:val="003F7A1E"/>
    <w:rsid w:val="004007AC"/>
    <w:rsid w:val="00401046"/>
    <w:rsid w:val="004012D5"/>
    <w:rsid w:val="00401DF0"/>
    <w:rsid w:val="0040227E"/>
    <w:rsid w:val="004034E9"/>
    <w:rsid w:val="00403973"/>
    <w:rsid w:val="00403ADC"/>
    <w:rsid w:val="00403E9D"/>
    <w:rsid w:val="0040424A"/>
    <w:rsid w:val="004057CC"/>
    <w:rsid w:val="00406016"/>
    <w:rsid w:val="00406875"/>
    <w:rsid w:val="00407AAF"/>
    <w:rsid w:val="00407C62"/>
    <w:rsid w:val="004103CD"/>
    <w:rsid w:val="00410606"/>
    <w:rsid w:val="00410A18"/>
    <w:rsid w:val="00410C19"/>
    <w:rsid w:val="00410CBE"/>
    <w:rsid w:val="00410D1E"/>
    <w:rsid w:val="004119E8"/>
    <w:rsid w:val="00411E44"/>
    <w:rsid w:val="004134D7"/>
    <w:rsid w:val="004138A5"/>
    <w:rsid w:val="00414885"/>
    <w:rsid w:val="004148C0"/>
    <w:rsid w:val="00414F98"/>
    <w:rsid w:val="004154AD"/>
    <w:rsid w:val="0041560D"/>
    <w:rsid w:val="00415D12"/>
    <w:rsid w:val="00416112"/>
    <w:rsid w:val="0042040A"/>
    <w:rsid w:val="004212B3"/>
    <w:rsid w:val="0042192B"/>
    <w:rsid w:val="00422070"/>
    <w:rsid w:val="00422D4B"/>
    <w:rsid w:val="0042395F"/>
    <w:rsid w:val="00424D43"/>
    <w:rsid w:val="00425070"/>
    <w:rsid w:val="0042568D"/>
    <w:rsid w:val="00425EE1"/>
    <w:rsid w:val="004262C1"/>
    <w:rsid w:val="00426918"/>
    <w:rsid w:val="0042694A"/>
    <w:rsid w:val="00430741"/>
    <w:rsid w:val="00431115"/>
    <w:rsid w:val="00431122"/>
    <w:rsid w:val="004312B6"/>
    <w:rsid w:val="00431F6C"/>
    <w:rsid w:val="00433ABB"/>
    <w:rsid w:val="004346DA"/>
    <w:rsid w:val="00435253"/>
    <w:rsid w:val="004359BB"/>
    <w:rsid w:val="004408D1"/>
    <w:rsid w:val="00440AE8"/>
    <w:rsid w:val="00440DF1"/>
    <w:rsid w:val="004419F6"/>
    <w:rsid w:val="00441E60"/>
    <w:rsid w:val="00442661"/>
    <w:rsid w:val="00443054"/>
    <w:rsid w:val="00443285"/>
    <w:rsid w:val="00443D46"/>
    <w:rsid w:val="004448A4"/>
    <w:rsid w:val="00445BD0"/>
    <w:rsid w:val="00446455"/>
    <w:rsid w:val="00446FCA"/>
    <w:rsid w:val="00447FAC"/>
    <w:rsid w:val="0045049B"/>
    <w:rsid w:val="004509C6"/>
    <w:rsid w:val="004516CC"/>
    <w:rsid w:val="00451D3D"/>
    <w:rsid w:val="00451DA6"/>
    <w:rsid w:val="00452736"/>
    <w:rsid w:val="00454277"/>
    <w:rsid w:val="00454FE1"/>
    <w:rsid w:val="0045695E"/>
    <w:rsid w:val="00456A58"/>
    <w:rsid w:val="00456AB3"/>
    <w:rsid w:val="00456ACC"/>
    <w:rsid w:val="00456C45"/>
    <w:rsid w:val="00457149"/>
    <w:rsid w:val="0046047E"/>
    <w:rsid w:val="00460999"/>
    <w:rsid w:val="00461DA9"/>
    <w:rsid w:val="0046306F"/>
    <w:rsid w:val="00464590"/>
    <w:rsid w:val="00464C75"/>
    <w:rsid w:val="00464EC7"/>
    <w:rsid w:val="004658D1"/>
    <w:rsid w:val="00465D7E"/>
    <w:rsid w:val="004660AB"/>
    <w:rsid w:val="00466460"/>
    <w:rsid w:val="00466B8D"/>
    <w:rsid w:val="004674B1"/>
    <w:rsid w:val="00470794"/>
    <w:rsid w:val="00471292"/>
    <w:rsid w:val="004715F5"/>
    <w:rsid w:val="00471DCC"/>
    <w:rsid w:val="00472102"/>
    <w:rsid w:val="00472963"/>
    <w:rsid w:val="004729E0"/>
    <w:rsid w:val="00472F81"/>
    <w:rsid w:val="00473218"/>
    <w:rsid w:val="00473271"/>
    <w:rsid w:val="00473850"/>
    <w:rsid w:val="00473A4D"/>
    <w:rsid w:val="00473DD7"/>
    <w:rsid w:val="00473E98"/>
    <w:rsid w:val="004740E8"/>
    <w:rsid w:val="004745DA"/>
    <w:rsid w:val="00474896"/>
    <w:rsid w:val="00475436"/>
    <w:rsid w:val="00475E79"/>
    <w:rsid w:val="00476C08"/>
    <w:rsid w:val="00476DFA"/>
    <w:rsid w:val="00477076"/>
    <w:rsid w:val="0047726D"/>
    <w:rsid w:val="0047789A"/>
    <w:rsid w:val="00477A32"/>
    <w:rsid w:val="0048018F"/>
    <w:rsid w:val="00480BEA"/>
    <w:rsid w:val="004810FE"/>
    <w:rsid w:val="004811CE"/>
    <w:rsid w:val="00483334"/>
    <w:rsid w:val="004834B7"/>
    <w:rsid w:val="00483779"/>
    <w:rsid w:val="0048380E"/>
    <w:rsid w:val="004859E6"/>
    <w:rsid w:val="00486665"/>
    <w:rsid w:val="0048668C"/>
    <w:rsid w:val="0048692A"/>
    <w:rsid w:val="00486971"/>
    <w:rsid w:val="00486BE3"/>
    <w:rsid w:val="00487D91"/>
    <w:rsid w:val="00490395"/>
    <w:rsid w:val="00490E82"/>
    <w:rsid w:val="0049137F"/>
    <w:rsid w:val="004916A2"/>
    <w:rsid w:val="00491ECF"/>
    <w:rsid w:val="00492379"/>
    <w:rsid w:val="004923EB"/>
    <w:rsid w:val="0049240B"/>
    <w:rsid w:val="004924B1"/>
    <w:rsid w:val="004928A3"/>
    <w:rsid w:val="0049342D"/>
    <w:rsid w:val="0049378A"/>
    <w:rsid w:val="0049420B"/>
    <w:rsid w:val="0049474F"/>
    <w:rsid w:val="0049498D"/>
    <w:rsid w:val="00494A62"/>
    <w:rsid w:val="004954D4"/>
    <w:rsid w:val="004957DC"/>
    <w:rsid w:val="00495D2E"/>
    <w:rsid w:val="004963C3"/>
    <w:rsid w:val="00496C11"/>
    <w:rsid w:val="00497316"/>
    <w:rsid w:val="00497C0D"/>
    <w:rsid w:val="00497CF7"/>
    <w:rsid w:val="004A03F5"/>
    <w:rsid w:val="004A17E0"/>
    <w:rsid w:val="004A228F"/>
    <w:rsid w:val="004A259E"/>
    <w:rsid w:val="004A2A19"/>
    <w:rsid w:val="004A4953"/>
    <w:rsid w:val="004A50DB"/>
    <w:rsid w:val="004A534D"/>
    <w:rsid w:val="004A57F6"/>
    <w:rsid w:val="004A5A2F"/>
    <w:rsid w:val="004A5E13"/>
    <w:rsid w:val="004A613F"/>
    <w:rsid w:val="004A61C6"/>
    <w:rsid w:val="004B02B3"/>
    <w:rsid w:val="004B0744"/>
    <w:rsid w:val="004B0A1E"/>
    <w:rsid w:val="004B0D97"/>
    <w:rsid w:val="004B106A"/>
    <w:rsid w:val="004B2201"/>
    <w:rsid w:val="004B29F2"/>
    <w:rsid w:val="004B31ED"/>
    <w:rsid w:val="004B394F"/>
    <w:rsid w:val="004B3D81"/>
    <w:rsid w:val="004B4EF7"/>
    <w:rsid w:val="004B6CF0"/>
    <w:rsid w:val="004C0874"/>
    <w:rsid w:val="004C1432"/>
    <w:rsid w:val="004C1BCA"/>
    <w:rsid w:val="004C3ECD"/>
    <w:rsid w:val="004C4576"/>
    <w:rsid w:val="004C5293"/>
    <w:rsid w:val="004C599F"/>
    <w:rsid w:val="004C5E86"/>
    <w:rsid w:val="004C5F61"/>
    <w:rsid w:val="004C641B"/>
    <w:rsid w:val="004C672C"/>
    <w:rsid w:val="004C67A2"/>
    <w:rsid w:val="004C7AE4"/>
    <w:rsid w:val="004C7BB7"/>
    <w:rsid w:val="004C7EFC"/>
    <w:rsid w:val="004D0404"/>
    <w:rsid w:val="004D0505"/>
    <w:rsid w:val="004D05C8"/>
    <w:rsid w:val="004D0B18"/>
    <w:rsid w:val="004D0CEB"/>
    <w:rsid w:val="004D0DD0"/>
    <w:rsid w:val="004D1427"/>
    <w:rsid w:val="004D194A"/>
    <w:rsid w:val="004D38FE"/>
    <w:rsid w:val="004D46E6"/>
    <w:rsid w:val="004D4A2C"/>
    <w:rsid w:val="004D5F3D"/>
    <w:rsid w:val="004D61D9"/>
    <w:rsid w:val="004D65F6"/>
    <w:rsid w:val="004D72F0"/>
    <w:rsid w:val="004D7367"/>
    <w:rsid w:val="004D7611"/>
    <w:rsid w:val="004D77D7"/>
    <w:rsid w:val="004E0CE2"/>
    <w:rsid w:val="004E11D8"/>
    <w:rsid w:val="004E22AA"/>
    <w:rsid w:val="004E29B0"/>
    <w:rsid w:val="004E3225"/>
    <w:rsid w:val="004E40FD"/>
    <w:rsid w:val="004E4355"/>
    <w:rsid w:val="004E4C79"/>
    <w:rsid w:val="004E505A"/>
    <w:rsid w:val="004E5504"/>
    <w:rsid w:val="004E58BC"/>
    <w:rsid w:val="004E5B8F"/>
    <w:rsid w:val="004E6043"/>
    <w:rsid w:val="004E72DE"/>
    <w:rsid w:val="004E7417"/>
    <w:rsid w:val="004E7515"/>
    <w:rsid w:val="004E7689"/>
    <w:rsid w:val="004F2EC7"/>
    <w:rsid w:val="004F40ED"/>
    <w:rsid w:val="004F4B9A"/>
    <w:rsid w:val="004F4D6A"/>
    <w:rsid w:val="004F5900"/>
    <w:rsid w:val="004F59B5"/>
    <w:rsid w:val="004F5FF4"/>
    <w:rsid w:val="004F706D"/>
    <w:rsid w:val="004F7483"/>
    <w:rsid w:val="004F7758"/>
    <w:rsid w:val="004F7C6B"/>
    <w:rsid w:val="00500150"/>
    <w:rsid w:val="0050077F"/>
    <w:rsid w:val="00500D97"/>
    <w:rsid w:val="00500DEF"/>
    <w:rsid w:val="00501CB0"/>
    <w:rsid w:val="00502C28"/>
    <w:rsid w:val="00502D50"/>
    <w:rsid w:val="00504C04"/>
    <w:rsid w:val="005104E3"/>
    <w:rsid w:val="0051107A"/>
    <w:rsid w:val="005117C2"/>
    <w:rsid w:val="00511BBB"/>
    <w:rsid w:val="00512339"/>
    <w:rsid w:val="005128CD"/>
    <w:rsid w:val="005129C3"/>
    <w:rsid w:val="005133E4"/>
    <w:rsid w:val="00513906"/>
    <w:rsid w:val="00513BF3"/>
    <w:rsid w:val="00513F5E"/>
    <w:rsid w:val="0051489E"/>
    <w:rsid w:val="00514AFF"/>
    <w:rsid w:val="00515E12"/>
    <w:rsid w:val="005162F2"/>
    <w:rsid w:val="00516517"/>
    <w:rsid w:val="00516816"/>
    <w:rsid w:val="00516F8F"/>
    <w:rsid w:val="005175EF"/>
    <w:rsid w:val="005179A1"/>
    <w:rsid w:val="00521191"/>
    <w:rsid w:val="005218C3"/>
    <w:rsid w:val="00522159"/>
    <w:rsid w:val="00524305"/>
    <w:rsid w:val="0052483D"/>
    <w:rsid w:val="00525623"/>
    <w:rsid w:val="0052604A"/>
    <w:rsid w:val="005263ED"/>
    <w:rsid w:val="00526A64"/>
    <w:rsid w:val="00531978"/>
    <w:rsid w:val="00531D44"/>
    <w:rsid w:val="00531F2A"/>
    <w:rsid w:val="00532055"/>
    <w:rsid w:val="00532F1F"/>
    <w:rsid w:val="00534492"/>
    <w:rsid w:val="005353EA"/>
    <w:rsid w:val="005363A1"/>
    <w:rsid w:val="005367D5"/>
    <w:rsid w:val="00536FF5"/>
    <w:rsid w:val="005377A7"/>
    <w:rsid w:val="00537E35"/>
    <w:rsid w:val="00540A1E"/>
    <w:rsid w:val="00540D4C"/>
    <w:rsid w:val="00541BE6"/>
    <w:rsid w:val="00542E40"/>
    <w:rsid w:val="00542FFC"/>
    <w:rsid w:val="00543D20"/>
    <w:rsid w:val="00543F37"/>
    <w:rsid w:val="00544FCB"/>
    <w:rsid w:val="005456A0"/>
    <w:rsid w:val="00545AD4"/>
    <w:rsid w:val="00545EEE"/>
    <w:rsid w:val="005461C0"/>
    <w:rsid w:val="005463F5"/>
    <w:rsid w:val="005468DD"/>
    <w:rsid w:val="00546B5E"/>
    <w:rsid w:val="005472E8"/>
    <w:rsid w:val="005474CC"/>
    <w:rsid w:val="00547B1C"/>
    <w:rsid w:val="005504BC"/>
    <w:rsid w:val="0055054D"/>
    <w:rsid w:val="00550D56"/>
    <w:rsid w:val="00551791"/>
    <w:rsid w:val="00551AA5"/>
    <w:rsid w:val="00552A1F"/>
    <w:rsid w:val="00552EB3"/>
    <w:rsid w:val="0055317F"/>
    <w:rsid w:val="00553AA5"/>
    <w:rsid w:val="005543E0"/>
    <w:rsid w:val="00554465"/>
    <w:rsid w:val="005549CF"/>
    <w:rsid w:val="00555259"/>
    <w:rsid w:val="005556B2"/>
    <w:rsid w:val="00555D90"/>
    <w:rsid w:val="005568A9"/>
    <w:rsid w:val="00557F03"/>
    <w:rsid w:val="00560E89"/>
    <w:rsid w:val="00561459"/>
    <w:rsid w:val="005618CB"/>
    <w:rsid w:val="00561918"/>
    <w:rsid w:val="00561B12"/>
    <w:rsid w:val="0056204C"/>
    <w:rsid w:val="00562433"/>
    <w:rsid w:val="00562F0E"/>
    <w:rsid w:val="00564500"/>
    <w:rsid w:val="005647C8"/>
    <w:rsid w:val="00564F6D"/>
    <w:rsid w:val="00565D72"/>
    <w:rsid w:val="00565F80"/>
    <w:rsid w:val="005660FD"/>
    <w:rsid w:val="005672B5"/>
    <w:rsid w:val="005700FC"/>
    <w:rsid w:val="005702F3"/>
    <w:rsid w:val="00570624"/>
    <w:rsid w:val="005710B5"/>
    <w:rsid w:val="005712AB"/>
    <w:rsid w:val="00571660"/>
    <w:rsid w:val="005720A1"/>
    <w:rsid w:val="0057283B"/>
    <w:rsid w:val="00572C9B"/>
    <w:rsid w:val="005735E6"/>
    <w:rsid w:val="0057379C"/>
    <w:rsid w:val="00573CF1"/>
    <w:rsid w:val="00574769"/>
    <w:rsid w:val="00574E84"/>
    <w:rsid w:val="0057548A"/>
    <w:rsid w:val="00575B51"/>
    <w:rsid w:val="00576178"/>
    <w:rsid w:val="005772DF"/>
    <w:rsid w:val="005777A9"/>
    <w:rsid w:val="0057789C"/>
    <w:rsid w:val="005800E8"/>
    <w:rsid w:val="0058024C"/>
    <w:rsid w:val="00580A75"/>
    <w:rsid w:val="005811B3"/>
    <w:rsid w:val="005819C5"/>
    <w:rsid w:val="00581E20"/>
    <w:rsid w:val="005821E3"/>
    <w:rsid w:val="005824E9"/>
    <w:rsid w:val="005837BD"/>
    <w:rsid w:val="00583B7A"/>
    <w:rsid w:val="0058464C"/>
    <w:rsid w:val="00584756"/>
    <w:rsid w:val="005848A3"/>
    <w:rsid w:val="00585045"/>
    <w:rsid w:val="005860FD"/>
    <w:rsid w:val="00586664"/>
    <w:rsid w:val="00586BE9"/>
    <w:rsid w:val="00586E06"/>
    <w:rsid w:val="005871B6"/>
    <w:rsid w:val="00587590"/>
    <w:rsid w:val="00587EE4"/>
    <w:rsid w:val="00590091"/>
    <w:rsid w:val="0059072C"/>
    <w:rsid w:val="00590AE7"/>
    <w:rsid w:val="00590B48"/>
    <w:rsid w:val="00590F7F"/>
    <w:rsid w:val="005915D6"/>
    <w:rsid w:val="005919E9"/>
    <w:rsid w:val="00591A40"/>
    <w:rsid w:val="00591F96"/>
    <w:rsid w:val="00592628"/>
    <w:rsid w:val="005941B4"/>
    <w:rsid w:val="005948C1"/>
    <w:rsid w:val="00594F37"/>
    <w:rsid w:val="00595F69"/>
    <w:rsid w:val="0059604E"/>
    <w:rsid w:val="005960B2"/>
    <w:rsid w:val="00597103"/>
    <w:rsid w:val="00597441"/>
    <w:rsid w:val="00597525"/>
    <w:rsid w:val="00597604"/>
    <w:rsid w:val="005A0377"/>
    <w:rsid w:val="005A0888"/>
    <w:rsid w:val="005A1898"/>
    <w:rsid w:val="005A1959"/>
    <w:rsid w:val="005A1AFE"/>
    <w:rsid w:val="005A2F63"/>
    <w:rsid w:val="005A2F6F"/>
    <w:rsid w:val="005A3CBE"/>
    <w:rsid w:val="005A4F40"/>
    <w:rsid w:val="005A5164"/>
    <w:rsid w:val="005A573D"/>
    <w:rsid w:val="005A59F4"/>
    <w:rsid w:val="005A5B9A"/>
    <w:rsid w:val="005A5C27"/>
    <w:rsid w:val="005A5EEE"/>
    <w:rsid w:val="005A6B9B"/>
    <w:rsid w:val="005A7708"/>
    <w:rsid w:val="005B0F17"/>
    <w:rsid w:val="005B147F"/>
    <w:rsid w:val="005B1512"/>
    <w:rsid w:val="005B220E"/>
    <w:rsid w:val="005B3629"/>
    <w:rsid w:val="005B368D"/>
    <w:rsid w:val="005B3E85"/>
    <w:rsid w:val="005B50B8"/>
    <w:rsid w:val="005B5340"/>
    <w:rsid w:val="005B5808"/>
    <w:rsid w:val="005B5A2F"/>
    <w:rsid w:val="005B5B2D"/>
    <w:rsid w:val="005B5BFC"/>
    <w:rsid w:val="005B5D09"/>
    <w:rsid w:val="005B64BC"/>
    <w:rsid w:val="005B7C09"/>
    <w:rsid w:val="005C031C"/>
    <w:rsid w:val="005C09CB"/>
    <w:rsid w:val="005C138B"/>
    <w:rsid w:val="005C1BFC"/>
    <w:rsid w:val="005C2865"/>
    <w:rsid w:val="005C2FCF"/>
    <w:rsid w:val="005C3115"/>
    <w:rsid w:val="005C3588"/>
    <w:rsid w:val="005C3C86"/>
    <w:rsid w:val="005C3EDA"/>
    <w:rsid w:val="005C3F96"/>
    <w:rsid w:val="005C489D"/>
    <w:rsid w:val="005C5558"/>
    <w:rsid w:val="005C59CE"/>
    <w:rsid w:val="005C5B02"/>
    <w:rsid w:val="005C5F99"/>
    <w:rsid w:val="005C6529"/>
    <w:rsid w:val="005D027D"/>
    <w:rsid w:val="005D08FD"/>
    <w:rsid w:val="005D0FA4"/>
    <w:rsid w:val="005D1B1B"/>
    <w:rsid w:val="005D1BED"/>
    <w:rsid w:val="005D1F76"/>
    <w:rsid w:val="005D1FFE"/>
    <w:rsid w:val="005D25EC"/>
    <w:rsid w:val="005D2ABC"/>
    <w:rsid w:val="005D2D13"/>
    <w:rsid w:val="005D3E81"/>
    <w:rsid w:val="005D5383"/>
    <w:rsid w:val="005D54CA"/>
    <w:rsid w:val="005D5717"/>
    <w:rsid w:val="005D5CD7"/>
    <w:rsid w:val="005D6827"/>
    <w:rsid w:val="005D69EA"/>
    <w:rsid w:val="005D7D4E"/>
    <w:rsid w:val="005D7E17"/>
    <w:rsid w:val="005D7F0F"/>
    <w:rsid w:val="005D7FB3"/>
    <w:rsid w:val="005E00D8"/>
    <w:rsid w:val="005E038B"/>
    <w:rsid w:val="005E052A"/>
    <w:rsid w:val="005E1543"/>
    <w:rsid w:val="005E18EB"/>
    <w:rsid w:val="005E1A8C"/>
    <w:rsid w:val="005E1D1F"/>
    <w:rsid w:val="005E20BF"/>
    <w:rsid w:val="005E2179"/>
    <w:rsid w:val="005E2647"/>
    <w:rsid w:val="005E28CB"/>
    <w:rsid w:val="005E3035"/>
    <w:rsid w:val="005E3EFB"/>
    <w:rsid w:val="005E4789"/>
    <w:rsid w:val="005E47B8"/>
    <w:rsid w:val="005E55A6"/>
    <w:rsid w:val="005E56E6"/>
    <w:rsid w:val="005E61ED"/>
    <w:rsid w:val="005E7CDE"/>
    <w:rsid w:val="005EACD7"/>
    <w:rsid w:val="005F11BF"/>
    <w:rsid w:val="005F128A"/>
    <w:rsid w:val="005F1373"/>
    <w:rsid w:val="005F189F"/>
    <w:rsid w:val="005F2D1A"/>
    <w:rsid w:val="005F4085"/>
    <w:rsid w:val="005F58F6"/>
    <w:rsid w:val="005F5951"/>
    <w:rsid w:val="005F5CA9"/>
    <w:rsid w:val="005F70AA"/>
    <w:rsid w:val="005F734A"/>
    <w:rsid w:val="005F78AB"/>
    <w:rsid w:val="005F7CD4"/>
    <w:rsid w:val="00600B02"/>
    <w:rsid w:val="00600D22"/>
    <w:rsid w:val="00600EDA"/>
    <w:rsid w:val="00601444"/>
    <w:rsid w:val="006025A4"/>
    <w:rsid w:val="00602969"/>
    <w:rsid w:val="00602DB7"/>
    <w:rsid w:val="00602EF3"/>
    <w:rsid w:val="00603566"/>
    <w:rsid w:val="006036FD"/>
    <w:rsid w:val="006049B0"/>
    <w:rsid w:val="00606162"/>
    <w:rsid w:val="00606720"/>
    <w:rsid w:val="00606897"/>
    <w:rsid w:val="00607105"/>
    <w:rsid w:val="006107EF"/>
    <w:rsid w:val="006109F6"/>
    <w:rsid w:val="00610C19"/>
    <w:rsid w:val="00610E2F"/>
    <w:rsid w:val="0061177B"/>
    <w:rsid w:val="006124DB"/>
    <w:rsid w:val="0061276B"/>
    <w:rsid w:val="00612AF4"/>
    <w:rsid w:val="0061362E"/>
    <w:rsid w:val="00613D37"/>
    <w:rsid w:val="00615341"/>
    <w:rsid w:val="0061616D"/>
    <w:rsid w:val="00616347"/>
    <w:rsid w:val="006163AE"/>
    <w:rsid w:val="00616970"/>
    <w:rsid w:val="00616ADA"/>
    <w:rsid w:val="00616D50"/>
    <w:rsid w:val="006175A7"/>
    <w:rsid w:val="00617ED4"/>
    <w:rsid w:val="00620036"/>
    <w:rsid w:val="006209B3"/>
    <w:rsid w:val="00621785"/>
    <w:rsid w:val="006220FA"/>
    <w:rsid w:val="006239C7"/>
    <w:rsid w:val="00623BE6"/>
    <w:rsid w:val="00623CE2"/>
    <w:rsid w:val="00624140"/>
    <w:rsid w:val="0062454B"/>
    <w:rsid w:val="006252C6"/>
    <w:rsid w:val="0062576C"/>
    <w:rsid w:val="00626033"/>
    <w:rsid w:val="006267EF"/>
    <w:rsid w:val="00626CB4"/>
    <w:rsid w:val="00627198"/>
    <w:rsid w:val="00630505"/>
    <w:rsid w:val="00630922"/>
    <w:rsid w:val="00630E11"/>
    <w:rsid w:val="00631143"/>
    <w:rsid w:val="00631459"/>
    <w:rsid w:val="00631C17"/>
    <w:rsid w:val="00632419"/>
    <w:rsid w:val="0063248E"/>
    <w:rsid w:val="006324CB"/>
    <w:rsid w:val="006328D5"/>
    <w:rsid w:val="00632CF0"/>
    <w:rsid w:val="00632E7D"/>
    <w:rsid w:val="006331B0"/>
    <w:rsid w:val="00633CB8"/>
    <w:rsid w:val="0063415D"/>
    <w:rsid w:val="00634366"/>
    <w:rsid w:val="00634539"/>
    <w:rsid w:val="006345B2"/>
    <w:rsid w:val="006360DB"/>
    <w:rsid w:val="00636186"/>
    <w:rsid w:val="00636B85"/>
    <w:rsid w:val="00636BDD"/>
    <w:rsid w:val="006375CA"/>
    <w:rsid w:val="006400CC"/>
    <w:rsid w:val="006417B3"/>
    <w:rsid w:val="00641D64"/>
    <w:rsid w:val="0064202A"/>
    <w:rsid w:val="006429F8"/>
    <w:rsid w:val="00642F7C"/>
    <w:rsid w:val="00643DC9"/>
    <w:rsid w:val="006443E6"/>
    <w:rsid w:val="006448C0"/>
    <w:rsid w:val="00644F9A"/>
    <w:rsid w:val="006452EC"/>
    <w:rsid w:val="006460B8"/>
    <w:rsid w:val="00646251"/>
    <w:rsid w:val="0064646B"/>
    <w:rsid w:val="006479EF"/>
    <w:rsid w:val="006509C7"/>
    <w:rsid w:val="00650CCE"/>
    <w:rsid w:val="00650E29"/>
    <w:rsid w:val="006514A3"/>
    <w:rsid w:val="006529AA"/>
    <w:rsid w:val="006538A1"/>
    <w:rsid w:val="00654605"/>
    <w:rsid w:val="00654707"/>
    <w:rsid w:val="00657231"/>
    <w:rsid w:val="00660015"/>
    <w:rsid w:val="0066010E"/>
    <w:rsid w:val="00660D00"/>
    <w:rsid w:val="00661959"/>
    <w:rsid w:val="006632BE"/>
    <w:rsid w:val="00664D23"/>
    <w:rsid w:val="00665245"/>
    <w:rsid w:val="0066658E"/>
    <w:rsid w:val="006668D8"/>
    <w:rsid w:val="00666A5E"/>
    <w:rsid w:val="00666D5A"/>
    <w:rsid w:val="006672E3"/>
    <w:rsid w:val="00667656"/>
    <w:rsid w:val="006676E5"/>
    <w:rsid w:val="00670051"/>
    <w:rsid w:val="006700D2"/>
    <w:rsid w:val="0067014C"/>
    <w:rsid w:val="00670523"/>
    <w:rsid w:val="00670587"/>
    <w:rsid w:val="00672D53"/>
    <w:rsid w:val="00672D7A"/>
    <w:rsid w:val="00673E69"/>
    <w:rsid w:val="0067419C"/>
    <w:rsid w:val="00675525"/>
    <w:rsid w:val="00675794"/>
    <w:rsid w:val="006759D3"/>
    <w:rsid w:val="006765F9"/>
    <w:rsid w:val="006775E3"/>
    <w:rsid w:val="00677AD4"/>
    <w:rsid w:val="00680321"/>
    <w:rsid w:val="00680333"/>
    <w:rsid w:val="00680E08"/>
    <w:rsid w:val="00681DA9"/>
    <w:rsid w:val="00682672"/>
    <w:rsid w:val="00683C7D"/>
    <w:rsid w:val="00684182"/>
    <w:rsid w:val="006847C7"/>
    <w:rsid w:val="006856D8"/>
    <w:rsid w:val="00685BAD"/>
    <w:rsid w:val="00685C25"/>
    <w:rsid w:val="00686D1E"/>
    <w:rsid w:val="00686E4E"/>
    <w:rsid w:val="006878BD"/>
    <w:rsid w:val="00687F36"/>
    <w:rsid w:val="00690C0D"/>
    <w:rsid w:val="00691407"/>
    <w:rsid w:val="006915C5"/>
    <w:rsid w:val="00692151"/>
    <w:rsid w:val="00692678"/>
    <w:rsid w:val="00692B5D"/>
    <w:rsid w:val="00693BEB"/>
    <w:rsid w:val="00693E90"/>
    <w:rsid w:val="00694247"/>
    <w:rsid w:val="00694365"/>
    <w:rsid w:val="0069437A"/>
    <w:rsid w:val="00694A16"/>
    <w:rsid w:val="00694E6C"/>
    <w:rsid w:val="00695011"/>
    <w:rsid w:val="00695EBE"/>
    <w:rsid w:val="00696E76"/>
    <w:rsid w:val="006970CD"/>
    <w:rsid w:val="00697198"/>
    <w:rsid w:val="00697AE2"/>
    <w:rsid w:val="00699ED2"/>
    <w:rsid w:val="006A00E6"/>
    <w:rsid w:val="006A0185"/>
    <w:rsid w:val="006A01D7"/>
    <w:rsid w:val="006A18FC"/>
    <w:rsid w:val="006A39AD"/>
    <w:rsid w:val="006A3BA4"/>
    <w:rsid w:val="006A424B"/>
    <w:rsid w:val="006A4377"/>
    <w:rsid w:val="006A4E50"/>
    <w:rsid w:val="006A6EB1"/>
    <w:rsid w:val="006A6EF2"/>
    <w:rsid w:val="006A7B6C"/>
    <w:rsid w:val="006B16CD"/>
    <w:rsid w:val="006B17C7"/>
    <w:rsid w:val="006B1BC5"/>
    <w:rsid w:val="006B22CB"/>
    <w:rsid w:val="006B2C36"/>
    <w:rsid w:val="006B2E9D"/>
    <w:rsid w:val="006B3318"/>
    <w:rsid w:val="006B4C20"/>
    <w:rsid w:val="006B518D"/>
    <w:rsid w:val="006B5D93"/>
    <w:rsid w:val="006B5FC7"/>
    <w:rsid w:val="006B664F"/>
    <w:rsid w:val="006B72DC"/>
    <w:rsid w:val="006B7A71"/>
    <w:rsid w:val="006C0489"/>
    <w:rsid w:val="006C06E0"/>
    <w:rsid w:val="006C0DF1"/>
    <w:rsid w:val="006C116C"/>
    <w:rsid w:val="006C19FF"/>
    <w:rsid w:val="006C251A"/>
    <w:rsid w:val="006C36F5"/>
    <w:rsid w:val="006C4152"/>
    <w:rsid w:val="006C4B0D"/>
    <w:rsid w:val="006C57C0"/>
    <w:rsid w:val="006C5C95"/>
    <w:rsid w:val="006C60B8"/>
    <w:rsid w:val="006C6A5F"/>
    <w:rsid w:val="006C6E6F"/>
    <w:rsid w:val="006C70ED"/>
    <w:rsid w:val="006D045D"/>
    <w:rsid w:val="006D05F8"/>
    <w:rsid w:val="006D219A"/>
    <w:rsid w:val="006D2206"/>
    <w:rsid w:val="006D2E91"/>
    <w:rsid w:val="006D2FCF"/>
    <w:rsid w:val="006D3126"/>
    <w:rsid w:val="006D3407"/>
    <w:rsid w:val="006D34ED"/>
    <w:rsid w:val="006D42CB"/>
    <w:rsid w:val="006D44D3"/>
    <w:rsid w:val="006D49F8"/>
    <w:rsid w:val="006D526E"/>
    <w:rsid w:val="006D52C6"/>
    <w:rsid w:val="006D64A8"/>
    <w:rsid w:val="006D68FE"/>
    <w:rsid w:val="006D6E97"/>
    <w:rsid w:val="006D6F0C"/>
    <w:rsid w:val="006E02C8"/>
    <w:rsid w:val="006E0832"/>
    <w:rsid w:val="006E0EBB"/>
    <w:rsid w:val="006E11C5"/>
    <w:rsid w:val="006E156E"/>
    <w:rsid w:val="006E2139"/>
    <w:rsid w:val="006E2E96"/>
    <w:rsid w:val="006E2F70"/>
    <w:rsid w:val="006E31DC"/>
    <w:rsid w:val="006E36A5"/>
    <w:rsid w:val="006E45C2"/>
    <w:rsid w:val="006E45CF"/>
    <w:rsid w:val="006E4ADC"/>
    <w:rsid w:val="006E53BE"/>
    <w:rsid w:val="006E5B1C"/>
    <w:rsid w:val="006E6431"/>
    <w:rsid w:val="006E6CC3"/>
    <w:rsid w:val="006F01DD"/>
    <w:rsid w:val="006F10FB"/>
    <w:rsid w:val="006F1799"/>
    <w:rsid w:val="006F1912"/>
    <w:rsid w:val="006F22ED"/>
    <w:rsid w:val="006F2309"/>
    <w:rsid w:val="006F2969"/>
    <w:rsid w:val="006F2CB7"/>
    <w:rsid w:val="006F376D"/>
    <w:rsid w:val="006F3A53"/>
    <w:rsid w:val="006F4D78"/>
    <w:rsid w:val="006F511E"/>
    <w:rsid w:val="006F51F2"/>
    <w:rsid w:val="006F535A"/>
    <w:rsid w:val="006F5CBA"/>
    <w:rsid w:val="006F5D72"/>
    <w:rsid w:val="00700807"/>
    <w:rsid w:val="00700A60"/>
    <w:rsid w:val="007014BD"/>
    <w:rsid w:val="00701C1A"/>
    <w:rsid w:val="00702538"/>
    <w:rsid w:val="007025D9"/>
    <w:rsid w:val="0070369D"/>
    <w:rsid w:val="00704431"/>
    <w:rsid w:val="007052B7"/>
    <w:rsid w:val="00705A09"/>
    <w:rsid w:val="00706007"/>
    <w:rsid w:val="00710360"/>
    <w:rsid w:val="00711C80"/>
    <w:rsid w:val="00711D34"/>
    <w:rsid w:val="007124EE"/>
    <w:rsid w:val="00714CC3"/>
    <w:rsid w:val="0071637B"/>
    <w:rsid w:val="00716505"/>
    <w:rsid w:val="0072002A"/>
    <w:rsid w:val="0072015A"/>
    <w:rsid w:val="00720230"/>
    <w:rsid w:val="00720865"/>
    <w:rsid w:val="007208D9"/>
    <w:rsid w:val="00721AFE"/>
    <w:rsid w:val="007221BC"/>
    <w:rsid w:val="00723121"/>
    <w:rsid w:val="007232E0"/>
    <w:rsid w:val="0072436A"/>
    <w:rsid w:val="007249B2"/>
    <w:rsid w:val="00724A9A"/>
    <w:rsid w:val="00725563"/>
    <w:rsid w:val="00725702"/>
    <w:rsid w:val="00725735"/>
    <w:rsid w:val="00725BBB"/>
    <w:rsid w:val="00725EBB"/>
    <w:rsid w:val="007270F4"/>
    <w:rsid w:val="007301E3"/>
    <w:rsid w:val="00730248"/>
    <w:rsid w:val="00730B67"/>
    <w:rsid w:val="00730D71"/>
    <w:rsid w:val="00730E10"/>
    <w:rsid w:val="00731276"/>
    <w:rsid w:val="00732B01"/>
    <w:rsid w:val="00732BDF"/>
    <w:rsid w:val="00733646"/>
    <w:rsid w:val="00733729"/>
    <w:rsid w:val="00733D36"/>
    <w:rsid w:val="007340FB"/>
    <w:rsid w:val="00734F14"/>
    <w:rsid w:val="00736D35"/>
    <w:rsid w:val="00737B21"/>
    <w:rsid w:val="00737E3B"/>
    <w:rsid w:val="0074017D"/>
    <w:rsid w:val="007408CB"/>
    <w:rsid w:val="007408CF"/>
    <w:rsid w:val="00740F2A"/>
    <w:rsid w:val="007424CC"/>
    <w:rsid w:val="0074267A"/>
    <w:rsid w:val="0074312B"/>
    <w:rsid w:val="00744270"/>
    <w:rsid w:val="00744351"/>
    <w:rsid w:val="007443F6"/>
    <w:rsid w:val="00744FB2"/>
    <w:rsid w:val="007451D6"/>
    <w:rsid w:val="007453B6"/>
    <w:rsid w:val="007458FA"/>
    <w:rsid w:val="007467DE"/>
    <w:rsid w:val="00747710"/>
    <w:rsid w:val="00747E84"/>
    <w:rsid w:val="00750ADF"/>
    <w:rsid w:val="00751EB1"/>
    <w:rsid w:val="00753357"/>
    <w:rsid w:val="00753507"/>
    <w:rsid w:val="007540F7"/>
    <w:rsid w:val="00755256"/>
    <w:rsid w:val="007552CC"/>
    <w:rsid w:val="00755907"/>
    <w:rsid w:val="00755BAD"/>
    <w:rsid w:val="007562DA"/>
    <w:rsid w:val="00756F46"/>
    <w:rsid w:val="00757561"/>
    <w:rsid w:val="0075756B"/>
    <w:rsid w:val="00757C70"/>
    <w:rsid w:val="0076059A"/>
    <w:rsid w:val="00761686"/>
    <w:rsid w:val="00761D7F"/>
    <w:rsid w:val="007627D2"/>
    <w:rsid w:val="00762AE9"/>
    <w:rsid w:val="00762C7C"/>
    <w:rsid w:val="00762FBE"/>
    <w:rsid w:val="007634A9"/>
    <w:rsid w:val="0076356B"/>
    <w:rsid w:val="00763C75"/>
    <w:rsid w:val="0076429E"/>
    <w:rsid w:val="00764961"/>
    <w:rsid w:val="007651EA"/>
    <w:rsid w:val="00765654"/>
    <w:rsid w:val="00765A65"/>
    <w:rsid w:val="00765FDB"/>
    <w:rsid w:val="00766326"/>
    <w:rsid w:val="007664E4"/>
    <w:rsid w:val="00766960"/>
    <w:rsid w:val="00766A7A"/>
    <w:rsid w:val="0077010D"/>
    <w:rsid w:val="0077074E"/>
    <w:rsid w:val="00770A17"/>
    <w:rsid w:val="00771706"/>
    <w:rsid w:val="00771BAB"/>
    <w:rsid w:val="00771C54"/>
    <w:rsid w:val="0077291F"/>
    <w:rsid w:val="00773082"/>
    <w:rsid w:val="007734CA"/>
    <w:rsid w:val="007740BD"/>
    <w:rsid w:val="007747BE"/>
    <w:rsid w:val="00775886"/>
    <w:rsid w:val="00775BED"/>
    <w:rsid w:val="007768DF"/>
    <w:rsid w:val="007768FB"/>
    <w:rsid w:val="00776BE3"/>
    <w:rsid w:val="00776F99"/>
    <w:rsid w:val="007772CF"/>
    <w:rsid w:val="00777C40"/>
    <w:rsid w:val="00777C67"/>
    <w:rsid w:val="007802AD"/>
    <w:rsid w:val="0078047F"/>
    <w:rsid w:val="00780B42"/>
    <w:rsid w:val="00780E29"/>
    <w:rsid w:val="00781203"/>
    <w:rsid w:val="00781312"/>
    <w:rsid w:val="00781BB8"/>
    <w:rsid w:val="00781C57"/>
    <w:rsid w:val="00781F73"/>
    <w:rsid w:val="00782874"/>
    <w:rsid w:val="007828E6"/>
    <w:rsid w:val="00782FF3"/>
    <w:rsid w:val="00783189"/>
    <w:rsid w:val="00783401"/>
    <w:rsid w:val="007845E1"/>
    <w:rsid w:val="00784671"/>
    <w:rsid w:val="00784850"/>
    <w:rsid w:val="00784ACA"/>
    <w:rsid w:val="00784C55"/>
    <w:rsid w:val="00785927"/>
    <w:rsid w:val="00785982"/>
    <w:rsid w:val="00785B2E"/>
    <w:rsid w:val="0078692F"/>
    <w:rsid w:val="00787686"/>
    <w:rsid w:val="00787D5F"/>
    <w:rsid w:val="00787E50"/>
    <w:rsid w:val="00790070"/>
    <w:rsid w:val="0079063F"/>
    <w:rsid w:val="00790FCB"/>
    <w:rsid w:val="00791776"/>
    <w:rsid w:val="007921B7"/>
    <w:rsid w:val="00793D9F"/>
    <w:rsid w:val="00795EF2"/>
    <w:rsid w:val="007968B8"/>
    <w:rsid w:val="00796B1B"/>
    <w:rsid w:val="00797409"/>
    <w:rsid w:val="007974DE"/>
    <w:rsid w:val="007A07D4"/>
    <w:rsid w:val="007A0B2C"/>
    <w:rsid w:val="007A0FEC"/>
    <w:rsid w:val="007A12C9"/>
    <w:rsid w:val="007A17BB"/>
    <w:rsid w:val="007A272C"/>
    <w:rsid w:val="007A2B3E"/>
    <w:rsid w:val="007A2EE6"/>
    <w:rsid w:val="007A36FA"/>
    <w:rsid w:val="007A38B7"/>
    <w:rsid w:val="007A3AC8"/>
    <w:rsid w:val="007A4524"/>
    <w:rsid w:val="007A541F"/>
    <w:rsid w:val="007A584C"/>
    <w:rsid w:val="007A6B48"/>
    <w:rsid w:val="007A6D79"/>
    <w:rsid w:val="007A6EEF"/>
    <w:rsid w:val="007A6F52"/>
    <w:rsid w:val="007A71AC"/>
    <w:rsid w:val="007A7AF1"/>
    <w:rsid w:val="007B0510"/>
    <w:rsid w:val="007B0B63"/>
    <w:rsid w:val="007B18D0"/>
    <w:rsid w:val="007B1F3E"/>
    <w:rsid w:val="007B21AB"/>
    <w:rsid w:val="007B2E9D"/>
    <w:rsid w:val="007B37DA"/>
    <w:rsid w:val="007B3AAF"/>
    <w:rsid w:val="007B56D8"/>
    <w:rsid w:val="007B5AA2"/>
    <w:rsid w:val="007B5E8E"/>
    <w:rsid w:val="007B6843"/>
    <w:rsid w:val="007C0251"/>
    <w:rsid w:val="007C0A36"/>
    <w:rsid w:val="007C0B6B"/>
    <w:rsid w:val="007C0D75"/>
    <w:rsid w:val="007C126B"/>
    <w:rsid w:val="007C13B8"/>
    <w:rsid w:val="007C238F"/>
    <w:rsid w:val="007C2617"/>
    <w:rsid w:val="007C2FE3"/>
    <w:rsid w:val="007C3072"/>
    <w:rsid w:val="007C38C6"/>
    <w:rsid w:val="007C4915"/>
    <w:rsid w:val="007C4D6B"/>
    <w:rsid w:val="007C4FEE"/>
    <w:rsid w:val="007C68B5"/>
    <w:rsid w:val="007C79A2"/>
    <w:rsid w:val="007C7BAA"/>
    <w:rsid w:val="007D016D"/>
    <w:rsid w:val="007D0578"/>
    <w:rsid w:val="007D1457"/>
    <w:rsid w:val="007D1D5D"/>
    <w:rsid w:val="007D2511"/>
    <w:rsid w:val="007D2813"/>
    <w:rsid w:val="007D354A"/>
    <w:rsid w:val="007D3AA0"/>
    <w:rsid w:val="007D41D8"/>
    <w:rsid w:val="007D4D57"/>
    <w:rsid w:val="007D4FDA"/>
    <w:rsid w:val="007D5AD8"/>
    <w:rsid w:val="007D6269"/>
    <w:rsid w:val="007D62F3"/>
    <w:rsid w:val="007D6425"/>
    <w:rsid w:val="007D6701"/>
    <w:rsid w:val="007D7523"/>
    <w:rsid w:val="007D7696"/>
    <w:rsid w:val="007E01B0"/>
    <w:rsid w:val="007E01D5"/>
    <w:rsid w:val="007E120E"/>
    <w:rsid w:val="007E192B"/>
    <w:rsid w:val="007E1F2B"/>
    <w:rsid w:val="007E2239"/>
    <w:rsid w:val="007E2EE4"/>
    <w:rsid w:val="007E3316"/>
    <w:rsid w:val="007E349B"/>
    <w:rsid w:val="007E3B00"/>
    <w:rsid w:val="007E48CF"/>
    <w:rsid w:val="007E550A"/>
    <w:rsid w:val="007E7B49"/>
    <w:rsid w:val="007F00FF"/>
    <w:rsid w:val="007F035B"/>
    <w:rsid w:val="007F147D"/>
    <w:rsid w:val="007F1897"/>
    <w:rsid w:val="007F1946"/>
    <w:rsid w:val="007F1A14"/>
    <w:rsid w:val="007F1C6A"/>
    <w:rsid w:val="007F1FBF"/>
    <w:rsid w:val="007F2395"/>
    <w:rsid w:val="007F2D88"/>
    <w:rsid w:val="007F31B2"/>
    <w:rsid w:val="007F34B6"/>
    <w:rsid w:val="007F352D"/>
    <w:rsid w:val="007F446E"/>
    <w:rsid w:val="007F497E"/>
    <w:rsid w:val="007F549E"/>
    <w:rsid w:val="007F5A47"/>
    <w:rsid w:val="007F607A"/>
    <w:rsid w:val="007F685A"/>
    <w:rsid w:val="007F6FB1"/>
    <w:rsid w:val="007F71DF"/>
    <w:rsid w:val="007F7866"/>
    <w:rsid w:val="008001AF"/>
    <w:rsid w:val="0080076A"/>
    <w:rsid w:val="00800913"/>
    <w:rsid w:val="00800FAF"/>
    <w:rsid w:val="00801EB3"/>
    <w:rsid w:val="00803052"/>
    <w:rsid w:val="008033C2"/>
    <w:rsid w:val="0080342B"/>
    <w:rsid w:val="00803AF3"/>
    <w:rsid w:val="00803DB8"/>
    <w:rsid w:val="00804A25"/>
    <w:rsid w:val="00804AA4"/>
    <w:rsid w:val="008052FE"/>
    <w:rsid w:val="00805BDC"/>
    <w:rsid w:val="00805FBE"/>
    <w:rsid w:val="00806A19"/>
    <w:rsid w:val="00806A3A"/>
    <w:rsid w:val="00810570"/>
    <w:rsid w:val="00811648"/>
    <w:rsid w:val="00812232"/>
    <w:rsid w:val="00812456"/>
    <w:rsid w:val="0081249B"/>
    <w:rsid w:val="00812AA1"/>
    <w:rsid w:val="008130F9"/>
    <w:rsid w:val="008131FA"/>
    <w:rsid w:val="008133C0"/>
    <w:rsid w:val="00814A3A"/>
    <w:rsid w:val="0081562E"/>
    <w:rsid w:val="00815A3E"/>
    <w:rsid w:val="008164E8"/>
    <w:rsid w:val="00816E0F"/>
    <w:rsid w:val="008175A4"/>
    <w:rsid w:val="008177EE"/>
    <w:rsid w:val="0082022E"/>
    <w:rsid w:val="00820871"/>
    <w:rsid w:val="00820BED"/>
    <w:rsid w:val="00821692"/>
    <w:rsid w:val="008218C0"/>
    <w:rsid w:val="00821B54"/>
    <w:rsid w:val="00822091"/>
    <w:rsid w:val="00822725"/>
    <w:rsid w:val="00822A6D"/>
    <w:rsid w:val="00823311"/>
    <w:rsid w:val="008234A8"/>
    <w:rsid w:val="00823C69"/>
    <w:rsid w:val="008246E3"/>
    <w:rsid w:val="00824C52"/>
    <w:rsid w:val="00824F3A"/>
    <w:rsid w:val="008259CF"/>
    <w:rsid w:val="00825E35"/>
    <w:rsid w:val="00826751"/>
    <w:rsid w:val="00826D57"/>
    <w:rsid w:val="00827686"/>
    <w:rsid w:val="00827EC4"/>
    <w:rsid w:val="008307F7"/>
    <w:rsid w:val="00830B14"/>
    <w:rsid w:val="00830CC4"/>
    <w:rsid w:val="008314B1"/>
    <w:rsid w:val="0083168B"/>
    <w:rsid w:val="00831D33"/>
    <w:rsid w:val="00832D88"/>
    <w:rsid w:val="00832F6E"/>
    <w:rsid w:val="0083338D"/>
    <w:rsid w:val="00833722"/>
    <w:rsid w:val="00833FB6"/>
    <w:rsid w:val="00834B87"/>
    <w:rsid w:val="00834BC3"/>
    <w:rsid w:val="00835C61"/>
    <w:rsid w:val="008402AB"/>
    <w:rsid w:val="00841CDA"/>
    <w:rsid w:val="00842FE7"/>
    <w:rsid w:val="00843AEC"/>
    <w:rsid w:val="00843C84"/>
    <w:rsid w:val="00844277"/>
    <w:rsid w:val="00844434"/>
    <w:rsid w:val="00844F3B"/>
    <w:rsid w:val="008455EF"/>
    <w:rsid w:val="00845891"/>
    <w:rsid w:val="0084695A"/>
    <w:rsid w:val="00850295"/>
    <w:rsid w:val="008509C0"/>
    <w:rsid w:val="00850E16"/>
    <w:rsid w:val="00851752"/>
    <w:rsid w:val="0085190E"/>
    <w:rsid w:val="00852018"/>
    <w:rsid w:val="0085353A"/>
    <w:rsid w:val="008543E8"/>
    <w:rsid w:val="0085539A"/>
    <w:rsid w:val="00856121"/>
    <w:rsid w:val="0086048E"/>
    <w:rsid w:val="00860AF0"/>
    <w:rsid w:val="008618B2"/>
    <w:rsid w:val="008626CE"/>
    <w:rsid w:val="00862760"/>
    <w:rsid w:val="00863A2D"/>
    <w:rsid w:val="008641B6"/>
    <w:rsid w:val="00865476"/>
    <w:rsid w:val="00866F8D"/>
    <w:rsid w:val="00867A25"/>
    <w:rsid w:val="008700BA"/>
    <w:rsid w:val="00871578"/>
    <w:rsid w:val="00872703"/>
    <w:rsid w:val="00873666"/>
    <w:rsid w:val="0087426E"/>
    <w:rsid w:val="00874736"/>
    <w:rsid w:val="008748B4"/>
    <w:rsid w:val="008751F6"/>
    <w:rsid w:val="00875CD5"/>
    <w:rsid w:val="00876572"/>
    <w:rsid w:val="00876854"/>
    <w:rsid w:val="00876986"/>
    <w:rsid w:val="008769F5"/>
    <w:rsid w:val="00877714"/>
    <w:rsid w:val="008778CF"/>
    <w:rsid w:val="008804BC"/>
    <w:rsid w:val="00880599"/>
    <w:rsid w:val="00880D1A"/>
    <w:rsid w:val="00880D91"/>
    <w:rsid w:val="00880FB8"/>
    <w:rsid w:val="00881D81"/>
    <w:rsid w:val="00881E2C"/>
    <w:rsid w:val="0088290A"/>
    <w:rsid w:val="00882F2B"/>
    <w:rsid w:val="00882FC7"/>
    <w:rsid w:val="00883566"/>
    <w:rsid w:val="00883F1C"/>
    <w:rsid w:val="008849FF"/>
    <w:rsid w:val="00884A4D"/>
    <w:rsid w:val="00884ED9"/>
    <w:rsid w:val="00884FC5"/>
    <w:rsid w:val="008850C1"/>
    <w:rsid w:val="008859AC"/>
    <w:rsid w:val="008869C8"/>
    <w:rsid w:val="00886AC3"/>
    <w:rsid w:val="00887C3B"/>
    <w:rsid w:val="008915E1"/>
    <w:rsid w:val="00892609"/>
    <w:rsid w:val="00893747"/>
    <w:rsid w:val="008939C8"/>
    <w:rsid w:val="00895419"/>
    <w:rsid w:val="00895A47"/>
    <w:rsid w:val="00896574"/>
    <w:rsid w:val="00897398"/>
    <w:rsid w:val="008979C1"/>
    <w:rsid w:val="008A0025"/>
    <w:rsid w:val="008A2094"/>
    <w:rsid w:val="008A2249"/>
    <w:rsid w:val="008A337D"/>
    <w:rsid w:val="008A338C"/>
    <w:rsid w:val="008A3734"/>
    <w:rsid w:val="008A37BA"/>
    <w:rsid w:val="008A4178"/>
    <w:rsid w:val="008A4E18"/>
    <w:rsid w:val="008A571F"/>
    <w:rsid w:val="008A64F4"/>
    <w:rsid w:val="008A65C9"/>
    <w:rsid w:val="008A66FF"/>
    <w:rsid w:val="008A674D"/>
    <w:rsid w:val="008A6F51"/>
    <w:rsid w:val="008A78EC"/>
    <w:rsid w:val="008A7991"/>
    <w:rsid w:val="008A7A01"/>
    <w:rsid w:val="008A7C07"/>
    <w:rsid w:val="008B0E67"/>
    <w:rsid w:val="008B11C9"/>
    <w:rsid w:val="008B1229"/>
    <w:rsid w:val="008B155F"/>
    <w:rsid w:val="008B1863"/>
    <w:rsid w:val="008B1BC6"/>
    <w:rsid w:val="008B21BA"/>
    <w:rsid w:val="008B2725"/>
    <w:rsid w:val="008B4189"/>
    <w:rsid w:val="008B5422"/>
    <w:rsid w:val="008B5500"/>
    <w:rsid w:val="008B5707"/>
    <w:rsid w:val="008B6B71"/>
    <w:rsid w:val="008C0158"/>
    <w:rsid w:val="008C174F"/>
    <w:rsid w:val="008C1AFB"/>
    <w:rsid w:val="008C2054"/>
    <w:rsid w:val="008C3F3A"/>
    <w:rsid w:val="008C4902"/>
    <w:rsid w:val="008C4A6F"/>
    <w:rsid w:val="008C5042"/>
    <w:rsid w:val="008C544B"/>
    <w:rsid w:val="008C560F"/>
    <w:rsid w:val="008C57A1"/>
    <w:rsid w:val="008C5834"/>
    <w:rsid w:val="008C6BEC"/>
    <w:rsid w:val="008D008D"/>
    <w:rsid w:val="008D08A6"/>
    <w:rsid w:val="008D0F02"/>
    <w:rsid w:val="008D1581"/>
    <w:rsid w:val="008D1BAD"/>
    <w:rsid w:val="008D1C55"/>
    <w:rsid w:val="008D276A"/>
    <w:rsid w:val="008D33E2"/>
    <w:rsid w:val="008D4019"/>
    <w:rsid w:val="008D40EC"/>
    <w:rsid w:val="008D41B0"/>
    <w:rsid w:val="008D5148"/>
    <w:rsid w:val="008D51F3"/>
    <w:rsid w:val="008D583B"/>
    <w:rsid w:val="008E051D"/>
    <w:rsid w:val="008E0801"/>
    <w:rsid w:val="008E0F0B"/>
    <w:rsid w:val="008E0F34"/>
    <w:rsid w:val="008E1E03"/>
    <w:rsid w:val="008E2525"/>
    <w:rsid w:val="008E26DA"/>
    <w:rsid w:val="008E299B"/>
    <w:rsid w:val="008E2B3B"/>
    <w:rsid w:val="008E3723"/>
    <w:rsid w:val="008E45C3"/>
    <w:rsid w:val="008E4A0D"/>
    <w:rsid w:val="008E5016"/>
    <w:rsid w:val="008E7142"/>
    <w:rsid w:val="008E72F4"/>
    <w:rsid w:val="008F093F"/>
    <w:rsid w:val="008F0AEB"/>
    <w:rsid w:val="008F0D9C"/>
    <w:rsid w:val="008F1150"/>
    <w:rsid w:val="008F1960"/>
    <w:rsid w:val="008F1B64"/>
    <w:rsid w:val="008F1EAB"/>
    <w:rsid w:val="008F2A12"/>
    <w:rsid w:val="008F3F80"/>
    <w:rsid w:val="008F431C"/>
    <w:rsid w:val="008F43B7"/>
    <w:rsid w:val="008F4901"/>
    <w:rsid w:val="008F5289"/>
    <w:rsid w:val="008F5430"/>
    <w:rsid w:val="008F5E38"/>
    <w:rsid w:val="008F658C"/>
    <w:rsid w:val="008F6AD8"/>
    <w:rsid w:val="008F76B8"/>
    <w:rsid w:val="008F79E8"/>
    <w:rsid w:val="00900196"/>
    <w:rsid w:val="00900F33"/>
    <w:rsid w:val="0090108A"/>
    <w:rsid w:val="00901219"/>
    <w:rsid w:val="00901BA6"/>
    <w:rsid w:val="009042CC"/>
    <w:rsid w:val="00904571"/>
    <w:rsid w:val="00904728"/>
    <w:rsid w:val="00906134"/>
    <w:rsid w:val="00907067"/>
    <w:rsid w:val="00907160"/>
    <w:rsid w:val="009076A8"/>
    <w:rsid w:val="00907BE0"/>
    <w:rsid w:val="00907EF2"/>
    <w:rsid w:val="009103A6"/>
    <w:rsid w:val="00910D95"/>
    <w:rsid w:val="009112E9"/>
    <w:rsid w:val="00912150"/>
    <w:rsid w:val="009127A4"/>
    <w:rsid w:val="00912AE9"/>
    <w:rsid w:val="00913047"/>
    <w:rsid w:val="00913D5F"/>
    <w:rsid w:val="00913E54"/>
    <w:rsid w:val="00914A3B"/>
    <w:rsid w:val="009159B2"/>
    <w:rsid w:val="0091695C"/>
    <w:rsid w:val="00916A3B"/>
    <w:rsid w:val="00916CD2"/>
    <w:rsid w:val="009179D3"/>
    <w:rsid w:val="00917B96"/>
    <w:rsid w:val="00920BBD"/>
    <w:rsid w:val="00921D13"/>
    <w:rsid w:val="0092202E"/>
    <w:rsid w:val="00922FA3"/>
    <w:rsid w:val="00925876"/>
    <w:rsid w:val="00925AC2"/>
    <w:rsid w:val="009262FA"/>
    <w:rsid w:val="0092646E"/>
    <w:rsid w:val="00926CE0"/>
    <w:rsid w:val="009310B5"/>
    <w:rsid w:val="00931611"/>
    <w:rsid w:val="009329AE"/>
    <w:rsid w:val="00933A7A"/>
    <w:rsid w:val="00933C53"/>
    <w:rsid w:val="00934C83"/>
    <w:rsid w:val="00935605"/>
    <w:rsid w:val="00935D60"/>
    <w:rsid w:val="00935E86"/>
    <w:rsid w:val="009369AE"/>
    <w:rsid w:val="00937074"/>
    <w:rsid w:val="00940500"/>
    <w:rsid w:val="00940912"/>
    <w:rsid w:val="00940C09"/>
    <w:rsid w:val="009414EE"/>
    <w:rsid w:val="00941B3B"/>
    <w:rsid w:val="0094439D"/>
    <w:rsid w:val="00944AFA"/>
    <w:rsid w:val="00945139"/>
    <w:rsid w:val="00945650"/>
    <w:rsid w:val="00945660"/>
    <w:rsid w:val="00945F62"/>
    <w:rsid w:val="00945FE2"/>
    <w:rsid w:val="0094621D"/>
    <w:rsid w:val="00946BF1"/>
    <w:rsid w:val="00947967"/>
    <w:rsid w:val="00950727"/>
    <w:rsid w:val="009507F9"/>
    <w:rsid w:val="009508E4"/>
    <w:rsid w:val="00951FDB"/>
    <w:rsid w:val="00952073"/>
    <w:rsid w:val="009522DA"/>
    <w:rsid w:val="00952C33"/>
    <w:rsid w:val="00953E02"/>
    <w:rsid w:val="00954323"/>
    <w:rsid w:val="00954BC2"/>
    <w:rsid w:val="0095520A"/>
    <w:rsid w:val="009553B7"/>
    <w:rsid w:val="00955901"/>
    <w:rsid w:val="00955D3F"/>
    <w:rsid w:val="009567B8"/>
    <w:rsid w:val="00957359"/>
    <w:rsid w:val="00957E7E"/>
    <w:rsid w:val="00960626"/>
    <w:rsid w:val="00960D34"/>
    <w:rsid w:val="009611D2"/>
    <w:rsid w:val="0096121A"/>
    <w:rsid w:val="009617CF"/>
    <w:rsid w:val="009621A0"/>
    <w:rsid w:val="0096299C"/>
    <w:rsid w:val="00962BC2"/>
    <w:rsid w:val="00964224"/>
    <w:rsid w:val="0096539E"/>
    <w:rsid w:val="0096696A"/>
    <w:rsid w:val="00966FF5"/>
    <w:rsid w:val="00967201"/>
    <w:rsid w:val="00967C74"/>
    <w:rsid w:val="00971FDA"/>
    <w:rsid w:val="009722A8"/>
    <w:rsid w:val="00972548"/>
    <w:rsid w:val="009728FF"/>
    <w:rsid w:val="009730B0"/>
    <w:rsid w:val="00974049"/>
    <w:rsid w:val="00974888"/>
    <w:rsid w:val="00974B47"/>
    <w:rsid w:val="00974D53"/>
    <w:rsid w:val="00974D5D"/>
    <w:rsid w:val="009750DC"/>
    <w:rsid w:val="00975298"/>
    <w:rsid w:val="009760C4"/>
    <w:rsid w:val="00976E27"/>
    <w:rsid w:val="009772A5"/>
    <w:rsid w:val="00977550"/>
    <w:rsid w:val="009809C0"/>
    <w:rsid w:val="00980A75"/>
    <w:rsid w:val="00980B5D"/>
    <w:rsid w:val="00981173"/>
    <w:rsid w:val="00981A75"/>
    <w:rsid w:val="00981ED2"/>
    <w:rsid w:val="00981F83"/>
    <w:rsid w:val="0098224D"/>
    <w:rsid w:val="00982863"/>
    <w:rsid w:val="00982F6D"/>
    <w:rsid w:val="00983417"/>
    <w:rsid w:val="0098378C"/>
    <w:rsid w:val="009841A8"/>
    <w:rsid w:val="00984B0D"/>
    <w:rsid w:val="009868BE"/>
    <w:rsid w:val="00986B64"/>
    <w:rsid w:val="00986EFA"/>
    <w:rsid w:val="009873B8"/>
    <w:rsid w:val="009876A4"/>
    <w:rsid w:val="00987D9B"/>
    <w:rsid w:val="009917E9"/>
    <w:rsid w:val="00992416"/>
    <w:rsid w:val="00992880"/>
    <w:rsid w:val="00992C81"/>
    <w:rsid w:val="00993789"/>
    <w:rsid w:val="00994B4C"/>
    <w:rsid w:val="00994F61"/>
    <w:rsid w:val="00996057"/>
    <w:rsid w:val="00996394"/>
    <w:rsid w:val="00996C89"/>
    <w:rsid w:val="009974D1"/>
    <w:rsid w:val="009979B9"/>
    <w:rsid w:val="00997AA0"/>
    <w:rsid w:val="009A03C7"/>
    <w:rsid w:val="009A0584"/>
    <w:rsid w:val="009A0703"/>
    <w:rsid w:val="009A0932"/>
    <w:rsid w:val="009A09E1"/>
    <w:rsid w:val="009A1399"/>
    <w:rsid w:val="009A22FD"/>
    <w:rsid w:val="009A2ED6"/>
    <w:rsid w:val="009A31E7"/>
    <w:rsid w:val="009A3752"/>
    <w:rsid w:val="009A3B0F"/>
    <w:rsid w:val="009A546A"/>
    <w:rsid w:val="009A621C"/>
    <w:rsid w:val="009A6478"/>
    <w:rsid w:val="009A6677"/>
    <w:rsid w:val="009A6C66"/>
    <w:rsid w:val="009A6EF9"/>
    <w:rsid w:val="009A7BBC"/>
    <w:rsid w:val="009B08E7"/>
    <w:rsid w:val="009B1F5B"/>
    <w:rsid w:val="009B29B5"/>
    <w:rsid w:val="009B2A11"/>
    <w:rsid w:val="009B46F2"/>
    <w:rsid w:val="009B48B7"/>
    <w:rsid w:val="009B544F"/>
    <w:rsid w:val="009B5581"/>
    <w:rsid w:val="009B5602"/>
    <w:rsid w:val="009B5940"/>
    <w:rsid w:val="009B61EC"/>
    <w:rsid w:val="009B63ED"/>
    <w:rsid w:val="009B710D"/>
    <w:rsid w:val="009C098A"/>
    <w:rsid w:val="009C18D3"/>
    <w:rsid w:val="009C1CCC"/>
    <w:rsid w:val="009C1D87"/>
    <w:rsid w:val="009C1D8D"/>
    <w:rsid w:val="009C214F"/>
    <w:rsid w:val="009C34C6"/>
    <w:rsid w:val="009C3862"/>
    <w:rsid w:val="009C39F5"/>
    <w:rsid w:val="009C4171"/>
    <w:rsid w:val="009C475C"/>
    <w:rsid w:val="009C5249"/>
    <w:rsid w:val="009C5878"/>
    <w:rsid w:val="009C60A5"/>
    <w:rsid w:val="009C6C67"/>
    <w:rsid w:val="009C75C9"/>
    <w:rsid w:val="009C7D3F"/>
    <w:rsid w:val="009C7D7B"/>
    <w:rsid w:val="009D1492"/>
    <w:rsid w:val="009D169E"/>
    <w:rsid w:val="009D17E7"/>
    <w:rsid w:val="009D21E4"/>
    <w:rsid w:val="009D2602"/>
    <w:rsid w:val="009D3234"/>
    <w:rsid w:val="009D41B7"/>
    <w:rsid w:val="009D5CA7"/>
    <w:rsid w:val="009D65CD"/>
    <w:rsid w:val="009D6E2E"/>
    <w:rsid w:val="009D7298"/>
    <w:rsid w:val="009D7400"/>
    <w:rsid w:val="009E0330"/>
    <w:rsid w:val="009E03C7"/>
    <w:rsid w:val="009E0964"/>
    <w:rsid w:val="009E0DDA"/>
    <w:rsid w:val="009E0DFD"/>
    <w:rsid w:val="009E12B5"/>
    <w:rsid w:val="009E1A67"/>
    <w:rsid w:val="009E2390"/>
    <w:rsid w:val="009E2B14"/>
    <w:rsid w:val="009E3C1C"/>
    <w:rsid w:val="009E3ECF"/>
    <w:rsid w:val="009E3F6F"/>
    <w:rsid w:val="009E657F"/>
    <w:rsid w:val="009E6ACB"/>
    <w:rsid w:val="009E6C1D"/>
    <w:rsid w:val="009E7058"/>
    <w:rsid w:val="009E7368"/>
    <w:rsid w:val="009E77A6"/>
    <w:rsid w:val="009E7F03"/>
    <w:rsid w:val="009F1043"/>
    <w:rsid w:val="009F1F01"/>
    <w:rsid w:val="009F1FA3"/>
    <w:rsid w:val="009F2D78"/>
    <w:rsid w:val="009F2E19"/>
    <w:rsid w:val="009F2EA4"/>
    <w:rsid w:val="009F36CA"/>
    <w:rsid w:val="009F4ED2"/>
    <w:rsid w:val="009F4F0F"/>
    <w:rsid w:val="009F4FE2"/>
    <w:rsid w:val="009F53EA"/>
    <w:rsid w:val="009F5805"/>
    <w:rsid w:val="009F58F9"/>
    <w:rsid w:val="009F6167"/>
    <w:rsid w:val="009F6DA3"/>
    <w:rsid w:val="009F752A"/>
    <w:rsid w:val="00A003BE"/>
    <w:rsid w:val="00A005DC"/>
    <w:rsid w:val="00A00EE1"/>
    <w:rsid w:val="00A01581"/>
    <w:rsid w:val="00A022AB"/>
    <w:rsid w:val="00A02534"/>
    <w:rsid w:val="00A02B33"/>
    <w:rsid w:val="00A03435"/>
    <w:rsid w:val="00A03567"/>
    <w:rsid w:val="00A0385F"/>
    <w:rsid w:val="00A04629"/>
    <w:rsid w:val="00A05C65"/>
    <w:rsid w:val="00A06577"/>
    <w:rsid w:val="00A06C2D"/>
    <w:rsid w:val="00A0706F"/>
    <w:rsid w:val="00A079D0"/>
    <w:rsid w:val="00A1002F"/>
    <w:rsid w:val="00A107C9"/>
    <w:rsid w:val="00A11132"/>
    <w:rsid w:val="00A11756"/>
    <w:rsid w:val="00A11969"/>
    <w:rsid w:val="00A13DAF"/>
    <w:rsid w:val="00A140CE"/>
    <w:rsid w:val="00A146F0"/>
    <w:rsid w:val="00A15767"/>
    <w:rsid w:val="00A157B9"/>
    <w:rsid w:val="00A158FB"/>
    <w:rsid w:val="00A16387"/>
    <w:rsid w:val="00A167B2"/>
    <w:rsid w:val="00A16BD4"/>
    <w:rsid w:val="00A1712E"/>
    <w:rsid w:val="00A17F2D"/>
    <w:rsid w:val="00A20224"/>
    <w:rsid w:val="00A20667"/>
    <w:rsid w:val="00A2087F"/>
    <w:rsid w:val="00A20A1E"/>
    <w:rsid w:val="00A20B08"/>
    <w:rsid w:val="00A2230D"/>
    <w:rsid w:val="00A22348"/>
    <w:rsid w:val="00A23863"/>
    <w:rsid w:val="00A243D6"/>
    <w:rsid w:val="00A24C62"/>
    <w:rsid w:val="00A254EC"/>
    <w:rsid w:val="00A25F51"/>
    <w:rsid w:val="00A26182"/>
    <w:rsid w:val="00A2770F"/>
    <w:rsid w:val="00A279E4"/>
    <w:rsid w:val="00A30382"/>
    <w:rsid w:val="00A30CEC"/>
    <w:rsid w:val="00A32604"/>
    <w:rsid w:val="00A32EF3"/>
    <w:rsid w:val="00A33959"/>
    <w:rsid w:val="00A3443B"/>
    <w:rsid w:val="00A34C2E"/>
    <w:rsid w:val="00A351A7"/>
    <w:rsid w:val="00A35312"/>
    <w:rsid w:val="00A354C8"/>
    <w:rsid w:val="00A359B0"/>
    <w:rsid w:val="00A35F30"/>
    <w:rsid w:val="00A36CA7"/>
    <w:rsid w:val="00A36E3B"/>
    <w:rsid w:val="00A37D34"/>
    <w:rsid w:val="00A407E6"/>
    <w:rsid w:val="00A417AE"/>
    <w:rsid w:val="00A42412"/>
    <w:rsid w:val="00A43345"/>
    <w:rsid w:val="00A445A6"/>
    <w:rsid w:val="00A44680"/>
    <w:rsid w:val="00A447E6"/>
    <w:rsid w:val="00A463E3"/>
    <w:rsid w:val="00A46A06"/>
    <w:rsid w:val="00A47683"/>
    <w:rsid w:val="00A47C44"/>
    <w:rsid w:val="00A50AD6"/>
    <w:rsid w:val="00A50D0F"/>
    <w:rsid w:val="00A50E2B"/>
    <w:rsid w:val="00A51320"/>
    <w:rsid w:val="00A51495"/>
    <w:rsid w:val="00A52907"/>
    <w:rsid w:val="00A53454"/>
    <w:rsid w:val="00A54097"/>
    <w:rsid w:val="00A543EF"/>
    <w:rsid w:val="00A560C2"/>
    <w:rsid w:val="00A57661"/>
    <w:rsid w:val="00A60352"/>
    <w:rsid w:val="00A60E34"/>
    <w:rsid w:val="00A62074"/>
    <w:rsid w:val="00A62606"/>
    <w:rsid w:val="00A62EA7"/>
    <w:rsid w:val="00A6350E"/>
    <w:rsid w:val="00A63522"/>
    <w:rsid w:val="00A63BCF"/>
    <w:rsid w:val="00A6459E"/>
    <w:rsid w:val="00A64686"/>
    <w:rsid w:val="00A64CAE"/>
    <w:rsid w:val="00A6578C"/>
    <w:rsid w:val="00A66A81"/>
    <w:rsid w:val="00A71A0A"/>
    <w:rsid w:val="00A71BEA"/>
    <w:rsid w:val="00A71CAA"/>
    <w:rsid w:val="00A71ED2"/>
    <w:rsid w:val="00A72227"/>
    <w:rsid w:val="00A723D3"/>
    <w:rsid w:val="00A7259F"/>
    <w:rsid w:val="00A72863"/>
    <w:rsid w:val="00A72CC1"/>
    <w:rsid w:val="00A72EC3"/>
    <w:rsid w:val="00A738F9"/>
    <w:rsid w:val="00A73AD4"/>
    <w:rsid w:val="00A73AF2"/>
    <w:rsid w:val="00A73E12"/>
    <w:rsid w:val="00A748F2"/>
    <w:rsid w:val="00A74939"/>
    <w:rsid w:val="00A750C8"/>
    <w:rsid w:val="00A7588F"/>
    <w:rsid w:val="00A75B9B"/>
    <w:rsid w:val="00A76386"/>
    <w:rsid w:val="00A76AED"/>
    <w:rsid w:val="00A77AFB"/>
    <w:rsid w:val="00A77B52"/>
    <w:rsid w:val="00A77BE7"/>
    <w:rsid w:val="00A80044"/>
    <w:rsid w:val="00A80312"/>
    <w:rsid w:val="00A807A3"/>
    <w:rsid w:val="00A80E40"/>
    <w:rsid w:val="00A8120F"/>
    <w:rsid w:val="00A81845"/>
    <w:rsid w:val="00A81F69"/>
    <w:rsid w:val="00A8271D"/>
    <w:rsid w:val="00A82B34"/>
    <w:rsid w:val="00A832AC"/>
    <w:rsid w:val="00A83611"/>
    <w:rsid w:val="00A84B21"/>
    <w:rsid w:val="00A8580C"/>
    <w:rsid w:val="00A85A45"/>
    <w:rsid w:val="00A85CBB"/>
    <w:rsid w:val="00A85F3E"/>
    <w:rsid w:val="00A86A92"/>
    <w:rsid w:val="00A86A98"/>
    <w:rsid w:val="00A86CEB"/>
    <w:rsid w:val="00A90AA2"/>
    <w:rsid w:val="00A90AA5"/>
    <w:rsid w:val="00A911A6"/>
    <w:rsid w:val="00A912BA"/>
    <w:rsid w:val="00A919EF"/>
    <w:rsid w:val="00A924F3"/>
    <w:rsid w:val="00A92AF0"/>
    <w:rsid w:val="00A92F4A"/>
    <w:rsid w:val="00A93037"/>
    <w:rsid w:val="00A93FC7"/>
    <w:rsid w:val="00A94369"/>
    <w:rsid w:val="00A94619"/>
    <w:rsid w:val="00A963BC"/>
    <w:rsid w:val="00A96678"/>
    <w:rsid w:val="00A97923"/>
    <w:rsid w:val="00AA074F"/>
    <w:rsid w:val="00AA0E31"/>
    <w:rsid w:val="00AA1803"/>
    <w:rsid w:val="00AA20EA"/>
    <w:rsid w:val="00AA41BD"/>
    <w:rsid w:val="00AA446F"/>
    <w:rsid w:val="00AA59A6"/>
    <w:rsid w:val="00AA6FAC"/>
    <w:rsid w:val="00AA739B"/>
    <w:rsid w:val="00AB04D1"/>
    <w:rsid w:val="00AB0D80"/>
    <w:rsid w:val="00AB16D9"/>
    <w:rsid w:val="00AB180D"/>
    <w:rsid w:val="00AB1C49"/>
    <w:rsid w:val="00AB1FC8"/>
    <w:rsid w:val="00AB25F9"/>
    <w:rsid w:val="00AB284D"/>
    <w:rsid w:val="00AB2F02"/>
    <w:rsid w:val="00AB304E"/>
    <w:rsid w:val="00AB3BEA"/>
    <w:rsid w:val="00AB5E99"/>
    <w:rsid w:val="00AB6C17"/>
    <w:rsid w:val="00AC090E"/>
    <w:rsid w:val="00AC0A59"/>
    <w:rsid w:val="00AC0A9D"/>
    <w:rsid w:val="00AC0C9E"/>
    <w:rsid w:val="00AC18C2"/>
    <w:rsid w:val="00AC1C5E"/>
    <w:rsid w:val="00AC20C0"/>
    <w:rsid w:val="00AC2876"/>
    <w:rsid w:val="00AC2A94"/>
    <w:rsid w:val="00AC2D57"/>
    <w:rsid w:val="00AC3349"/>
    <w:rsid w:val="00AC33C8"/>
    <w:rsid w:val="00AC449A"/>
    <w:rsid w:val="00AC4C13"/>
    <w:rsid w:val="00AC4C74"/>
    <w:rsid w:val="00AC4CD2"/>
    <w:rsid w:val="00AC5AA9"/>
    <w:rsid w:val="00AC5D5B"/>
    <w:rsid w:val="00AC5FED"/>
    <w:rsid w:val="00AC7BE1"/>
    <w:rsid w:val="00AD0488"/>
    <w:rsid w:val="00AD059B"/>
    <w:rsid w:val="00AD102A"/>
    <w:rsid w:val="00AD1461"/>
    <w:rsid w:val="00AD1502"/>
    <w:rsid w:val="00AD1796"/>
    <w:rsid w:val="00AD1974"/>
    <w:rsid w:val="00AD2353"/>
    <w:rsid w:val="00AD239A"/>
    <w:rsid w:val="00AD26D4"/>
    <w:rsid w:val="00AD3102"/>
    <w:rsid w:val="00AD3EDC"/>
    <w:rsid w:val="00AD4AAE"/>
    <w:rsid w:val="00AD4BF1"/>
    <w:rsid w:val="00AD505E"/>
    <w:rsid w:val="00AD5CCC"/>
    <w:rsid w:val="00AD6CC5"/>
    <w:rsid w:val="00AD713A"/>
    <w:rsid w:val="00AD7860"/>
    <w:rsid w:val="00AD79C8"/>
    <w:rsid w:val="00AD7E0B"/>
    <w:rsid w:val="00AE0BAF"/>
    <w:rsid w:val="00AE0E58"/>
    <w:rsid w:val="00AE1B2B"/>
    <w:rsid w:val="00AE201D"/>
    <w:rsid w:val="00AE2D8C"/>
    <w:rsid w:val="00AE570D"/>
    <w:rsid w:val="00AE594A"/>
    <w:rsid w:val="00AE75F5"/>
    <w:rsid w:val="00AE7AA9"/>
    <w:rsid w:val="00AE7D74"/>
    <w:rsid w:val="00AF0189"/>
    <w:rsid w:val="00AF031A"/>
    <w:rsid w:val="00AF061D"/>
    <w:rsid w:val="00AF12CE"/>
    <w:rsid w:val="00AF1FC0"/>
    <w:rsid w:val="00AF3FE0"/>
    <w:rsid w:val="00AF45EB"/>
    <w:rsid w:val="00AF4794"/>
    <w:rsid w:val="00AF695E"/>
    <w:rsid w:val="00AF6C12"/>
    <w:rsid w:val="00AF7191"/>
    <w:rsid w:val="00AF7C74"/>
    <w:rsid w:val="00B001EB"/>
    <w:rsid w:val="00B004D7"/>
    <w:rsid w:val="00B00586"/>
    <w:rsid w:val="00B00709"/>
    <w:rsid w:val="00B00972"/>
    <w:rsid w:val="00B0098B"/>
    <w:rsid w:val="00B009AE"/>
    <w:rsid w:val="00B0144C"/>
    <w:rsid w:val="00B01875"/>
    <w:rsid w:val="00B01A2C"/>
    <w:rsid w:val="00B0271B"/>
    <w:rsid w:val="00B041BF"/>
    <w:rsid w:val="00B06B70"/>
    <w:rsid w:val="00B10221"/>
    <w:rsid w:val="00B1119B"/>
    <w:rsid w:val="00B118F3"/>
    <w:rsid w:val="00B1218C"/>
    <w:rsid w:val="00B122E2"/>
    <w:rsid w:val="00B12BBD"/>
    <w:rsid w:val="00B12FBB"/>
    <w:rsid w:val="00B145C0"/>
    <w:rsid w:val="00B15B85"/>
    <w:rsid w:val="00B16A33"/>
    <w:rsid w:val="00B17AC0"/>
    <w:rsid w:val="00B17B7B"/>
    <w:rsid w:val="00B17D41"/>
    <w:rsid w:val="00B206EF"/>
    <w:rsid w:val="00B20A5F"/>
    <w:rsid w:val="00B21333"/>
    <w:rsid w:val="00B22ABD"/>
    <w:rsid w:val="00B22F72"/>
    <w:rsid w:val="00B24527"/>
    <w:rsid w:val="00B246A2"/>
    <w:rsid w:val="00B2483B"/>
    <w:rsid w:val="00B24AD9"/>
    <w:rsid w:val="00B25959"/>
    <w:rsid w:val="00B267CA"/>
    <w:rsid w:val="00B30BD3"/>
    <w:rsid w:val="00B318D4"/>
    <w:rsid w:val="00B31A3A"/>
    <w:rsid w:val="00B31D8D"/>
    <w:rsid w:val="00B32A7C"/>
    <w:rsid w:val="00B3572E"/>
    <w:rsid w:val="00B35779"/>
    <w:rsid w:val="00B40734"/>
    <w:rsid w:val="00B408C4"/>
    <w:rsid w:val="00B40C90"/>
    <w:rsid w:val="00B40EEA"/>
    <w:rsid w:val="00B41FAA"/>
    <w:rsid w:val="00B43321"/>
    <w:rsid w:val="00B44AF5"/>
    <w:rsid w:val="00B44EFF"/>
    <w:rsid w:val="00B46F12"/>
    <w:rsid w:val="00B46FAE"/>
    <w:rsid w:val="00B5134D"/>
    <w:rsid w:val="00B516F5"/>
    <w:rsid w:val="00B53827"/>
    <w:rsid w:val="00B53D73"/>
    <w:rsid w:val="00B5413B"/>
    <w:rsid w:val="00B54341"/>
    <w:rsid w:val="00B54D4D"/>
    <w:rsid w:val="00B5507F"/>
    <w:rsid w:val="00B55204"/>
    <w:rsid w:val="00B559F2"/>
    <w:rsid w:val="00B55D0F"/>
    <w:rsid w:val="00B57099"/>
    <w:rsid w:val="00B57130"/>
    <w:rsid w:val="00B577C3"/>
    <w:rsid w:val="00B57816"/>
    <w:rsid w:val="00B57D82"/>
    <w:rsid w:val="00B6087C"/>
    <w:rsid w:val="00B60E4E"/>
    <w:rsid w:val="00B61973"/>
    <w:rsid w:val="00B61B72"/>
    <w:rsid w:val="00B61ED6"/>
    <w:rsid w:val="00B62E41"/>
    <w:rsid w:val="00B6403E"/>
    <w:rsid w:val="00B65E5A"/>
    <w:rsid w:val="00B66C2A"/>
    <w:rsid w:val="00B6741C"/>
    <w:rsid w:val="00B67D6D"/>
    <w:rsid w:val="00B701BC"/>
    <w:rsid w:val="00B70AD6"/>
    <w:rsid w:val="00B710C6"/>
    <w:rsid w:val="00B71310"/>
    <w:rsid w:val="00B71940"/>
    <w:rsid w:val="00B71E73"/>
    <w:rsid w:val="00B72573"/>
    <w:rsid w:val="00B72D36"/>
    <w:rsid w:val="00B735E5"/>
    <w:rsid w:val="00B743E8"/>
    <w:rsid w:val="00B7451E"/>
    <w:rsid w:val="00B74B9D"/>
    <w:rsid w:val="00B75FEC"/>
    <w:rsid w:val="00B76239"/>
    <w:rsid w:val="00B77141"/>
    <w:rsid w:val="00B775F5"/>
    <w:rsid w:val="00B808E4"/>
    <w:rsid w:val="00B80D64"/>
    <w:rsid w:val="00B810C9"/>
    <w:rsid w:val="00B81A7D"/>
    <w:rsid w:val="00B823A3"/>
    <w:rsid w:val="00B82BD8"/>
    <w:rsid w:val="00B82F6D"/>
    <w:rsid w:val="00B8339D"/>
    <w:rsid w:val="00B83729"/>
    <w:rsid w:val="00B839FB"/>
    <w:rsid w:val="00B83C35"/>
    <w:rsid w:val="00B83DFF"/>
    <w:rsid w:val="00B84A9F"/>
    <w:rsid w:val="00B85891"/>
    <w:rsid w:val="00B85C12"/>
    <w:rsid w:val="00B8620B"/>
    <w:rsid w:val="00B864BE"/>
    <w:rsid w:val="00B86BDA"/>
    <w:rsid w:val="00B87CD8"/>
    <w:rsid w:val="00B906D1"/>
    <w:rsid w:val="00B909F2"/>
    <w:rsid w:val="00B90E8B"/>
    <w:rsid w:val="00B9156F"/>
    <w:rsid w:val="00B928DE"/>
    <w:rsid w:val="00B92912"/>
    <w:rsid w:val="00B92B00"/>
    <w:rsid w:val="00B92BEA"/>
    <w:rsid w:val="00B92D76"/>
    <w:rsid w:val="00B93580"/>
    <w:rsid w:val="00B9386C"/>
    <w:rsid w:val="00B95605"/>
    <w:rsid w:val="00B956AD"/>
    <w:rsid w:val="00B957B1"/>
    <w:rsid w:val="00B968AA"/>
    <w:rsid w:val="00B96B03"/>
    <w:rsid w:val="00B96B6A"/>
    <w:rsid w:val="00B96FAE"/>
    <w:rsid w:val="00B97332"/>
    <w:rsid w:val="00B97C9B"/>
    <w:rsid w:val="00B9AE0F"/>
    <w:rsid w:val="00BA0943"/>
    <w:rsid w:val="00BA0C81"/>
    <w:rsid w:val="00BA1F04"/>
    <w:rsid w:val="00BA21E1"/>
    <w:rsid w:val="00BA23ED"/>
    <w:rsid w:val="00BA2D3F"/>
    <w:rsid w:val="00BA2E21"/>
    <w:rsid w:val="00BA423F"/>
    <w:rsid w:val="00BA4AEF"/>
    <w:rsid w:val="00BA64E8"/>
    <w:rsid w:val="00BA6512"/>
    <w:rsid w:val="00BA6D9C"/>
    <w:rsid w:val="00BA6E4A"/>
    <w:rsid w:val="00BA7055"/>
    <w:rsid w:val="00BA7132"/>
    <w:rsid w:val="00BA75BB"/>
    <w:rsid w:val="00BA7CD8"/>
    <w:rsid w:val="00BB0343"/>
    <w:rsid w:val="00BB09F8"/>
    <w:rsid w:val="00BB0DDB"/>
    <w:rsid w:val="00BB131D"/>
    <w:rsid w:val="00BB235B"/>
    <w:rsid w:val="00BB2776"/>
    <w:rsid w:val="00BB27EB"/>
    <w:rsid w:val="00BB27F4"/>
    <w:rsid w:val="00BB344E"/>
    <w:rsid w:val="00BB3CBD"/>
    <w:rsid w:val="00BB3F87"/>
    <w:rsid w:val="00BB458D"/>
    <w:rsid w:val="00BB4616"/>
    <w:rsid w:val="00BB47FA"/>
    <w:rsid w:val="00BB5719"/>
    <w:rsid w:val="00BB5CDE"/>
    <w:rsid w:val="00BB5F2A"/>
    <w:rsid w:val="00BB6000"/>
    <w:rsid w:val="00BB600D"/>
    <w:rsid w:val="00BB64F9"/>
    <w:rsid w:val="00BB708A"/>
    <w:rsid w:val="00BB72F4"/>
    <w:rsid w:val="00BB7D5B"/>
    <w:rsid w:val="00BB7E1F"/>
    <w:rsid w:val="00BC0BB3"/>
    <w:rsid w:val="00BC0E8D"/>
    <w:rsid w:val="00BC10BC"/>
    <w:rsid w:val="00BC17C3"/>
    <w:rsid w:val="00BC23FB"/>
    <w:rsid w:val="00BC2458"/>
    <w:rsid w:val="00BC26BE"/>
    <w:rsid w:val="00BC34F6"/>
    <w:rsid w:val="00BC4F33"/>
    <w:rsid w:val="00BC5141"/>
    <w:rsid w:val="00BC5DE9"/>
    <w:rsid w:val="00BC5E2F"/>
    <w:rsid w:val="00BC6003"/>
    <w:rsid w:val="00BC6254"/>
    <w:rsid w:val="00BD05FC"/>
    <w:rsid w:val="00BD0BB6"/>
    <w:rsid w:val="00BD0E93"/>
    <w:rsid w:val="00BD2203"/>
    <w:rsid w:val="00BD2B8D"/>
    <w:rsid w:val="00BD3834"/>
    <w:rsid w:val="00BD3862"/>
    <w:rsid w:val="00BD38DD"/>
    <w:rsid w:val="00BD5625"/>
    <w:rsid w:val="00BD5923"/>
    <w:rsid w:val="00BD6153"/>
    <w:rsid w:val="00BD6750"/>
    <w:rsid w:val="00BD6CD7"/>
    <w:rsid w:val="00BD7018"/>
    <w:rsid w:val="00BD7A6B"/>
    <w:rsid w:val="00BD7D58"/>
    <w:rsid w:val="00BD7DD0"/>
    <w:rsid w:val="00BE0493"/>
    <w:rsid w:val="00BE097B"/>
    <w:rsid w:val="00BE141E"/>
    <w:rsid w:val="00BE1CBE"/>
    <w:rsid w:val="00BE2168"/>
    <w:rsid w:val="00BE2642"/>
    <w:rsid w:val="00BE27C8"/>
    <w:rsid w:val="00BF1EE6"/>
    <w:rsid w:val="00BF3763"/>
    <w:rsid w:val="00BF4120"/>
    <w:rsid w:val="00BF4442"/>
    <w:rsid w:val="00BF487A"/>
    <w:rsid w:val="00BF5642"/>
    <w:rsid w:val="00BF5E9F"/>
    <w:rsid w:val="00BF640F"/>
    <w:rsid w:val="00BF7129"/>
    <w:rsid w:val="00BF7FB8"/>
    <w:rsid w:val="00C003FD"/>
    <w:rsid w:val="00C01A93"/>
    <w:rsid w:val="00C01D0B"/>
    <w:rsid w:val="00C02914"/>
    <w:rsid w:val="00C02F3F"/>
    <w:rsid w:val="00C033E7"/>
    <w:rsid w:val="00C03D56"/>
    <w:rsid w:val="00C04166"/>
    <w:rsid w:val="00C04B69"/>
    <w:rsid w:val="00C04D6D"/>
    <w:rsid w:val="00C0517B"/>
    <w:rsid w:val="00C06F59"/>
    <w:rsid w:val="00C06F6B"/>
    <w:rsid w:val="00C07CE3"/>
    <w:rsid w:val="00C07DF4"/>
    <w:rsid w:val="00C10836"/>
    <w:rsid w:val="00C11356"/>
    <w:rsid w:val="00C11FD0"/>
    <w:rsid w:val="00C122BA"/>
    <w:rsid w:val="00C12D78"/>
    <w:rsid w:val="00C142CF"/>
    <w:rsid w:val="00C14885"/>
    <w:rsid w:val="00C15234"/>
    <w:rsid w:val="00C156B0"/>
    <w:rsid w:val="00C15A52"/>
    <w:rsid w:val="00C15E83"/>
    <w:rsid w:val="00C1632D"/>
    <w:rsid w:val="00C170C0"/>
    <w:rsid w:val="00C17DE9"/>
    <w:rsid w:val="00C20101"/>
    <w:rsid w:val="00C204A6"/>
    <w:rsid w:val="00C2197D"/>
    <w:rsid w:val="00C219A4"/>
    <w:rsid w:val="00C22D3F"/>
    <w:rsid w:val="00C22DAC"/>
    <w:rsid w:val="00C22E8C"/>
    <w:rsid w:val="00C232B2"/>
    <w:rsid w:val="00C2352A"/>
    <w:rsid w:val="00C23BD1"/>
    <w:rsid w:val="00C25882"/>
    <w:rsid w:val="00C25896"/>
    <w:rsid w:val="00C26B82"/>
    <w:rsid w:val="00C27F67"/>
    <w:rsid w:val="00C300E4"/>
    <w:rsid w:val="00C30284"/>
    <w:rsid w:val="00C303A9"/>
    <w:rsid w:val="00C303F0"/>
    <w:rsid w:val="00C306A7"/>
    <w:rsid w:val="00C30CD3"/>
    <w:rsid w:val="00C310C0"/>
    <w:rsid w:val="00C31569"/>
    <w:rsid w:val="00C31905"/>
    <w:rsid w:val="00C31AF7"/>
    <w:rsid w:val="00C33CFA"/>
    <w:rsid w:val="00C344E9"/>
    <w:rsid w:val="00C34CFE"/>
    <w:rsid w:val="00C35AE5"/>
    <w:rsid w:val="00C35F90"/>
    <w:rsid w:val="00C3625F"/>
    <w:rsid w:val="00C36BFD"/>
    <w:rsid w:val="00C37C60"/>
    <w:rsid w:val="00C37D9D"/>
    <w:rsid w:val="00C4025B"/>
    <w:rsid w:val="00C4080C"/>
    <w:rsid w:val="00C411EC"/>
    <w:rsid w:val="00C41524"/>
    <w:rsid w:val="00C41A87"/>
    <w:rsid w:val="00C42588"/>
    <w:rsid w:val="00C43AAB"/>
    <w:rsid w:val="00C442A1"/>
    <w:rsid w:val="00C443EA"/>
    <w:rsid w:val="00C449C8"/>
    <w:rsid w:val="00C451D8"/>
    <w:rsid w:val="00C4583A"/>
    <w:rsid w:val="00C461AD"/>
    <w:rsid w:val="00C4636A"/>
    <w:rsid w:val="00C46558"/>
    <w:rsid w:val="00C4663F"/>
    <w:rsid w:val="00C46CCF"/>
    <w:rsid w:val="00C4713A"/>
    <w:rsid w:val="00C50437"/>
    <w:rsid w:val="00C51EEC"/>
    <w:rsid w:val="00C5303D"/>
    <w:rsid w:val="00C53328"/>
    <w:rsid w:val="00C53A83"/>
    <w:rsid w:val="00C53AC9"/>
    <w:rsid w:val="00C53BC4"/>
    <w:rsid w:val="00C53BC8"/>
    <w:rsid w:val="00C553D9"/>
    <w:rsid w:val="00C557AF"/>
    <w:rsid w:val="00C55A51"/>
    <w:rsid w:val="00C55A71"/>
    <w:rsid w:val="00C5687F"/>
    <w:rsid w:val="00C57B80"/>
    <w:rsid w:val="00C6054B"/>
    <w:rsid w:val="00C60693"/>
    <w:rsid w:val="00C608B8"/>
    <w:rsid w:val="00C610FD"/>
    <w:rsid w:val="00C61278"/>
    <w:rsid w:val="00C61ED3"/>
    <w:rsid w:val="00C632AD"/>
    <w:rsid w:val="00C6348B"/>
    <w:rsid w:val="00C63620"/>
    <w:rsid w:val="00C63982"/>
    <w:rsid w:val="00C639D1"/>
    <w:rsid w:val="00C66BC5"/>
    <w:rsid w:val="00C6735B"/>
    <w:rsid w:val="00C67434"/>
    <w:rsid w:val="00C67D30"/>
    <w:rsid w:val="00C70077"/>
    <w:rsid w:val="00C704AA"/>
    <w:rsid w:val="00C71652"/>
    <w:rsid w:val="00C7184D"/>
    <w:rsid w:val="00C72914"/>
    <w:rsid w:val="00C729A6"/>
    <w:rsid w:val="00C72DC0"/>
    <w:rsid w:val="00C73A8E"/>
    <w:rsid w:val="00C76609"/>
    <w:rsid w:val="00C76AC4"/>
    <w:rsid w:val="00C76FCD"/>
    <w:rsid w:val="00C779B2"/>
    <w:rsid w:val="00C77F54"/>
    <w:rsid w:val="00C80798"/>
    <w:rsid w:val="00C8087C"/>
    <w:rsid w:val="00C80939"/>
    <w:rsid w:val="00C80B99"/>
    <w:rsid w:val="00C818BD"/>
    <w:rsid w:val="00C81B55"/>
    <w:rsid w:val="00C81EE4"/>
    <w:rsid w:val="00C81F49"/>
    <w:rsid w:val="00C822E1"/>
    <w:rsid w:val="00C8254F"/>
    <w:rsid w:val="00C82687"/>
    <w:rsid w:val="00C829FE"/>
    <w:rsid w:val="00C82A5B"/>
    <w:rsid w:val="00C84DE1"/>
    <w:rsid w:val="00C8517B"/>
    <w:rsid w:val="00C85752"/>
    <w:rsid w:val="00C85CAB"/>
    <w:rsid w:val="00C85F05"/>
    <w:rsid w:val="00C861D8"/>
    <w:rsid w:val="00C865A9"/>
    <w:rsid w:val="00C87261"/>
    <w:rsid w:val="00C872A0"/>
    <w:rsid w:val="00C90EE5"/>
    <w:rsid w:val="00C9316C"/>
    <w:rsid w:val="00C93677"/>
    <w:rsid w:val="00C94FA3"/>
    <w:rsid w:val="00C9589E"/>
    <w:rsid w:val="00C95F1F"/>
    <w:rsid w:val="00C95FC8"/>
    <w:rsid w:val="00C964C6"/>
    <w:rsid w:val="00C9673C"/>
    <w:rsid w:val="00C96A15"/>
    <w:rsid w:val="00C97052"/>
    <w:rsid w:val="00C97679"/>
    <w:rsid w:val="00C97809"/>
    <w:rsid w:val="00C97DDC"/>
    <w:rsid w:val="00CA013E"/>
    <w:rsid w:val="00CA15C3"/>
    <w:rsid w:val="00CA1905"/>
    <w:rsid w:val="00CA265F"/>
    <w:rsid w:val="00CA2E36"/>
    <w:rsid w:val="00CA304F"/>
    <w:rsid w:val="00CA340A"/>
    <w:rsid w:val="00CA3553"/>
    <w:rsid w:val="00CA396C"/>
    <w:rsid w:val="00CA3D17"/>
    <w:rsid w:val="00CA5380"/>
    <w:rsid w:val="00CA6D15"/>
    <w:rsid w:val="00CA6E44"/>
    <w:rsid w:val="00CB04A3"/>
    <w:rsid w:val="00CB0B25"/>
    <w:rsid w:val="00CB178A"/>
    <w:rsid w:val="00CB1B3B"/>
    <w:rsid w:val="00CB28CD"/>
    <w:rsid w:val="00CB5257"/>
    <w:rsid w:val="00CB52E3"/>
    <w:rsid w:val="00CB540B"/>
    <w:rsid w:val="00CC014E"/>
    <w:rsid w:val="00CC1054"/>
    <w:rsid w:val="00CC14E1"/>
    <w:rsid w:val="00CC22A8"/>
    <w:rsid w:val="00CC2A9F"/>
    <w:rsid w:val="00CC4104"/>
    <w:rsid w:val="00CC58F1"/>
    <w:rsid w:val="00CC5EA5"/>
    <w:rsid w:val="00CC665E"/>
    <w:rsid w:val="00CC6E87"/>
    <w:rsid w:val="00CC79E0"/>
    <w:rsid w:val="00CD059B"/>
    <w:rsid w:val="00CD1748"/>
    <w:rsid w:val="00CD1CEE"/>
    <w:rsid w:val="00CD1FD3"/>
    <w:rsid w:val="00CD2016"/>
    <w:rsid w:val="00CD251B"/>
    <w:rsid w:val="00CD25B8"/>
    <w:rsid w:val="00CD4222"/>
    <w:rsid w:val="00CD5E06"/>
    <w:rsid w:val="00CD670F"/>
    <w:rsid w:val="00CD7B7E"/>
    <w:rsid w:val="00CE0290"/>
    <w:rsid w:val="00CE0BF0"/>
    <w:rsid w:val="00CE0EF4"/>
    <w:rsid w:val="00CE0F9B"/>
    <w:rsid w:val="00CE0FA9"/>
    <w:rsid w:val="00CE1258"/>
    <w:rsid w:val="00CE2BEB"/>
    <w:rsid w:val="00CE3842"/>
    <w:rsid w:val="00CE430D"/>
    <w:rsid w:val="00CE4800"/>
    <w:rsid w:val="00CE51EE"/>
    <w:rsid w:val="00CE5722"/>
    <w:rsid w:val="00CE57AA"/>
    <w:rsid w:val="00CE7A93"/>
    <w:rsid w:val="00CE7F54"/>
    <w:rsid w:val="00CF0BB6"/>
    <w:rsid w:val="00CF1C98"/>
    <w:rsid w:val="00CF240A"/>
    <w:rsid w:val="00CF2BA3"/>
    <w:rsid w:val="00CF3423"/>
    <w:rsid w:val="00CF3938"/>
    <w:rsid w:val="00CF3B37"/>
    <w:rsid w:val="00CF4C38"/>
    <w:rsid w:val="00CF6A74"/>
    <w:rsid w:val="00D00330"/>
    <w:rsid w:val="00D0089D"/>
    <w:rsid w:val="00D00BB5"/>
    <w:rsid w:val="00D00FD6"/>
    <w:rsid w:val="00D012B0"/>
    <w:rsid w:val="00D01725"/>
    <w:rsid w:val="00D017A6"/>
    <w:rsid w:val="00D027E6"/>
    <w:rsid w:val="00D02E83"/>
    <w:rsid w:val="00D03079"/>
    <w:rsid w:val="00D03616"/>
    <w:rsid w:val="00D03F7E"/>
    <w:rsid w:val="00D05841"/>
    <w:rsid w:val="00D05C27"/>
    <w:rsid w:val="00D05D30"/>
    <w:rsid w:val="00D05F8E"/>
    <w:rsid w:val="00D0699B"/>
    <w:rsid w:val="00D07BAC"/>
    <w:rsid w:val="00D07BB7"/>
    <w:rsid w:val="00D102DE"/>
    <w:rsid w:val="00D10BDF"/>
    <w:rsid w:val="00D110CF"/>
    <w:rsid w:val="00D11390"/>
    <w:rsid w:val="00D1186B"/>
    <w:rsid w:val="00D11A23"/>
    <w:rsid w:val="00D11C10"/>
    <w:rsid w:val="00D12DCB"/>
    <w:rsid w:val="00D13225"/>
    <w:rsid w:val="00D132FA"/>
    <w:rsid w:val="00D13DAE"/>
    <w:rsid w:val="00D144D9"/>
    <w:rsid w:val="00D14D40"/>
    <w:rsid w:val="00D1500E"/>
    <w:rsid w:val="00D154D0"/>
    <w:rsid w:val="00D1582D"/>
    <w:rsid w:val="00D15D33"/>
    <w:rsid w:val="00D165BB"/>
    <w:rsid w:val="00D165C9"/>
    <w:rsid w:val="00D1664A"/>
    <w:rsid w:val="00D1749C"/>
    <w:rsid w:val="00D17F96"/>
    <w:rsid w:val="00D202A1"/>
    <w:rsid w:val="00D20CE3"/>
    <w:rsid w:val="00D214C1"/>
    <w:rsid w:val="00D217C1"/>
    <w:rsid w:val="00D219F0"/>
    <w:rsid w:val="00D2265F"/>
    <w:rsid w:val="00D228CE"/>
    <w:rsid w:val="00D22A32"/>
    <w:rsid w:val="00D23477"/>
    <w:rsid w:val="00D23754"/>
    <w:rsid w:val="00D23D3E"/>
    <w:rsid w:val="00D24728"/>
    <w:rsid w:val="00D24C1E"/>
    <w:rsid w:val="00D25027"/>
    <w:rsid w:val="00D2524D"/>
    <w:rsid w:val="00D254BA"/>
    <w:rsid w:val="00D256CC"/>
    <w:rsid w:val="00D2585B"/>
    <w:rsid w:val="00D25A22"/>
    <w:rsid w:val="00D26466"/>
    <w:rsid w:val="00D265E8"/>
    <w:rsid w:val="00D26D59"/>
    <w:rsid w:val="00D2723C"/>
    <w:rsid w:val="00D273B0"/>
    <w:rsid w:val="00D27CBA"/>
    <w:rsid w:val="00D305E7"/>
    <w:rsid w:val="00D30ED6"/>
    <w:rsid w:val="00D31298"/>
    <w:rsid w:val="00D31519"/>
    <w:rsid w:val="00D31E7C"/>
    <w:rsid w:val="00D32C28"/>
    <w:rsid w:val="00D32D3A"/>
    <w:rsid w:val="00D3428F"/>
    <w:rsid w:val="00D34321"/>
    <w:rsid w:val="00D3493F"/>
    <w:rsid w:val="00D34D18"/>
    <w:rsid w:val="00D35071"/>
    <w:rsid w:val="00D36CF8"/>
    <w:rsid w:val="00D37008"/>
    <w:rsid w:val="00D37060"/>
    <w:rsid w:val="00D37B8F"/>
    <w:rsid w:val="00D37D8A"/>
    <w:rsid w:val="00D40574"/>
    <w:rsid w:val="00D41A52"/>
    <w:rsid w:val="00D41FAE"/>
    <w:rsid w:val="00D42558"/>
    <w:rsid w:val="00D44789"/>
    <w:rsid w:val="00D4575A"/>
    <w:rsid w:val="00D46800"/>
    <w:rsid w:val="00D46C7E"/>
    <w:rsid w:val="00D46D6E"/>
    <w:rsid w:val="00D46EAA"/>
    <w:rsid w:val="00D4786B"/>
    <w:rsid w:val="00D50252"/>
    <w:rsid w:val="00D50B41"/>
    <w:rsid w:val="00D50E0E"/>
    <w:rsid w:val="00D51662"/>
    <w:rsid w:val="00D519B7"/>
    <w:rsid w:val="00D51D7E"/>
    <w:rsid w:val="00D52E2A"/>
    <w:rsid w:val="00D53475"/>
    <w:rsid w:val="00D5366B"/>
    <w:rsid w:val="00D54C49"/>
    <w:rsid w:val="00D55598"/>
    <w:rsid w:val="00D557BF"/>
    <w:rsid w:val="00D5620E"/>
    <w:rsid w:val="00D56517"/>
    <w:rsid w:val="00D571B4"/>
    <w:rsid w:val="00D57D51"/>
    <w:rsid w:val="00D57DDC"/>
    <w:rsid w:val="00D60C9C"/>
    <w:rsid w:val="00D60D9D"/>
    <w:rsid w:val="00D61936"/>
    <w:rsid w:val="00D6195A"/>
    <w:rsid w:val="00D61AE1"/>
    <w:rsid w:val="00D61E11"/>
    <w:rsid w:val="00D6289E"/>
    <w:rsid w:val="00D631F3"/>
    <w:rsid w:val="00D6337A"/>
    <w:rsid w:val="00D63B84"/>
    <w:rsid w:val="00D63C8B"/>
    <w:rsid w:val="00D63CFD"/>
    <w:rsid w:val="00D63D98"/>
    <w:rsid w:val="00D63E52"/>
    <w:rsid w:val="00D641D6"/>
    <w:rsid w:val="00D65888"/>
    <w:rsid w:val="00D66301"/>
    <w:rsid w:val="00D66644"/>
    <w:rsid w:val="00D6767C"/>
    <w:rsid w:val="00D701DD"/>
    <w:rsid w:val="00D70B1F"/>
    <w:rsid w:val="00D717AD"/>
    <w:rsid w:val="00D72659"/>
    <w:rsid w:val="00D728A7"/>
    <w:rsid w:val="00D72C6E"/>
    <w:rsid w:val="00D72DDD"/>
    <w:rsid w:val="00D732EB"/>
    <w:rsid w:val="00D7419B"/>
    <w:rsid w:val="00D742B5"/>
    <w:rsid w:val="00D7654E"/>
    <w:rsid w:val="00D77E51"/>
    <w:rsid w:val="00D80209"/>
    <w:rsid w:val="00D8047B"/>
    <w:rsid w:val="00D807A4"/>
    <w:rsid w:val="00D81445"/>
    <w:rsid w:val="00D82162"/>
    <w:rsid w:val="00D82190"/>
    <w:rsid w:val="00D82509"/>
    <w:rsid w:val="00D825EA"/>
    <w:rsid w:val="00D82A17"/>
    <w:rsid w:val="00D836E2"/>
    <w:rsid w:val="00D836FB"/>
    <w:rsid w:val="00D83995"/>
    <w:rsid w:val="00D83CC0"/>
    <w:rsid w:val="00D83D8F"/>
    <w:rsid w:val="00D83DAB"/>
    <w:rsid w:val="00D83DCE"/>
    <w:rsid w:val="00D84171"/>
    <w:rsid w:val="00D84607"/>
    <w:rsid w:val="00D84901"/>
    <w:rsid w:val="00D85C76"/>
    <w:rsid w:val="00D85F7B"/>
    <w:rsid w:val="00D86250"/>
    <w:rsid w:val="00D8651C"/>
    <w:rsid w:val="00D86879"/>
    <w:rsid w:val="00D86BAC"/>
    <w:rsid w:val="00D87904"/>
    <w:rsid w:val="00D87EFC"/>
    <w:rsid w:val="00D90493"/>
    <w:rsid w:val="00D90F17"/>
    <w:rsid w:val="00D90FF1"/>
    <w:rsid w:val="00D91654"/>
    <w:rsid w:val="00D92E55"/>
    <w:rsid w:val="00D93148"/>
    <w:rsid w:val="00D93CB3"/>
    <w:rsid w:val="00D95665"/>
    <w:rsid w:val="00D966D4"/>
    <w:rsid w:val="00D96D6A"/>
    <w:rsid w:val="00D96F97"/>
    <w:rsid w:val="00D97421"/>
    <w:rsid w:val="00D97481"/>
    <w:rsid w:val="00D977D7"/>
    <w:rsid w:val="00D97C66"/>
    <w:rsid w:val="00DA02AD"/>
    <w:rsid w:val="00DA10A4"/>
    <w:rsid w:val="00DA15A1"/>
    <w:rsid w:val="00DA1B90"/>
    <w:rsid w:val="00DA42B5"/>
    <w:rsid w:val="00DA4398"/>
    <w:rsid w:val="00DA46A0"/>
    <w:rsid w:val="00DA5B20"/>
    <w:rsid w:val="00DA662C"/>
    <w:rsid w:val="00DA70B4"/>
    <w:rsid w:val="00DA78F5"/>
    <w:rsid w:val="00DA7922"/>
    <w:rsid w:val="00DB06B7"/>
    <w:rsid w:val="00DB0CC6"/>
    <w:rsid w:val="00DB0DC4"/>
    <w:rsid w:val="00DB11C2"/>
    <w:rsid w:val="00DB1D71"/>
    <w:rsid w:val="00DB32BF"/>
    <w:rsid w:val="00DB3ABE"/>
    <w:rsid w:val="00DB5080"/>
    <w:rsid w:val="00DB5B03"/>
    <w:rsid w:val="00DB6078"/>
    <w:rsid w:val="00DB63A4"/>
    <w:rsid w:val="00DB6D6A"/>
    <w:rsid w:val="00DB76D9"/>
    <w:rsid w:val="00DB7A60"/>
    <w:rsid w:val="00DC0E99"/>
    <w:rsid w:val="00DC1226"/>
    <w:rsid w:val="00DC162F"/>
    <w:rsid w:val="00DC2E09"/>
    <w:rsid w:val="00DC330A"/>
    <w:rsid w:val="00DC4A62"/>
    <w:rsid w:val="00DC4EBB"/>
    <w:rsid w:val="00DC6559"/>
    <w:rsid w:val="00DC6563"/>
    <w:rsid w:val="00DC6A5E"/>
    <w:rsid w:val="00DC6B55"/>
    <w:rsid w:val="00DC7221"/>
    <w:rsid w:val="00DD0F62"/>
    <w:rsid w:val="00DD2068"/>
    <w:rsid w:val="00DD20B7"/>
    <w:rsid w:val="00DD233A"/>
    <w:rsid w:val="00DD254F"/>
    <w:rsid w:val="00DD2820"/>
    <w:rsid w:val="00DD28A0"/>
    <w:rsid w:val="00DD312C"/>
    <w:rsid w:val="00DD3938"/>
    <w:rsid w:val="00DD3A4E"/>
    <w:rsid w:val="00DD3DC9"/>
    <w:rsid w:val="00DD54CA"/>
    <w:rsid w:val="00DD5592"/>
    <w:rsid w:val="00DD57EB"/>
    <w:rsid w:val="00DD5DE3"/>
    <w:rsid w:val="00DD5F50"/>
    <w:rsid w:val="00DD5F8F"/>
    <w:rsid w:val="00DD6B35"/>
    <w:rsid w:val="00DD6BF0"/>
    <w:rsid w:val="00DD7206"/>
    <w:rsid w:val="00DD7D54"/>
    <w:rsid w:val="00DD7E9E"/>
    <w:rsid w:val="00DE04F8"/>
    <w:rsid w:val="00DE069B"/>
    <w:rsid w:val="00DE096C"/>
    <w:rsid w:val="00DE0FAA"/>
    <w:rsid w:val="00DE13E9"/>
    <w:rsid w:val="00DE1FFC"/>
    <w:rsid w:val="00DE2D03"/>
    <w:rsid w:val="00DE3202"/>
    <w:rsid w:val="00DE368D"/>
    <w:rsid w:val="00DE38DF"/>
    <w:rsid w:val="00DE3B47"/>
    <w:rsid w:val="00DE3D20"/>
    <w:rsid w:val="00DE4028"/>
    <w:rsid w:val="00DE4193"/>
    <w:rsid w:val="00DE43D9"/>
    <w:rsid w:val="00DE62D6"/>
    <w:rsid w:val="00DE6748"/>
    <w:rsid w:val="00DE6CFB"/>
    <w:rsid w:val="00DE7017"/>
    <w:rsid w:val="00DE76B9"/>
    <w:rsid w:val="00DF0540"/>
    <w:rsid w:val="00DF0EF5"/>
    <w:rsid w:val="00DF1356"/>
    <w:rsid w:val="00DF2230"/>
    <w:rsid w:val="00DF2483"/>
    <w:rsid w:val="00DF395A"/>
    <w:rsid w:val="00DF4FB3"/>
    <w:rsid w:val="00DF505B"/>
    <w:rsid w:val="00DF631B"/>
    <w:rsid w:val="00DF6E72"/>
    <w:rsid w:val="00DF78FB"/>
    <w:rsid w:val="00E005BB"/>
    <w:rsid w:val="00E006CC"/>
    <w:rsid w:val="00E00849"/>
    <w:rsid w:val="00E0183F"/>
    <w:rsid w:val="00E019D5"/>
    <w:rsid w:val="00E02095"/>
    <w:rsid w:val="00E0279C"/>
    <w:rsid w:val="00E027AE"/>
    <w:rsid w:val="00E0283C"/>
    <w:rsid w:val="00E04566"/>
    <w:rsid w:val="00E04878"/>
    <w:rsid w:val="00E05350"/>
    <w:rsid w:val="00E05356"/>
    <w:rsid w:val="00E05851"/>
    <w:rsid w:val="00E05AD0"/>
    <w:rsid w:val="00E07138"/>
    <w:rsid w:val="00E07294"/>
    <w:rsid w:val="00E07518"/>
    <w:rsid w:val="00E07656"/>
    <w:rsid w:val="00E07FAF"/>
    <w:rsid w:val="00E10073"/>
    <w:rsid w:val="00E10136"/>
    <w:rsid w:val="00E11F9C"/>
    <w:rsid w:val="00E125C6"/>
    <w:rsid w:val="00E13ED9"/>
    <w:rsid w:val="00E14B00"/>
    <w:rsid w:val="00E14B03"/>
    <w:rsid w:val="00E15D86"/>
    <w:rsid w:val="00E162B6"/>
    <w:rsid w:val="00E17340"/>
    <w:rsid w:val="00E1739F"/>
    <w:rsid w:val="00E1762B"/>
    <w:rsid w:val="00E1763D"/>
    <w:rsid w:val="00E179DC"/>
    <w:rsid w:val="00E20055"/>
    <w:rsid w:val="00E20610"/>
    <w:rsid w:val="00E206C3"/>
    <w:rsid w:val="00E21037"/>
    <w:rsid w:val="00E211E6"/>
    <w:rsid w:val="00E24601"/>
    <w:rsid w:val="00E24AAC"/>
    <w:rsid w:val="00E24CBF"/>
    <w:rsid w:val="00E25291"/>
    <w:rsid w:val="00E253FF"/>
    <w:rsid w:val="00E258BC"/>
    <w:rsid w:val="00E25EE0"/>
    <w:rsid w:val="00E25FA3"/>
    <w:rsid w:val="00E30C19"/>
    <w:rsid w:val="00E3116D"/>
    <w:rsid w:val="00E32E4B"/>
    <w:rsid w:val="00E33910"/>
    <w:rsid w:val="00E33B55"/>
    <w:rsid w:val="00E35D43"/>
    <w:rsid w:val="00E36CA1"/>
    <w:rsid w:val="00E37663"/>
    <w:rsid w:val="00E3787C"/>
    <w:rsid w:val="00E37E61"/>
    <w:rsid w:val="00E40464"/>
    <w:rsid w:val="00E40B7D"/>
    <w:rsid w:val="00E42829"/>
    <w:rsid w:val="00E42EC8"/>
    <w:rsid w:val="00E433C7"/>
    <w:rsid w:val="00E43E68"/>
    <w:rsid w:val="00E43F69"/>
    <w:rsid w:val="00E444D4"/>
    <w:rsid w:val="00E44556"/>
    <w:rsid w:val="00E44D46"/>
    <w:rsid w:val="00E454E2"/>
    <w:rsid w:val="00E458FF"/>
    <w:rsid w:val="00E45BF0"/>
    <w:rsid w:val="00E46472"/>
    <w:rsid w:val="00E46564"/>
    <w:rsid w:val="00E46890"/>
    <w:rsid w:val="00E46E66"/>
    <w:rsid w:val="00E4787F"/>
    <w:rsid w:val="00E50592"/>
    <w:rsid w:val="00E50A96"/>
    <w:rsid w:val="00E50E04"/>
    <w:rsid w:val="00E50ECC"/>
    <w:rsid w:val="00E51925"/>
    <w:rsid w:val="00E523AE"/>
    <w:rsid w:val="00E52E80"/>
    <w:rsid w:val="00E52E82"/>
    <w:rsid w:val="00E52F76"/>
    <w:rsid w:val="00E537FF"/>
    <w:rsid w:val="00E54B5B"/>
    <w:rsid w:val="00E54DCD"/>
    <w:rsid w:val="00E556FA"/>
    <w:rsid w:val="00E557C1"/>
    <w:rsid w:val="00E565FB"/>
    <w:rsid w:val="00E56885"/>
    <w:rsid w:val="00E56AC9"/>
    <w:rsid w:val="00E577BF"/>
    <w:rsid w:val="00E57D05"/>
    <w:rsid w:val="00E60DC6"/>
    <w:rsid w:val="00E61319"/>
    <w:rsid w:val="00E61CCC"/>
    <w:rsid w:val="00E62147"/>
    <w:rsid w:val="00E63693"/>
    <w:rsid w:val="00E63F90"/>
    <w:rsid w:val="00E658DB"/>
    <w:rsid w:val="00E65DDE"/>
    <w:rsid w:val="00E669C4"/>
    <w:rsid w:val="00E66EAD"/>
    <w:rsid w:val="00E6740C"/>
    <w:rsid w:val="00E67A48"/>
    <w:rsid w:val="00E7030A"/>
    <w:rsid w:val="00E70DF0"/>
    <w:rsid w:val="00E70E21"/>
    <w:rsid w:val="00E70FCB"/>
    <w:rsid w:val="00E71027"/>
    <w:rsid w:val="00E71691"/>
    <w:rsid w:val="00E7176A"/>
    <w:rsid w:val="00E71D99"/>
    <w:rsid w:val="00E71F23"/>
    <w:rsid w:val="00E71FB7"/>
    <w:rsid w:val="00E7210B"/>
    <w:rsid w:val="00E72466"/>
    <w:rsid w:val="00E725B6"/>
    <w:rsid w:val="00E72ED0"/>
    <w:rsid w:val="00E73ED7"/>
    <w:rsid w:val="00E743A3"/>
    <w:rsid w:val="00E744D7"/>
    <w:rsid w:val="00E759AB"/>
    <w:rsid w:val="00E75ACD"/>
    <w:rsid w:val="00E760AE"/>
    <w:rsid w:val="00E76ADF"/>
    <w:rsid w:val="00E80A86"/>
    <w:rsid w:val="00E81A5C"/>
    <w:rsid w:val="00E81AA1"/>
    <w:rsid w:val="00E821BF"/>
    <w:rsid w:val="00E82590"/>
    <w:rsid w:val="00E835E9"/>
    <w:rsid w:val="00E839CB"/>
    <w:rsid w:val="00E83F87"/>
    <w:rsid w:val="00E840AA"/>
    <w:rsid w:val="00E84189"/>
    <w:rsid w:val="00E84856"/>
    <w:rsid w:val="00E85252"/>
    <w:rsid w:val="00E85665"/>
    <w:rsid w:val="00E858C0"/>
    <w:rsid w:val="00E85988"/>
    <w:rsid w:val="00E8692D"/>
    <w:rsid w:val="00E87299"/>
    <w:rsid w:val="00E909DF"/>
    <w:rsid w:val="00E90EE0"/>
    <w:rsid w:val="00E92647"/>
    <w:rsid w:val="00E9271E"/>
    <w:rsid w:val="00E932FC"/>
    <w:rsid w:val="00E93BAE"/>
    <w:rsid w:val="00E93D99"/>
    <w:rsid w:val="00E93E93"/>
    <w:rsid w:val="00E940B0"/>
    <w:rsid w:val="00E943A3"/>
    <w:rsid w:val="00E9497E"/>
    <w:rsid w:val="00E94EE6"/>
    <w:rsid w:val="00E950BC"/>
    <w:rsid w:val="00E95510"/>
    <w:rsid w:val="00E9586C"/>
    <w:rsid w:val="00E95FC7"/>
    <w:rsid w:val="00E9653F"/>
    <w:rsid w:val="00E96B10"/>
    <w:rsid w:val="00E96F61"/>
    <w:rsid w:val="00E9723A"/>
    <w:rsid w:val="00E97A53"/>
    <w:rsid w:val="00EA0571"/>
    <w:rsid w:val="00EA0C29"/>
    <w:rsid w:val="00EA0DB0"/>
    <w:rsid w:val="00EA120A"/>
    <w:rsid w:val="00EA1480"/>
    <w:rsid w:val="00EA1DEC"/>
    <w:rsid w:val="00EA2ABA"/>
    <w:rsid w:val="00EA2E7A"/>
    <w:rsid w:val="00EA3BAC"/>
    <w:rsid w:val="00EA4B05"/>
    <w:rsid w:val="00EA4DD9"/>
    <w:rsid w:val="00EA5046"/>
    <w:rsid w:val="00EA546C"/>
    <w:rsid w:val="00EA5653"/>
    <w:rsid w:val="00EA5B26"/>
    <w:rsid w:val="00EA5B42"/>
    <w:rsid w:val="00EA6B15"/>
    <w:rsid w:val="00EA6D05"/>
    <w:rsid w:val="00EA70FF"/>
    <w:rsid w:val="00EA76AE"/>
    <w:rsid w:val="00EA7911"/>
    <w:rsid w:val="00EA7993"/>
    <w:rsid w:val="00EA7C36"/>
    <w:rsid w:val="00EA7DD9"/>
    <w:rsid w:val="00EB191A"/>
    <w:rsid w:val="00EB1EB7"/>
    <w:rsid w:val="00EB2232"/>
    <w:rsid w:val="00EB264B"/>
    <w:rsid w:val="00EB30C9"/>
    <w:rsid w:val="00EB31F4"/>
    <w:rsid w:val="00EB37BB"/>
    <w:rsid w:val="00EB4370"/>
    <w:rsid w:val="00EB4CC9"/>
    <w:rsid w:val="00EB5A71"/>
    <w:rsid w:val="00EB688A"/>
    <w:rsid w:val="00EB6D36"/>
    <w:rsid w:val="00EB7464"/>
    <w:rsid w:val="00EC00F8"/>
    <w:rsid w:val="00EC0224"/>
    <w:rsid w:val="00EC0823"/>
    <w:rsid w:val="00EC26B0"/>
    <w:rsid w:val="00EC3897"/>
    <w:rsid w:val="00EC3DA2"/>
    <w:rsid w:val="00EC3E42"/>
    <w:rsid w:val="00EC3E4C"/>
    <w:rsid w:val="00EC4745"/>
    <w:rsid w:val="00EC4FED"/>
    <w:rsid w:val="00EC5A36"/>
    <w:rsid w:val="00EC6B24"/>
    <w:rsid w:val="00EC7073"/>
    <w:rsid w:val="00EC7600"/>
    <w:rsid w:val="00EC76A9"/>
    <w:rsid w:val="00ED1578"/>
    <w:rsid w:val="00ED188D"/>
    <w:rsid w:val="00ED23D1"/>
    <w:rsid w:val="00ED2746"/>
    <w:rsid w:val="00ED3388"/>
    <w:rsid w:val="00ED440C"/>
    <w:rsid w:val="00ED4B9D"/>
    <w:rsid w:val="00ED5BA2"/>
    <w:rsid w:val="00ED766C"/>
    <w:rsid w:val="00ED7795"/>
    <w:rsid w:val="00ED7D19"/>
    <w:rsid w:val="00ED7DFA"/>
    <w:rsid w:val="00EE15CE"/>
    <w:rsid w:val="00EE1C69"/>
    <w:rsid w:val="00EE1F45"/>
    <w:rsid w:val="00EE2BC4"/>
    <w:rsid w:val="00EE2F06"/>
    <w:rsid w:val="00EE31F6"/>
    <w:rsid w:val="00EE3379"/>
    <w:rsid w:val="00EE4B64"/>
    <w:rsid w:val="00EE52D6"/>
    <w:rsid w:val="00EE6C9E"/>
    <w:rsid w:val="00EE77F7"/>
    <w:rsid w:val="00EE795F"/>
    <w:rsid w:val="00EE7DB4"/>
    <w:rsid w:val="00EF0435"/>
    <w:rsid w:val="00EF06E4"/>
    <w:rsid w:val="00EF0DD0"/>
    <w:rsid w:val="00EF11AE"/>
    <w:rsid w:val="00EF1969"/>
    <w:rsid w:val="00EF2589"/>
    <w:rsid w:val="00EF25EC"/>
    <w:rsid w:val="00EF348C"/>
    <w:rsid w:val="00EF34B9"/>
    <w:rsid w:val="00EF383F"/>
    <w:rsid w:val="00EF388A"/>
    <w:rsid w:val="00EF5378"/>
    <w:rsid w:val="00EF573C"/>
    <w:rsid w:val="00EF6541"/>
    <w:rsid w:val="00EF6550"/>
    <w:rsid w:val="00EF7854"/>
    <w:rsid w:val="00EF7DA7"/>
    <w:rsid w:val="00F02A95"/>
    <w:rsid w:val="00F02B7B"/>
    <w:rsid w:val="00F0372D"/>
    <w:rsid w:val="00F0450E"/>
    <w:rsid w:val="00F0678A"/>
    <w:rsid w:val="00F06BD8"/>
    <w:rsid w:val="00F074BF"/>
    <w:rsid w:val="00F077A8"/>
    <w:rsid w:val="00F07B5E"/>
    <w:rsid w:val="00F07F51"/>
    <w:rsid w:val="00F102CD"/>
    <w:rsid w:val="00F1048B"/>
    <w:rsid w:val="00F10951"/>
    <w:rsid w:val="00F10B61"/>
    <w:rsid w:val="00F11D18"/>
    <w:rsid w:val="00F11D57"/>
    <w:rsid w:val="00F128A1"/>
    <w:rsid w:val="00F12C54"/>
    <w:rsid w:val="00F132A8"/>
    <w:rsid w:val="00F1394D"/>
    <w:rsid w:val="00F13AF2"/>
    <w:rsid w:val="00F142FD"/>
    <w:rsid w:val="00F15947"/>
    <w:rsid w:val="00F16045"/>
    <w:rsid w:val="00F16420"/>
    <w:rsid w:val="00F16AC3"/>
    <w:rsid w:val="00F174D5"/>
    <w:rsid w:val="00F177C2"/>
    <w:rsid w:val="00F201B9"/>
    <w:rsid w:val="00F20B89"/>
    <w:rsid w:val="00F218B7"/>
    <w:rsid w:val="00F21A48"/>
    <w:rsid w:val="00F22684"/>
    <w:rsid w:val="00F2448D"/>
    <w:rsid w:val="00F24E6F"/>
    <w:rsid w:val="00F25A8F"/>
    <w:rsid w:val="00F25BBC"/>
    <w:rsid w:val="00F26294"/>
    <w:rsid w:val="00F26ABE"/>
    <w:rsid w:val="00F27869"/>
    <w:rsid w:val="00F308F6"/>
    <w:rsid w:val="00F31BDD"/>
    <w:rsid w:val="00F33550"/>
    <w:rsid w:val="00F338E7"/>
    <w:rsid w:val="00F33973"/>
    <w:rsid w:val="00F34508"/>
    <w:rsid w:val="00F34C6F"/>
    <w:rsid w:val="00F353D6"/>
    <w:rsid w:val="00F35F68"/>
    <w:rsid w:val="00F3765A"/>
    <w:rsid w:val="00F378DF"/>
    <w:rsid w:val="00F40413"/>
    <w:rsid w:val="00F40E31"/>
    <w:rsid w:val="00F429E0"/>
    <w:rsid w:val="00F42E3D"/>
    <w:rsid w:val="00F43B23"/>
    <w:rsid w:val="00F43FC9"/>
    <w:rsid w:val="00F46246"/>
    <w:rsid w:val="00F46679"/>
    <w:rsid w:val="00F46BDC"/>
    <w:rsid w:val="00F46F5D"/>
    <w:rsid w:val="00F4ACE7"/>
    <w:rsid w:val="00F4F6F1"/>
    <w:rsid w:val="00F502E8"/>
    <w:rsid w:val="00F5030C"/>
    <w:rsid w:val="00F52C95"/>
    <w:rsid w:val="00F52CFB"/>
    <w:rsid w:val="00F533B6"/>
    <w:rsid w:val="00F5367B"/>
    <w:rsid w:val="00F5387B"/>
    <w:rsid w:val="00F541F0"/>
    <w:rsid w:val="00F5467E"/>
    <w:rsid w:val="00F54BA5"/>
    <w:rsid w:val="00F54BE0"/>
    <w:rsid w:val="00F54DF5"/>
    <w:rsid w:val="00F54FF0"/>
    <w:rsid w:val="00F55142"/>
    <w:rsid w:val="00F55213"/>
    <w:rsid w:val="00F5552D"/>
    <w:rsid w:val="00F565A7"/>
    <w:rsid w:val="00F56C40"/>
    <w:rsid w:val="00F57609"/>
    <w:rsid w:val="00F57CFE"/>
    <w:rsid w:val="00F60A49"/>
    <w:rsid w:val="00F60F45"/>
    <w:rsid w:val="00F61B20"/>
    <w:rsid w:val="00F63864"/>
    <w:rsid w:val="00F63A55"/>
    <w:rsid w:val="00F6407E"/>
    <w:rsid w:val="00F6440D"/>
    <w:rsid w:val="00F64E49"/>
    <w:rsid w:val="00F65B6D"/>
    <w:rsid w:val="00F65BB4"/>
    <w:rsid w:val="00F65C01"/>
    <w:rsid w:val="00F6643A"/>
    <w:rsid w:val="00F66D2D"/>
    <w:rsid w:val="00F670D0"/>
    <w:rsid w:val="00F672C6"/>
    <w:rsid w:val="00F6735A"/>
    <w:rsid w:val="00F677B4"/>
    <w:rsid w:val="00F679CC"/>
    <w:rsid w:val="00F71596"/>
    <w:rsid w:val="00F7399D"/>
    <w:rsid w:val="00F73E5E"/>
    <w:rsid w:val="00F74C40"/>
    <w:rsid w:val="00F76033"/>
    <w:rsid w:val="00F7618B"/>
    <w:rsid w:val="00F766F5"/>
    <w:rsid w:val="00F7699A"/>
    <w:rsid w:val="00F76A0F"/>
    <w:rsid w:val="00F773B4"/>
    <w:rsid w:val="00F77B6E"/>
    <w:rsid w:val="00F8012C"/>
    <w:rsid w:val="00F8252F"/>
    <w:rsid w:val="00F8391F"/>
    <w:rsid w:val="00F83B13"/>
    <w:rsid w:val="00F84339"/>
    <w:rsid w:val="00F846A9"/>
    <w:rsid w:val="00F848F9"/>
    <w:rsid w:val="00F851AA"/>
    <w:rsid w:val="00F8549C"/>
    <w:rsid w:val="00F8554C"/>
    <w:rsid w:val="00F856E9"/>
    <w:rsid w:val="00F85F2D"/>
    <w:rsid w:val="00F862D0"/>
    <w:rsid w:val="00F86355"/>
    <w:rsid w:val="00F863A7"/>
    <w:rsid w:val="00F8657A"/>
    <w:rsid w:val="00F869A4"/>
    <w:rsid w:val="00F86D4B"/>
    <w:rsid w:val="00F90909"/>
    <w:rsid w:val="00F92005"/>
    <w:rsid w:val="00F9212D"/>
    <w:rsid w:val="00F93B5C"/>
    <w:rsid w:val="00F94116"/>
    <w:rsid w:val="00F95126"/>
    <w:rsid w:val="00F95B7B"/>
    <w:rsid w:val="00F95D6A"/>
    <w:rsid w:val="00F962F3"/>
    <w:rsid w:val="00F96371"/>
    <w:rsid w:val="00F96718"/>
    <w:rsid w:val="00F96947"/>
    <w:rsid w:val="00FA0178"/>
    <w:rsid w:val="00FA04AD"/>
    <w:rsid w:val="00FA0FCA"/>
    <w:rsid w:val="00FA11FB"/>
    <w:rsid w:val="00FA1276"/>
    <w:rsid w:val="00FA1364"/>
    <w:rsid w:val="00FA19CC"/>
    <w:rsid w:val="00FA1DC6"/>
    <w:rsid w:val="00FA2035"/>
    <w:rsid w:val="00FA296B"/>
    <w:rsid w:val="00FA2C37"/>
    <w:rsid w:val="00FA396A"/>
    <w:rsid w:val="00FA40DB"/>
    <w:rsid w:val="00FA41CF"/>
    <w:rsid w:val="00FA467D"/>
    <w:rsid w:val="00FA5FB8"/>
    <w:rsid w:val="00FA69A5"/>
    <w:rsid w:val="00FA6B86"/>
    <w:rsid w:val="00FA759D"/>
    <w:rsid w:val="00FA7775"/>
    <w:rsid w:val="00FA7F53"/>
    <w:rsid w:val="00FB0CFE"/>
    <w:rsid w:val="00FB1D72"/>
    <w:rsid w:val="00FB2C32"/>
    <w:rsid w:val="00FB37FF"/>
    <w:rsid w:val="00FB4EBB"/>
    <w:rsid w:val="00FB5436"/>
    <w:rsid w:val="00FB57A6"/>
    <w:rsid w:val="00FB5905"/>
    <w:rsid w:val="00FB5CC6"/>
    <w:rsid w:val="00FC0D89"/>
    <w:rsid w:val="00FC0E97"/>
    <w:rsid w:val="00FC0FA3"/>
    <w:rsid w:val="00FC1E77"/>
    <w:rsid w:val="00FC2704"/>
    <w:rsid w:val="00FC4118"/>
    <w:rsid w:val="00FC41C1"/>
    <w:rsid w:val="00FC433E"/>
    <w:rsid w:val="00FC4360"/>
    <w:rsid w:val="00FC6328"/>
    <w:rsid w:val="00FC6407"/>
    <w:rsid w:val="00FC6FB3"/>
    <w:rsid w:val="00FC7E9D"/>
    <w:rsid w:val="00FD0B7B"/>
    <w:rsid w:val="00FD1787"/>
    <w:rsid w:val="00FD1F6F"/>
    <w:rsid w:val="00FD20F9"/>
    <w:rsid w:val="00FD2772"/>
    <w:rsid w:val="00FD31FF"/>
    <w:rsid w:val="00FD367E"/>
    <w:rsid w:val="00FD3AE2"/>
    <w:rsid w:val="00FD4C9F"/>
    <w:rsid w:val="00FD618C"/>
    <w:rsid w:val="00FD6E26"/>
    <w:rsid w:val="00FD74EE"/>
    <w:rsid w:val="00FD7B9A"/>
    <w:rsid w:val="00FE00B5"/>
    <w:rsid w:val="00FE027F"/>
    <w:rsid w:val="00FE0906"/>
    <w:rsid w:val="00FE146E"/>
    <w:rsid w:val="00FE2EE5"/>
    <w:rsid w:val="00FE32C0"/>
    <w:rsid w:val="00FE6F63"/>
    <w:rsid w:val="00FE71B9"/>
    <w:rsid w:val="00FE76F1"/>
    <w:rsid w:val="00FF01BC"/>
    <w:rsid w:val="00FF0AC1"/>
    <w:rsid w:val="00FF15AD"/>
    <w:rsid w:val="00FF1BB7"/>
    <w:rsid w:val="00FF2413"/>
    <w:rsid w:val="00FF245B"/>
    <w:rsid w:val="00FF2778"/>
    <w:rsid w:val="00FF2BC5"/>
    <w:rsid w:val="00FF307B"/>
    <w:rsid w:val="00FF3188"/>
    <w:rsid w:val="00FF320C"/>
    <w:rsid w:val="00FF438A"/>
    <w:rsid w:val="00FF4AE2"/>
    <w:rsid w:val="00FF50FC"/>
    <w:rsid w:val="00FF6828"/>
    <w:rsid w:val="00FF7058"/>
    <w:rsid w:val="00FF738C"/>
    <w:rsid w:val="00FF7B28"/>
    <w:rsid w:val="00FF7DEE"/>
    <w:rsid w:val="01123B7E"/>
    <w:rsid w:val="011E1980"/>
    <w:rsid w:val="017C00B3"/>
    <w:rsid w:val="019B53F8"/>
    <w:rsid w:val="01F23266"/>
    <w:rsid w:val="01FBDAC1"/>
    <w:rsid w:val="02010DCD"/>
    <w:rsid w:val="0208F3B7"/>
    <w:rsid w:val="022219AD"/>
    <w:rsid w:val="0233601C"/>
    <w:rsid w:val="026B2C1C"/>
    <w:rsid w:val="02735CFD"/>
    <w:rsid w:val="02918820"/>
    <w:rsid w:val="029ABD5E"/>
    <w:rsid w:val="02C00EA1"/>
    <w:rsid w:val="02C28736"/>
    <w:rsid w:val="02C79A26"/>
    <w:rsid w:val="02D01C39"/>
    <w:rsid w:val="02F0C0BF"/>
    <w:rsid w:val="0318DA8B"/>
    <w:rsid w:val="03212318"/>
    <w:rsid w:val="03CFC830"/>
    <w:rsid w:val="03D855AB"/>
    <w:rsid w:val="0424FBBC"/>
    <w:rsid w:val="04290869"/>
    <w:rsid w:val="046D73A5"/>
    <w:rsid w:val="049AC867"/>
    <w:rsid w:val="049E2F4B"/>
    <w:rsid w:val="051C3FA9"/>
    <w:rsid w:val="052BFC32"/>
    <w:rsid w:val="05314176"/>
    <w:rsid w:val="054DD48F"/>
    <w:rsid w:val="0578BCD3"/>
    <w:rsid w:val="0592D523"/>
    <w:rsid w:val="05C5A5BA"/>
    <w:rsid w:val="05DBA311"/>
    <w:rsid w:val="05DBE5AC"/>
    <w:rsid w:val="05F1C522"/>
    <w:rsid w:val="05FED2A0"/>
    <w:rsid w:val="060950BC"/>
    <w:rsid w:val="0623701A"/>
    <w:rsid w:val="064039ED"/>
    <w:rsid w:val="06457867"/>
    <w:rsid w:val="06600001"/>
    <w:rsid w:val="06748697"/>
    <w:rsid w:val="069030F4"/>
    <w:rsid w:val="06A609F9"/>
    <w:rsid w:val="06CA8F44"/>
    <w:rsid w:val="06D61512"/>
    <w:rsid w:val="06EA1095"/>
    <w:rsid w:val="076CEC8D"/>
    <w:rsid w:val="076E6D4F"/>
    <w:rsid w:val="07710B79"/>
    <w:rsid w:val="07CA8DF3"/>
    <w:rsid w:val="07D74525"/>
    <w:rsid w:val="07E5C013"/>
    <w:rsid w:val="07FA270E"/>
    <w:rsid w:val="081BE4A3"/>
    <w:rsid w:val="08337034"/>
    <w:rsid w:val="08367422"/>
    <w:rsid w:val="0838ACA6"/>
    <w:rsid w:val="083FA69A"/>
    <w:rsid w:val="084A14AF"/>
    <w:rsid w:val="08704F51"/>
    <w:rsid w:val="08E465C9"/>
    <w:rsid w:val="090008D6"/>
    <w:rsid w:val="090BC454"/>
    <w:rsid w:val="0942FE0C"/>
    <w:rsid w:val="09444420"/>
    <w:rsid w:val="094708E6"/>
    <w:rsid w:val="094F7261"/>
    <w:rsid w:val="095CE5FF"/>
    <w:rsid w:val="0971C968"/>
    <w:rsid w:val="0999E32A"/>
    <w:rsid w:val="09BF96F7"/>
    <w:rsid w:val="09EFB77D"/>
    <w:rsid w:val="09F713D2"/>
    <w:rsid w:val="0A195F2A"/>
    <w:rsid w:val="0A266643"/>
    <w:rsid w:val="0A2FBC43"/>
    <w:rsid w:val="0A315897"/>
    <w:rsid w:val="0A57E055"/>
    <w:rsid w:val="0A84E92D"/>
    <w:rsid w:val="0ABEAD6A"/>
    <w:rsid w:val="0AC9000F"/>
    <w:rsid w:val="0ACBBC1A"/>
    <w:rsid w:val="0B5DD37F"/>
    <w:rsid w:val="0B7CAFF1"/>
    <w:rsid w:val="0B9645B2"/>
    <w:rsid w:val="0BC38A45"/>
    <w:rsid w:val="0BD11B1A"/>
    <w:rsid w:val="0BD1F318"/>
    <w:rsid w:val="0BDE009D"/>
    <w:rsid w:val="0BE3FFE8"/>
    <w:rsid w:val="0C2AB32A"/>
    <w:rsid w:val="0C549B33"/>
    <w:rsid w:val="0C8A4BC1"/>
    <w:rsid w:val="0C971772"/>
    <w:rsid w:val="0C9AD2A8"/>
    <w:rsid w:val="0D052B17"/>
    <w:rsid w:val="0D846939"/>
    <w:rsid w:val="0DB8DF21"/>
    <w:rsid w:val="0DEACC6C"/>
    <w:rsid w:val="0E0BA14D"/>
    <w:rsid w:val="0E2538D1"/>
    <w:rsid w:val="0E5D2B62"/>
    <w:rsid w:val="0E65B234"/>
    <w:rsid w:val="0E6E69BB"/>
    <w:rsid w:val="0EA4A9EC"/>
    <w:rsid w:val="0EB22DB1"/>
    <w:rsid w:val="0ECD4007"/>
    <w:rsid w:val="0EDD5E3C"/>
    <w:rsid w:val="0EE414F2"/>
    <w:rsid w:val="0EEB6A68"/>
    <w:rsid w:val="0EEBE3EB"/>
    <w:rsid w:val="0EEC11A7"/>
    <w:rsid w:val="0EF87D59"/>
    <w:rsid w:val="0F1DCBB9"/>
    <w:rsid w:val="0F28A304"/>
    <w:rsid w:val="0F4116CB"/>
    <w:rsid w:val="0F4D9E38"/>
    <w:rsid w:val="0F4DCA20"/>
    <w:rsid w:val="0F5ED051"/>
    <w:rsid w:val="0F82D96C"/>
    <w:rsid w:val="0F8EEA69"/>
    <w:rsid w:val="0F977ADF"/>
    <w:rsid w:val="101BB0F1"/>
    <w:rsid w:val="10252588"/>
    <w:rsid w:val="10261F09"/>
    <w:rsid w:val="10394411"/>
    <w:rsid w:val="106B65BF"/>
    <w:rsid w:val="1076BBA0"/>
    <w:rsid w:val="10A73173"/>
    <w:rsid w:val="10B9F2E7"/>
    <w:rsid w:val="10BF1F4D"/>
    <w:rsid w:val="10ECC305"/>
    <w:rsid w:val="111EA9CD"/>
    <w:rsid w:val="114E398D"/>
    <w:rsid w:val="115F63FB"/>
    <w:rsid w:val="11958BFE"/>
    <w:rsid w:val="11C12A1D"/>
    <w:rsid w:val="11C28980"/>
    <w:rsid w:val="12045314"/>
    <w:rsid w:val="1222AECA"/>
    <w:rsid w:val="124318F8"/>
    <w:rsid w:val="1298A4BC"/>
    <w:rsid w:val="12C12F36"/>
    <w:rsid w:val="12C20C24"/>
    <w:rsid w:val="12F2234C"/>
    <w:rsid w:val="1314EC54"/>
    <w:rsid w:val="131737E3"/>
    <w:rsid w:val="1339AF6C"/>
    <w:rsid w:val="13859ED4"/>
    <w:rsid w:val="138AA0FA"/>
    <w:rsid w:val="138D710F"/>
    <w:rsid w:val="141C3A83"/>
    <w:rsid w:val="142DB04B"/>
    <w:rsid w:val="143268B2"/>
    <w:rsid w:val="143802F0"/>
    <w:rsid w:val="1478937C"/>
    <w:rsid w:val="147E971E"/>
    <w:rsid w:val="14879E59"/>
    <w:rsid w:val="148E3850"/>
    <w:rsid w:val="148E78D0"/>
    <w:rsid w:val="149643CD"/>
    <w:rsid w:val="149E8210"/>
    <w:rsid w:val="14C7F125"/>
    <w:rsid w:val="151A0A84"/>
    <w:rsid w:val="151C0448"/>
    <w:rsid w:val="153C82E4"/>
    <w:rsid w:val="1554F524"/>
    <w:rsid w:val="157D2FD9"/>
    <w:rsid w:val="157F3E9D"/>
    <w:rsid w:val="15A7F3D0"/>
    <w:rsid w:val="15D8433F"/>
    <w:rsid w:val="15E1FA1D"/>
    <w:rsid w:val="162B8D6E"/>
    <w:rsid w:val="16318263"/>
    <w:rsid w:val="16476F54"/>
    <w:rsid w:val="165E2F7E"/>
    <w:rsid w:val="1661753D"/>
    <w:rsid w:val="167C7837"/>
    <w:rsid w:val="1689C3CD"/>
    <w:rsid w:val="168E72BF"/>
    <w:rsid w:val="16AA84FC"/>
    <w:rsid w:val="16D1A5A4"/>
    <w:rsid w:val="16D66B01"/>
    <w:rsid w:val="16E1647F"/>
    <w:rsid w:val="16E8DDFD"/>
    <w:rsid w:val="177293EF"/>
    <w:rsid w:val="17885E33"/>
    <w:rsid w:val="17FD96E4"/>
    <w:rsid w:val="183D19A0"/>
    <w:rsid w:val="18538A78"/>
    <w:rsid w:val="1881E044"/>
    <w:rsid w:val="188627D9"/>
    <w:rsid w:val="18A1D2D5"/>
    <w:rsid w:val="190418D8"/>
    <w:rsid w:val="190BA6E4"/>
    <w:rsid w:val="1923A051"/>
    <w:rsid w:val="192FB491"/>
    <w:rsid w:val="1938B488"/>
    <w:rsid w:val="193B8E2B"/>
    <w:rsid w:val="1957FDEF"/>
    <w:rsid w:val="1962CB11"/>
    <w:rsid w:val="19DF6F8F"/>
    <w:rsid w:val="19E2E07D"/>
    <w:rsid w:val="19F365DD"/>
    <w:rsid w:val="19FC68C2"/>
    <w:rsid w:val="1A3EF85E"/>
    <w:rsid w:val="1A50B1FC"/>
    <w:rsid w:val="1A56B8CA"/>
    <w:rsid w:val="1A6024D2"/>
    <w:rsid w:val="1A6181B6"/>
    <w:rsid w:val="1AE9DEFD"/>
    <w:rsid w:val="1AEB781F"/>
    <w:rsid w:val="1AED2CEA"/>
    <w:rsid w:val="1B0F7272"/>
    <w:rsid w:val="1B234154"/>
    <w:rsid w:val="1B599BCB"/>
    <w:rsid w:val="1B73A739"/>
    <w:rsid w:val="1B94E049"/>
    <w:rsid w:val="1BB3B0C2"/>
    <w:rsid w:val="1BB71A69"/>
    <w:rsid w:val="1C3CA3D8"/>
    <w:rsid w:val="1C410847"/>
    <w:rsid w:val="1C5617EF"/>
    <w:rsid w:val="1C5C47E6"/>
    <w:rsid w:val="1CA91C81"/>
    <w:rsid w:val="1CCA2343"/>
    <w:rsid w:val="1CF41D79"/>
    <w:rsid w:val="1D2F03B3"/>
    <w:rsid w:val="1D30D2D1"/>
    <w:rsid w:val="1D310AB9"/>
    <w:rsid w:val="1D340984"/>
    <w:rsid w:val="1D4DC983"/>
    <w:rsid w:val="1D6E2BF9"/>
    <w:rsid w:val="1D7867BE"/>
    <w:rsid w:val="1D7C2EDC"/>
    <w:rsid w:val="1D8EC509"/>
    <w:rsid w:val="1D921F3B"/>
    <w:rsid w:val="1DBF63E5"/>
    <w:rsid w:val="1DDF3F45"/>
    <w:rsid w:val="1DE8D9BC"/>
    <w:rsid w:val="1DF6D9FF"/>
    <w:rsid w:val="1E663AA5"/>
    <w:rsid w:val="1E85B495"/>
    <w:rsid w:val="1E85B91C"/>
    <w:rsid w:val="1F380416"/>
    <w:rsid w:val="1F8B87B8"/>
    <w:rsid w:val="1F971010"/>
    <w:rsid w:val="1FA1C561"/>
    <w:rsid w:val="1FB91629"/>
    <w:rsid w:val="1FC39445"/>
    <w:rsid w:val="1FFF46A0"/>
    <w:rsid w:val="2000AF12"/>
    <w:rsid w:val="2016DC46"/>
    <w:rsid w:val="204B790A"/>
    <w:rsid w:val="2057674A"/>
    <w:rsid w:val="20A8705A"/>
    <w:rsid w:val="20B3B594"/>
    <w:rsid w:val="20BE703F"/>
    <w:rsid w:val="20C9A27E"/>
    <w:rsid w:val="20EC73AF"/>
    <w:rsid w:val="20EE7A10"/>
    <w:rsid w:val="21129ECB"/>
    <w:rsid w:val="21590D71"/>
    <w:rsid w:val="21783247"/>
    <w:rsid w:val="217C492A"/>
    <w:rsid w:val="219328CB"/>
    <w:rsid w:val="21C6FDDC"/>
    <w:rsid w:val="21CA68AB"/>
    <w:rsid w:val="21CFA680"/>
    <w:rsid w:val="22287255"/>
    <w:rsid w:val="227A7DE9"/>
    <w:rsid w:val="22966C8F"/>
    <w:rsid w:val="22AB2884"/>
    <w:rsid w:val="22B4B5F1"/>
    <w:rsid w:val="22BACD4D"/>
    <w:rsid w:val="22C321F1"/>
    <w:rsid w:val="22C9189C"/>
    <w:rsid w:val="237B0BCE"/>
    <w:rsid w:val="2383018E"/>
    <w:rsid w:val="23B910D3"/>
    <w:rsid w:val="23D3851D"/>
    <w:rsid w:val="23D623BD"/>
    <w:rsid w:val="23ED9793"/>
    <w:rsid w:val="243459A7"/>
    <w:rsid w:val="24590A78"/>
    <w:rsid w:val="247852C4"/>
    <w:rsid w:val="24B1CA19"/>
    <w:rsid w:val="24BBD2BE"/>
    <w:rsid w:val="24F6C108"/>
    <w:rsid w:val="252D04D0"/>
    <w:rsid w:val="256F557E"/>
    <w:rsid w:val="25AD1551"/>
    <w:rsid w:val="25C38A5C"/>
    <w:rsid w:val="25CA3861"/>
    <w:rsid w:val="25CE699F"/>
    <w:rsid w:val="26301CFA"/>
    <w:rsid w:val="26419FC6"/>
    <w:rsid w:val="26448C3E"/>
    <w:rsid w:val="266D18B2"/>
    <w:rsid w:val="26974E09"/>
    <w:rsid w:val="2699B4E6"/>
    <w:rsid w:val="26AC5DB1"/>
    <w:rsid w:val="26E25AC2"/>
    <w:rsid w:val="26FB81DC"/>
    <w:rsid w:val="270DA24D"/>
    <w:rsid w:val="27103B4E"/>
    <w:rsid w:val="27341A9E"/>
    <w:rsid w:val="273D141A"/>
    <w:rsid w:val="2745696C"/>
    <w:rsid w:val="2770008F"/>
    <w:rsid w:val="277711C3"/>
    <w:rsid w:val="278C15D8"/>
    <w:rsid w:val="27944E04"/>
    <w:rsid w:val="27A6B6E1"/>
    <w:rsid w:val="27C686CE"/>
    <w:rsid w:val="27D4D7E0"/>
    <w:rsid w:val="27D75EBD"/>
    <w:rsid w:val="27DF7C5A"/>
    <w:rsid w:val="28647EA7"/>
    <w:rsid w:val="286E23F6"/>
    <w:rsid w:val="286E4C65"/>
    <w:rsid w:val="28728E70"/>
    <w:rsid w:val="28757038"/>
    <w:rsid w:val="2884FA12"/>
    <w:rsid w:val="28B4E5B9"/>
    <w:rsid w:val="28F7D563"/>
    <w:rsid w:val="295B66C3"/>
    <w:rsid w:val="299423C6"/>
    <w:rsid w:val="29A4AC5D"/>
    <w:rsid w:val="29A6031A"/>
    <w:rsid w:val="29E366FB"/>
    <w:rsid w:val="2A549747"/>
    <w:rsid w:val="2A6AC92D"/>
    <w:rsid w:val="2A75D5DC"/>
    <w:rsid w:val="2A7962D6"/>
    <w:rsid w:val="2A81505C"/>
    <w:rsid w:val="2A8C97C6"/>
    <w:rsid w:val="2AC02F65"/>
    <w:rsid w:val="2B1FBD71"/>
    <w:rsid w:val="2B291ADF"/>
    <w:rsid w:val="2B56B118"/>
    <w:rsid w:val="2B6388D4"/>
    <w:rsid w:val="2B674D08"/>
    <w:rsid w:val="2B78088C"/>
    <w:rsid w:val="2B998BD3"/>
    <w:rsid w:val="2B9C812B"/>
    <w:rsid w:val="2BA76BD0"/>
    <w:rsid w:val="2BAEC209"/>
    <w:rsid w:val="2BC1810D"/>
    <w:rsid w:val="2BCE1139"/>
    <w:rsid w:val="2BCF7D9C"/>
    <w:rsid w:val="2BD3FCC9"/>
    <w:rsid w:val="2C0201FD"/>
    <w:rsid w:val="2C128FF8"/>
    <w:rsid w:val="2C3B404D"/>
    <w:rsid w:val="2C3D5726"/>
    <w:rsid w:val="2C3DAB23"/>
    <w:rsid w:val="2C60A723"/>
    <w:rsid w:val="2C936C2C"/>
    <w:rsid w:val="2C951413"/>
    <w:rsid w:val="2CA8E24A"/>
    <w:rsid w:val="2CAD9303"/>
    <w:rsid w:val="2CFB3BEC"/>
    <w:rsid w:val="2D6B7531"/>
    <w:rsid w:val="2D93D136"/>
    <w:rsid w:val="2DBE2F62"/>
    <w:rsid w:val="2DECDF0C"/>
    <w:rsid w:val="2E151731"/>
    <w:rsid w:val="2E29E875"/>
    <w:rsid w:val="2E702595"/>
    <w:rsid w:val="2EA4DCB9"/>
    <w:rsid w:val="2EF0166E"/>
    <w:rsid w:val="2F14F064"/>
    <w:rsid w:val="2F240A82"/>
    <w:rsid w:val="2F454C15"/>
    <w:rsid w:val="2F8B0C9D"/>
    <w:rsid w:val="2FBDC0FD"/>
    <w:rsid w:val="2FF5F8F7"/>
    <w:rsid w:val="30207E23"/>
    <w:rsid w:val="30637AFC"/>
    <w:rsid w:val="3069402B"/>
    <w:rsid w:val="306E281E"/>
    <w:rsid w:val="307C3C4D"/>
    <w:rsid w:val="30A8F27A"/>
    <w:rsid w:val="310BD983"/>
    <w:rsid w:val="310D2871"/>
    <w:rsid w:val="310FBA02"/>
    <w:rsid w:val="31465FDF"/>
    <w:rsid w:val="3150C71A"/>
    <w:rsid w:val="31603259"/>
    <w:rsid w:val="3179E9A9"/>
    <w:rsid w:val="317A8F80"/>
    <w:rsid w:val="317D7E89"/>
    <w:rsid w:val="3184A3CB"/>
    <w:rsid w:val="31BBE2DF"/>
    <w:rsid w:val="31CD276B"/>
    <w:rsid w:val="31F3A2E4"/>
    <w:rsid w:val="31FE2020"/>
    <w:rsid w:val="321092A4"/>
    <w:rsid w:val="32275289"/>
    <w:rsid w:val="322B9260"/>
    <w:rsid w:val="323970BC"/>
    <w:rsid w:val="3243170F"/>
    <w:rsid w:val="3256CD7E"/>
    <w:rsid w:val="326C16A7"/>
    <w:rsid w:val="33247D2E"/>
    <w:rsid w:val="33269D09"/>
    <w:rsid w:val="3352C210"/>
    <w:rsid w:val="337B5EAE"/>
    <w:rsid w:val="3381FDF0"/>
    <w:rsid w:val="33885008"/>
    <w:rsid w:val="339AAF37"/>
    <w:rsid w:val="33A81816"/>
    <w:rsid w:val="33B0903A"/>
    <w:rsid w:val="33B23C5F"/>
    <w:rsid w:val="33BBFFAD"/>
    <w:rsid w:val="33CEAA77"/>
    <w:rsid w:val="33F79F93"/>
    <w:rsid w:val="34127276"/>
    <w:rsid w:val="342CC04B"/>
    <w:rsid w:val="345E9A94"/>
    <w:rsid w:val="348E423E"/>
    <w:rsid w:val="34C0F5B6"/>
    <w:rsid w:val="34D79DA7"/>
    <w:rsid w:val="34F9CC83"/>
    <w:rsid w:val="3509B960"/>
    <w:rsid w:val="3526FABB"/>
    <w:rsid w:val="3575A004"/>
    <w:rsid w:val="35EFD195"/>
    <w:rsid w:val="36000D48"/>
    <w:rsid w:val="36289E53"/>
    <w:rsid w:val="362C3BE1"/>
    <w:rsid w:val="36477B7C"/>
    <w:rsid w:val="369BE586"/>
    <w:rsid w:val="36AC4B76"/>
    <w:rsid w:val="36C71407"/>
    <w:rsid w:val="370B0264"/>
    <w:rsid w:val="371236B7"/>
    <w:rsid w:val="3725987D"/>
    <w:rsid w:val="37303E67"/>
    <w:rsid w:val="374C9856"/>
    <w:rsid w:val="376AEE8C"/>
    <w:rsid w:val="376FA2BE"/>
    <w:rsid w:val="377580DB"/>
    <w:rsid w:val="37C1C686"/>
    <w:rsid w:val="37DF3416"/>
    <w:rsid w:val="37E5616C"/>
    <w:rsid w:val="37F28303"/>
    <w:rsid w:val="38164F4E"/>
    <w:rsid w:val="3849347D"/>
    <w:rsid w:val="385CFD21"/>
    <w:rsid w:val="3863D05B"/>
    <w:rsid w:val="38706E09"/>
    <w:rsid w:val="3887E8EC"/>
    <w:rsid w:val="38AB8F65"/>
    <w:rsid w:val="38B61FF6"/>
    <w:rsid w:val="38BF106D"/>
    <w:rsid w:val="39208B34"/>
    <w:rsid w:val="3935BBA1"/>
    <w:rsid w:val="393D99BE"/>
    <w:rsid w:val="393F3B51"/>
    <w:rsid w:val="3949161C"/>
    <w:rsid w:val="395DBFE0"/>
    <w:rsid w:val="3963A2DC"/>
    <w:rsid w:val="39720A89"/>
    <w:rsid w:val="397627FB"/>
    <w:rsid w:val="3977F8B2"/>
    <w:rsid w:val="39BC1BBA"/>
    <w:rsid w:val="39C6A663"/>
    <w:rsid w:val="39DFD638"/>
    <w:rsid w:val="39F3BDB6"/>
    <w:rsid w:val="39F50B33"/>
    <w:rsid w:val="3A07DD16"/>
    <w:rsid w:val="3AA38E96"/>
    <w:rsid w:val="3AE8AB7B"/>
    <w:rsid w:val="3AEBC101"/>
    <w:rsid w:val="3AF5F8F3"/>
    <w:rsid w:val="3B166DF0"/>
    <w:rsid w:val="3B248D68"/>
    <w:rsid w:val="3B40698D"/>
    <w:rsid w:val="3B4973CB"/>
    <w:rsid w:val="3B622017"/>
    <w:rsid w:val="3B7972C1"/>
    <w:rsid w:val="3B8635C9"/>
    <w:rsid w:val="3BA37141"/>
    <w:rsid w:val="3BAC3392"/>
    <w:rsid w:val="3BBC2192"/>
    <w:rsid w:val="3C1D5F75"/>
    <w:rsid w:val="3C1E3B95"/>
    <w:rsid w:val="3C30B2C1"/>
    <w:rsid w:val="3C52D65D"/>
    <w:rsid w:val="3C613111"/>
    <w:rsid w:val="3C6C4F2B"/>
    <w:rsid w:val="3C7A2CEA"/>
    <w:rsid w:val="3C7E9AFB"/>
    <w:rsid w:val="3C99513E"/>
    <w:rsid w:val="3CF58114"/>
    <w:rsid w:val="3CF6FE25"/>
    <w:rsid w:val="3CF7F16C"/>
    <w:rsid w:val="3D3ECEF6"/>
    <w:rsid w:val="3D65C3EB"/>
    <w:rsid w:val="3D7168F7"/>
    <w:rsid w:val="3DAC817C"/>
    <w:rsid w:val="3DB19848"/>
    <w:rsid w:val="3DE462BF"/>
    <w:rsid w:val="3E1F6791"/>
    <w:rsid w:val="3E1FF6CF"/>
    <w:rsid w:val="3E2339B2"/>
    <w:rsid w:val="3E4161AC"/>
    <w:rsid w:val="3E48814D"/>
    <w:rsid w:val="3E677B16"/>
    <w:rsid w:val="3E9F8920"/>
    <w:rsid w:val="3EB1B0DF"/>
    <w:rsid w:val="3EB7C469"/>
    <w:rsid w:val="3ED7F2A9"/>
    <w:rsid w:val="3EFE14B5"/>
    <w:rsid w:val="3F093070"/>
    <w:rsid w:val="3F0E27BE"/>
    <w:rsid w:val="3F5AA691"/>
    <w:rsid w:val="3F7FB68D"/>
    <w:rsid w:val="3F871A07"/>
    <w:rsid w:val="3F9153C1"/>
    <w:rsid w:val="3FC6AF99"/>
    <w:rsid w:val="3FE965AA"/>
    <w:rsid w:val="3FF9B2AB"/>
    <w:rsid w:val="40688EE0"/>
    <w:rsid w:val="40718D51"/>
    <w:rsid w:val="4075D840"/>
    <w:rsid w:val="407B1577"/>
    <w:rsid w:val="409FDF8A"/>
    <w:rsid w:val="40A63180"/>
    <w:rsid w:val="40C13279"/>
    <w:rsid w:val="4109FBD7"/>
    <w:rsid w:val="4114EFCB"/>
    <w:rsid w:val="413F0439"/>
    <w:rsid w:val="4140E8AD"/>
    <w:rsid w:val="41494EB9"/>
    <w:rsid w:val="41881EBC"/>
    <w:rsid w:val="4198C3C4"/>
    <w:rsid w:val="41CE8720"/>
    <w:rsid w:val="41D7CF23"/>
    <w:rsid w:val="41EE3C88"/>
    <w:rsid w:val="423C3385"/>
    <w:rsid w:val="424CB8EC"/>
    <w:rsid w:val="426EFB99"/>
    <w:rsid w:val="42702C94"/>
    <w:rsid w:val="42A22D45"/>
    <w:rsid w:val="42E31374"/>
    <w:rsid w:val="42F2FFF2"/>
    <w:rsid w:val="42F6A8EA"/>
    <w:rsid w:val="430B2C30"/>
    <w:rsid w:val="430C65B8"/>
    <w:rsid w:val="4323259D"/>
    <w:rsid w:val="4325E904"/>
    <w:rsid w:val="433D848A"/>
    <w:rsid w:val="433E96E6"/>
    <w:rsid w:val="4348A24F"/>
    <w:rsid w:val="434A05E9"/>
    <w:rsid w:val="4366E1DF"/>
    <w:rsid w:val="439B4DFE"/>
    <w:rsid w:val="43D9DE2C"/>
    <w:rsid w:val="43ED17D1"/>
    <w:rsid w:val="440D97F8"/>
    <w:rsid w:val="4414098D"/>
    <w:rsid w:val="442367A7"/>
    <w:rsid w:val="444B9FCC"/>
    <w:rsid w:val="448A45FF"/>
    <w:rsid w:val="44B63848"/>
    <w:rsid w:val="44E58AB9"/>
    <w:rsid w:val="44E7DD9D"/>
    <w:rsid w:val="44F219A3"/>
    <w:rsid w:val="45029514"/>
    <w:rsid w:val="4523150F"/>
    <w:rsid w:val="4546E71F"/>
    <w:rsid w:val="4587FB54"/>
    <w:rsid w:val="45A38A98"/>
    <w:rsid w:val="45A9753D"/>
    <w:rsid w:val="45AB1E33"/>
    <w:rsid w:val="45D76EDE"/>
    <w:rsid w:val="45E82E36"/>
    <w:rsid w:val="45F2EB63"/>
    <w:rsid w:val="4615B0C6"/>
    <w:rsid w:val="461A08E4"/>
    <w:rsid w:val="463D6CD1"/>
    <w:rsid w:val="465BA03B"/>
    <w:rsid w:val="46C1C968"/>
    <w:rsid w:val="46D26921"/>
    <w:rsid w:val="46E2BE27"/>
    <w:rsid w:val="4716E65B"/>
    <w:rsid w:val="4730D9E1"/>
    <w:rsid w:val="473D1F49"/>
    <w:rsid w:val="473DB227"/>
    <w:rsid w:val="47464DB7"/>
    <w:rsid w:val="4775F50F"/>
    <w:rsid w:val="4782476F"/>
    <w:rsid w:val="47C1DF69"/>
    <w:rsid w:val="47EF1BD2"/>
    <w:rsid w:val="47FC256B"/>
    <w:rsid w:val="48013E8C"/>
    <w:rsid w:val="48044EAF"/>
    <w:rsid w:val="48268A7A"/>
    <w:rsid w:val="48324C2B"/>
    <w:rsid w:val="48BA1F4A"/>
    <w:rsid w:val="48CEAC56"/>
    <w:rsid w:val="48D0C120"/>
    <w:rsid w:val="49548C7D"/>
    <w:rsid w:val="49643AAF"/>
    <w:rsid w:val="49BB6A6F"/>
    <w:rsid w:val="49D60637"/>
    <w:rsid w:val="49EF8061"/>
    <w:rsid w:val="49F75CEB"/>
    <w:rsid w:val="4A0A26F6"/>
    <w:rsid w:val="4A1B5BD2"/>
    <w:rsid w:val="4A6490A8"/>
    <w:rsid w:val="4A6DDEE5"/>
    <w:rsid w:val="4A9934F0"/>
    <w:rsid w:val="4A9C7D2A"/>
    <w:rsid w:val="4AE1F6F8"/>
    <w:rsid w:val="4AE6EEF5"/>
    <w:rsid w:val="4AF15FEF"/>
    <w:rsid w:val="4B01D417"/>
    <w:rsid w:val="4B3BEF71"/>
    <w:rsid w:val="4B788BAB"/>
    <w:rsid w:val="4B7A7894"/>
    <w:rsid w:val="4B8228AF"/>
    <w:rsid w:val="4BA3579A"/>
    <w:rsid w:val="4BBFA2D0"/>
    <w:rsid w:val="4BC7CE90"/>
    <w:rsid w:val="4BC8CDF5"/>
    <w:rsid w:val="4BD09BFA"/>
    <w:rsid w:val="4BF4B41D"/>
    <w:rsid w:val="4C07FF12"/>
    <w:rsid w:val="4C1188EC"/>
    <w:rsid w:val="4C30ACDD"/>
    <w:rsid w:val="4C3E5F30"/>
    <w:rsid w:val="4C7B9B6A"/>
    <w:rsid w:val="4C9E3A31"/>
    <w:rsid w:val="4CFF8AA2"/>
    <w:rsid w:val="4D3C2504"/>
    <w:rsid w:val="4D643559"/>
    <w:rsid w:val="4D6688B0"/>
    <w:rsid w:val="4DBE3DAF"/>
    <w:rsid w:val="4DC125B5"/>
    <w:rsid w:val="4DD7660C"/>
    <w:rsid w:val="4E6E38A3"/>
    <w:rsid w:val="4E91A6D6"/>
    <w:rsid w:val="4E9EC8F8"/>
    <w:rsid w:val="4ECDAF7C"/>
    <w:rsid w:val="4EED56D7"/>
    <w:rsid w:val="4EF9321E"/>
    <w:rsid w:val="4EFC43B4"/>
    <w:rsid w:val="4F0C65E3"/>
    <w:rsid w:val="4F3A021B"/>
    <w:rsid w:val="4F422CAB"/>
    <w:rsid w:val="4F6DADC5"/>
    <w:rsid w:val="4F9F8F25"/>
    <w:rsid w:val="4FBD492E"/>
    <w:rsid w:val="4FC43C26"/>
    <w:rsid w:val="4FEF8797"/>
    <w:rsid w:val="50250774"/>
    <w:rsid w:val="50653FC6"/>
    <w:rsid w:val="50804EFE"/>
    <w:rsid w:val="5084AFAE"/>
    <w:rsid w:val="50956021"/>
    <w:rsid w:val="50B14A6A"/>
    <w:rsid w:val="50BB28D1"/>
    <w:rsid w:val="50C013E0"/>
    <w:rsid w:val="50C66C1E"/>
    <w:rsid w:val="50CF080D"/>
    <w:rsid w:val="5115B717"/>
    <w:rsid w:val="515DED1E"/>
    <w:rsid w:val="51771FE9"/>
    <w:rsid w:val="5180EC0C"/>
    <w:rsid w:val="5193F7E9"/>
    <w:rsid w:val="51C7EFBF"/>
    <w:rsid w:val="51C898D1"/>
    <w:rsid w:val="51D045C0"/>
    <w:rsid w:val="5220DBFF"/>
    <w:rsid w:val="523356F5"/>
    <w:rsid w:val="52422C75"/>
    <w:rsid w:val="52625720"/>
    <w:rsid w:val="5263B277"/>
    <w:rsid w:val="526729FC"/>
    <w:rsid w:val="52679DE3"/>
    <w:rsid w:val="5269C5D8"/>
    <w:rsid w:val="52822B3F"/>
    <w:rsid w:val="528BF126"/>
    <w:rsid w:val="52928CE0"/>
    <w:rsid w:val="5293DAA7"/>
    <w:rsid w:val="529C3776"/>
    <w:rsid w:val="52D93C75"/>
    <w:rsid w:val="52E403D0"/>
    <w:rsid w:val="52F8E504"/>
    <w:rsid w:val="535A3244"/>
    <w:rsid w:val="536C5AE0"/>
    <w:rsid w:val="53B2BBBF"/>
    <w:rsid w:val="53D6DBF7"/>
    <w:rsid w:val="53E22437"/>
    <w:rsid w:val="53FF804D"/>
    <w:rsid w:val="540821B3"/>
    <w:rsid w:val="545F3E78"/>
    <w:rsid w:val="546FEF47"/>
    <w:rsid w:val="5472D7FB"/>
    <w:rsid w:val="54A3B41A"/>
    <w:rsid w:val="54A791C4"/>
    <w:rsid w:val="54AD1B30"/>
    <w:rsid w:val="54E7AFE3"/>
    <w:rsid w:val="54F9B8B7"/>
    <w:rsid w:val="5500D840"/>
    <w:rsid w:val="5513F691"/>
    <w:rsid w:val="5571DE9D"/>
    <w:rsid w:val="5587D823"/>
    <w:rsid w:val="55912F2C"/>
    <w:rsid w:val="55D1CB6E"/>
    <w:rsid w:val="560AAB81"/>
    <w:rsid w:val="5646FE04"/>
    <w:rsid w:val="565E21E1"/>
    <w:rsid w:val="567482F4"/>
    <w:rsid w:val="568B9C72"/>
    <w:rsid w:val="56AC5C60"/>
    <w:rsid w:val="56B52501"/>
    <w:rsid w:val="56F0FF39"/>
    <w:rsid w:val="56F25F7C"/>
    <w:rsid w:val="57234AA5"/>
    <w:rsid w:val="5725A41A"/>
    <w:rsid w:val="57E18D0D"/>
    <w:rsid w:val="580B2C54"/>
    <w:rsid w:val="583FB7B3"/>
    <w:rsid w:val="58628D05"/>
    <w:rsid w:val="586398F8"/>
    <w:rsid w:val="58A723F7"/>
    <w:rsid w:val="58E4E754"/>
    <w:rsid w:val="58E61640"/>
    <w:rsid w:val="591A01BD"/>
    <w:rsid w:val="591D6E1D"/>
    <w:rsid w:val="591F6836"/>
    <w:rsid w:val="592CE387"/>
    <w:rsid w:val="59539763"/>
    <w:rsid w:val="598E3AF7"/>
    <w:rsid w:val="59B44A9C"/>
    <w:rsid w:val="59D496E6"/>
    <w:rsid w:val="59E0A6BE"/>
    <w:rsid w:val="59E7981D"/>
    <w:rsid w:val="5A1765A8"/>
    <w:rsid w:val="5A4ACD4F"/>
    <w:rsid w:val="5A4EEF10"/>
    <w:rsid w:val="5A5D186B"/>
    <w:rsid w:val="5A5F3CFF"/>
    <w:rsid w:val="5A611655"/>
    <w:rsid w:val="5A63D34C"/>
    <w:rsid w:val="5AC45848"/>
    <w:rsid w:val="5AC4CBE5"/>
    <w:rsid w:val="5AF4F8F9"/>
    <w:rsid w:val="5AFDAAEB"/>
    <w:rsid w:val="5AFE5577"/>
    <w:rsid w:val="5B287C57"/>
    <w:rsid w:val="5B2C86D6"/>
    <w:rsid w:val="5B4AA426"/>
    <w:rsid w:val="5B5709BF"/>
    <w:rsid w:val="5B8BBC16"/>
    <w:rsid w:val="5B8C6073"/>
    <w:rsid w:val="5BBFB51A"/>
    <w:rsid w:val="5C46BABA"/>
    <w:rsid w:val="5C4EE2D5"/>
    <w:rsid w:val="5C6F670C"/>
    <w:rsid w:val="5C7C5917"/>
    <w:rsid w:val="5C9BAA0E"/>
    <w:rsid w:val="5CEDE88B"/>
    <w:rsid w:val="5CF2C1C8"/>
    <w:rsid w:val="5D019AB8"/>
    <w:rsid w:val="5D038A7C"/>
    <w:rsid w:val="5D14E4C4"/>
    <w:rsid w:val="5D201B82"/>
    <w:rsid w:val="5D4474AD"/>
    <w:rsid w:val="5D4F2AC6"/>
    <w:rsid w:val="5D6B221D"/>
    <w:rsid w:val="5D93DBA9"/>
    <w:rsid w:val="5DEB5175"/>
    <w:rsid w:val="5DF5EF2F"/>
    <w:rsid w:val="5E07488A"/>
    <w:rsid w:val="5E259A9C"/>
    <w:rsid w:val="5E314483"/>
    <w:rsid w:val="5E38EE47"/>
    <w:rsid w:val="5E3D184F"/>
    <w:rsid w:val="5E4F87D3"/>
    <w:rsid w:val="5E8E9229"/>
    <w:rsid w:val="5E923C09"/>
    <w:rsid w:val="5EA6E990"/>
    <w:rsid w:val="5EF4CE86"/>
    <w:rsid w:val="5F0801EA"/>
    <w:rsid w:val="5F08421B"/>
    <w:rsid w:val="5F4236FD"/>
    <w:rsid w:val="5F4500D5"/>
    <w:rsid w:val="5F526B5E"/>
    <w:rsid w:val="5F82C9DD"/>
    <w:rsid w:val="5FC52859"/>
    <w:rsid w:val="5FC897B5"/>
    <w:rsid w:val="5FD0E7DA"/>
    <w:rsid w:val="5FE06D74"/>
    <w:rsid w:val="5FF9B652"/>
    <w:rsid w:val="60413D21"/>
    <w:rsid w:val="60A50EF4"/>
    <w:rsid w:val="60AEB736"/>
    <w:rsid w:val="60CB3692"/>
    <w:rsid w:val="60E6B763"/>
    <w:rsid w:val="60F12825"/>
    <w:rsid w:val="610B5D71"/>
    <w:rsid w:val="6129DDA4"/>
    <w:rsid w:val="6148A53E"/>
    <w:rsid w:val="619158F8"/>
    <w:rsid w:val="61A48DE8"/>
    <w:rsid w:val="61B14351"/>
    <w:rsid w:val="61B6D4FE"/>
    <w:rsid w:val="61BE567A"/>
    <w:rsid w:val="61E1F3A6"/>
    <w:rsid w:val="6201AE7E"/>
    <w:rsid w:val="62071882"/>
    <w:rsid w:val="627CC9BE"/>
    <w:rsid w:val="628CD2C9"/>
    <w:rsid w:val="629BAA28"/>
    <w:rsid w:val="62E8ECC3"/>
    <w:rsid w:val="630A4E4B"/>
    <w:rsid w:val="631C19C8"/>
    <w:rsid w:val="63326A02"/>
    <w:rsid w:val="6343D0AD"/>
    <w:rsid w:val="63D4818D"/>
    <w:rsid w:val="63D4C230"/>
    <w:rsid w:val="63F4ED47"/>
    <w:rsid w:val="645F6100"/>
    <w:rsid w:val="646FD397"/>
    <w:rsid w:val="649169D9"/>
    <w:rsid w:val="64976A27"/>
    <w:rsid w:val="649A7DD1"/>
    <w:rsid w:val="64A48D31"/>
    <w:rsid w:val="64B39F30"/>
    <w:rsid w:val="64E04E86"/>
    <w:rsid w:val="64E19249"/>
    <w:rsid w:val="64E38CF9"/>
    <w:rsid w:val="64EBD5EA"/>
    <w:rsid w:val="652ED322"/>
    <w:rsid w:val="659A0EE8"/>
    <w:rsid w:val="65AFAB51"/>
    <w:rsid w:val="65C70718"/>
    <w:rsid w:val="65D9366A"/>
    <w:rsid w:val="66066950"/>
    <w:rsid w:val="662A5CE5"/>
    <w:rsid w:val="664946B4"/>
    <w:rsid w:val="665D4237"/>
    <w:rsid w:val="669C764D"/>
    <w:rsid w:val="66CF01E7"/>
    <w:rsid w:val="66E22E63"/>
    <w:rsid w:val="671C1BD8"/>
    <w:rsid w:val="672603AB"/>
    <w:rsid w:val="6748AB92"/>
    <w:rsid w:val="67754EED"/>
    <w:rsid w:val="678036A8"/>
    <w:rsid w:val="67857605"/>
    <w:rsid w:val="6791A832"/>
    <w:rsid w:val="67B53644"/>
    <w:rsid w:val="67D13EF0"/>
    <w:rsid w:val="684CBCE6"/>
    <w:rsid w:val="6856687B"/>
    <w:rsid w:val="68569114"/>
    <w:rsid w:val="6859F804"/>
    <w:rsid w:val="687100CC"/>
    <w:rsid w:val="68FA0F56"/>
    <w:rsid w:val="695C76B4"/>
    <w:rsid w:val="695CB2C0"/>
    <w:rsid w:val="695F934A"/>
    <w:rsid w:val="696A8EEB"/>
    <w:rsid w:val="696AD518"/>
    <w:rsid w:val="6994F70C"/>
    <w:rsid w:val="69AA891E"/>
    <w:rsid w:val="69B1131C"/>
    <w:rsid w:val="69C4185B"/>
    <w:rsid w:val="69C72100"/>
    <w:rsid w:val="69CFB896"/>
    <w:rsid w:val="69D7405F"/>
    <w:rsid w:val="6A0470CD"/>
    <w:rsid w:val="6A33107B"/>
    <w:rsid w:val="6A498F0A"/>
    <w:rsid w:val="6A715594"/>
    <w:rsid w:val="6AD3576B"/>
    <w:rsid w:val="6AEF9F44"/>
    <w:rsid w:val="6AF9389C"/>
    <w:rsid w:val="6B18AEEA"/>
    <w:rsid w:val="6B500BC0"/>
    <w:rsid w:val="6B7E611D"/>
    <w:rsid w:val="6B8D7F17"/>
    <w:rsid w:val="6B91960D"/>
    <w:rsid w:val="6B9537A7"/>
    <w:rsid w:val="6BBC64A6"/>
    <w:rsid w:val="6C0BA3B6"/>
    <w:rsid w:val="6C90DBF8"/>
    <w:rsid w:val="6C954201"/>
    <w:rsid w:val="6CAF65AC"/>
    <w:rsid w:val="6CB5377F"/>
    <w:rsid w:val="6CB6B153"/>
    <w:rsid w:val="6CFEA832"/>
    <w:rsid w:val="6D353C1B"/>
    <w:rsid w:val="6D495C64"/>
    <w:rsid w:val="6DAF397D"/>
    <w:rsid w:val="6DB78D71"/>
    <w:rsid w:val="6DEB4AF7"/>
    <w:rsid w:val="6E36667D"/>
    <w:rsid w:val="6E489DB1"/>
    <w:rsid w:val="6E6B7D8C"/>
    <w:rsid w:val="6E6C845F"/>
    <w:rsid w:val="6E743328"/>
    <w:rsid w:val="6E79A51E"/>
    <w:rsid w:val="6EAC1DF1"/>
    <w:rsid w:val="6EAFE3E3"/>
    <w:rsid w:val="6ECD0D5F"/>
    <w:rsid w:val="6EFECCA4"/>
    <w:rsid w:val="6F0CA518"/>
    <w:rsid w:val="6F2A223F"/>
    <w:rsid w:val="6F3F8BB6"/>
    <w:rsid w:val="6F90498A"/>
    <w:rsid w:val="6FCB8CC5"/>
    <w:rsid w:val="700A4CFE"/>
    <w:rsid w:val="7020751A"/>
    <w:rsid w:val="7053A506"/>
    <w:rsid w:val="7060F03A"/>
    <w:rsid w:val="7066D655"/>
    <w:rsid w:val="7097F400"/>
    <w:rsid w:val="70FC14A5"/>
    <w:rsid w:val="711B20EA"/>
    <w:rsid w:val="712FD546"/>
    <w:rsid w:val="713588DE"/>
    <w:rsid w:val="713E67BD"/>
    <w:rsid w:val="7160B412"/>
    <w:rsid w:val="71928220"/>
    <w:rsid w:val="719D249B"/>
    <w:rsid w:val="71A42521"/>
    <w:rsid w:val="71C43B8C"/>
    <w:rsid w:val="71CF3397"/>
    <w:rsid w:val="71DC0228"/>
    <w:rsid w:val="7204AE21"/>
    <w:rsid w:val="72204F75"/>
    <w:rsid w:val="723B78AF"/>
    <w:rsid w:val="724C2774"/>
    <w:rsid w:val="724D18B4"/>
    <w:rsid w:val="726F40B0"/>
    <w:rsid w:val="7271297C"/>
    <w:rsid w:val="729F6D70"/>
    <w:rsid w:val="72C7CEE4"/>
    <w:rsid w:val="72D546D9"/>
    <w:rsid w:val="72DBAD05"/>
    <w:rsid w:val="730C3DAD"/>
    <w:rsid w:val="7374E007"/>
    <w:rsid w:val="73825B9C"/>
    <w:rsid w:val="73F60B7E"/>
    <w:rsid w:val="74279AAC"/>
    <w:rsid w:val="7428DDAC"/>
    <w:rsid w:val="74714D5B"/>
    <w:rsid w:val="74AD8315"/>
    <w:rsid w:val="74DD3A92"/>
    <w:rsid w:val="74DDBE21"/>
    <w:rsid w:val="75099EB8"/>
    <w:rsid w:val="750C1DF2"/>
    <w:rsid w:val="7534615D"/>
    <w:rsid w:val="7582AFB0"/>
    <w:rsid w:val="7589EF54"/>
    <w:rsid w:val="758C87C7"/>
    <w:rsid w:val="75ADA842"/>
    <w:rsid w:val="75CA9832"/>
    <w:rsid w:val="764B2DDC"/>
    <w:rsid w:val="7658DF3C"/>
    <w:rsid w:val="765E6EE2"/>
    <w:rsid w:val="7697ACAF"/>
    <w:rsid w:val="76A08E94"/>
    <w:rsid w:val="76B07BDD"/>
    <w:rsid w:val="76D81F44"/>
    <w:rsid w:val="77001746"/>
    <w:rsid w:val="77484BBA"/>
    <w:rsid w:val="775172CF"/>
    <w:rsid w:val="776ADA81"/>
    <w:rsid w:val="778D71C8"/>
    <w:rsid w:val="779B16E2"/>
    <w:rsid w:val="77B15508"/>
    <w:rsid w:val="77B57B01"/>
    <w:rsid w:val="77FCFE6D"/>
    <w:rsid w:val="78337F46"/>
    <w:rsid w:val="784190B9"/>
    <w:rsid w:val="78650461"/>
    <w:rsid w:val="786898EF"/>
    <w:rsid w:val="7869FBAF"/>
    <w:rsid w:val="7873EFA5"/>
    <w:rsid w:val="7898E972"/>
    <w:rsid w:val="78ABCA75"/>
    <w:rsid w:val="78ACAA0A"/>
    <w:rsid w:val="78C677F5"/>
    <w:rsid w:val="78D44FFB"/>
    <w:rsid w:val="78D9EE2A"/>
    <w:rsid w:val="791DA92D"/>
    <w:rsid w:val="791EE519"/>
    <w:rsid w:val="792FD8DE"/>
    <w:rsid w:val="7930CC98"/>
    <w:rsid w:val="7937A586"/>
    <w:rsid w:val="793EB2C2"/>
    <w:rsid w:val="7959B6DB"/>
    <w:rsid w:val="795B26F3"/>
    <w:rsid w:val="7974EDC6"/>
    <w:rsid w:val="79842306"/>
    <w:rsid w:val="79B1F72F"/>
    <w:rsid w:val="79C6AEA0"/>
    <w:rsid w:val="79FFE2CE"/>
    <w:rsid w:val="7A1A5024"/>
    <w:rsid w:val="7A50006B"/>
    <w:rsid w:val="7A5BB21A"/>
    <w:rsid w:val="7A89630B"/>
    <w:rsid w:val="7AA2C818"/>
    <w:rsid w:val="7AA3076A"/>
    <w:rsid w:val="7ABD1C17"/>
    <w:rsid w:val="7ADE0047"/>
    <w:rsid w:val="7AF03388"/>
    <w:rsid w:val="7B3827F6"/>
    <w:rsid w:val="7BA74BA4"/>
    <w:rsid w:val="7BA9629E"/>
    <w:rsid w:val="7BB8CB95"/>
    <w:rsid w:val="7C014D55"/>
    <w:rsid w:val="7C1A814E"/>
    <w:rsid w:val="7C37EBD0"/>
    <w:rsid w:val="7C6839A9"/>
    <w:rsid w:val="7C7A44BC"/>
    <w:rsid w:val="7C7C1982"/>
    <w:rsid w:val="7C997F1B"/>
    <w:rsid w:val="7CA18017"/>
    <w:rsid w:val="7CBD0450"/>
    <w:rsid w:val="7CF7458C"/>
    <w:rsid w:val="7D02813B"/>
    <w:rsid w:val="7D075E41"/>
    <w:rsid w:val="7D264926"/>
    <w:rsid w:val="7D26ACED"/>
    <w:rsid w:val="7D286D13"/>
    <w:rsid w:val="7D6E3303"/>
    <w:rsid w:val="7D83BFF3"/>
    <w:rsid w:val="7D973505"/>
    <w:rsid w:val="7DA1EA79"/>
    <w:rsid w:val="7DA5D769"/>
    <w:rsid w:val="7DE33EB1"/>
    <w:rsid w:val="7DE50953"/>
    <w:rsid w:val="7DFCB34C"/>
    <w:rsid w:val="7DFEA6B9"/>
    <w:rsid w:val="7E65F294"/>
    <w:rsid w:val="7E7B21F9"/>
    <w:rsid w:val="7E7D3217"/>
    <w:rsid w:val="7E7DE06E"/>
    <w:rsid w:val="7EB9203A"/>
    <w:rsid w:val="7EB95616"/>
    <w:rsid w:val="7ECA08CC"/>
    <w:rsid w:val="7ED79A5F"/>
    <w:rsid w:val="7F155E90"/>
    <w:rsid w:val="7F1F319A"/>
    <w:rsid w:val="7F2AC8CB"/>
    <w:rsid w:val="7F2C47CB"/>
    <w:rsid w:val="7F5D1066"/>
    <w:rsid w:val="7F659A47"/>
    <w:rsid w:val="7FA107B0"/>
    <w:rsid w:val="7FA8D599"/>
    <w:rsid w:val="7FAE120E"/>
    <w:rsid w:val="7FD645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E10BE"/>
  <w15:docId w15:val="{68F1B1D2-77EF-40E9-9161-44698219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uiPriority="0"/>
    <w:lsdException w:name="index 2" w:locked="1"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3F0"/>
    <w:pPr>
      <w:widowControl w:val="0"/>
      <w:autoSpaceDE w:val="0"/>
      <w:autoSpaceDN w:val="0"/>
      <w:adjustRightInd w:val="0"/>
    </w:pPr>
    <w:rPr>
      <w:sz w:val="24"/>
      <w:szCs w:val="24"/>
    </w:rPr>
  </w:style>
  <w:style w:type="paragraph" w:styleId="Heading1">
    <w:name w:val="heading 1"/>
    <w:basedOn w:val="Normal"/>
    <w:next w:val="Normal"/>
    <w:link w:val="Heading1Char"/>
    <w:autoRedefine/>
    <w:uiPriority w:val="99"/>
    <w:qFormat/>
    <w:locked/>
    <w:rsid w:val="002D7FDC"/>
    <w:pPr>
      <w:keepNext/>
      <w:keepLines/>
      <w:widowControl/>
      <w:autoSpaceDE/>
      <w:autoSpaceDN/>
      <w:adjustRightInd/>
      <w:spacing w:before="480" w:line="276" w:lineRule="auto"/>
      <w:outlineLvl w:val="0"/>
    </w:pPr>
    <w:rPr>
      <w:b/>
      <w:bCs/>
      <w:sz w:val="28"/>
      <w:szCs w:val="28"/>
    </w:rPr>
  </w:style>
  <w:style w:type="paragraph" w:styleId="Heading2">
    <w:name w:val="heading 2"/>
    <w:basedOn w:val="Normal"/>
    <w:next w:val="Normal"/>
    <w:link w:val="Heading2Char"/>
    <w:autoRedefine/>
    <w:uiPriority w:val="99"/>
    <w:qFormat/>
    <w:locked/>
    <w:rsid w:val="00C861D8"/>
    <w:pPr>
      <w:keepNext/>
      <w:keepLines/>
      <w:numPr>
        <w:numId w:val="12"/>
      </w:numPr>
      <w:ind w:hanging="540"/>
      <w:outlineLvl w:val="1"/>
    </w:pPr>
    <w:rPr>
      <w:rFonts w:asciiTheme="minorHAnsi" w:hAnsiTheme="minorHAnsi" w:cstheme="minorHAnsi"/>
      <w:b/>
      <w:bCs/>
      <w:sz w:val="32"/>
      <w:szCs w:val="32"/>
    </w:rPr>
  </w:style>
  <w:style w:type="paragraph" w:styleId="Heading3">
    <w:name w:val="heading 3"/>
    <w:basedOn w:val="Normal"/>
    <w:next w:val="Normal"/>
    <w:link w:val="Heading3Char"/>
    <w:autoRedefine/>
    <w:uiPriority w:val="99"/>
    <w:qFormat/>
    <w:locked/>
    <w:rsid w:val="00685C25"/>
    <w:pPr>
      <w:keepNext/>
      <w:keepLines/>
      <w:outlineLvl w:val="2"/>
    </w:pPr>
    <w:rPr>
      <w:rFonts w:asciiTheme="minorHAnsi" w:hAnsiTheme="minorHAnsi" w:cstheme="minorHAnsi"/>
      <w:b/>
      <w:bCs/>
      <w:sz w:val="28"/>
      <w:szCs w:val="28"/>
    </w:rPr>
  </w:style>
  <w:style w:type="paragraph" w:styleId="Heading4">
    <w:name w:val="heading 4"/>
    <w:basedOn w:val="Normal"/>
    <w:next w:val="Normal"/>
    <w:link w:val="Heading4Char"/>
    <w:autoRedefine/>
    <w:unhideWhenUsed/>
    <w:qFormat/>
    <w:locked/>
    <w:rsid w:val="000F35E3"/>
    <w:pPr>
      <w:keepNext/>
      <w:keepLines/>
      <w:outlineLvl w:val="3"/>
    </w:pPr>
    <w:rPr>
      <w:rFonts w:eastAsiaTheme="majorEastAsia" w:cstheme="majorBidi"/>
      <w:b/>
      <w:iCs/>
    </w:rPr>
  </w:style>
  <w:style w:type="paragraph" w:styleId="Heading5">
    <w:name w:val="heading 5"/>
    <w:basedOn w:val="Normal"/>
    <w:next w:val="Normal"/>
    <w:link w:val="Heading5Char"/>
    <w:unhideWhenUsed/>
    <w:qFormat/>
    <w:locked/>
    <w:rsid w:val="00D93CB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FDC"/>
    <w:rPr>
      <w:b/>
      <w:bCs/>
      <w:sz w:val="28"/>
      <w:szCs w:val="28"/>
    </w:rPr>
  </w:style>
  <w:style w:type="character" w:customStyle="1" w:styleId="Heading2Char">
    <w:name w:val="Heading 2 Char"/>
    <w:basedOn w:val="DefaultParagraphFont"/>
    <w:link w:val="Heading2"/>
    <w:uiPriority w:val="99"/>
    <w:locked/>
    <w:rsid w:val="002D09AF"/>
    <w:rPr>
      <w:rFonts w:asciiTheme="minorHAnsi" w:hAnsiTheme="minorHAnsi" w:cstheme="minorHAnsi"/>
      <w:b/>
      <w:bCs/>
      <w:sz w:val="32"/>
      <w:szCs w:val="32"/>
    </w:rPr>
  </w:style>
  <w:style w:type="character" w:customStyle="1" w:styleId="Heading3Char">
    <w:name w:val="Heading 3 Char"/>
    <w:basedOn w:val="DefaultParagraphFont"/>
    <w:link w:val="Heading3"/>
    <w:uiPriority w:val="99"/>
    <w:locked/>
    <w:rsid w:val="00685C25"/>
    <w:rPr>
      <w:rFonts w:asciiTheme="minorHAnsi" w:hAnsiTheme="minorHAnsi" w:cstheme="minorHAnsi"/>
      <w:b/>
      <w:bCs/>
      <w:sz w:val="28"/>
      <w:szCs w:val="28"/>
    </w:rPr>
  </w:style>
  <w:style w:type="character" w:styleId="FootnoteReference">
    <w:name w:val="footnote reference"/>
    <w:basedOn w:val="DefaultParagraphFont"/>
    <w:uiPriority w:val="99"/>
    <w:rsid w:val="006B4C20"/>
    <w:rPr>
      <w:rFonts w:cs="Times New Roman"/>
    </w:rPr>
  </w:style>
  <w:style w:type="paragraph" w:customStyle="1" w:styleId="Level1">
    <w:name w:val="Level 1"/>
    <w:basedOn w:val="Normal"/>
    <w:uiPriority w:val="99"/>
    <w:rsid w:val="006B4C20"/>
    <w:pPr>
      <w:numPr>
        <w:numId w:val="3"/>
      </w:numPr>
      <w:ind w:left="222" w:hanging="8"/>
      <w:outlineLvl w:val="0"/>
    </w:pPr>
  </w:style>
  <w:style w:type="paragraph" w:styleId="TOC1">
    <w:name w:val="toc 1"/>
    <w:basedOn w:val="Normal"/>
    <w:next w:val="Normal"/>
    <w:uiPriority w:val="39"/>
    <w:rsid w:val="006B4C20"/>
    <w:pPr>
      <w:spacing w:before="360"/>
    </w:pPr>
    <w:rPr>
      <w:rFonts w:asciiTheme="majorHAnsi" w:hAnsiTheme="majorHAnsi"/>
      <w:b/>
      <w:bCs/>
      <w:caps/>
    </w:rPr>
  </w:style>
  <w:style w:type="paragraph" w:styleId="TOC2">
    <w:name w:val="toc 2"/>
    <w:basedOn w:val="Normal"/>
    <w:next w:val="Normal"/>
    <w:link w:val="TOC2Char"/>
    <w:autoRedefine/>
    <w:uiPriority w:val="39"/>
    <w:rsid w:val="006B1BC5"/>
    <w:pPr>
      <w:tabs>
        <w:tab w:val="right" w:leader="dot" w:pos="9530"/>
      </w:tabs>
      <w:spacing w:before="240"/>
      <w:ind w:left="450" w:hanging="450"/>
    </w:pPr>
    <w:rPr>
      <w:rFonts w:asciiTheme="minorHAnsi" w:hAnsiTheme="minorHAnsi" w:cstheme="minorHAnsi"/>
      <w:bCs/>
      <w:sz w:val="28"/>
      <w:szCs w:val="20"/>
    </w:rPr>
  </w:style>
  <w:style w:type="paragraph" w:customStyle="1" w:styleId="Level2">
    <w:name w:val="Level 2"/>
    <w:basedOn w:val="Normal"/>
    <w:uiPriority w:val="99"/>
    <w:rsid w:val="006B4C20"/>
    <w:pPr>
      <w:numPr>
        <w:ilvl w:val="1"/>
        <w:numId w:val="2"/>
      </w:numPr>
      <w:ind w:left="1440" w:hanging="720"/>
      <w:outlineLvl w:val="1"/>
    </w:pPr>
  </w:style>
  <w:style w:type="paragraph" w:customStyle="1" w:styleId="Level3">
    <w:name w:val="Level 3"/>
    <w:basedOn w:val="Normal"/>
    <w:uiPriority w:val="99"/>
    <w:rsid w:val="006B4C20"/>
    <w:pPr>
      <w:numPr>
        <w:ilvl w:val="2"/>
        <w:numId w:val="1"/>
      </w:numPr>
      <w:ind w:left="2160" w:hanging="720"/>
      <w:outlineLvl w:val="2"/>
    </w:pPr>
  </w:style>
  <w:style w:type="paragraph" w:customStyle="1" w:styleId="Level4">
    <w:name w:val="Level 4"/>
    <w:basedOn w:val="Normal"/>
    <w:uiPriority w:val="99"/>
    <w:rsid w:val="006B4C20"/>
    <w:pPr>
      <w:ind w:left="2160"/>
    </w:pPr>
  </w:style>
  <w:style w:type="character" w:customStyle="1" w:styleId="QuickFormat1">
    <w:name w:val="QuickFormat1"/>
    <w:uiPriority w:val="99"/>
    <w:rsid w:val="006B4C20"/>
    <w:rPr>
      <w:rFonts w:ascii="Microsoft Uighur" w:hAnsi="Microsoft Uighur"/>
      <w:color w:val="000000"/>
      <w:sz w:val="20"/>
    </w:rPr>
  </w:style>
  <w:style w:type="paragraph" w:customStyle="1" w:styleId="a">
    <w:name w:val="_"/>
    <w:basedOn w:val="Normal"/>
    <w:uiPriority w:val="99"/>
    <w:rsid w:val="006B4C20"/>
    <w:pPr>
      <w:ind w:left="42" w:hanging="42"/>
    </w:pPr>
  </w:style>
  <w:style w:type="paragraph" w:styleId="Index1">
    <w:name w:val="index 1"/>
    <w:basedOn w:val="Normal"/>
    <w:next w:val="Normal"/>
    <w:uiPriority w:val="99"/>
    <w:rsid w:val="006B4C20"/>
    <w:pPr>
      <w:ind w:left="412" w:hanging="1440"/>
    </w:pPr>
  </w:style>
  <w:style w:type="paragraph" w:styleId="Index2">
    <w:name w:val="index 2"/>
    <w:basedOn w:val="Normal"/>
    <w:next w:val="Normal"/>
    <w:uiPriority w:val="99"/>
    <w:rsid w:val="006B4C20"/>
    <w:pPr>
      <w:ind w:left="412" w:hanging="1028"/>
    </w:pPr>
  </w:style>
  <w:style w:type="paragraph" w:styleId="BalloonText">
    <w:name w:val="Balloon Text"/>
    <w:basedOn w:val="Normal"/>
    <w:link w:val="BalloonTextChar"/>
    <w:uiPriority w:val="99"/>
    <w:semiHidden/>
    <w:rsid w:val="009A54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46A"/>
    <w:rPr>
      <w:rFonts w:ascii="Tahoma" w:hAnsi="Tahoma" w:cs="Tahoma"/>
      <w:sz w:val="16"/>
      <w:szCs w:val="16"/>
    </w:rPr>
  </w:style>
  <w:style w:type="paragraph" w:styleId="Header">
    <w:name w:val="header"/>
    <w:basedOn w:val="Normal"/>
    <w:link w:val="HeaderChar"/>
    <w:uiPriority w:val="99"/>
    <w:rsid w:val="00157520"/>
    <w:pPr>
      <w:tabs>
        <w:tab w:val="center" w:pos="4680"/>
        <w:tab w:val="right" w:pos="9360"/>
      </w:tabs>
    </w:pPr>
  </w:style>
  <w:style w:type="character" w:customStyle="1" w:styleId="HeaderChar">
    <w:name w:val="Header Char"/>
    <w:basedOn w:val="DefaultParagraphFont"/>
    <w:link w:val="Header"/>
    <w:uiPriority w:val="99"/>
    <w:locked/>
    <w:rsid w:val="00157520"/>
    <w:rPr>
      <w:rFonts w:ascii="Times New Roman" w:hAnsi="Times New Roman" w:cs="Times New Roman"/>
      <w:sz w:val="24"/>
      <w:szCs w:val="24"/>
    </w:rPr>
  </w:style>
  <w:style w:type="paragraph" w:styleId="Footer">
    <w:name w:val="footer"/>
    <w:basedOn w:val="Normal"/>
    <w:link w:val="FooterChar"/>
    <w:uiPriority w:val="99"/>
    <w:rsid w:val="00157520"/>
    <w:pPr>
      <w:tabs>
        <w:tab w:val="center" w:pos="4680"/>
        <w:tab w:val="right" w:pos="9360"/>
      </w:tabs>
    </w:pPr>
  </w:style>
  <w:style w:type="character" w:customStyle="1" w:styleId="FooterChar">
    <w:name w:val="Footer Char"/>
    <w:basedOn w:val="DefaultParagraphFont"/>
    <w:link w:val="Footer"/>
    <w:uiPriority w:val="99"/>
    <w:locked/>
    <w:rsid w:val="00157520"/>
    <w:rPr>
      <w:rFonts w:ascii="Times New Roman" w:hAnsi="Times New Roman" w:cs="Times New Roman"/>
      <w:sz w:val="24"/>
      <w:szCs w:val="24"/>
    </w:rPr>
  </w:style>
  <w:style w:type="paragraph" w:styleId="ListParagraph">
    <w:name w:val="List Paragraph"/>
    <w:basedOn w:val="Normal"/>
    <w:uiPriority w:val="34"/>
    <w:qFormat/>
    <w:rsid w:val="00F5367B"/>
    <w:pPr>
      <w:widowControl/>
      <w:autoSpaceDE/>
      <w:autoSpaceDN/>
      <w:adjustRightInd/>
      <w:spacing w:after="200" w:line="276" w:lineRule="auto"/>
      <w:ind w:left="720"/>
      <w:contextualSpacing/>
    </w:pPr>
    <w:rPr>
      <w:rFonts w:cs="Calibri"/>
      <w:sz w:val="22"/>
      <w:szCs w:val="22"/>
    </w:rPr>
  </w:style>
  <w:style w:type="character" w:customStyle="1" w:styleId="itxtrst">
    <w:name w:val="itxtrst"/>
    <w:basedOn w:val="DefaultParagraphFont"/>
    <w:uiPriority w:val="99"/>
    <w:rsid w:val="00FC1E77"/>
    <w:rPr>
      <w:rFonts w:cs="Times New Roman"/>
    </w:rPr>
  </w:style>
  <w:style w:type="table" w:styleId="TableGrid">
    <w:name w:val="Table Grid"/>
    <w:basedOn w:val="TableNormal"/>
    <w:uiPriority w:val="99"/>
    <w:locked/>
    <w:rsid w:val="00FC1E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DefaultParagraphFont"/>
    <w:uiPriority w:val="99"/>
    <w:locked/>
    <w:rsid w:val="00C204A6"/>
    <w:rPr>
      <w:rFonts w:ascii="Times New Roman" w:hAnsi="Times New Roman" w:cs="Times New Roman"/>
      <w:bCs/>
      <w:sz w:val="24"/>
      <w:szCs w:val="24"/>
    </w:rPr>
  </w:style>
  <w:style w:type="paragraph" w:customStyle="1" w:styleId="Style2">
    <w:name w:val="Style2"/>
    <w:basedOn w:val="Normal"/>
    <w:next w:val="Normal"/>
    <w:link w:val="Style2Char"/>
    <w:uiPriority w:val="99"/>
    <w:rsid w:val="00FA6B86"/>
    <w:pPr>
      <w:spacing w:before="120" w:after="120"/>
      <w:ind w:left="720"/>
    </w:pPr>
  </w:style>
  <w:style w:type="character" w:customStyle="1" w:styleId="Style2Char">
    <w:name w:val="Style2 Char"/>
    <w:basedOn w:val="DefaultParagraphFont"/>
    <w:link w:val="Style2"/>
    <w:uiPriority w:val="99"/>
    <w:locked/>
    <w:rsid w:val="00FA6B86"/>
    <w:rPr>
      <w:rFonts w:ascii="Times New Roman" w:hAnsi="Times New Roman" w:cs="Times New Roman"/>
      <w:sz w:val="24"/>
      <w:szCs w:val="24"/>
    </w:rPr>
  </w:style>
  <w:style w:type="character" w:styleId="Hyperlink">
    <w:name w:val="Hyperlink"/>
    <w:basedOn w:val="DefaultParagraphFont"/>
    <w:uiPriority w:val="99"/>
    <w:rsid w:val="00FA6B86"/>
    <w:rPr>
      <w:rFonts w:cs="Times New Roman"/>
      <w:color w:val="0000FF"/>
      <w:u w:val="single"/>
    </w:rPr>
  </w:style>
  <w:style w:type="paragraph" w:styleId="TOAHeading">
    <w:name w:val="toa heading"/>
    <w:basedOn w:val="Normal"/>
    <w:next w:val="Normal"/>
    <w:uiPriority w:val="99"/>
    <w:rsid w:val="00FA6B86"/>
    <w:pPr>
      <w:spacing w:before="120"/>
    </w:pPr>
    <w:rPr>
      <w:rFonts w:ascii="Arial" w:hAnsi="Arial" w:cs="Arial"/>
      <w:b/>
      <w:bCs/>
    </w:rPr>
  </w:style>
  <w:style w:type="paragraph" w:customStyle="1" w:styleId="StyleStyle2Left1">
    <w:name w:val="Style Style2 + Left:  1&quot;"/>
    <w:basedOn w:val="Style2"/>
    <w:uiPriority w:val="99"/>
    <w:rsid w:val="00FA6B86"/>
    <w:pPr>
      <w:ind w:left="1440"/>
    </w:pPr>
    <w:rPr>
      <w:szCs w:val="20"/>
    </w:rPr>
  </w:style>
  <w:style w:type="paragraph" w:styleId="TOCHeading">
    <w:name w:val="TOC Heading"/>
    <w:basedOn w:val="Heading1"/>
    <w:next w:val="Normal"/>
    <w:uiPriority w:val="39"/>
    <w:qFormat/>
    <w:rsid w:val="00216621"/>
    <w:pPr>
      <w:outlineLvl w:val="9"/>
    </w:pPr>
    <w:rPr>
      <w:lang w:eastAsia="ja-JP"/>
    </w:rPr>
  </w:style>
  <w:style w:type="paragraph" w:customStyle="1" w:styleId="block1">
    <w:name w:val="block1"/>
    <w:basedOn w:val="Normal"/>
    <w:uiPriority w:val="99"/>
    <w:rsid w:val="00216621"/>
    <w:pPr>
      <w:widowControl/>
      <w:autoSpaceDE/>
      <w:autoSpaceDN/>
      <w:adjustRightInd/>
      <w:spacing w:before="100" w:beforeAutospacing="1" w:after="100" w:afterAutospacing="1"/>
    </w:pPr>
    <w:rPr>
      <w:sz w:val="19"/>
      <w:szCs w:val="19"/>
    </w:rPr>
  </w:style>
  <w:style w:type="paragraph" w:styleId="NoSpacing">
    <w:name w:val="No Spacing"/>
    <w:uiPriority w:val="99"/>
    <w:qFormat/>
    <w:rsid w:val="00CE0EF4"/>
  </w:style>
  <w:style w:type="paragraph" w:styleId="FootnoteText">
    <w:name w:val="footnote text"/>
    <w:basedOn w:val="Normal"/>
    <w:link w:val="FootnoteTextChar"/>
    <w:uiPriority w:val="99"/>
    <w:semiHidden/>
    <w:rsid w:val="00541BE6"/>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541BE6"/>
    <w:rPr>
      <w:rFonts w:eastAsia="Times New Roman" w:cs="Times New Roman"/>
      <w:sz w:val="20"/>
      <w:szCs w:val="20"/>
    </w:rPr>
  </w:style>
  <w:style w:type="paragraph" w:customStyle="1" w:styleId="Default">
    <w:name w:val="Default"/>
    <w:rsid w:val="00200D27"/>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rsid w:val="002B7D36"/>
    <w:rPr>
      <w:rFonts w:cs="Times New Roman"/>
      <w:sz w:val="16"/>
      <w:szCs w:val="16"/>
    </w:rPr>
  </w:style>
  <w:style w:type="paragraph" w:styleId="CommentText">
    <w:name w:val="annotation text"/>
    <w:basedOn w:val="Normal"/>
    <w:link w:val="CommentTextChar"/>
    <w:uiPriority w:val="99"/>
    <w:semiHidden/>
    <w:rsid w:val="002B7D36"/>
    <w:pPr>
      <w:widowControl/>
      <w:autoSpaceDE/>
      <w:autoSpaceDN/>
      <w:adjustRightInd/>
    </w:pPr>
    <w:rPr>
      <w:rFonts w:cs="Calibri"/>
      <w:sz w:val="20"/>
      <w:szCs w:val="20"/>
    </w:rPr>
  </w:style>
  <w:style w:type="character" w:customStyle="1" w:styleId="CommentTextChar">
    <w:name w:val="Comment Text Char"/>
    <w:basedOn w:val="DefaultParagraphFont"/>
    <w:link w:val="CommentText"/>
    <w:uiPriority w:val="99"/>
    <w:semiHidden/>
    <w:locked/>
    <w:rsid w:val="002B7D36"/>
    <w:rPr>
      <w:rFonts w:eastAsia="Times New Roman" w:cs="Calibri"/>
      <w:sz w:val="20"/>
      <w:szCs w:val="20"/>
    </w:rPr>
  </w:style>
  <w:style w:type="character" w:styleId="FollowedHyperlink">
    <w:name w:val="FollowedHyperlink"/>
    <w:basedOn w:val="DefaultParagraphFont"/>
    <w:uiPriority w:val="99"/>
    <w:semiHidden/>
    <w:rsid w:val="00F6407E"/>
    <w:rPr>
      <w:rFonts w:cs="Times New Roman"/>
      <w:color w:val="800080"/>
      <w:u w:val="single"/>
    </w:rPr>
  </w:style>
  <w:style w:type="paragraph" w:styleId="TOC3">
    <w:name w:val="toc 3"/>
    <w:basedOn w:val="Normal"/>
    <w:next w:val="Normal"/>
    <w:autoRedefine/>
    <w:uiPriority w:val="39"/>
    <w:locked/>
    <w:rsid w:val="00F65C01"/>
    <w:pPr>
      <w:tabs>
        <w:tab w:val="right" w:leader="dot" w:pos="9530"/>
      </w:tabs>
      <w:ind w:firstLine="450"/>
    </w:pPr>
    <w:rPr>
      <w:rFonts w:asciiTheme="minorHAnsi" w:hAnsiTheme="minorHAnsi" w:cstheme="minorHAnsi"/>
      <w:szCs w:val="20"/>
    </w:rPr>
  </w:style>
  <w:style w:type="paragraph" w:styleId="TOC4">
    <w:name w:val="toc 4"/>
    <w:basedOn w:val="Normal"/>
    <w:next w:val="Normal"/>
    <w:autoRedefine/>
    <w:uiPriority w:val="39"/>
    <w:locked/>
    <w:rsid w:val="003C664A"/>
    <w:pPr>
      <w:ind w:left="480"/>
    </w:pPr>
    <w:rPr>
      <w:rFonts w:asciiTheme="minorHAnsi" w:hAnsiTheme="minorHAnsi" w:cstheme="minorHAnsi"/>
      <w:sz w:val="20"/>
      <w:szCs w:val="20"/>
    </w:rPr>
  </w:style>
  <w:style w:type="paragraph" w:styleId="TOC5">
    <w:name w:val="toc 5"/>
    <w:basedOn w:val="Normal"/>
    <w:next w:val="Normal"/>
    <w:autoRedefine/>
    <w:uiPriority w:val="99"/>
    <w:locked/>
    <w:rsid w:val="003C664A"/>
    <w:pPr>
      <w:ind w:left="720"/>
    </w:pPr>
    <w:rPr>
      <w:rFonts w:asciiTheme="minorHAnsi" w:hAnsiTheme="minorHAnsi" w:cstheme="minorHAnsi"/>
      <w:sz w:val="20"/>
      <w:szCs w:val="20"/>
    </w:rPr>
  </w:style>
  <w:style w:type="paragraph" w:styleId="TOC6">
    <w:name w:val="toc 6"/>
    <w:basedOn w:val="Normal"/>
    <w:next w:val="Normal"/>
    <w:autoRedefine/>
    <w:uiPriority w:val="99"/>
    <w:locked/>
    <w:rsid w:val="003C664A"/>
    <w:pPr>
      <w:ind w:left="960"/>
    </w:pPr>
    <w:rPr>
      <w:rFonts w:asciiTheme="minorHAnsi" w:hAnsiTheme="minorHAnsi" w:cstheme="minorHAnsi"/>
      <w:sz w:val="20"/>
      <w:szCs w:val="20"/>
    </w:rPr>
  </w:style>
  <w:style w:type="paragraph" w:styleId="TOC7">
    <w:name w:val="toc 7"/>
    <w:basedOn w:val="Normal"/>
    <w:next w:val="Normal"/>
    <w:autoRedefine/>
    <w:uiPriority w:val="99"/>
    <w:locked/>
    <w:rsid w:val="003C664A"/>
    <w:pPr>
      <w:ind w:left="1200"/>
    </w:pPr>
    <w:rPr>
      <w:rFonts w:asciiTheme="minorHAnsi" w:hAnsiTheme="minorHAnsi" w:cstheme="minorHAnsi"/>
      <w:sz w:val="20"/>
      <w:szCs w:val="20"/>
    </w:rPr>
  </w:style>
  <w:style w:type="paragraph" w:styleId="TOC8">
    <w:name w:val="toc 8"/>
    <w:basedOn w:val="Normal"/>
    <w:next w:val="Normal"/>
    <w:autoRedefine/>
    <w:uiPriority w:val="99"/>
    <w:locked/>
    <w:rsid w:val="003C664A"/>
    <w:pPr>
      <w:ind w:left="1440"/>
    </w:pPr>
    <w:rPr>
      <w:rFonts w:asciiTheme="minorHAnsi" w:hAnsiTheme="minorHAnsi" w:cstheme="minorHAnsi"/>
      <w:sz w:val="20"/>
      <w:szCs w:val="20"/>
    </w:rPr>
  </w:style>
  <w:style w:type="paragraph" w:styleId="TOC9">
    <w:name w:val="toc 9"/>
    <w:basedOn w:val="Normal"/>
    <w:next w:val="Normal"/>
    <w:autoRedefine/>
    <w:uiPriority w:val="99"/>
    <w:locked/>
    <w:rsid w:val="003C664A"/>
    <w:pPr>
      <w:ind w:left="1680"/>
    </w:pPr>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rsid w:val="00D1186B"/>
    <w:pPr>
      <w:widowControl w:val="0"/>
      <w:autoSpaceDE w:val="0"/>
      <w:autoSpaceDN w:val="0"/>
      <w:adjustRightInd w:val="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locked/>
    <w:rsid w:val="00D1186B"/>
    <w:rPr>
      <w:rFonts w:ascii="Times New Roman" w:eastAsia="Times New Roman" w:hAnsi="Times New Roman" w:cs="Calibri"/>
      <w:b/>
      <w:bCs/>
      <w:sz w:val="20"/>
      <w:szCs w:val="20"/>
    </w:rPr>
  </w:style>
  <w:style w:type="table" w:customStyle="1" w:styleId="TableGrid1">
    <w:name w:val="Table Grid1"/>
    <w:basedOn w:val="TableNormal"/>
    <w:next w:val="TableGrid"/>
    <w:uiPriority w:val="59"/>
    <w:rsid w:val="00F60A4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061D"/>
    <w:rPr>
      <w:rFonts w:ascii="Times New Roman" w:hAnsi="Times New Roman"/>
      <w:sz w:val="24"/>
      <w:szCs w:val="24"/>
    </w:rPr>
  </w:style>
  <w:style w:type="character" w:styleId="SubtleReference">
    <w:name w:val="Subtle Reference"/>
    <w:basedOn w:val="DefaultParagraphFont"/>
    <w:uiPriority w:val="31"/>
    <w:qFormat/>
    <w:rsid w:val="00DF78FB"/>
    <w:rPr>
      <w:smallCaps/>
      <w:color w:val="C0504D" w:themeColor="accent2"/>
      <w:u w:val="single"/>
    </w:rPr>
  </w:style>
  <w:style w:type="paragraph" w:styleId="NormalWeb">
    <w:name w:val="Normal (Web)"/>
    <w:basedOn w:val="Normal"/>
    <w:uiPriority w:val="99"/>
    <w:unhideWhenUsed/>
    <w:rsid w:val="00783189"/>
  </w:style>
  <w:style w:type="table" w:styleId="TableGridLight">
    <w:name w:val="Grid Table Light"/>
    <w:basedOn w:val="TableNormal"/>
    <w:uiPriority w:val="40"/>
    <w:rsid w:val="00185C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6345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rsid w:val="000F35E3"/>
    <w:rPr>
      <w:rFonts w:eastAsiaTheme="majorEastAsia" w:cstheme="majorBidi"/>
      <w:b/>
      <w:iCs/>
      <w:sz w:val="24"/>
      <w:szCs w:val="24"/>
    </w:rPr>
  </w:style>
  <w:style w:type="character" w:customStyle="1" w:styleId="Heading5Char">
    <w:name w:val="Heading 5 Char"/>
    <w:basedOn w:val="DefaultParagraphFont"/>
    <w:link w:val="Heading5"/>
    <w:rsid w:val="00D93CB3"/>
    <w:rPr>
      <w:rFonts w:asciiTheme="majorHAnsi" w:eastAsiaTheme="majorEastAsia" w:hAnsiTheme="majorHAnsi" w:cstheme="majorBidi"/>
      <w:color w:val="365F91" w:themeColor="accent1" w:themeShade="BF"/>
      <w:sz w:val="24"/>
      <w:szCs w:val="24"/>
    </w:rPr>
  </w:style>
  <w:style w:type="paragraph" w:customStyle="1" w:styleId="HeadingLevel3Appendices">
    <w:name w:val="Heading Level 3 Appendices"/>
    <w:basedOn w:val="Normal"/>
    <w:link w:val="HeadingLevel3AppendicesChar"/>
    <w:qFormat/>
    <w:rsid w:val="00C303F0"/>
    <w:pPr>
      <w:tabs>
        <w:tab w:val="right" w:leader="dot" w:pos="9530"/>
      </w:tabs>
    </w:pPr>
    <w:rPr>
      <w:noProof/>
    </w:rPr>
  </w:style>
  <w:style w:type="character" w:customStyle="1" w:styleId="TOC2Char">
    <w:name w:val="TOC 2 Char"/>
    <w:basedOn w:val="DefaultParagraphFont"/>
    <w:link w:val="TOC2"/>
    <w:uiPriority w:val="39"/>
    <w:rsid w:val="006B1BC5"/>
    <w:rPr>
      <w:rFonts w:asciiTheme="minorHAnsi" w:hAnsiTheme="minorHAnsi" w:cstheme="minorHAnsi"/>
      <w:bCs/>
      <w:sz w:val="28"/>
      <w:szCs w:val="20"/>
    </w:rPr>
  </w:style>
  <w:style w:type="character" w:customStyle="1" w:styleId="HeadingLevel3AppendicesChar">
    <w:name w:val="Heading Level 3 Appendices Char"/>
    <w:basedOn w:val="TOC2Char"/>
    <w:link w:val="HeadingLevel3Appendices"/>
    <w:rsid w:val="00C303F0"/>
    <w:rPr>
      <w:rFonts w:asciiTheme="minorHAnsi" w:hAnsiTheme="minorHAnsi" w:cstheme="minorHAnsi"/>
      <w:bCs/>
      <w:smallCaps/>
      <w:noProof/>
      <w:sz w:val="24"/>
      <w:szCs w:val="24"/>
    </w:rPr>
  </w:style>
  <w:style w:type="table" w:customStyle="1" w:styleId="GridTable41">
    <w:name w:val="Grid Table 41"/>
    <w:basedOn w:val="TableNormal"/>
    <w:next w:val="GridTable4"/>
    <w:uiPriority w:val="49"/>
    <w:rsid w:val="001A1FF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cf01">
    <w:name w:val="cf01"/>
    <w:basedOn w:val="DefaultParagraphFont"/>
    <w:rsid w:val="008B5707"/>
    <w:rPr>
      <w:rFonts w:ascii="Segoe UI" w:hAnsi="Segoe UI" w:cs="Segoe UI" w:hint="default"/>
      <w:sz w:val="18"/>
      <w:szCs w:val="18"/>
    </w:rPr>
  </w:style>
  <w:style w:type="character" w:styleId="Emphasis">
    <w:name w:val="Emphasis"/>
    <w:basedOn w:val="DefaultParagraphFont"/>
    <w:uiPriority w:val="20"/>
    <w:qFormat/>
    <w:locked/>
    <w:rsid w:val="005F734A"/>
    <w:rPr>
      <w:i/>
      <w:iCs/>
    </w:rPr>
  </w:style>
  <w:style w:type="character" w:styleId="Mention">
    <w:name w:val="Mention"/>
    <w:basedOn w:val="DefaultParagraphFont"/>
    <w:uiPriority w:val="99"/>
    <w:unhideWhenUsed/>
    <w:rsid w:val="006847C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5343">
      <w:bodyDiv w:val="1"/>
      <w:marLeft w:val="0"/>
      <w:marRight w:val="0"/>
      <w:marTop w:val="0"/>
      <w:marBottom w:val="0"/>
      <w:divBdr>
        <w:top w:val="none" w:sz="0" w:space="0" w:color="auto"/>
        <w:left w:val="none" w:sz="0" w:space="0" w:color="auto"/>
        <w:bottom w:val="none" w:sz="0" w:space="0" w:color="auto"/>
        <w:right w:val="none" w:sz="0" w:space="0" w:color="auto"/>
      </w:divBdr>
    </w:div>
    <w:div w:id="289867719">
      <w:bodyDiv w:val="1"/>
      <w:marLeft w:val="0"/>
      <w:marRight w:val="0"/>
      <w:marTop w:val="0"/>
      <w:marBottom w:val="0"/>
      <w:divBdr>
        <w:top w:val="none" w:sz="0" w:space="0" w:color="auto"/>
        <w:left w:val="none" w:sz="0" w:space="0" w:color="auto"/>
        <w:bottom w:val="none" w:sz="0" w:space="0" w:color="auto"/>
        <w:right w:val="none" w:sz="0" w:space="0" w:color="auto"/>
      </w:divBdr>
    </w:div>
    <w:div w:id="787431808">
      <w:bodyDiv w:val="1"/>
      <w:marLeft w:val="0"/>
      <w:marRight w:val="0"/>
      <w:marTop w:val="0"/>
      <w:marBottom w:val="0"/>
      <w:divBdr>
        <w:top w:val="none" w:sz="0" w:space="0" w:color="auto"/>
        <w:left w:val="none" w:sz="0" w:space="0" w:color="auto"/>
        <w:bottom w:val="none" w:sz="0" w:space="0" w:color="auto"/>
        <w:right w:val="none" w:sz="0" w:space="0" w:color="auto"/>
      </w:divBdr>
    </w:div>
    <w:div w:id="958335334">
      <w:bodyDiv w:val="1"/>
      <w:marLeft w:val="0"/>
      <w:marRight w:val="0"/>
      <w:marTop w:val="0"/>
      <w:marBottom w:val="0"/>
      <w:divBdr>
        <w:top w:val="none" w:sz="0" w:space="0" w:color="auto"/>
        <w:left w:val="none" w:sz="0" w:space="0" w:color="auto"/>
        <w:bottom w:val="none" w:sz="0" w:space="0" w:color="auto"/>
        <w:right w:val="none" w:sz="0" w:space="0" w:color="auto"/>
      </w:divBdr>
    </w:div>
    <w:div w:id="1145120416">
      <w:marLeft w:val="0"/>
      <w:marRight w:val="0"/>
      <w:marTop w:val="0"/>
      <w:marBottom w:val="0"/>
      <w:divBdr>
        <w:top w:val="none" w:sz="0" w:space="0" w:color="auto"/>
        <w:left w:val="none" w:sz="0" w:space="0" w:color="auto"/>
        <w:bottom w:val="none" w:sz="0" w:space="0" w:color="auto"/>
        <w:right w:val="none" w:sz="0" w:space="0" w:color="auto"/>
      </w:divBdr>
    </w:div>
    <w:div w:id="1145120417">
      <w:marLeft w:val="0"/>
      <w:marRight w:val="0"/>
      <w:marTop w:val="0"/>
      <w:marBottom w:val="0"/>
      <w:divBdr>
        <w:top w:val="none" w:sz="0" w:space="0" w:color="auto"/>
        <w:left w:val="none" w:sz="0" w:space="0" w:color="auto"/>
        <w:bottom w:val="none" w:sz="0" w:space="0" w:color="auto"/>
        <w:right w:val="none" w:sz="0" w:space="0" w:color="auto"/>
      </w:divBdr>
    </w:div>
    <w:div w:id="1145120418">
      <w:marLeft w:val="0"/>
      <w:marRight w:val="0"/>
      <w:marTop w:val="0"/>
      <w:marBottom w:val="0"/>
      <w:divBdr>
        <w:top w:val="none" w:sz="0" w:space="0" w:color="auto"/>
        <w:left w:val="none" w:sz="0" w:space="0" w:color="auto"/>
        <w:bottom w:val="none" w:sz="0" w:space="0" w:color="auto"/>
        <w:right w:val="none" w:sz="0" w:space="0" w:color="auto"/>
      </w:divBdr>
    </w:div>
    <w:div w:id="1145120419">
      <w:marLeft w:val="0"/>
      <w:marRight w:val="0"/>
      <w:marTop w:val="0"/>
      <w:marBottom w:val="0"/>
      <w:divBdr>
        <w:top w:val="none" w:sz="0" w:space="0" w:color="auto"/>
        <w:left w:val="none" w:sz="0" w:space="0" w:color="auto"/>
        <w:bottom w:val="none" w:sz="0" w:space="0" w:color="auto"/>
        <w:right w:val="none" w:sz="0" w:space="0" w:color="auto"/>
      </w:divBdr>
    </w:div>
    <w:div w:id="1145120420">
      <w:marLeft w:val="0"/>
      <w:marRight w:val="0"/>
      <w:marTop w:val="0"/>
      <w:marBottom w:val="0"/>
      <w:divBdr>
        <w:top w:val="none" w:sz="0" w:space="0" w:color="auto"/>
        <w:left w:val="none" w:sz="0" w:space="0" w:color="auto"/>
        <w:bottom w:val="none" w:sz="0" w:space="0" w:color="auto"/>
        <w:right w:val="none" w:sz="0" w:space="0" w:color="auto"/>
      </w:divBdr>
    </w:div>
    <w:div w:id="1145120421">
      <w:marLeft w:val="0"/>
      <w:marRight w:val="0"/>
      <w:marTop w:val="0"/>
      <w:marBottom w:val="0"/>
      <w:divBdr>
        <w:top w:val="none" w:sz="0" w:space="0" w:color="auto"/>
        <w:left w:val="none" w:sz="0" w:space="0" w:color="auto"/>
        <w:bottom w:val="none" w:sz="0" w:space="0" w:color="auto"/>
        <w:right w:val="none" w:sz="0" w:space="0" w:color="auto"/>
      </w:divBdr>
    </w:div>
    <w:div w:id="1145120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 Id="rId27" Type="http://schemas.openxmlformats.org/officeDocument/2006/relationships/header" Target="header10.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BC3C2ADA02CE4CB4E95FC99ABAA882" ma:contentTypeVersion="4" ma:contentTypeDescription="Create a new document." ma:contentTypeScope="" ma:versionID="5da9126416ee737db58b6c68017cf046">
  <xsd:schema xmlns:xsd="http://www.w3.org/2001/XMLSchema" xmlns:xs="http://www.w3.org/2001/XMLSchema" xmlns:p="http://schemas.microsoft.com/office/2006/metadata/properties" xmlns:ns2="b73d4c21-dd70-41fc-b7e8-415c0f9789f5" xmlns:ns3="999a2ab5-6e28-458c-911d-e256d942cc26" targetNamespace="http://schemas.microsoft.com/office/2006/metadata/properties" ma:root="true" ma:fieldsID="12ecac3a3119fe27630fd800c5e2b0b5" ns2:_="" ns3:_="">
    <xsd:import namespace="b73d4c21-dd70-41fc-b7e8-415c0f9789f5"/>
    <xsd:import namespace="999a2ab5-6e28-458c-911d-e256d942c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d4c21-dd70-41fc-b7e8-415c0f978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9a2ab5-6e28-458c-911d-e256d942cc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F5600-066F-4F93-94AC-D998170A5D6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99a2ab5-6e28-458c-911d-e256d942cc26"/>
    <ds:schemaRef ds:uri="b73d4c21-dd70-41fc-b7e8-415c0f9789f5"/>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771312A-A3EC-476F-8FF5-1901408DDCA9}">
  <ds:schemaRefs>
    <ds:schemaRef ds:uri="http://schemas.openxmlformats.org/officeDocument/2006/bibliography"/>
  </ds:schemaRefs>
</ds:datastoreItem>
</file>

<file path=customXml/itemProps3.xml><?xml version="1.0" encoding="utf-8"?>
<ds:datastoreItem xmlns:ds="http://schemas.openxmlformats.org/officeDocument/2006/customXml" ds:itemID="{4FDC7E5C-31AC-471A-8482-EC893DA471A4}">
  <ds:schemaRefs>
    <ds:schemaRef ds:uri="http://schemas.microsoft.com/sharepoint/v3/contenttype/forms"/>
  </ds:schemaRefs>
</ds:datastoreItem>
</file>

<file path=customXml/itemProps4.xml><?xml version="1.0" encoding="utf-8"?>
<ds:datastoreItem xmlns:ds="http://schemas.openxmlformats.org/officeDocument/2006/customXml" ds:itemID="{DEB2BBE0-D34F-41D1-899E-F479F522C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d4c21-dd70-41fc-b7e8-415c0f9789f5"/>
    <ds:schemaRef ds:uri="999a2ab5-6e28-458c-911d-e256d942c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6266</Words>
  <Characters>35081</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41265</CharactersWithSpaces>
  <SharedDoc>false</SharedDoc>
  <HLinks>
    <vt:vector size="60" baseType="variant">
      <vt:variant>
        <vt:i4>1703987</vt:i4>
      </vt:variant>
      <vt:variant>
        <vt:i4>56</vt:i4>
      </vt:variant>
      <vt:variant>
        <vt:i4>0</vt:i4>
      </vt:variant>
      <vt:variant>
        <vt:i4>5</vt:i4>
      </vt:variant>
      <vt:variant>
        <vt:lpwstr/>
      </vt:variant>
      <vt:variant>
        <vt:lpwstr>_Toc128388240</vt:lpwstr>
      </vt:variant>
      <vt:variant>
        <vt:i4>1900595</vt:i4>
      </vt:variant>
      <vt:variant>
        <vt:i4>50</vt:i4>
      </vt:variant>
      <vt:variant>
        <vt:i4>0</vt:i4>
      </vt:variant>
      <vt:variant>
        <vt:i4>5</vt:i4>
      </vt:variant>
      <vt:variant>
        <vt:lpwstr/>
      </vt:variant>
      <vt:variant>
        <vt:lpwstr>_Toc128388239</vt:lpwstr>
      </vt:variant>
      <vt:variant>
        <vt:i4>1900595</vt:i4>
      </vt:variant>
      <vt:variant>
        <vt:i4>44</vt:i4>
      </vt:variant>
      <vt:variant>
        <vt:i4>0</vt:i4>
      </vt:variant>
      <vt:variant>
        <vt:i4>5</vt:i4>
      </vt:variant>
      <vt:variant>
        <vt:lpwstr/>
      </vt:variant>
      <vt:variant>
        <vt:lpwstr>_Toc128388238</vt:lpwstr>
      </vt:variant>
      <vt:variant>
        <vt:i4>1900595</vt:i4>
      </vt:variant>
      <vt:variant>
        <vt:i4>38</vt:i4>
      </vt:variant>
      <vt:variant>
        <vt:i4>0</vt:i4>
      </vt:variant>
      <vt:variant>
        <vt:i4>5</vt:i4>
      </vt:variant>
      <vt:variant>
        <vt:lpwstr/>
      </vt:variant>
      <vt:variant>
        <vt:lpwstr>_Toc128388237</vt:lpwstr>
      </vt:variant>
      <vt:variant>
        <vt:i4>1900595</vt:i4>
      </vt:variant>
      <vt:variant>
        <vt:i4>32</vt:i4>
      </vt:variant>
      <vt:variant>
        <vt:i4>0</vt:i4>
      </vt:variant>
      <vt:variant>
        <vt:i4>5</vt:i4>
      </vt:variant>
      <vt:variant>
        <vt:lpwstr/>
      </vt:variant>
      <vt:variant>
        <vt:lpwstr>_Toc128388236</vt:lpwstr>
      </vt:variant>
      <vt:variant>
        <vt:i4>1900595</vt:i4>
      </vt:variant>
      <vt:variant>
        <vt:i4>26</vt:i4>
      </vt:variant>
      <vt:variant>
        <vt:i4>0</vt:i4>
      </vt:variant>
      <vt:variant>
        <vt:i4>5</vt:i4>
      </vt:variant>
      <vt:variant>
        <vt:lpwstr/>
      </vt:variant>
      <vt:variant>
        <vt:lpwstr>_Toc128388235</vt:lpwstr>
      </vt:variant>
      <vt:variant>
        <vt:i4>1900595</vt:i4>
      </vt:variant>
      <vt:variant>
        <vt:i4>20</vt:i4>
      </vt:variant>
      <vt:variant>
        <vt:i4>0</vt:i4>
      </vt:variant>
      <vt:variant>
        <vt:i4>5</vt:i4>
      </vt:variant>
      <vt:variant>
        <vt:lpwstr/>
      </vt:variant>
      <vt:variant>
        <vt:lpwstr>_Toc128388234</vt:lpwstr>
      </vt:variant>
      <vt:variant>
        <vt:i4>1900595</vt:i4>
      </vt:variant>
      <vt:variant>
        <vt:i4>14</vt:i4>
      </vt:variant>
      <vt:variant>
        <vt:i4>0</vt:i4>
      </vt:variant>
      <vt:variant>
        <vt:i4>5</vt:i4>
      </vt:variant>
      <vt:variant>
        <vt:lpwstr/>
      </vt:variant>
      <vt:variant>
        <vt:lpwstr>_Toc128388233</vt:lpwstr>
      </vt:variant>
      <vt:variant>
        <vt:i4>1900595</vt:i4>
      </vt:variant>
      <vt:variant>
        <vt:i4>8</vt:i4>
      </vt:variant>
      <vt:variant>
        <vt:i4>0</vt:i4>
      </vt:variant>
      <vt:variant>
        <vt:i4>5</vt:i4>
      </vt:variant>
      <vt:variant>
        <vt:lpwstr/>
      </vt:variant>
      <vt:variant>
        <vt:lpwstr>_Toc128388232</vt:lpwstr>
      </vt:variant>
      <vt:variant>
        <vt:i4>1900595</vt:i4>
      </vt:variant>
      <vt:variant>
        <vt:i4>2</vt:i4>
      </vt:variant>
      <vt:variant>
        <vt:i4>0</vt:i4>
      </vt:variant>
      <vt:variant>
        <vt:i4>5</vt:i4>
      </vt:variant>
      <vt:variant>
        <vt:lpwstr/>
      </vt:variant>
      <vt:variant>
        <vt:lpwstr>_Toc128388231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cp:lastModifiedBy>Smith, Suzanne M. - OSHA</cp:lastModifiedBy>
  <cp:revision>2</cp:revision>
  <cp:lastPrinted>2017-07-11T15:59:00Z</cp:lastPrinted>
  <dcterms:created xsi:type="dcterms:W3CDTF">2023-06-12T16:54:00Z</dcterms:created>
  <dcterms:modified xsi:type="dcterms:W3CDTF">2023-06-12T16:54:00Z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0x010100F0BC3C2ADA02CE4CB4E95FC99ABAA882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