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2543D727" w:rsidR="000A134A" w:rsidRPr="001C1E47" w:rsidRDefault="002511E9" w:rsidP="009C3CD2">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056737BD" w14:textId="0995BFD1" w:rsidR="0023570D" w:rsidRPr="0023570D" w:rsidRDefault="0023570D" w:rsidP="009C3CD2">
      <w:pPr>
        <w:widowControl/>
        <w:autoSpaceDE/>
        <w:autoSpaceDN/>
        <w:adjustRightInd/>
        <w:rPr>
          <w:rFonts w:cs="Calibri"/>
          <w:b/>
          <w:sz w:val="28"/>
          <w:szCs w:val="28"/>
        </w:rPr>
      </w:pPr>
      <w:r w:rsidRPr="0023570D">
        <w:rPr>
          <w:rFonts w:cs="Calibri"/>
          <w:b/>
          <w:sz w:val="28"/>
          <w:szCs w:val="28"/>
        </w:rPr>
        <w:t>State of Indiana</w:t>
      </w:r>
    </w:p>
    <w:p w14:paraId="51905CA0" w14:textId="2868390D" w:rsidR="000A134A" w:rsidRDefault="0023570D" w:rsidP="009C3CD2">
      <w:pPr>
        <w:widowControl/>
        <w:autoSpaceDE/>
        <w:autoSpaceDN/>
        <w:adjustRightInd/>
        <w:rPr>
          <w:rFonts w:cs="Calibri"/>
          <w:b/>
          <w:sz w:val="28"/>
          <w:szCs w:val="28"/>
        </w:rPr>
      </w:pPr>
      <w:r w:rsidRPr="0023570D">
        <w:rPr>
          <w:rFonts w:cs="Calibri"/>
          <w:b/>
          <w:sz w:val="28"/>
          <w:szCs w:val="28"/>
        </w:rPr>
        <w:t>Occupational Safety and Health Administration</w:t>
      </w:r>
    </w:p>
    <w:p w14:paraId="4161756C" w14:textId="77777777" w:rsidR="00B00FB6" w:rsidRPr="0023570D" w:rsidRDefault="00B00FB6" w:rsidP="001C1E47">
      <w:pPr>
        <w:widowControl/>
        <w:autoSpaceDE/>
        <w:autoSpaceDN/>
        <w:adjustRightInd/>
        <w:rPr>
          <w:rFonts w:cs="Calibri"/>
          <w:b/>
          <w:sz w:val="28"/>
          <w:szCs w:val="28"/>
        </w:rPr>
      </w:pPr>
    </w:p>
    <w:p w14:paraId="2A3E5133" w14:textId="0319BFAB" w:rsidR="000A134A" w:rsidRDefault="000A134A" w:rsidP="0061177B">
      <w:pPr>
        <w:widowControl/>
        <w:autoSpaceDE/>
        <w:autoSpaceDN/>
        <w:adjustRightInd/>
        <w:rPr>
          <w:rFonts w:cs="Calibri"/>
          <w:bCs/>
        </w:rPr>
      </w:pPr>
    </w:p>
    <w:p w14:paraId="0DDAAF8F" w14:textId="126ADB35" w:rsidR="00B00FB6" w:rsidRPr="001C1E47" w:rsidRDefault="00B00FB6" w:rsidP="009C3CD2">
      <w:pPr>
        <w:widowControl/>
        <w:autoSpaceDE/>
        <w:autoSpaceDN/>
        <w:adjustRightInd/>
        <w:rPr>
          <w:rFonts w:cs="Calibri"/>
          <w:bCs/>
        </w:rPr>
      </w:pPr>
      <w:r w:rsidRPr="00B00FB6">
        <w:rPr>
          <w:rFonts w:cs="Calibri"/>
          <w:bCs/>
          <w:noProof/>
        </w:rPr>
        <w:drawing>
          <wp:inline distT="0" distB="0" distL="0" distR="0" wp14:anchorId="30171739" wp14:editId="5751E7E6">
            <wp:extent cx="3981450" cy="1200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1200150"/>
                    </a:xfrm>
                    <a:prstGeom prst="rect">
                      <a:avLst/>
                    </a:prstGeom>
                    <a:noFill/>
                    <a:ln>
                      <a:noFill/>
                    </a:ln>
                  </pic:spPr>
                </pic:pic>
              </a:graphicData>
            </a:graphic>
          </wp:inline>
        </w:drawing>
      </w:r>
    </w:p>
    <w:p w14:paraId="0E828210" w14:textId="30C2855E" w:rsidR="000A134A" w:rsidRDefault="000A134A" w:rsidP="0061177B">
      <w:pPr>
        <w:widowControl/>
        <w:autoSpaceDE/>
        <w:autoSpaceDN/>
        <w:adjustRightInd/>
        <w:rPr>
          <w:rFonts w:cs="Calibri"/>
          <w:bCs/>
        </w:rPr>
      </w:pPr>
    </w:p>
    <w:p w14:paraId="31832F9B" w14:textId="77777777" w:rsidR="00B00FB6" w:rsidRPr="001C1E47" w:rsidRDefault="00B00FB6" w:rsidP="0061177B">
      <w:pPr>
        <w:widowControl/>
        <w:autoSpaceDE/>
        <w:autoSpaceDN/>
        <w:adjustRightInd/>
        <w:rPr>
          <w:rFonts w:cs="Calibri"/>
          <w:bCs/>
        </w:rPr>
      </w:pPr>
    </w:p>
    <w:p w14:paraId="3FC46738" w14:textId="77777777" w:rsidR="000A134A" w:rsidRPr="001C1E47" w:rsidRDefault="000A134A" w:rsidP="0061177B">
      <w:pPr>
        <w:widowControl/>
        <w:autoSpaceDE/>
        <w:autoSpaceDN/>
        <w:adjustRightInd/>
        <w:rPr>
          <w:rFonts w:cs="Calibri"/>
          <w:b/>
        </w:rPr>
      </w:pPr>
    </w:p>
    <w:p w14:paraId="6CB8AD27" w14:textId="7356AD48" w:rsidR="000A134A" w:rsidRPr="001C1E47" w:rsidRDefault="000A134A" w:rsidP="009C3CD2">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3D79AE5" w14:textId="77777777" w:rsidR="000A134A" w:rsidRPr="001C1E47" w:rsidRDefault="000A134A" w:rsidP="007A71AC">
      <w:pPr>
        <w:widowControl/>
        <w:autoSpaceDE/>
        <w:autoSpaceDN/>
        <w:adjustRightInd/>
        <w:jc w:val="center"/>
        <w:rPr>
          <w:rFonts w:cs="Calibri"/>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6B2593F1" w:rsidR="000A134A" w:rsidRPr="001C1E47" w:rsidRDefault="000A134A" w:rsidP="009C3CD2">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23570D">
        <w:rPr>
          <w:rFonts w:eastAsia="Batang" w:cs="Calibri"/>
          <w:b/>
        </w:rPr>
        <w:t>March 6, 1974</w:t>
      </w:r>
    </w:p>
    <w:p w14:paraId="3062998A" w14:textId="7E371D92" w:rsidR="000A134A" w:rsidRPr="001C1E47" w:rsidRDefault="000A134A" w:rsidP="009C3CD2">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Program Certification Date: </w:t>
      </w:r>
      <w:r w:rsidR="0023570D">
        <w:rPr>
          <w:rFonts w:eastAsia="Batang" w:cs="Calibri"/>
          <w:b/>
        </w:rPr>
        <w:t xml:space="preserve"> </w:t>
      </w:r>
      <w:r w:rsidR="0023570D" w:rsidRPr="0023570D">
        <w:rPr>
          <w:rFonts w:eastAsia="Batang" w:cs="Calibri"/>
          <w:b/>
        </w:rPr>
        <w:t>October 6, 1981</w:t>
      </w:r>
    </w:p>
    <w:p w14:paraId="51A91D4F" w14:textId="4B00F155" w:rsidR="000A134A" w:rsidRPr="001C1E47" w:rsidRDefault="000A134A" w:rsidP="009C3CD2">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1C1E47">
        <w:rPr>
          <w:rFonts w:eastAsia="Batang" w:cs="Calibri"/>
          <w:b/>
        </w:rPr>
        <w:t xml:space="preserve">Final Approval Date: </w:t>
      </w:r>
      <w:r w:rsidR="0023570D">
        <w:rPr>
          <w:rFonts w:eastAsia="Batang" w:cs="Calibri"/>
          <w:b/>
        </w:rPr>
        <w:t xml:space="preserve"> September 26, 1986</w:t>
      </w:r>
    </w:p>
    <w:p w14:paraId="69312D4F" w14:textId="77777777" w:rsidR="000A134A" w:rsidRPr="001C1E47" w:rsidRDefault="000A134A" w:rsidP="0061177B">
      <w:pPr>
        <w:widowControl/>
        <w:tabs>
          <w:tab w:val="right" w:pos="9720"/>
        </w:tabs>
        <w:autoSpaceDE/>
        <w:autoSpaceDN/>
        <w:adjustRightInd/>
        <w:rPr>
          <w:rFonts w:cs="Calibri"/>
          <w:b/>
          <w:bCs/>
        </w:rPr>
      </w:pPr>
    </w:p>
    <w:p w14:paraId="1EA42317" w14:textId="77777777" w:rsidR="000A134A" w:rsidRPr="001C1E47" w:rsidRDefault="000A134A" w:rsidP="0061177B">
      <w:pPr>
        <w:widowControl/>
        <w:tabs>
          <w:tab w:val="right" w:pos="9720"/>
        </w:tabs>
        <w:autoSpaceDE/>
        <w:autoSpaceDN/>
        <w:adjustRightInd/>
        <w:rPr>
          <w:rFonts w:cs="Calibri"/>
          <w:b/>
          <w:bCs/>
        </w:rPr>
      </w:pPr>
    </w:p>
    <w:p w14:paraId="19E2F8B5" w14:textId="77777777" w:rsidR="000A134A" w:rsidRPr="0061177B" w:rsidRDefault="000A134A" w:rsidP="0061177B">
      <w:pPr>
        <w:widowControl/>
        <w:autoSpaceDE/>
        <w:autoSpaceDN/>
        <w:adjustRightInd/>
        <w:rPr>
          <w:rFonts w:cs="Calibri"/>
          <w:bCs/>
          <w:iCs/>
        </w:rPr>
      </w:pPr>
    </w:p>
    <w:p w14:paraId="336BF8F1" w14:textId="77777777" w:rsidR="000A134A" w:rsidRPr="001C1E47" w:rsidRDefault="000A134A" w:rsidP="009C3CD2">
      <w:pPr>
        <w:widowControl/>
        <w:autoSpaceDE/>
        <w:autoSpaceDN/>
        <w:adjustRightInd/>
        <w:rPr>
          <w:rFonts w:cs="Calibri"/>
          <w:b/>
        </w:rPr>
      </w:pPr>
      <w:r w:rsidRPr="001C1E47">
        <w:rPr>
          <w:rFonts w:cs="Calibri"/>
          <w:b/>
        </w:rPr>
        <w:t>Prepared by:</w:t>
      </w:r>
    </w:p>
    <w:p w14:paraId="503A1070" w14:textId="50EC7630" w:rsidR="000A134A" w:rsidRPr="001C1E47" w:rsidRDefault="000A134A" w:rsidP="009C3CD2">
      <w:pPr>
        <w:widowControl/>
        <w:autoSpaceDE/>
        <w:autoSpaceDN/>
        <w:adjustRightInd/>
        <w:rPr>
          <w:rFonts w:cs="Calibri"/>
          <w:b/>
        </w:rPr>
      </w:pPr>
      <w:r w:rsidRPr="001C1E47">
        <w:rPr>
          <w:rFonts w:cs="Calibri"/>
          <w:b/>
        </w:rPr>
        <w:t>U. S. Department of Labor</w:t>
      </w:r>
    </w:p>
    <w:p w14:paraId="5E957F30" w14:textId="77777777" w:rsidR="000A134A" w:rsidRPr="001C1E47" w:rsidRDefault="000A134A" w:rsidP="009C3CD2">
      <w:pPr>
        <w:widowControl/>
        <w:autoSpaceDE/>
        <w:autoSpaceDN/>
        <w:adjustRightInd/>
        <w:rPr>
          <w:rFonts w:cs="Calibri"/>
          <w:b/>
        </w:rPr>
      </w:pPr>
      <w:r w:rsidRPr="001C1E47">
        <w:rPr>
          <w:rFonts w:cs="Calibri"/>
          <w:b/>
        </w:rPr>
        <w:t>Occupational Safety and Health Administration</w:t>
      </w:r>
    </w:p>
    <w:p w14:paraId="283D40DC" w14:textId="02F1B806" w:rsidR="000A134A" w:rsidRPr="001C1E47" w:rsidRDefault="000A134A" w:rsidP="009C3CD2">
      <w:pPr>
        <w:widowControl/>
        <w:autoSpaceDE/>
        <w:autoSpaceDN/>
        <w:adjustRightInd/>
        <w:rPr>
          <w:rFonts w:cs="Calibri"/>
          <w:b/>
        </w:rPr>
      </w:pPr>
      <w:r w:rsidRPr="001C1E47">
        <w:rPr>
          <w:rFonts w:cs="Calibri"/>
          <w:b/>
        </w:rPr>
        <w:t xml:space="preserve">Region </w:t>
      </w:r>
      <w:r w:rsidR="0023570D">
        <w:rPr>
          <w:rFonts w:cs="Calibri"/>
          <w:b/>
        </w:rPr>
        <w:t>V</w:t>
      </w:r>
    </w:p>
    <w:p w14:paraId="50EE0B64" w14:textId="77E55D32" w:rsidR="000A134A" w:rsidRPr="0023570D" w:rsidRDefault="0023570D" w:rsidP="009C3CD2">
      <w:pPr>
        <w:widowControl/>
        <w:autoSpaceDE/>
        <w:autoSpaceDN/>
        <w:adjustRightInd/>
        <w:rPr>
          <w:rFonts w:cs="Calibri"/>
          <w:b/>
        </w:rPr>
      </w:pPr>
      <w:r w:rsidRPr="0023570D">
        <w:rPr>
          <w:rFonts w:cs="Calibri"/>
          <w:b/>
        </w:rPr>
        <w:t>Chicago, Illinois</w:t>
      </w:r>
    </w:p>
    <w:p w14:paraId="2A4EC189"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7A71AC">
      <w:pPr>
        <w:widowControl/>
        <w:autoSpaceDE/>
        <w:autoSpaceDN/>
        <w:adjustRightInd/>
        <w:jc w:val="center"/>
        <w:rPr>
          <w:rFonts w:cs="Calibri"/>
          <w:b/>
        </w:rPr>
      </w:pPr>
    </w:p>
    <w:p w14:paraId="41EC6729" w14:textId="77777777" w:rsidR="000A134A" w:rsidRPr="001C1E47" w:rsidRDefault="000A134A" w:rsidP="007A71AC">
      <w:pPr>
        <w:widowControl/>
        <w:autoSpaceDE/>
        <w:autoSpaceDN/>
        <w:adjustRightInd/>
        <w:jc w:val="center"/>
        <w:rPr>
          <w:rFonts w:cs="Calibri"/>
          <w:b/>
          <w:sz w:val="40"/>
          <w:szCs w:val="40"/>
        </w:rPr>
      </w:pPr>
      <w:r w:rsidRPr="001C1E47">
        <w:rPr>
          <w:rFonts w:cs="Calibri"/>
          <w:noProof/>
        </w:rPr>
        <w:drawing>
          <wp:inline distT="0" distB="0" distL="0" distR="0" wp14:anchorId="1D849888" wp14:editId="02DC62B1">
            <wp:extent cx="1600200" cy="1009650"/>
            <wp:effectExtent l="0" t="0" r="0" b="0"/>
            <wp:docPr id="4" name="Picture 4" descr="center_co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_col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26D1C94C" w14:textId="77777777" w:rsidR="00F43B23" w:rsidRDefault="00F43B23">
      <w:pPr>
        <w:widowControl/>
        <w:autoSpaceDE/>
        <w:autoSpaceDN/>
        <w:adjustRightInd/>
        <w:rPr>
          <w:rFonts w:cs="Calibri"/>
          <w:b/>
          <w:sz w:val="40"/>
          <w:szCs w:val="40"/>
        </w:rPr>
      </w:pPr>
      <w:r>
        <w:rPr>
          <w:rFonts w:cs="Calibri"/>
          <w:b/>
          <w:sz w:val="40"/>
          <w:szCs w:val="40"/>
        </w:rPr>
        <w:br w:type="page"/>
      </w:r>
    </w:p>
    <w:p w14:paraId="253E64F1" w14:textId="2FAB4601" w:rsidR="002A6CAA" w:rsidRPr="00F43B23" w:rsidRDefault="00F43B23">
      <w:pPr>
        <w:widowControl/>
        <w:autoSpaceDE/>
        <w:autoSpaceDN/>
        <w:adjustRightInd/>
        <w:rPr>
          <w:rFonts w:cs="Calibri"/>
          <w:b/>
          <w:sz w:val="28"/>
          <w:szCs w:val="28"/>
        </w:rPr>
      </w:pPr>
      <w:r w:rsidRPr="00F43B23">
        <w:rPr>
          <w:rFonts w:cs="Calibri"/>
          <w:b/>
          <w:sz w:val="28"/>
          <w:szCs w:val="28"/>
        </w:rPr>
        <w:lastRenderedPageBreak/>
        <w:t>Table of Contents</w:t>
      </w:r>
    </w:p>
    <w:p w14:paraId="161B9969" w14:textId="2760D829" w:rsidR="000F63C1" w:rsidRDefault="000F63C1">
      <w:pPr>
        <w:pStyle w:val="TOC2"/>
        <w:tabs>
          <w:tab w:val="left" w:pos="480"/>
          <w:tab w:val="right" w:leader="dot" w:pos="9530"/>
        </w:tabs>
        <w:rPr>
          <w:rFonts w:eastAsiaTheme="minorEastAsia" w:cstheme="minorBidi"/>
          <w:b/>
          <w:bCs w:val="0"/>
          <w:noProof/>
          <w:sz w:val="22"/>
          <w:szCs w:val="22"/>
        </w:rPr>
      </w:pPr>
      <w:r>
        <w:fldChar w:fldCharType="begin"/>
      </w:r>
      <w:r>
        <w:instrText xml:space="preserve"> TOC \o "2-3" \h \z \u \t "Level 1,1" </w:instrText>
      </w:r>
      <w:r>
        <w:fldChar w:fldCharType="separate"/>
      </w:r>
      <w:hyperlink w:anchor="_Toc119418663" w:history="1">
        <w:r w:rsidRPr="00B5463F">
          <w:rPr>
            <w:rStyle w:val="Hyperlink"/>
            <w:noProof/>
          </w:rPr>
          <w:t>I.</w:t>
        </w:r>
        <w:r>
          <w:rPr>
            <w:rFonts w:eastAsiaTheme="minorEastAsia" w:cstheme="minorBidi"/>
            <w:b/>
            <w:bCs w:val="0"/>
            <w:noProof/>
            <w:sz w:val="22"/>
            <w:szCs w:val="22"/>
          </w:rPr>
          <w:tab/>
        </w:r>
        <w:r w:rsidRPr="00B5463F">
          <w:rPr>
            <w:rStyle w:val="Hyperlink"/>
            <w:noProof/>
          </w:rPr>
          <w:t>Executive Summary</w:t>
        </w:r>
        <w:r>
          <w:rPr>
            <w:noProof/>
            <w:webHidden/>
          </w:rPr>
          <w:tab/>
        </w:r>
        <w:r>
          <w:rPr>
            <w:noProof/>
            <w:webHidden/>
          </w:rPr>
          <w:fldChar w:fldCharType="begin"/>
        </w:r>
        <w:r>
          <w:rPr>
            <w:noProof/>
            <w:webHidden/>
          </w:rPr>
          <w:instrText xml:space="preserve"> PAGEREF _Toc119418663 \h </w:instrText>
        </w:r>
        <w:r>
          <w:rPr>
            <w:noProof/>
            <w:webHidden/>
          </w:rPr>
        </w:r>
        <w:r>
          <w:rPr>
            <w:noProof/>
            <w:webHidden/>
          </w:rPr>
          <w:fldChar w:fldCharType="separate"/>
        </w:r>
        <w:r w:rsidR="000A3F63">
          <w:rPr>
            <w:noProof/>
            <w:webHidden/>
          </w:rPr>
          <w:t>3</w:t>
        </w:r>
        <w:r>
          <w:rPr>
            <w:noProof/>
            <w:webHidden/>
          </w:rPr>
          <w:fldChar w:fldCharType="end"/>
        </w:r>
      </w:hyperlink>
    </w:p>
    <w:p w14:paraId="3BD91ACD" w14:textId="0B9D68A1" w:rsidR="000F63C1" w:rsidRDefault="009C3CD2">
      <w:pPr>
        <w:pStyle w:val="TOC2"/>
        <w:tabs>
          <w:tab w:val="left" w:pos="480"/>
          <w:tab w:val="right" w:leader="dot" w:pos="9530"/>
        </w:tabs>
        <w:rPr>
          <w:rFonts w:eastAsiaTheme="minorEastAsia" w:cstheme="minorBidi"/>
          <w:b/>
          <w:bCs w:val="0"/>
          <w:noProof/>
          <w:sz w:val="22"/>
          <w:szCs w:val="22"/>
        </w:rPr>
      </w:pPr>
      <w:hyperlink w:anchor="_Toc119418664" w:history="1">
        <w:r w:rsidR="000F63C1" w:rsidRPr="00B5463F">
          <w:rPr>
            <w:rStyle w:val="Hyperlink"/>
            <w:noProof/>
          </w:rPr>
          <w:t>II.</w:t>
        </w:r>
        <w:r w:rsidR="000F63C1">
          <w:rPr>
            <w:rFonts w:eastAsiaTheme="minorEastAsia" w:cstheme="minorBidi"/>
            <w:b/>
            <w:bCs w:val="0"/>
            <w:noProof/>
            <w:sz w:val="22"/>
            <w:szCs w:val="22"/>
          </w:rPr>
          <w:tab/>
        </w:r>
        <w:r w:rsidR="000F63C1" w:rsidRPr="00B5463F">
          <w:rPr>
            <w:rStyle w:val="Hyperlink"/>
            <w:noProof/>
          </w:rPr>
          <w:t>State Plan Background</w:t>
        </w:r>
        <w:r w:rsidR="000F63C1">
          <w:rPr>
            <w:noProof/>
            <w:webHidden/>
          </w:rPr>
          <w:tab/>
        </w:r>
        <w:r w:rsidR="000F63C1">
          <w:rPr>
            <w:noProof/>
            <w:webHidden/>
          </w:rPr>
          <w:fldChar w:fldCharType="begin"/>
        </w:r>
        <w:r w:rsidR="000F63C1">
          <w:rPr>
            <w:noProof/>
            <w:webHidden/>
          </w:rPr>
          <w:instrText xml:space="preserve"> PAGEREF _Toc119418664 \h </w:instrText>
        </w:r>
        <w:r w:rsidR="000F63C1">
          <w:rPr>
            <w:noProof/>
            <w:webHidden/>
          </w:rPr>
        </w:r>
        <w:r w:rsidR="000F63C1">
          <w:rPr>
            <w:noProof/>
            <w:webHidden/>
          </w:rPr>
          <w:fldChar w:fldCharType="separate"/>
        </w:r>
        <w:r w:rsidR="000A3F63">
          <w:rPr>
            <w:noProof/>
            <w:webHidden/>
          </w:rPr>
          <w:t>3</w:t>
        </w:r>
        <w:r w:rsidR="000F63C1">
          <w:rPr>
            <w:noProof/>
            <w:webHidden/>
          </w:rPr>
          <w:fldChar w:fldCharType="end"/>
        </w:r>
      </w:hyperlink>
    </w:p>
    <w:p w14:paraId="12E60A29" w14:textId="59579A84" w:rsidR="000F63C1" w:rsidRDefault="009C3CD2">
      <w:pPr>
        <w:pStyle w:val="TOC2"/>
        <w:tabs>
          <w:tab w:val="left" w:pos="480"/>
          <w:tab w:val="right" w:leader="dot" w:pos="9530"/>
        </w:tabs>
        <w:rPr>
          <w:rFonts w:eastAsiaTheme="minorEastAsia" w:cstheme="minorBidi"/>
          <w:b/>
          <w:bCs w:val="0"/>
          <w:noProof/>
          <w:sz w:val="22"/>
          <w:szCs w:val="22"/>
        </w:rPr>
      </w:pPr>
      <w:hyperlink w:anchor="_Toc119418665" w:history="1">
        <w:r w:rsidR="000F63C1" w:rsidRPr="00B5463F">
          <w:rPr>
            <w:rStyle w:val="Hyperlink"/>
            <w:noProof/>
          </w:rPr>
          <w:t>III.</w:t>
        </w:r>
        <w:r w:rsidR="000F63C1">
          <w:rPr>
            <w:rFonts w:eastAsiaTheme="minorEastAsia" w:cstheme="minorBidi"/>
            <w:b/>
            <w:bCs w:val="0"/>
            <w:noProof/>
            <w:sz w:val="22"/>
            <w:szCs w:val="22"/>
          </w:rPr>
          <w:tab/>
        </w:r>
        <w:r w:rsidR="000F63C1" w:rsidRPr="00B5463F">
          <w:rPr>
            <w:rStyle w:val="Hyperlink"/>
            <w:noProof/>
          </w:rPr>
          <w:t>Assessment of State Plan Progress and Performance</w:t>
        </w:r>
        <w:r w:rsidR="000F63C1">
          <w:rPr>
            <w:noProof/>
            <w:webHidden/>
          </w:rPr>
          <w:tab/>
        </w:r>
        <w:r w:rsidR="000F63C1">
          <w:rPr>
            <w:noProof/>
            <w:webHidden/>
          </w:rPr>
          <w:fldChar w:fldCharType="begin"/>
        </w:r>
        <w:r w:rsidR="000F63C1">
          <w:rPr>
            <w:noProof/>
            <w:webHidden/>
          </w:rPr>
          <w:instrText xml:space="preserve"> PAGEREF _Toc119418665 \h </w:instrText>
        </w:r>
        <w:r w:rsidR="000F63C1">
          <w:rPr>
            <w:noProof/>
            <w:webHidden/>
          </w:rPr>
        </w:r>
        <w:r w:rsidR="000F63C1">
          <w:rPr>
            <w:noProof/>
            <w:webHidden/>
          </w:rPr>
          <w:fldChar w:fldCharType="separate"/>
        </w:r>
        <w:r w:rsidR="000A3F63">
          <w:rPr>
            <w:noProof/>
            <w:webHidden/>
          </w:rPr>
          <w:t>4</w:t>
        </w:r>
        <w:r w:rsidR="000F63C1">
          <w:rPr>
            <w:noProof/>
            <w:webHidden/>
          </w:rPr>
          <w:fldChar w:fldCharType="end"/>
        </w:r>
      </w:hyperlink>
    </w:p>
    <w:p w14:paraId="1E2078A6" w14:textId="0873ACC1" w:rsidR="000F63C1" w:rsidRDefault="009C3CD2">
      <w:pPr>
        <w:pStyle w:val="TOC3"/>
        <w:tabs>
          <w:tab w:val="left" w:pos="720"/>
          <w:tab w:val="right" w:leader="dot" w:pos="9530"/>
        </w:tabs>
        <w:rPr>
          <w:rFonts w:eastAsiaTheme="minorEastAsia" w:cstheme="minorBidi"/>
          <w:noProof/>
          <w:sz w:val="22"/>
          <w:szCs w:val="22"/>
        </w:rPr>
      </w:pPr>
      <w:hyperlink w:anchor="_Toc119418666" w:history="1">
        <w:r w:rsidR="000F63C1" w:rsidRPr="00B5463F">
          <w:rPr>
            <w:rStyle w:val="Hyperlink"/>
            <w:rFonts w:ascii="Calibri" w:hAnsi="Calibri"/>
            <w:noProof/>
          </w:rPr>
          <w:t>A.</w:t>
        </w:r>
        <w:r w:rsidR="000F63C1">
          <w:rPr>
            <w:rFonts w:eastAsiaTheme="minorEastAsia" w:cstheme="minorBidi"/>
            <w:noProof/>
            <w:sz w:val="22"/>
            <w:szCs w:val="22"/>
          </w:rPr>
          <w:tab/>
        </w:r>
        <w:r w:rsidR="000F63C1" w:rsidRPr="00B5463F">
          <w:rPr>
            <w:rStyle w:val="Hyperlink"/>
            <w:noProof/>
          </w:rPr>
          <w:t>Data and Methodology</w:t>
        </w:r>
        <w:r w:rsidR="000F63C1">
          <w:rPr>
            <w:noProof/>
            <w:webHidden/>
          </w:rPr>
          <w:tab/>
        </w:r>
        <w:r w:rsidR="000F63C1">
          <w:rPr>
            <w:noProof/>
            <w:webHidden/>
          </w:rPr>
          <w:fldChar w:fldCharType="begin"/>
        </w:r>
        <w:r w:rsidR="000F63C1">
          <w:rPr>
            <w:noProof/>
            <w:webHidden/>
          </w:rPr>
          <w:instrText xml:space="preserve"> PAGEREF _Toc119418666 \h </w:instrText>
        </w:r>
        <w:r w:rsidR="000F63C1">
          <w:rPr>
            <w:noProof/>
            <w:webHidden/>
          </w:rPr>
        </w:r>
        <w:r w:rsidR="000F63C1">
          <w:rPr>
            <w:noProof/>
            <w:webHidden/>
          </w:rPr>
          <w:fldChar w:fldCharType="separate"/>
        </w:r>
        <w:r w:rsidR="000A3F63">
          <w:rPr>
            <w:noProof/>
            <w:webHidden/>
          </w:rPr>
          <w:t>4</w:t>
        </w:r>
        <w:r w:rsidR="000F63C1">
          <w:rPr>
            <w:noProof/>
            <w:webHidden/>
          </w:rPr>
          <w:fldChar w:fldCharType="end"/>
        </w:r>
      </w:hyperlink>
    </w:p>
    <w:p w14:paraId="5EC14328" w14:textId="05900BAD" w:rsidR="000F63C1" w:rsidRDefault="009C3CD2">
      <w:pPr>
        <w:pStyle w:val="TOC3"/>
        <w:tabs>
          <w:tab w:val="left" w:pos="720"/>
          <w:tab w:val="right" w:leader="dot" w:pos="9530"/>
        </w:tabs>
        <w:rPr>
          <w:rFonts w:eastAsiaTheme="minorEastAsia" w:cstheme="minorBidi"/>
          <w:noProof/>
          <w:sz w:val="22"/>
          <w:szCs w:val="22"/>
        </w:rPr>
      </w:pPr>
      <w:hyperlink w:anchor="_Toc119418667" w:history="1">
        <w:r w:rsidR="000F63C1" w:rsidRPr="00B5463F">
          <w:rPr>
            <w:rStyle w:val="Hyperlink"/>
            <w:rFonts w:ascii="Calibri" w:hAnsi="Calibri"/>
            <w:noProof/>
          </w:rPr>
          <w:t>B.</w:t>
        </w:r>
        <w:r w:rsidR="000F63C1">
          <w:rPr>
            <w:rFonts w:eastAsiaTheme="minorEastAsia" w:cstheme="minorBidi"/>
            <w:noProof/>
            <w:sz w:val="22"/>
            <w:szCs w:val="22"/>
          </w:rPr>
          <w:tab/>
        </w:r>
        <w:r w:rsidR="000F63C1" w:rsidRPr="00B5463F">
          <w:rPr>
            <w:rStyle w:val="Hyperlink"/>
            <w:noProof/>
          </w:rPr>
          <w:t>Findings and Observations</w:t>
        </w:r>
        <w:r w:rsidR="000F63C1">
          <w:rPr>
            <w:noProof/>
            <w:webHidden/>
          </w:rPr>
          <w:tab/>
        </w:r>
        <w:r w:rsidR="000F63C1">
          <w:rPr>
            <w:noProof/>
            <w:webHidden/>
          </w:rPr>
          <w:fldChar w:fldCharType="begin"/>
        </w:r>
        <w:r w:rsidR="000F63C1">
          <w:rPr>
            <w:noProof/>
            <w:webHidden/>
          </w:rPr>
          <w:instrText xml:space="preserve"> PAGEREF _Toc119418667 \h </w:instrText>
        </w:r>
        <w:r w:rsidR="000F63C1">
          <w:rPr>
            <w:noProof/>
            <w:webHidden/>
          </w:rPr>
        </w:r>
        <w:r w:rsidR="000F63C1">
          <w:rPr>
            <w:noProof/>
            <w:webHidden/>
          </w:rPr>
          <w:fldChar w:fldCharType="separate"/>
        </w:r>
        <w:r w:rsidR="000A3F63">
          <w:rPr>
            <w:noProof/>
            <w:webHidden/>
          </w:rPr>
          <w:t>5</w:t>
        </w:r>
        <w:r w:rsidR="000F63C1">
          <w:rPr>
            <w:noProof/>
            <w:webHidden/>
          </w:rPr>
          <w:fldChar w:fldCharType="end"/>
        </w:r>
      </w:hyperlink>
    </w:p>
    <w:p w14:paraId="373A40FB" w14:textId="1E24AFD2" w:rsidR="000F63C1" w:rsidRDefault="009C3CD2">
      <w:pPr>
        <w:pStyle w:val="TOC3"/>
        <w:tabs>
          <w:tab w:val="left" w:pos="720"/>
          <w:tab w:val="right" w:leader="dot" w:pos="9530"/>
        </w:tabs>
        <w:rPr>
          <w:rFonts w:eastAsiaTheme="minorEastAsia" w:cstheme="minorBidi"/>
          <w:noProof/>
          <w:sz w:val="22"/>
          <w:szCs w:val="22"/>
        </w:rPr>
      </w:pPr>
      <w:hyperlink w:anchor="_Toc119418668" w:history="1">
        <w:r w:rsidR="000F63C1" w:rsidRPr="00B5463F">
          <w:rPr>
            <w:rStyle w:val="Hyperlink"/>
            <w:rFonts w:ascii="Calibri" w:hAnsi="Calibri"/>
            <w:noProof/>
          </w:rPr>
          <w:t>C.</w:t>
        </w:r>
        <w:r w:rsidR="000F63C1">
          <w:rPr>
            <w:rFonts w:eastAsiaTheme="minorEastAsia" w:cstheme="minorBidi"/>
            <w:noProof/>
            <w:sz w:val="22"/>
            <w:szCs w:val="22"/>
          </w:rPr>
          <w:tab/>
        </w:r>
        <w:r w:rsidR="000F63C1" w:rsidRPr="00B5463F">
          <w:rPr>
            <w:rStyle w:val="Hyperlink"/>
            <w:noProof/>
          </w:rPr>
          <w:t>State Activity Mandated Measures (SAMM) Highlights</w:t>
        </w:r>
        <w:r w:rsidR="000F63C1">
          <w:rPr>
            <w:noProof/>
            <w:webHidden/>
          </w:rPr>
          <w:tab/>
        </w:r>
        <w:r w:rsidR="000F63C1">
          <w:rPr>
            <w:noProof/>
            <w:webHidden/>
          </w:rPr>
          <w:fldChar w:fldCharType="begin"/>
        </w:r>
        <w:r w:rsidR="000F63C1">
          <w:rPr>
            <w:noProof/>
            <w:webHidden/>
          </w:rPr>
          <w:instrText xml:space="preserve"> PAGEREF _Toc119418668 \h </w:instrText>
        </w:r>
        <w:r w:rsidR="000F63C1">
          <w:rPr>
            <w:noProof/>
            <w:webHidden/>
          </w:rPr>
        </w:r>
        <w:r w:rsidR="000F63C1">
          <w:rPr>
            <w:noProof/>
            <w:webHidden/>
          </w:rPr>
          <w:fldChar w:fldCharType="separate"/>
        </w:r>
        <w:r w:rsidR="000A3F63">
          <w:rPr>
            <w:noProof/>
            <w:webHidden/>
          </w:rPr>
          <w:t>7</w:t>
        </w:r>
        <w:r w:rsidR="000F63C1">
          <w:rPr>
            <w:noProof/>
            <w:webHidden/>
          </w:rPr>
          <w:fldChar w:fldCharType="end"/>
        </w:r>
      </w:hyperlink>
    </w:p>
    <w:p w14:paraId="50DBA2CB" w14:textId="236F0C94" w:rsidR="000F63C1" w:rsidRDefault="009C3CD2">
      <w:pPr>
        <w:pStyle w:val="TOC3"/>
        <w:tabs>
          <w:tab w:val="right" w:leader="dot" w:pos="9530"/>
        </w:tabs>
        <w:rPr>
          <w:rFonts w:eastAsiaTheme="minorEastAsia" w:cstheme="minorBidi"/>
          <w:noProof/>
          <w:sz w:val="22"/>
          <w:szCs w:val="22"/>
        </w:rPr>
      </w:pPr>
      <w:hyperlink w:anchor="_Toc119418669" w:history="1">
        <w:r w:rsidR="000F63C1" w:rsidRPr="00B5463F">
          <w:rPr>
            <w:rStyle w:val="Hyperlink"/>
            <w:noProof/>
          </w:rPr>
          <w:t>Appendix A – New and Continued Findings and Recommendations</w:t>
        </w:r>
        <w:r w:rsidR="000F63C1">
          <w:rPr>
            <w:noProof/>
            <w:webHidden/>
          </w:rPr>
          <w:tab/>
        </w:r>
        <w:r w:rsidR="000F63C1">
          <w:rPr>
            <w:noProof/>
            <w:webHidden/>
          </w:rPr>
          <w:fldChar w:fldCharType="begin"/>
        </w:r>
        <w:r w:rsidR="000F63C1">
          <w:rPr>
            <w:noProof/>
            <w:webHidden/>
          </w:rPr>
          <w:instrText xml:space="preserve"> PAGEREF _Toc119418669 \h </w:instrText>
        </w:r>
        <w:r w:rsidR="000F63C1">
          <w:rPr>
            <w:noProof/>
            <w:webHidden/>
          </w:rPr>
        </w:r>
        <w:r w:rsidR="000F63C1">
          <w:rPr>
            <w:noProof/>
            <w:webHidden/>
          </w:rPr>
          <w:fldChar w:fldCharType="separate"/>
        </w:r>
        <w:r w:rsidR="000A3F63">
          <w:rPr>
            <w:noProof/>
            <w:webHidden/>
          </w:rPr>
          <w:t>1</w:t>
        </w:r>
        <w:r w:rsidR="000F63C1">
          <w:rPr>
            <w:noProof/>
            <w:webHidden/>
          </w:rPr>
          <w:fldChar w:fldCharType="end"/>
        </w:r>
      </w:hyperlink>
      <w:r w:rsidR="0073123B">
        <w:rPr>
          <w:noProof/>
        </w:rPr>
        <w:t>1</w:t>
      </w:r>
    </w:p>
    <w:p w14:paraId="150115C6" w14:textId="6836C1FC" w:rsidR="000F63C1" w:rsidRDefault="009C3CD2">
      <w:pPr>
        <w:pStyle w:val="TOC3"/>
        <w:tabs>
          <w:tab w:val="right" w:leader="dot" w:pos="9530"/>
        </w:tabs>
        <w:rPr>
          <w:rFonts w:eastAsiaTheme="minorEastAsia" w:cstheme="minorBidi"/>
          <w:noProof/>
          <w:sz w:val="22"/>
          <w:szCs w:val="22"/>
        </w:rPr>
      </w:pPr>
      <w:hyperlink w:anchor="_Toc119418670" w:history="1">
        <w:r w:rsidR="000F63C1" w:rsidRPr="00B5463F">
          <w:rPr>
            <w:rStyle w:val="Hyperlink"/>
            <w:noProof/>
          </w:rPr>
          <w:t>Appendix B – Observations Subject to Continued Monitoring</w:t>
        </w:r>
        <w:r w:rsidR="000F63C1">
          <w:rPr>
            <w:noProof/>
            <w:webHidden/>
          </w:rPr>
          <w:tab/>
        </w:r>
        <w:r w:rsidR="000F63C1">
          <w:rPr>
            <w:noProof/>
            <w:webHidden/>
          </w:rPr>
          <w:fldChar w:fldCharType="begin"/>
        </w:r>
        <w:r w:rsidR="000F63C1">
          <w:rPr>
            <w:noProof/>
            <w:webHidden/>
          </w:rPr>
          <w:instrText xml:space="preserve"> PAGEREF _Toc119418670 \h </w:instrText>
        </w:r>
        <w:r w:rsidR="000F63C1">
          <w:rPr>
            <w:noProof/>
            <w:webHidden/>
          </w:rPr>
        </w:r>
        <w:r w:rsidR="000F63C1">
          <w:rPr>
            <w:noProof/>
            <w:webHidden/>
          </w:rPr>
          <w:fldChar w:fldCharType="separate"/>
        </w:r>
        <w:r w:rsidR="000A3F63">
          <w:rPr>
            <w:noProof/>
            <w:webHidden/>
          </w:rPr>
          <w:t>1</w:t>
        </w:r>
        <w:r w:rsidR="000F63C1">
          <w:rPr>
            <w:noProof/>
            <w:webHidden/>
          </w:rPr>
          <w:fldChar w:fldCharType="end"/>
        </w:r>
      </w:hyperlink>
      <w:r w:rsidR="0073123B">
        <w:rPr>
          <w:noProof/>
        </w:rPr>
        <w:t>3</w:t>
      </w:r>
    </w:p>
    <w:p w14:paraId="65AD001B" w14:textId="1908C083" w:rsidR="000F63C1" w:rsidRDefault="009C3CD2">
      <w:pPr>
        <w:pStyle w:val="TOC3"/>
        <w:tabs>
          <w:tab w:val="right" w:leader="dot" w:pos="9530"/>
        </w:tabs>
        <w:rPr>
          <w:rFonts w:eastAsiaTheme="minorEastAsia" w:cstheme="minorBidi"/>
          <w:noProof/>
          <w:sz w:val="22"/>
          <w:szCs w:val="22"/>
        </w:rPr>
      </w:pPr>
      <w:hyperlink w:anchor="_Toc119418671" w:history="1">
        <w:r w:rsidR="000F63C1" w:rsidRPr="00B5463F">
          <w:rPr>
            <w:rStyle w:val="Hyperlink"/>
            <w:noProof/>
          </w:rPr>
          <w:t>Appendix C - Status of FY 20</w:t>
        </w:r>
        <w:r w:rsidR="000A2B6F">
          <w:rPr>
            <w:rStyle w:val="Hyperlink"/>
            <w:noProof/>
          </w:rPr>
          <w:t>21</w:t>
        </w:r>
        <w:r w:rsidR="000F63C1" w:rsidRPr="00B5463F">
          <w:rPr>
            <w:rStyle w:val="Hyperlink"/>
            <w:noProof/>
          </w:rPr>
          <w:t xml:space="preserve"> Findings and Recommendations</w:t>
        </w:r>
        <w:r w:rsidR="000F63C1">
          <w:rPr>
            <w:noProof/>
            <w:webHidden/>
          </w:rPr>
          <w:tab/>
        </w:r>
        <w:r w:rsidR="000F63C1">
          <w:rPr>
            <w:noProof/>
            <w:webHidden/>
          </w:rPr>
          <w:fldChar w:fldCharType="begin"/>
        </w:r>
        <w:r w:rsidR="000F63C1">
          <w:rPr>
            <w:noProof/>
            <w:webHidden/>
          </w:rPr>
          <w:instrText xml:space="preserve"> PAGEREF _Toc119418671 \h </w:instrText>
        </w:r>
        <w:r w:rsidR="000F63C1">
          <w:rPr>
            <w:noProof/>
            <w:webHidden/>
          </w:rPr>
        </w:r>
        <w:r w:rsidR="000F63C1">
          <w:rPr>
            <w:noProof/>
            <w:webHidden/>
          </w:rPr>
          <w:fldChar w:fldCharType="separate"/>
        </w:r>
        <w:r w:rsidR="000A3F63">
          <w:rPr>
            <w:noProof/>
            <w:webHidden/>
          </w:rPr>
          <w:t>1</w:t>
        </w:r>
        <w:r w:rsidR="000F63C1">
          <w:rPr>
            <w:noProof/>
            <w:webHidden/>
          </w:rPr>
          <w:fldChar w:fldCharType="end"/>
        </w:r>
      </w:hyperlink>
      <w:r w:rsidR="002B6B4D">
        <w:rPr>
          <w:noProof/>
        </w:rPr>
        <w:t>4</w:t>
      </w:r>
    </w:p>
    <w:p w14:paraId="38E9E7F9" w14:textId="19B8A8EA" w:rsidR="000F63C1" w:rsidRDefault="009C3CD2">
      <w:pPr>
        <w:pStyle w:val="TOC3"/>
        <w:tabs>
          <w:tab w:val="right" w:leader="dot" w:pos="9530"/>
        </w:tabs>
        <w:rPr>
          <w:rFonts w:eastAsiaTheme="minorEastAsia" w:cstheme="minorBidi"/>
          <w:noProof/>
          <w:sz w:val="22"/>
          <w:szCs w:val="22"/>
        </w:rPr>
      </w:pPr>
      <w:hyperlink w:anchor="_Toc119418672" w:history="1">
        <w:r w:rsidR="000F63C1" w:rsidRPr="00B5463F">
          <w:rPr>
            <w:rStyle w:val="Hyperlink"/>
            <w:noProof/>
          </w:rPr>
          <w:t>Appendix D – FY 2022 State Activity Mandated Measures (SAMM) Report</w:t>
        </w:r>
        <w:r w:rsidR="000F63C1">
          <w:rPr>
            <w:noProof/>
            <w:webHidden/>
          </w:rPr>
          <w:tab/>
        </w:r>
      </w:hyperlink>
      <w:r w:rsidR="0073123B">
        <w:rPr>
          <w:noProof/>
        </w:rPr>
        <w:t>20</w:t>
      </w:r>
    </w:p>
    <w:p w14:paraId="2A952C03" w14:textId="70A905C4" w:rsidR="00B823A3" w:rsidRDefault="000F63C1" w:rsidP="000F63C1">
      <w:r>
        <w:fldChar w:fldCharType="end"/>
      </w:r>
      <w:r w:rsidR="00B823A3">
        <w:br w:type="page"/>
      </w:r>
    </w:p>
    <w:p w14:paraId="57C8B837" w14:textId="77777777" w:rsidR="000A134A" w:rsidRPr="001C1E47" w:rsidRDefault="000A134A" w:rsidP="00476C08">
      <w:pPr>
        <w:pStyle w:val="Heading2"/>
      </w:pPr>
      <w:bookmarkStart w:id="2" w:name="_Toc338764303"/>
      <w:bookmarkStart w:id="3" w:name="_Toc118900170"/>
      <w:bookmarkStart w:id="4" w:name="_Toc118905009"/>
      <w:bookmarkStart w:id="5" w:name="_Toc119418663"/>
      <w:r w:rsidRPr="001C1E47">
        <w:lastRenderedPageBreak/>
        <w:t>Executive Summary</w:t>
      </w:r>
      <w:bookmarkEnd w:id="2"/>
      <w:bookmarkEnd w:id="3"/>
      <w:bookmarkEnd w:id="4"/>
      <w:bookmarkEnd w:id="5"/>
    </w:p>
    <w:p w14:paraId="4A4FF058" w14:textId="77777777" w:rsidR="000A134A" w:rsidRPr="001C1E47" w:rsidRDefault="000A134A" w:rsidP="00783189">
      <w:pPr>
        <w:widowControl/>
        <w:autoSpaceDE/>
        <w:autoSpaceDN/>
        <w:adjustRightInd/>
        <w:rPr>
          <w:rFonts w:cs="Calibri"/>
          <w:b/>
        </w:rPr>
      </w:pPr>
    </w:p>
    <w:p w14:paraId="6C9873FB" w14:textId="2F1F78F0" w:rsidR="00DA627F" w:rsidRDefault="00050FEB" w:rsidP="00783189">
      <w:pPr>
        <w:rPr>
          <w:rFonts w:cs="Calibri"/>
        </w:rPr>
      </w:pPr>
      <w:r w:rsidRPr="001C1E47">
        <w:rPr>
          <w:rFonts w:cs="Calibri"/>
        </w:rPr>
        <w:t xml:space="preserve">The </w:t>
      </w:r>
      <w:r w:rsidR="00F85F2D" w:rsidRPr="001C1E47">
        <w:rPr>
          <w:rFonts w:cs="Calibri"/>
        </w:rPr>
        <w:t xml:space="preserve">primary </w:t>
      </w:r>
      <w:r w:rsidRPr="001C1E47">
        <w:rPr>
          <w:rFonts w:cs="Calibri"/>
        </w:rPr>
        <w:t xml:space="preserve">purpose of this report is to assess the State Plan’s </w:t>
      </w:r>
      <w:r w:rsidR="00F85F2D" w:rsidRPr="001C1E47">
        <w:rPr>
          <w:rFonts w:cs="Calibri"/>
        </w:rPr>
        <w:t>progress in</w:t>
      </w:r>
      <w:r w:rsidRPr="001C1E47">
        <w:rPr>
          <w:rFonts w:cs="Calibri"/>
        </w:rPr>
        <w:t xml:space="preserve"> </w:t>
      </w:r>
      <w:r w:rsidR="00617BCC">
        <w:rPr>
          <w:rFonts w:cs="Calibri"/>
        </w:rPr>
        <w:t>f</w:t>
      </w:r>
      <w:r w:rsidRPr="001C1E47">
        <w:rPr>
          <w:rFonts w:cs="Calibri"/>
        </w:rPr>
        <w:t xml:space="preserve">iscal </w:t>
      </w:r>
      <w:r w:rsidR="00617BCC">
        <w:rPr>
          <w:rFonts w:cs="Calibri"/>
        </w:rPr>
        <w:t>y</w:t>
      </w:r>
      <w:r w:rsidRPr="001C1E47">
        <w:rPr>
          <w:rFonts w:cs="Calibri"/>
        </w:rPr>
        <w:t>ear (FY) 20</w:t>
      </w:r>
      <w:r w:rsidR="00185C7D" w:rsidRPr="001C1E47">
        <w:rPr>
          <w:rFonts w:cs="Calibri"/>
        </w:rPr>
        <w:t>22</w:t>
      </w:r>
      <w:r w:rsidRPr="001C1E47">
        <w:rPr>
          <w:rFonts w:cs="Calibri"/>
        </w:rPr>
        <w:t xml:space="preserve">, in resolving outstanding findings from </w:t>
      </w:r>
      <w:r w:rsidR="005837BD" w:rsidRPr="001C1E47">
        <w:rPr>
          <w:rFonts w:cs="Calibri"/>
        </w:rPr>
        <w:t xml:space="preserve">the </w:t>
      </w:r>
      <w:r w:rsidRPr="001C1E47">
        <w:rPr>
          <w:rFonts w:cs="Calibri"/>
        </w:rPr>
        <w:t>previous FY 20</w:t>
      </w:r>
      <w:r w:rsidR="00185C7D" w:rsidRPr="001C1E47">
        <w:rPr>
          <w:rFonts w:cs="Calibri"/>
        </w:rPr>
        <w:t>21</w:t>
      </w:r>
      <w:r w:rsidRPr="001C1E47">
        <w:rPr>
          <w:rFonts w:cs="Calibri"/>
        </w:rPr>
        <w:t xml:space="preserve"> Comprehensive F</w:t>
      </w:r>
      <w:r w:rsidR="00626033" w:rsidRPr="001C1E47">
        <w:rPr>
          <w:rFonts w:cs="Calibri"/>
        </w:rPr>
        <w:t>ederal Annual Monitoring Evaluation (F</w:t>
      </w:r>
      <w:r w:rsidRPr="001C1E47">
        <w:rPr>
          <w:rFonts w:cs="Calibri"/>
        </w:rPr>
        <w:t>AME</w:t>
      </w:r>
      <w:r w:rsidR="00626033" w:rsidRPr="001C1E47">
        <w:rPr>
          <w:rFonts w:cs="Calibri"/>
        </w:rPr>
        <w:t>)</w:t>
      </w:r>
      <w:r w:rsidRPr="001C1E47">
        <w:rPr>
          <w:rFonts w:cs="Calibri"/>
        </w:rPr>
        <w:t xml:space="preserve"> Report. </w:t>
      </w:r>
      <w:r w:rsidR="00DA627F">
        <w:rPr>
          <w:rFonts w:cs="Calibri"/>
        </w:rPr>
        <w:t xml:space="preserve"> </w:t>
      </w:r>
      <w:r w:rsidR="004716CE">
        <w:rPr>
          <w:rFonts w:cs="Calibri"/>
        </w:rPr>
        <w:t xml:space="preserve">The report also </w:t>
      </w:r>
      <w:r w:rsidR="00AB13C6">
        <w:rPr>
          <w:rFonts w:cs="Calibri"/>
        </w:rPr>
        <w:t>assesses</w:t>
      </w:r>
      <w:r w:rsidR="004716CE">
        <w:rPr>
          <w:rFonts w:cs="Calibri"/>
        </w:rPr>
        <w:t xml:space="preserve"> the current performance of the Indiana Department of Labor Occupational Safety and Health Administration </w:t>
      </w:r>
      <w:r w:rsidR="007F2C05">
        <w:rPr>
          <w:rFonts w:cs="Calibri"/>
        </w:rPr>
        <w:t xml:space="preserve">(IOSHA) </w:t>
      </w:r>
      <w:r w:rsidR="004716CE">
        <w:rPr>
          <w:rFonts w:cs="Calibri"/>
        </w:rPr>
        <w:t xml:space="preserve">in the context of agreed upon monitoring measures.  </w:t>
      </w:r>
      <w:r w:rsidR="00DA627F">
        <w:rPr>
          <w:rFonts w:cs="Calibri"/>
        </w:rPr>
        <w:t xml:space="preserve">The State Plan was responsive to the previous findings and recommendations and made progress in addressing the nine findings from the FY 2021 Comprehensive FAME report. </w:t>
      </w:r>
      <w:r w:rsidR="004716CE">
        <w:rPr>
          <w:rFonts w:cs="Calibri"/>
        </w:rPr>
        <w:t xml:space="preserve"> </w:t>
      </w:r>
      <w:r w:rsidR="00AB13C6">
        <w:rPr>
          <w:rFonts w:cs="Calibri"/>
        </w:rPr>
        <w:t xml:space="preserve">Seven findings remain in this report. </w:t>
      </w:r>
      <w:r w:rsidR="00DA627F">
        <w:rPr>
          <w:rFonts w:cs="Calibri"/>
        </w:rPr>
        <w:t xml:space="preserve">No new findings or observations were identified. </w:t>
      </w:r>
    </w:p>
    <w:p w14:paraId="18CB70BD" w14:textId="4F837B0B" w:rsidR="00DA627F" w:rsidRDefault="00DA627F" w:rsidP="00783189">
      <w:pPr>
        <w:rPr>
          <w:rFonts w:cs="Calibri"/>
        </w:rPr>
      </w:pPr>
    </w:p>
    <w:p w14:paraId="02143F06" w14:textId="5B623032" w:rsidR="00DA627F" w:rsidRDefault="00DA627F" w:rsidP="00783189">
      <w:pPr>
        <w:rPr>
          <w:rFonts w:cs="Calibri"/>
        </w:rPr>
      </w:pPr>
      <w:r>
        <w:rPr>
          <w:rFonts w:cs="Calibri"/>
        </w:rPr>
        <w:t xml:space="preserve">The State Plan has been challenged with turnover </w:t>
      </w:r>
      <w:r w:rsidR="00A84F5C">
        <w:rPr>
          <w:rFonts w:cs="Calibri"/>
        </w:rPr>
        <w:t xml:space="preserve">in compliance staff and steps taken by the Indiana Department of Labor as well as Indiana’s State Personnel Department in fiscal year (FY) 2022 have resulted in significant salary increases for Indiana OSHA staff.  </w:t>
      </w:r>
      <w:r w:rsidR="00C144E7">
        <w:rPr>
          <w:rFonts w:cs="Calibri"/>
        </w:rPr>
        <w:t>W</w:t>
      </w:r>
      <w:r w:rsidR="00A84F5C">
        <w:rPr>
          <w:rFonts w:cs="Calibri"/>
        </w:rPr>
        <w:t xml:space="preserve">ith the state’s commitment to retaining and recruiting qualified enforcement staff, the expectation is IOSHA will be on a </w:t>
      </w:r>
      <w:r w:rsidR="00C144E7">
        <w:rPr>
          <w:rFonts w:cs="Calibri"/>
        </w:rPr>
        <w:t>track</w:t>
      </w:r>
      <w:r w:rsidR="00A84F5C">
        <w:rPr>
          <w:rFonts w:cs="Calibri"/>
        </w:rPr>
        <w:t xml:space="preserve"> to meet inspection goals and mandated measures </w:t>
      </w:r>
      <w:r w:rsidR="00C144E7">
        <w:rPr>
          <w:rFonts w:cs="Calibri"/>
        </w:rPr>
        <w:t xml:space="preserve">that </w:t>
      </w:r>
      <w:r w:rsidR="00617BCC">
        <w:rPr>
          <w:rFonts w:cs="Calibri"/>
        </w:rPr>
        <w:t xml:space="preserve">were not met </w:t>
      </w:r>
      <w:r w:rsidR="00E83DC0">
        <w:rPr>
          <w:rFonts w:cs="Calibri"/>
        </w:rPr>
        <w:t>recently</w:t>
      </w:r>
      <w:r w:rsidR="00617BCC">
        <w:rPr>
          <w:rFonts w:cs="Calibri"/>
        </w:rPr>
        <w:t xml:space="preserve">. </w:t>
      </w:r>
    </w:p>
    <w:p w14:paraId="5C6F689A" w14:textId="390CCED0" w:rsidR="00C144E7" w:rsidRDefault="00C144E7" w:rsidP="00783189">
      <w:pPr>
        <w:rPr>
          <w:rFonts w:cs="Calibri"/>
        </w:rPr>
      </w:pPr>
    </w:p>
    <w:p w14:paraId="3B66C67F" w14:textId="665CB894" w:rsidR="00C144E7" w:rsidRDefault="00C144E7" w:rsidP="00783189">
      <w:pPr>
        <w:rPr>
          <w:rFonts w:cs="Calibri"/>
        </w:rPr>
      </w:pPr>
      <w:r>
        <w:rPr>
          <w:rFonts w:cs="Calibri"/>
        </w:rPr>
        <w:t>IOSHA implemented correcti</w:t>
      </w:r>
      <w:r w:rsidR="00B62EB7">
        <w:rPr>
          <w:rFonts w:cs="Calibri"/>
        </w:rPr>
        <w:t>ve</w:t>
      </w:r>
      <w:r>
        <w:rPr>
          <w:rFonts w:cs="Calibri"/>
        </w:rPr>
        <w:t xml:space="preserve"> actions to address all nine findings from FY 2021 and as a result, two findings are completed and f</w:t>
      </w:r>
      <w:r w:rsidR="00C54E57">
        <w:rPr>
          <w:rFonts w:cs="Calibri"/>
        </w:rPr>
        <w:t xml:space="preserve">our </w:t>
      </w:r>
      <w:r>
        <w:rPr>
          <w:rFonts w:cs="Calibri"/>
        </w:rPr>
        <w:t xml:space="preserve">are awaiting verification.  </w:t>
      </w:r>
      <w:r w:rsidR="007F2C05">
        <w:rPr>
          <w:rFonts w:cs="Calibri"/>
        </w:rPr>
        <w:t>An onsite case file review will be part of the FY 2023 Comprehensive FAME to determine if the f</w:t>
      </w:r>
      <w:r w:rsidR="00C54E57">
        <w:rPr>
          <w:rFonts w:cs="Calibri"/>
        </w:rPr>
        <w:t>our</w:t>
      </w:r>
      <w:r w:rsidR="007F2C05">
        <w:rPr>
          <w:rFonts w:cs="Calibri"/>
        </w:rPr>
        <w:t xml:space="preserve"> findings awaiting verification are completed.  </w:t>
      </w:r>
      <w:r w:rsidR="00B62EB7">
        <w:rPr>
          <w:rFonts w:cs="Calibri"/>
        </w:rPr>
        <w:t xml:space="preserve">The two completed findings are related to proof of receipt of whistleblower determination letters and </w:t>
      </w:r>
      <w:r w:rsidR="00C54E57">
        <w:rPr>
          <w:rFonts w:cs="Calibri"/>
        </w:rPr>
        <w:t xml:space="preserve">percent in-compliance for health inspections. </w:t>
      </w:r>
      <w:r>
        <w:rPr>
          <w:rFonts w:cs="Calibri"/>
        </w:rPr>
        <w:t>T</w:t>
      </w:r>
      <w:r w:rsidR="00C54E57">
        <w:rPr>
          <w:rFonts w:cs="Calibri"/>
        </w:rPr>
        <w:t>hree</w:t>
      </w:r>
      <w:r>
        <w:rPr>
          <w:rFonts w:cs="Calibri"/>
        </w:rPr>
        <w:t xml:space="preserve"> other findings remain open, with one of these related to implementing OSHA’s 2016 penalty increase and subsequent annual increases for inflation.  IOSHA submitted language for consideration in the </w:t>
      </w:r>
      <w:r w:rsidR="0019505B">
        <w:rPr>
          <w:rFonts w:cs="Calibri"/>
        </w:rPr>
        <w:t xml:space="preserve">Indiana </w:t>
      </w:r>
      <w:r>
        <w:rPr>
          <w:rFonts w:cs="Calibri"/>
        </w:rPr>
        <w:t>legislature, however, there has been no action taken, nor does IOSHA expect any movement on it</w:t>
      </w:r>
      <w:r w:rsidR="00B62EB7">
        <w:rPr>
          <w:rFonts w:cs="Calibri"/>
        </w:rPr>
        <w:t xml:space="preserve"> this year</w:t>
      </w:r>
      <w:r>
        <w:rPr>
          <w:rFonts w:cs="Calibri"/>
        </w:rPr>
        <w:t xml:space="preserve">. </w:t>
      </w:r>
      <w:r w:rsidR="00B62EB7">
        <w:rPr>
          <w:rFonts w:cs="Calibri"/>
        </w:rPr>
        <w:t xml:space="preserve"> </w:t>
      </w:r>
    </w:p>
    <w:p w14:paraId="58831408" w14:textId="37A46175" w:rsidR="004716CE" w:rsidRDefault="004716CE" w:rsidP="00783189">
      <w:pPr>
        <w:rPr>
          <w:rFonts w:cs="Calibri"/>
        </w:rPr>
      </w:pPr>
    </w:p>
    <w:p w14:paraId="383B8438" w14:textId="7B272105" w:rsidR="004716CE" w:rsidRDefault="004716CE" w:rsidP="00783189">
      <w:pPr>
        <w:rPr>
          <w:rFonts w:cs="Calibri"/>
        </w:rPr>
      </w:pPr>
      <w:r>
        <w:rPr>
          <w:rFonts w:cs="Calibri"/>
        </w:rPr>
        <w:t>The FY 2022 Indiana State OSHA Annual Report (SOAR) provided information that outlines IOSHA’s accomplishments toward meeting their Five-Year Strategic Management Plan.  The report has been reviewed to assess their progress in meeting performance plan goals.</w:t>
      </w:r>
      <w:r w:rsidR="007F2C05">
        <w:rPr>
          <w:rFonts w:cs="Calibri"/>
        </w:rPr>
        <w:t xml:space="preserve">  Progress on strategic plan goals is discussed during quarterly monitoring meetings held during the fiscal year.  The State Activity Mandated Measures (SAMM) report and the State Indicators Report (SIR) are also reviewed during the quarterly meetings with IOSHA enforcement staff.  The FY 2022 SAMM is Appendix D of this report. </w:t>
      </w:r>
    </w:p>
    <w:p w14:paraId="076682DC" w14:textId="77777777" w:rsidR="00781312" w:rsidRPr="00C53328" w:rsidRDefault="00781312" w:rsidP="00783189">
      <w:pPr>
        <w:rPr>
          <w:rFonts w:cs="Calibri"/>
          <w:iCs/>
          <w:color w:val="0070C0"/>
        </w:rPr>
      </w:pPr>
    </w:p>
    <w:p w14:paraId="67E95E6F" w14:textId="6755D6C3" w:rsidR="000A134A" w:rsidRPr="001C1E47" w:rsidRDefault="001E71BA" w:rsidP="00476C08">
      <w:pPr>
        <w:pStyle w:val="Heading2"/>
      </w:pPr>
      <w:bookmarkStart w:id="6" w:name="_Toc118900171"/>
      <w:bookmarkStart w:id="7" w:name="_Toc118905010"/>
      <w:bookmarkStart w:id="8" w:name="_Toc119418664"/>
      <w:r w:rsidRPr="001C1E47">
        <w:t>State Plan Background</w:t>
      </w:r>
      <w:bookmarkEnd w:id="6"/>
      <w:bookmarkEnd w:id="7"/>
      <w:bookmarkEnd w:id="8"/>
    </w:p>
    <w:p w14:paraId="7ED8AA2D" w14:textId="77777777" w:rsidR="000A134A" w:rsidRPr="001C1E47" w:rsidRDefault="000A134A" w:rsidP="00783189">
      <w:pPr>
        <w:widowControl/>
        <w:autoSpaceDE/>
        <w:autoSpaceDN/>
        <w:adjustRightInd/>
        <w:rPr>
          <w:rFonts w:cs="Calibri"/>
          <w:i/>
        </w:rPr>
      </w:pPr>
    </w:p>
    <w:p w14:paraId="7A6E587B" w14:textId="104D8592" w:rsidR="00CA2A70" w:rsidRDefault="00CA2A70" w:rsidP="00783189">
      <w:pPr>
        <w:widowControl/>
        <w:autoSpaceDE/>
        <w:autoSpaceDN/>
        <w:adjustRightInd/>
        <w:rPr>
          <w:rFonts w:cs="Calibri"/>
          <w:iCs/>
        </w:rPr>
      </w:pPr>
      <w:r>
        <w:rPr>
          <w:rFonts w:cs="Calibri"/>
          <w:iCs/>
        </w:rPr>
        <w:t xml:space="preserve">The Indiana Department of Labor, under an agreement with OSHA, administers the Indiana occupational safety and health program in accordance with Section 18 of the Occupational Safety and Health Act of 1970 (OSHA Act).  IOSHA’s plan was initially approved on March 6, </w:t>
      </w:r>
      <w:r w:rsidR="005F5CD7">
        <w:rPr>
          <w:rFonts w:cs="Calibri"/>
          <w:iCs/>
        </w:rPr>
        <w:t>1974,</w:t>
      </w:r>
      <w:r>
        <w:rPr>
          <w:rFonts w:cs="Calibri"/>
          <w:iCs/>
        </w:rPr>
        <w:t xml:space="preserve"> and certified on October 6, 1981.  On September 26, 1986, IOSHA received final approval.  The State Plan designee </w:t>
      </w:r>
      <w:r w:rsidR="00DA627F">
        <w:rPr>
          <w:rFonts w:cs="Calibri"/>
          <w:iCs/>
        </w:rPr>
        <w:t xml:space="preserve">Mr. </w:t>
      </w:r>
      <w:r>
        <w:rPr>
          <w:rFonts w:cs="Calibri"/>
          <w:iCs/>
        </w:rPr>
        <w:t xml:space="preserve">David Redden, Commissioner of the Indiana Department of Labor was appointed by the Indiana Governor in July 2022.  The director of IOSHA’s program is Ms. Michelle </w:t>
      </w:r>
      <w:r>
        <w:rPr>
          <w:rFonts w:cs="Calibri"/>
          <w:iCs/>
        </w:rPr>
        <w:lastRenderedPageBreak/>
        <w:t xml:space="preserve">Ellison, Deputy Commissioner of Labor.  Mr. Jameson Berry is Director of General </w:t>
      </w:r>
      <w:r w:rsidR="007F2C05">
        <w:rPr>
          <w:rFonts w:cs="Calibri"/>
          <w:iCs/>
        </w:rPr>
        <w:t>Industry,</w:t>
      </w:r>
      <w:r>
        <w:rPr>
          <w:rFonts w:cs="Calibri"/>
          <w:iCs/>
        </w:rPr>
        <w:t xml:space="preserve"> and the Whistleblower Unit and Mr. Jeremy Galloway is Director of Construction. </w:t>
      </w:r>
    </w:p>
    <w:p w14:paraId="5D8C1B2D" w14:textId="77777777" w:rsidR="00CA2A70" w:rsidRDefault="00CA2A70" w:rsidP="00783189">
      <w:pPr>
        <w:widowControl/>
        <w:autoSpaceDE/>
        <w:autoSpaceDN/>
        <w:adjustRightInd/>
        <w:rPr>
          <w:rFonts w:cs="Calibri"/>
          <w:iCs/>
        </w:rPr>
      </w:pPr>
    </w:p>
    <w:p w14:paraId="13B48859" w14:textId="77777777" w:rsidR="00CA2A70" w:rsidRDefault="00CA2A70" w:rsidP="00783189">
      <w:pPr>
        <w:widowControl/>
        <w:autoSpaceDE/>
        <w:autoSpaceDN/>
        <w:adjustRightInd/>
        <w:rPr>
          <w:rFonts w:cs="Calibri"/>
          <w:iCs/>
        </w:rPr>
      </w:pPr>
      <w:r>
        <w:rPr>
          <w:rFonts w:cs="Calibri"/>
          <w:iCs/>
        </w:rPr>
        <w:t xml:space="preserve">IOSHA adopts all of OSHA’s safety and health standards and federal program changes, with some differences when allowed.  Indiana state law, IC 22-8-1.1-17.5 does not allow IOSHA’s safety and health regulations to be more stringent than those of OSHA.  The Indiana Department of Labor’s </w:t>
      </w:r>
      <w:proofErr w:type="spellStart"/>
      <w:r>
        <w:rPr>
          <w:rFonts w:cs="Calibri"/>
          <w:iCs/>
        </w:rPr>
        <w:t>INSafe</w:t>
      </w:r>
      <w:proofErr w:type="spellEnd"/>
      <w:r>
        <w:rPr>
          <w:rFonts w:cs="Calibri"/>
          <w:iCs/>
        </w:rPr>
        <w:t xml:space="preserve"> Division administers the private sector on-site consultation program funded under a 21(d) grant.</w:t>
      </w:r>
    </w:p>
    <w:p w14:paraId="0AE9FAB1" w14:textId="77777777" w:rsidR="00CA2A70" w:rsidRDefault="00CA2A70" w:rsidP="00783189">
      <w:pPr>
        <w:widowControl/>
        <w:autoSpaceDE/>
        <w:autoSpaceDN/>
        <w:adjustRightInd/>
        <w:rPr>
          <w:rFonts w:cs="Calibri"/>
          <w:iCs/>
        </w:rPr>
      </w:pPr>
    </w:p>
    <w:p w14:paraId="2B97ADD9" w14:textId="44958EED" w:rsidR="00CA2A70" w:rsidRDefault="00CA2A70" w:rsidP="00783189">
      <w:pPr>
        <w:widowControl/>
        <w:autoSpaceDE/>
        <w:autoSpaceDN/>
        <w:adjustRightInd/>
        <w:rPr>
          <w:rFonts w:cs="Calibri"/>
          <w:iCs/>
        </w:rPr>
      </w:pPr>
      <w:r>
        <w:rPr>
          <w:rFonts w:cs="Calibri"/>
          <w:iCs/>
        </w:rPr>
        <w:t>The FY 2022 grant included funding totaling $5,140,200</w:t>
      </w:r>
      <w:r w:rsidR="005473AB">
        <w:rPr>
          <w:rFonts w:cs="Calibri"/>
          <w:iCs/>
        </w:rPr>
        <w:t xml:space="preserve">.  The federal share was $2,570,100.  Indiana did not </w:t>
      </w:r>
      <w:proofErr w:type="spellStart"/>
      <w:r w:rsidR="005473AB">
        <w:rPr>
          <w:rFonts w:cs="Calibri"/>
          <w:iCs/>
        </w:rPr>
        <w:t>deobligate</w:t>
      </w:r>
      <w:proofErr w:type="spellEnd"/>
      <w:r w:rsidR="005473AB">
        <w:rPr>
          <w:rFonts w:cs="Calibri"/>
          <w:iCs/>
        </w:rPr>
        <w:t xml:space="preserve"> any funds in FY 2022.  The State Plan’s benchmark staffing level is 47 safety officers and 23 industrial hygienists.  IOSHA’s allocated staffing level in FY 2022 included 6 supervisors, 29 safety compliance officers</w:t>
      </w:r>
      <w:r w:rsidR="00E5345D">
        <w:rPr>
          <w:rFonts w:cs="Calibri"/>
          <w:iCs/>
        </w:rPr>
        <w:t>,</w:t>
      </w:r>
      <w:r w:rsidR="005473AB">
        <w:rPr>
          <w:rFonts w:cs="Calibri"/>
          <w:iCs/>
        </w:rPr>
        <w:t xml:space="preserve"> 13 health compliance office</w:t>
      </w:r>
      <w:r w:rsidR="00E5345D">
        <w:rPr>
          <w:rFonts w:cs="Calibri"/>
          <w:iCs/>
        </w:rPr>
        <w:t>r</w:t>
      </w:r>
      <w:r w:rsidR="005473AB">
        <w:rPr>
          <w:rFonts w:cs="Calibri"/>
          <w:iCs/>
        </w:rPr>
        <w:t>s</w:t>
      </w:r>
      <w:r w:rsidR="00E5345D">
        <w:rPr>
          <w:rFonts w:cs="Calibri"/>
          <w:iCs/>
        </w:rPr>
        <w:t xml:space="preserve"> (industrial hygienists) and two whistleblower investigators</w:t>
      </w:r>
      <w:r w:rsidR="005473AB">
        <w:rPr>
          <w:rFonts w:cs="Calibri"/>
          <w:iCs/>
        </w:rPr>
        <w:t>.</w:t>
      </w:r>
      <w:r w:rsidR="00E5345D">
        <w:rPr>
          <w:rFonts w:cs="Calibri"/>
          <w:iCs/>
        </w:rPr>
        <w:t xml:space="preserve">  Four of the safety compliance officers work as Team Leaders for the Voluntary Protection Program.  The full-time equivalent (FTE) for allocated staffing was 62.47 on the FY 2022 grant.  </w:t>
      </w:r>
    </w:p>
    <w:p w14:paraId="3898FC1B" w14:textId="600C7026" w:rsidR="00E5345D" w:rsidRDefault="00E5345D" w:rsidP="00783189">
      <w:pPr>
        <w:widowControl/>
        <w:autoSpaceDE/>
        <w:autoSpaceDN/>
        <w:adjustRightInd/>
        <w:rPr>
          <w:rFonts w:cs="Calibri"/>
          <w:iCs/>
        </w:rPr>
      </w:pPr>
    </w:p>
    <w:p w14:paraId="58374190" w14:textId="2AAD0820" w:rsidR="00E5345D" w:rsidRDefault="00E5345D" w:rsidP="00783189">
      <w:pPr>
        <w:widowControl/>
        <w:autoSpaceDE/>
        <w:autoSpaceDN/>
        <w:adjustRightInd/>
        <w:rPr>
          <w:rFonts w:cs="Calibri"/>
          <w:iCs/>
        </w:rPr>
      </w:pPr>
      <w:r>
        <w:rPr>
          <w:rFonts w:cs="Calibri"/>
          <w:iCs/>
        </w:rPr>
        <w:t xml:space="preserve">IOSHA has jurisdiction for private sector and state and local government employees.  Federal </w:t>
      </w:r>
      <w:r w:rsidR="008B6246">
        <w:rPr>
          <w:rFonts w:cs="Calibri"/>
          <w:iCs/>
        </w:rPr>
        <w:t xml:space="preserve">OSHA covers </w:t>
      </w:r>
      <w:r>
        <w:rPr>
          <w:rFonts w:cs="Calibri"/>
          <w:iCs/>
        </w:rPr>
        <w:t xml:space="preserve">workers employed in maritime activities </w:t>
      </w:r>
      <w:r w:rsidR="00983DEE">
        <w:rPr>
          <w:rFonts w:cs="Calibri"/>
          <w:iCs/>
        </w:rPr>
        <w:t xml:space="preserve">(shipyards, marine terminals, longshoring) </w:t>
      </w:r>
      <w:r>
        <w:rPr>
          <w:rFonts w:cs="Calibri"/>
          <w:iCs/>
        </w:rPr>
        <w:t>and United States Postal Service (USPS) employees</w:t>
      </w:r>
      <w:r w:rsidR="008B6246">
        <w:rPr>
          <w:rFonts w:cs="Calibri"/>
          <w:iCs/>
        </w:rPr>
        <w:t>.  IOSHA’s Whistleblower Protection Program</w:t>
      </w:r>
      <w:r w:rsidR="00983DEE">
        <w:rPr>
          <w:rFonts w:cs="Calibri"/>
          <w:iCs/>
        </w:rPr>
        <w:t xml:space="preserve"> </w:t>
      </w:r>
      <w:r w:rsidR="008B6246">
        <w:rPr>
          <w:rFonts w:cs="Calibri"/>
          <w:iCs/>
        </w:rPr>
        <w:t xml:space="preserve">covers only Section 11(c) of the OSH Act. </w:t>
      </w:r>
    </w:p>
    <w:p w14:paraId="52CF5490" w14:textId="76EC0CE6" w:rsidR="008B6246" w:rsidRDefault="008B6246" w:rsidP="00783189">
      <w:pPr>
        <w:widowControl/>
        <w:autoSpaceDE/>
        <w:autoSpaceDN/>
        <w:adjustRightInd/>
        <w:rPr>
          <w:rFonts w:cs="Calibri"/>
          <w:iCs/>
        </w:rPr>
      </w:pPr>
    </w:p>
    <w:p w14:paraId="68FBAFD2" w14:textId="77777777" w:rsidR="00781312" w:rsidRPr="001C1E47" w:rsidRDefault="00781312" w:rsidP="00783189">
      <w:pPr>
        <w:widowControl/>
        <w:autoSpaceDE/>
        <w:autoSpaceDN/>
        <w:adjustRightInd/>
        <w:contextualSpacing/>
        <w:rPr>
          <w:rFonts w:cs="Calibri"/>
          <w:b/>
        </w:rPr>
      </w:pPr>
      <w:r w:rsidRPr="001C1E47">
        <w:rPr>
          <w:rFonts w:cs="Calibri"/>
          <w:b/>
        </w:rPr>
        <w:t>New Issues</w:t>
      </w:r>
    </w:p>
    <w:p w14:paraId="322FD495" w14:textId="6FFB2BBF" w:rsidR="007F2C05" w:rsidRDefault="007F2C05" w:rsidP="007F2C05">
      <w:pPr>
        <w:contextualSpacing/>
        <w:rPr>
          <w:rFonts w:cs="Calibri"/>
          <w:sz w:val="28"/>
          <w:szCs w:val="28"/>
        </w:rPr>
      </w:pPr>
    </w:p>
    <w:p w14:paraId="62935632" w14:textId="64F35668" w:rsidR="00781312" w:rsidRPr="00C53328" w:rsidRDefault="007F2C05" w:rsidP="00783189">
      <w:pPr>
        <w:contextualSpacing/>
        <w:rPr>
          <w:rFonts w:cs="Calibri"/>
          <w:iCs/>
          <w:color w:val="0070C0"/>
        </w:rPr>
      </w:pPr>
      <w:r w:rsidRPr="007F2C05">
        <w:rPr>
          <w:rFonts w:cs="Calibri"/>
        </w:rPr>
        <w:t>None</w:t>
      </w:r>
    </w:p>
    <w:p w14:paraId="4D45CF2E" w14:textId="77777777" w:rsidR="00780E29" w:rsidRPr="00AB16D9" w:rsidRDefault="00780E29" w:rsidP="00783189">
      <w:pPr>
        <w:widowControl/>
        <w:autoSpaceDE/>
        <w:autoSpaceDN/>
        <w:adjustRightInd/>
        <w:rPr>
          <w:rFonts w:cs="Calibri"/>
          <w:iCs/>
        </w:rPr>
      </w:pPr>
    </w:p>
    <w:p w14:paraId="0A29FCDE" w14:textId="40051B71" w:rsidR="00054900" w:rsidRPr="00476C08" w:rsidRDefault="00054900" w:rsidP="00476C08">
      <w:pPr>
        <w:pStyle w:val="Heading2"/>
      </w:pPr>
      <w:bookmarkStart w:id="9" w:name="_Toc118900172"/>
      <w:bookmarkStart w:id="10" w:name="_Toc118905011"/>
      <w:bookmarkStart w:id="11" w:name="_Toc119418665"/>
      <w:r w:rsidRPr="00476C08">
        <w:t xml:space="preserve">Assessment of State Plan </w:t>
      </w:r>
      <w:r w:rsidR="001E2FBB" w:rsidRPr="00476C08">
        <w:t xml:space="preserve">Progress and </w:t>
      </w:r>
      <w:r w:rsidRPr="00476C08">
        <w:t>Performance</w:t>
      </w:r>
      <w:bookmarkEnd w:id="9"/>
      <w:bookmarkEnd w:id="10"/>
      <w:bookmarkEnd w:id="11"/>
    </w:p>
    <w:p w14:paraId="07D68C5F" w14:textId="77777777" w:rsidR="00054900" w:rsidRPr="001C1E47" w:rsidRDefault="00054900" w:rsidP="00783189">
      <w:pPr>
        <w:widowControl/>
        <w:autoSpaceDE/>
        <w:autoSpaceDN/>
        <w:adjustRightInd/>
        <w:rPr>
          <w:rFonts w:cs="Calibri"/>
        </w:rPr>
      </w:pPr>
    </w:p>
    <w:p w14:paraId="4CD3C312" w14:textId="77777777" w:rsidR="000A134A" w:rsidRPr="00C53328" w:rsidRDefault="000A134A" w:rsidP="0061362E">
      <w:pPr>
        <w:pStyle w:val="Heading3"/>
      </w:pPr>
      <w:bookmarkStart w:id="12" w:name="_Toc118900173"/>
      <w:bookmarkStart w:id="13" w:name="_Toc118905012"/>
      <w:bookmarkStart w:id="14" w:name="_Toc119418666"/>
      <w:r w:rsidRPr="00C53328">
        <w:t>Data and Methodology</w:t>
      </w:r>
      <w:bookmarkEnd w:id="12"/>
      <w:bookmarkEnd w:id="13"/>
      <w:bookmarkEnd w:id="14"/>
    </w:p>
    <w:p w14:paraId="72EF69F8" w14:textId="77777777" w:rsidR="000A134A" w:rsidRPr="001C1E47" w:rsidRDefault="000A134A" w:rsidP="00783189">
      <w:pPr>
        <w:widowControl/>
        <w:autoSpaceDE/>
        <w:autoSpaceDN/>
        <w:adjustRightInd/>
        <w:ind w:left="1440"/>
        <w:rPr>
          <w:rFonts w:cs="Calibri"/>
          <w:bCs/>
        </w:rPr>
      </w:pPr>
    </w:p>
    <w:p w14:paraId="33D02DC6" w14:textId="7FA656E9" w:rsidR="001A335E" w:rsidRPr="0061362E" w:rsidRDefault="001A335E" w:rsidP="0061362E">
      <w:pPr>
        <w:pStyle w:val="NormalWeb"/>
        <w:rPr>
          <w:rFonts w:eastAsia="Calibri" w:cs="Calibri"/>
          <w:color w:val="FF0000"/>
        </w:rPr>
      </w:pPr>
      <w:r w:rsidRPr="001C1E47">
        <w:rPr>
          <w:rFonts w:cs="Calibri"/>
          <w:bCs/>
        </w:rPr>
        <w:t>OSHA established a two-year cycle for the FAME process.  FY 20</w:t>
      </w:r>
      <w:r w:rsidR="00185C7D" w:rsidRPr="001C1E47">
        <w:rPr>
          <w:rFonts w:cs="Calibri"/>
          <w:bCs/>
        </w:rPr>
        <w:t>22</w:t>
      </w:r>
      <w:r w:rsidRPr="001C1E47">
        <w:rPr>
          <w:rFonts w:cs="Calibri"/>
          <w:bCs/>
        </w:rPr>
        <w:t xml:space="preserve"> is a follow-up year and as such, OSHA was not required to perform an on-site evaluation and case file review.  </w:t>
      </w:r>
      <w:r w:rsidR="00783189" w:rsidRPr="001C1E47">
        <w:rPr>
          <w:rFonts w:eastAsia="Calibri" w:cs="Calibri"/>
        </w:rPr>
        <w:t xml:space="preserve">However, due to concerns regarding the State Plan’s </w:t>
      </w:r>
      <w:r w:rsidR="00CF04E8">
        <w:rPr>
          <w:rFonts w:eastAsia="Calibri" w:cs="Calibri"/>
        </w:rPr>
        <w:t>whistleblower program</w:t>
      </w:r>
      <w:r w:rsidR="002008CB">
        <w:rPr>
          <w:rFonts w:eastAsia="Calibri" w:cs="Calibri"/>
        </w:rPr>
        <w:t xml:space="preserve"> and </w:t>
      </w:r>
      <w:r w:rsidR="00AC16FC">
        <w:rPr>
          <w:rFonts w:eastAsia="Calibri" w:cs="Calibri"/>
        </w:rPr>
        <w:t>I</w:t>
      </w:r>
      <w:r w:rsidR="002008CB">
        <w:rPr>
          <w:rFonts w:eastAsia="Calibri" w:cs="Calibri"/>
        </w:rPr>
        <w:t>OSHA</w:t>
      </w:r>
      <w:r w:rsidR="00AC16FC">
        <w:rPr>
          <w:rFonts w:eastAsia="Calibri" w:cs="Calibri"/>
        </w:rPr>
        <w:t xml:space="preserve">’s </w:t>
      </w:r>
      <w:r w:rsidR="002008CB">
        <w:rPr>
          <w:rFonts w:eastAsia="Calibri" w:cs="Calibri"/>
        </w:rPr>
        <w:t>quick corrective actions to address them</w:t>
      </w:r>
      <w:r w:rsidR="00CF04E8">
        <w:rPr>
          <w:rFonts w:eastAsia="Calibri" w:cs="Calibri"/>
        </w:rPr>
        <w:t xml:space="preserve">, </w:t>
      </w:r>
      <w:r w:rsidR="004202C7">
        <w:rPr>
          <w:rFonts w:eastAsia="Calibri" w:cs="Calibri"/>
        </w:rPr>
        <w:t xml:space="preserve">one </w:t>
      </w:r>
      <w:r w:rsidR="00783189" w:rsidRPr="001C1E47">
        <w:rPr>
          <w:rFonts w:eastAsia="Calibri" w:cs="Calibri"/>
        </w:rPr>
        <w:t xml:space="preserve">OSHA </w:t>
      </w:r>
      <w:r w:rsidR="004202C7">
        <w:rPr>
          <w:rFonts w:eastAsia="Calibri" w:cs="Calibri"/>
        </w:rPr>
        <w:t xml:space="preserve">member </w:t>
      </w:r>
      <w:r w:rsidR="00783189" w:rsidRPr="001C1E47">
        <w:rPr>
          <w:rFonts w:eastAsia="Calibri" w:cs="Calibri"/>
        </w:rPr>
        <w:t xml:space="preserve">reviewed a sample of select case files to determine if </w:t>
      </w:r>
      <w:r w:rsidR="004202C7">
        <w:rPr>
          <w:rFonts w:eastAsia="Calibri" w:cs="Calibri"/>
        </w:rPr>
        <w:t xml:space="preserve">Findings </w:t>
      </w:r>
      <w:r w:rsidR="0019505B">
        <w:rPr>
          <w:rFonts w:eastAsia="Calibri" w:cs="Calibri"/>
        </w:rPr>
        <w:t xml:space="preserve">FY </w:t>
      </w:r>
      <w:r w:rsidR="004202C7">
        <w:rPr>
          <w:rFonts w:eastAsia="Calibri" w:cs="Calibri"/>
        </w:rPr>
        <w:t xml:space="preserve">2021-07 and </w:t>
      </w:r>
      <w:r w:rsidR="0019505B">
        <w:rPr>
          <w:rFonts w:eastAsia="Calibri" w:cs="Calibri"/>
        </w:rPr>
        <w:t xml:space="preserve">FY </w:t>
      </w:r>
      <w:r w:rsidR="004202C7">
        <w:rPr>
          <w:rFonts w:eastAsia="Calibri" w:cs="Calibri"/>
        </w:rPr>
        <w:t>2021-08 were complete</w:t>
      </w:r>
      <w:r w:rsidR="00E07C0E">
        <w:rPr>
          <w:rFonts w:eastAsia="Calibri" w:cs="Calibri"/>
        </w:rPr>
        <w:t>d</w:t>
      </w:r>
      <w:r w:rsidR="00E95FF6">
        <w:rPr>
          <w:rFonts w:eastAsia="Calibri" w:cs="Calibri"/>
        </w:rPr>
        <w:t xml:space="preserve">.  </w:t>
      </w:r>
      <w:r w:rsidR="007D78CE">
        <w:rPr>
          <w:rFonts w:cs="Calibri"/>
          <w:bCs/>
        </w:rPr>
        <w:t xml:space="preserve">These findings involved </w:t>
      </w:r>
      <w:r w:rsidR="00E95FF6">
        <w:rPr>
          <w:rFonts w:cs="Calibri"/>
          <w:bCs/>
        </w:rPr>
        <w:t>pr</w:t>
      </w:r>
      <w:r w:rsidR="007D78CE">
        <w:rPr>
          <w:rFonts w:cs="Calibri"/>
          <w:bCs/>
        </w:rPr>
        <w:t xml:space="preserve">oof of receipt of determination letters not </w:t>
      </w:r>
      <w:r w:rsidR="00E95FF6">
        <w:rPr>
          <w:rFonts w:cs="Calibri"/>
          <w:bCs/>
        </w:rPr>
        <w:t xml:space="preserve">being </w:t>
      </w:r>
      <w:r w:rsidR="007D78CE">
        <w:rPr>
          <w:rFonts w:cs="Calibri"/>
          <w:bCs/>
        </w:rPr>
        <w:t>maintained in the files</w:t>
      </w:r>
      <w:r w:rsidR="00E95FF6">
        <w:rPr>
          <w:rFonts w:cs="Calibri"/>
          <w:bCs/>
        </w:rPr>
        <w:t xml:space="preserve"> and </w:t>
      </w:r>
      <w:r w:rsidR="007D78CE">
        <w:rPr>
          <w:rFonts w:cs="Calibri"/>
          <w:bCs/>
        </w:rPr>
        <w:t xml:space="preserve">the Report of Investigation (ROI) approval dates </w:t>
      </w:r>
      <w:r w:rsidR="00E95FF6">
        <w:rPr>
          <w:rFonts w:cs="Calibri"/>
          <w:bCs/>
        </w:rPr>
        <w:t>e</w:t>
      </w:r>
      <w:r w:rsidR="007D78CE">
        <w:rPr>
          <w:rFonts w:cs="Calibri"/>
          <w:bCs/>
        </w:rPr>
        <w:t xml:space="preserve">ither not </w:t>
      </w:r>
      <w:r w:rsidR="00E95FF6">
        <w:rPr>
          <w:rFonts w:cs="Calibri"/>
          <w:bCs/>
        </w:rPr>
        <w:t xml:space="preserve">being </w:t>
      </w:r>
      <w:r w:rsidR="007D78CE">
        <w:rPr>
          <w:rFonts w:cs="Calibri"/>
          <w:bCs/>
        </w:rPr>
        <w:t xml:space="preserve">entered or </w:t>
      </w:r>
      <w:r w:rsidR="00E95FF6">
        <w:rPr>
          <w:rFonts w:cs="Calibri"/>
          <w:bCs/>
        </w:rPr>
        <w:t xml:space="preserve">they were </w:t>
      </w:r>
      <w:r w:rsidR="007D78CE">
        <w:rPr>
          <w:rFonts w:cs="Calibri"/>
          <w:bCs/>
        </w:rPr>
        <w:t xml:space="preserve">entered inaccurately in the database. </w:t>
      </w:r>
      <w:r w:rsidR="00E95FF6">
        <w:rPr>
          <w:rFonts w:cs="Calibri"/>
          <w:bCs/>
        </w:rPr>
        <w:t xml:space="preserve"> </w:t>
      </w:r>
      <w:r w:rsidR="00EC3E4C" w:rsidRPr="001C1E47">
        <w:rPr>
          <w:rFonts w:cs="Calibri"/>
          <w:bCs/>
        </w:rPr>
        <w:t>The case file review was conducted</w:t>
      </w:r>
      <w:r w:rsidR="0039497C" w:rsidRPr="001C1E47">
        <w:rPr>
          <w:rFonts w:cs="Calibri"/>
          <w:bCs/>
        </w:rPr>
        <w:t xml:space="preserve"> </w:t>
      </w:r>
      <w:r w:rsidR="00AC16FC">
        <w:rPr>
          <w:rFonts w:cs="Calibri"/>
          <w:bCs/>
        </w:rPr>
        <w:t xml:space="preserve">from </w:t>
      </w:r>
      <w:r w:rsidRPr="00E95FF6">
        <w:rPr>
          <w:rFonts w:cs="Calibri"/>
          <w:bCs/>
        </w:rPr>
        <w:t>January 10-</w:t>
      </w:r>
      <w:r w:rsidR="00E95FF6" w:rsidRPr="00E95FF6">
        <w:rPr>
          <w:rFonts w:cs="Calibri"/>
          <w:bCs/>
        </w:rPr>
        <w:t>31</w:t>
      </w:r>
      <w:r w:rsidRPr="00E95FF6">
        <w:rPr>
          <w:rFonts w:cs="Calibri"/>
          <w:bCs/>
        </w:rPr>
        <w:t>, 20</w:t>
      </w:r>
      <w:r w:rsidR="00E7030A" w:rsidRPr="00E95FF6">
        <w:rPr>
          <w:rFonts w:cs="Calibri"/>
          <w:bCs/>
        </w:rPr>
        <w:t>23</w:t>
      </w:r>
      <w:r w:rsidR="0021380C">
        <w:rPr>
          <w:rFonts w:cs="Calibri"/>
          <w:bCs/>
        </w:rPr>
        <w:t>,</w:t>
      </w:r>
      <w:r w:rsidRPr="001C1E47">
        <w:rPr>
          <w:rFonts w:cs="Calibri"/>
          <w:bCs/>
        </w:rPr>
        <w:t xml:space="preserve"> and</w:t>
      </w:r>
      <w:r w:rsidR="0090108A" w:rsidRPr="001C1E47">
        <w:rPr>
          <w:rFonts w:cs="Calibri"/>
          <w:bCs/>
        </w:rPr>
        <w:t xml:space="preserve"> consisted of reviewing </w:t>
      </w:r>
      <w:r w:rsidR="00C35257">
        <w:rPr>
          <w:rFonts w:cs="Calibri"/>
          <w:bCs/>
        </w:rPr>
        <w:t>1</w:t>
      </w:r>
      <w:r w:rsidR="00E95FF6">
        <w:rPr>
          <w:rFonts w:cs="Calibri"/>
          <w:bCs/>
        </w:rPr>
        <w:t>1</w:t>
      </w:r>
      <w:r w:rsidR="00C35257">
        <w:rPr>
          <w:rFonts w:cs="Calibri"/>
          <w:bCs/>
        </w:rPr>
        <w:t xml:space="preserve"> whistleblower</w:t>
      </w:r>
      <w:r w:rsidR="00E95FF6">
        <w:rPr>
          <w:rFonts w:cs="Calibri"/>
          <w:bCs/>
        </w:rPr>
        <w:t xml:space="preserve"> files randomly selected </w:t>
      </w:r>
      <w:r w:rsidR="0090108A" w:rsidRPr="001C1E47">
        <w:rPr>
          <w:rFonts w:cs="Calibri"/>
          <w:bCs/>
        </w:rPr>
        <w:t>from the</w:t>
      </w:r>
      <w:r w:rsidRPr="001C1E47">
        <w:rPr>
          <w:rFonts w:cs="Calibri"/>
          <w:bCs/>
        </w:rPr>
        <w:t xml:space="preserve"> FY 20</w:t>
      </w:r>
      <w:r w:rsidR="00C35257">
        <w:rPr>
          <w:rFonts w:cs="Calibri"/>
          <w:bCs/>
        </w:rPr>
        <w:t>22</w:t>
      </w:r>
      <w:r w:rsidRPr="001C1E47">
        <w:rPr>
          <w:rFonts w:cs="Calibri"/>
          <w:bCs/>
        </w:rPr>
        <w:t xml:space="preserve"> performance period</w:t>
      </w:r>
      <w:r w:rsidR="00E95FF6">
        <w:rPr>
          <w:rFonts w:cs="Calibri"/>
          <w:bCs/>
        </w:rPr>
        <w:t>.</w:t>
      </w:r>
      <w:r w:rsidR="00E83DC0">
        <w:rPr>
          <w:rFonts w:cs="Calibri"/>
          <w:bCs/>
        </w:rPr>
        <w:t xml:space="preserve">  As a result, Finding FY 2021-07 is </w:t>
      </w:r>
      <w:r w:rsidR="00501A12">
        <w:rPr>
          <w:rFonts w:cs="Calibri"/>
          <w:bCs/>
        </w:rPr>
        <w:t>completed,</w:t>
      </w:r>
      <w:r w:rsidR="00E83DC0">
        <w:rPr>
          <w:rFonts w:cs="Calibri"/>
          <w:bCs/>
        </w:rPr>
        <w:t xml:space="preserve"> and Finding FY 2021-08 is continued as Finding FY 2022-06.</w:t>
      </w:r>
    </w:p>
    <w:p w14:paraId="618B8944" w14:textId="77777777" w:rsidR="0061177B" w:rsidRDefault="0061177B" w:rsidP="00783189">
      <w:pPr>
        <w:widowControl/>
        <w:autoSpaceDE/>
        <w:autoSpaceDN/>
        <w:adjustRightInd/>
        <w:rPr>
          <w:rFonts w:cs="Calibri"/>
          <w:bCs/>
        </w:rPr>
      </w:pPr>
    </w:p>
    <w:p w14:paraId="5478E61C" w14:textId="29960A8F" w:rsidR="00FF4AE2" w:rsidRDefault="00FF4AE2" w:rsidP="00783189">
      <w:pPr>
        <w:widowControl/>
        <w:autoSpaceDE/>
        <w:autoSpaceDN/>
        <w:adjustRightInd/>
        <w:rPr>
          <w:rFonts w:cs="Calibri"/>
          <w:bCs/>
        </w:rPr>
      </w:pPr>
      <w:r w:rsidRPr="001C1E47">
        <w:rPr>
          <w:rFonts w:cs="Calibri"/>
          <w:bCs/>
        </w:rPr>
        <w:t>The analyses and conclusions described in this report are based on information obtained from a variety of monitoring sources, including:</w:t>
      </w:r>
    </w:p>
    <w:p w14:paraId="06293153" w14:textId="04D6C1AB" w:rsidR="00C14885" w:rsidRDefault="00FF4AE2" w:rsidP="008626CE">
      <w:pPr>
        <w:pStyle w:val="ListParagraph"/>
        <w:numPr>
          <w:ilvl w:val="0"/>
          <w:numId w:val="7"/>
        </w:numPr>
        <w:spacing w:after="0" w:line="240" w:lineRule="auto"/>
        <w:rPr>
          <w:bCs/>
          <w:sz w:val="24"/>
          <w:szCs w:val="24"/>
        </w:rPr>
      </w:pPr>
      <w:r w:rsidRPr="001C1E47">
        <w:rPr>
          <w:bCs/>
          <w:sz w:val="24"/>
          <w:szCs w:val="24"/>
        </w:rPr>
        <w:lastRenderedPageBreak/>
        <w:t xml:space="preserve">State Activity Mandated Measures </w:t>
      </w:r>
      <w:r w:rsidR="00E07C0E">
        <w:rPr>
          <w:bCs/>
          <w:sz w:val="24"/>
          <w:szCs w:val="24"/>
        </w:rPr>
        <w:t xml:space="preserve">(SAMM) </w:t>
      </w:r>
      <w:r w:rsidRPr="001C1E47">
        <w:rPr>
          <w:bCs/>
          <w:sz w:val="24"/>
          <w:szCs w:val="24"/>
        </w:rPr>
        <w:t xml:space="preserve">Report </w:t>
      </w:r>
    </w:p>
    <w:p w14:paraId="3DD0637C" w14:textId="706A0EC1" w:rsidR="00E07C0E" w:rsidRPr="001C1E47" w:rsidRDefault="00E07C0E" w:rsidP="008626CE">
      <w:pPr>
        <w:pStyle w:val="ListParagraph"/>
        <w:numPr>
          <w:ilvl w:val="0"/>
          <w:numId w:val="7"/>
        </w:numPr>
        <w:spacing w:after="0" w:line="240" w:lineRule="auto"/>
        <w:rPr>
          <w:bCs/>
          <w:sz w:val="24"/>
          <w:szCs w:val="24"/>
        </w:rPr>
      </w:pPr>
      <w:r>
        <w:rPr>
          <w:bCs/>
          <w:sz w:val="24"/>
          <w:szCs w:val="24"/>
        </w:rPr>
        <w:t>State Information Report (SIR)</w:t>
      </w:r>
    </w:p>
    <w:p w14:paraId="7555E2B0" w14:textId="40C004BB" w:rsidR="00FF4AE2" w:rsidRPr="001C1E47" w:rsidRDefault="00FF4AE2" w:rsidP="008626CE">
      <w:pPr>
        <w:pStyle w:val="ListParagraph"/>
        <w:numPr>
          <w:ilvl w:val="0"/>
          <w:numId w:val="7"/>
        </w:numPr>
        <w:spacing w:after="0" w:line="240" w:lineRule="auto"/>
        <w:rPr>
          <w:bCs/>
          <w:sz w:val="24"/>
          <w:szCs w:val="24"/>
        </w:rPr>
      </w:pPr>
      <w:r w:rsidRPr="001C1E47">
        <w:rPr>
          <w:bCs/>
          <w:sz w:val="24"/>
          <w:szCs w:val="24"/>
        </w:rPr>
        <w:t xml:space="preserve">Mandated Activities Report for Consultation </w:t>
      </w:r>
      <w:r w:rsidR="00E07C0E">
        <w:rPr>
          <w:bCs/>
          <w:sz w:val="24"/>
          <w:szCs w:val="24"/>
        </w:rPr>
        <w:t>(MARC)</w:t>
      </w:r>
    </w:p>
    <w:p w14:paraId="76EB689E" w14:textId="21824F81" w:rsidR="00FF4AE2" w:rsidRDefault="00FF4AE2" w:rsidP="008626CE">
      <w:pPr>
        <w:pStyle w:val="ListParagraph"/>
        <w:numPr>
          <w:ilvl w:val="0"/>
          <w:numId w:val="7"/>
        </w:numPr>
        <w:spacing w:after="0" w:line="240" w:lineRule="auto"/>
        <w:rPr>
          <w:bCs/>
          <w:sz w:val="24"/>
          <w:szCs w:val="24"/>
        </w:rPr>
      </w:pPr>
      <w:r w:rsidRPr="001C1E47">
        <w:rPr>
          <w:bCs/>
          <w:sz w:val="24"/>
          <w:szCs w:val="24"/>
        </w:rPr>
        <w:t>State Plan Annual Performance Plan</w:t>
      </w:r>
    </w:p>
    <w:p w14:paraId="1F30CBFA" w14:textId="6A08ABEE" w:rsidR="00E07C0E" w:rsidRPr="001C1E47" w:rsidRDefault="00E07C0E" w:rsidP="008626CE">
      <w:pPr>
        <w:pStyle w:val="ListParagraph"/>
        <w:numPr>
          <w:ilvl w:val="0"/>
          <w:numId w:val="7"/>
        </w:numPr>
        <w:spacing w:after="0" w:line="240" w:lineRule="auto"/>
        <w:rPr>
          <w:bCs/>
          <w:sz w:val="24"/>
          <w:szCs w:val="24"/>
        </w:rPr>
      </w:pPr>
      <w:r>
        <w:rPr>
          <w:bCs/>
          <w:sz w:val="24"/>
          <w:szCs w:val="24"/>
        </w:rPr>
        <w:t>State OS</w:t>
      </w:r>
      <w:r w:rsidR="000A2B6F">
        <w:rPr>
          <w:bCs/>
          <w:sz w:val="24"/>
          <w:szCs w:val="24"/>
        </w:rPr>
        <w:t>H</w:t>
      </w:r>
      <w:r>
        <w:rPr>
          <w:bCs/>
          <w:sz w:val="24"/>
          <w:szCs w:val="24"/>
        </w:rPr>
        <w:t>A Annual Report (SOAR)</w:t>
      </w:r>
    </w:p>
    <w:p w14:paraId="4019711B" w14:textId="77777777" w:rsidR="00FF4AE2" w:rsidRPr="001C1E47" w:rsidRDefault="00FF4AE2" w:rsidP="008626CE">
      <w:pPr>
        <w:pStyle w:val="ListParagraph"/>
        <w:numPr>
          <w:ilvl w:val="0"/>
          <w:numId w:val="7"/>
        </w:numPr>
        <w:spacing w:after="0" w:line="240" w:lineRule="auto"/>
        <w:rPr>
          <w:bCs/>
          <w:sz w:val="24"/>
          <w:szCs w:val="24"/>
        </w:rPr>
      </w:pPr>
      <w:r w:rsidRPr="001C1E47">
        <w:rPr>
          <w:bCs/>
          <w:sz w:val="24"/>
          <w:szCs w:val="24"/>
        </w:rPr>
        <w:t xml:space="preserve">State Plan Grant </w:t>
      </w:r>
      <w:r w:rsidR="00DC6559" w:rsidRPr="001C1E47">
        <w:rPr>
          <w:bCs/>
          <w:sz w:val="24"/>
          <w:szCs w:val="24"/>
        </w:rPr>
        <w:t>A</w:t>
      </w:r>
      <w:r w:rsidRPr="001C1E47">
        <w:rPr>
          <w:bCs/>
          <w:sz w:val="24"/>
          <w:szCs w:val="24"/>
        </w:rPr>
        <w:t xml:space="preserve">pplication </w:t>
      </w:r>
    </w:p>
    <w:p w14:paraId="2B14EE74" w14:textId="77777777" w:rsidR="00FF4AE2" w:rsidRPr="001C1E47" w:rsidRDefault="00FF4AE2" w:rsidP="008626CE">
      <w:pPr>
        <w:pStyle w:val="ListParagraph"/>
        <w:numPr>
          <w:ilvl w:val="0"/>
          <w:numId w:val="7"/>
        </w:numPr>
        <w:spacing w:after="0" w:line="240" w:lineRule="auto"/>
        <w:rPr>
          <w:bCs/>
          <w:sz w:val="24"/>
          <w:szCs w:val="24"/>
        </w:rPr>
      </w:pPr>
      <w:r w:rsidRPr="001C1E47">
        <w:rPr>
          <w:bCs/>
          <w:sz w:val="24"/>
          <w:szCs w:val="24"/>
        </w:rPr>
        <w:t>Quarterly monitoring meetings between OSHA and the State Plan</w:t>
      </w:r>
    </w:p>
    <w:p w14:paraId="5D0CA338" w14:textId="13FCC138" w:rsidR="00FF4AE2" w:rsidRDefault="00FF4AE2" w:rsidP="008626CE">
      <w:pPr>
        <w:pStyle w:val="ListParagraph"/>
        <w:numPr>
          <w:ilvl w:val="0"/>
          <w:numId w:val="7"/>
        </w:numPr>
        <w:spacing w:after="0" w:line="240" w:lineRule="auto"/>
        <w:rPr>
          <w:bCs/>
          <w:sz w:val="24"/>
          <w:szCs w:val="24"/>
        </w:rPr>
      </w:pPr>
      <w:r w:rsidRPr="001C1E47">
        <w:rPr>
          <w:bCs/>
          <w:sz w:val="24"/>
          <w:szCs w:val="24"/>
        </w:rPr>
        <w:t>Limited review</w:t>
      </w:r>
      <w:r w:rsidR="00FC306F">
        <w:rPr>
          <w:bCs/>
          <w:sz w:val="24"/>
          <w:szCs w:val="24"/>
        </w:rPr>
        <w:t xml:space="preserve"> of whistleblower case files</w:t>
      </w:r>
    </w:p>
    <w:p w14:paraId="628D3F3C" w14:textId="23E6263A" w:rsidR="0019505B" w:rsidRDefault="0019505B" w:rsidP="0019505B">
      <w:pPr>
        <w:rPr>
          <w:bCs/>
        </w:rPr>
      </w:pPr>
    </w:p>
    <w:p w14:paraId="4F5534F1" w14:textId="0D2A4F4C" w:rsidR="0019505B" w:rsidRPr="0019505B" w:rsidRDefault="0019505B" w:rsidP="0019505B">
      <w:pPr>
        <w:rPr>
          <w:bCs/>
        </w:rPr>
      </w:pPr>
      <w:r>
        <w:rPr>
          <w:bCs/>
        </w:rPr>
        <w:t xml:space="preserve">IOSHA transitioned from using the OSHA Express database on April 1, </w:t>
      </w:r>
      <w:proofErr w:type="gramStart"/>
      <w:r>
        <w:rPr>
          <w:bCs/>
        </w:rPr>
        <w:t>2022</w:t>
      </w:r>
      <w:proofErr w:type="gramEnd"/>
      <w:r>
        <w:rPr>
          <w:bCs/>
        </w:rPr>
        <w:t xml:space="preserve"> to OSHA’s Information System (OIS). </w:t>
      </w:r>
    </w:p>
    <w:p w14:paraId="7C3A22CC" w14:textId="77777777" w:rsidR="002008CB" w:rsidRPr="001C1E47" w:rsidRDefault="002008CB" w:rsidP="002008CB">
      <w:pPr>
        <w:pStyle w:val="ListParagraph"/>
        <w:spacing w:after="0" w:line="240" w:lineRule="auto"/>
        <w:rPr>
          <w:bCs/>
          <w:sz w:val="24"/>
          <w:szCs w:val="24"/>
        </w:rPr>
      </w:pPr>
    </w:p>
    <w:p w14:paraId="5E67DDEC" w14:textId="77777777" w:rsidR="000A134A" w:rsidRPr="001C1E47" w:rsidRDefault="000A134A" w:rsidP="0061362E">
      <w:pPr>
        <w:pStyle w:val="Heading3"/>
      </w:pPr>
      <w:bookmarkStart w:id="15" w:name="_Toc118900174"/>
      <w:bookmarkStart w:id="16" w:name="_Toc118905013"/>
      <w:bookmarkStart w:id="17" w:name="_Toc119418667"/>
      <w:r w:rsidRPr="001C1E47">
        <w:t>Findings and Observations</w:t>
      </w:r>
      <w:bookmarkEnd w:id="15"/>
      <w:bookmarkEnd w:id="16"/>
      <w:bookmarkEnd w:id="17"/>
    </w:p>
    <w:p w14:paraId="51B991F5" w14:textId="77777777" w:rsidR="000A134A" w:rsidRPr="001C1E47" w:rsidRDefault="000A134A" w:rsidP="00783189">
      <w:pPr>
        <w:widowControl/>
        <w:autoSpaceDE/>
        <w:autoSpaceDN/>
        <w:adjustRightInd/>
        <w:rPr>
          <w:rFonts w:cs="Calibri"/>
        </w:rPr>
      </w:pPr>
    </w:p>
    <w:p w14:paraId="56E34E19" w14:textId="25CEB5A4" w:rsidR="00BE1829" w:rsidRPr="00BE1829" w:rsidRDefault="00BE1829" w:rsidP="00783189">
      <w:pPr>
        <w:widowControl/>
        <w:autoSpaceDE/>
        <w:autoSpaceDN/>
        <w:adjustRightInd/>
        <w:rPr>
          <w:rFonts w:cs="Calibri"/>
          <w:iCs/>
        </w:rPr>
      </w:pPr>
      <w:r>
        <w:rPr>
          <w:rFonts w:cs="Calibri"/>
          <w:iCs/>
        </w:rPr>
        <w:t>IOSHA made progress addressing nine findings noted in the FY 2021 Comprehensive FAME report. There are no new findings or observations identified in FY 2022.  Corrective actions were implemented for all findings and f</w:t>
      </w:r>
      <w:r w:rsidR="00C54E57">
        <w:rPr>
          <w:rFonts w:cs="Calibri"/>
          <w:iCs/>
        </w:rPr>
        <w:t>our</w:t>
      </w:r>
      <w:r>
        <w:rPr>
          <w:rFonts w:cs="Calibri"/>
          <w:iCs/>
        </w:rPr>
        <w:t xml:space="preserve"> are awaiting onsite verification which will be scheduled as part of the FY 2023 Comprehensive FAME.  Two findings are </w:t>
      </w:r>
      <w:r w:rsidR="00C93F60">
        <w:rPr>
          <w:rFonts w:cs="Calibri"/>
          <w:iCs/>
        </w:rPr>
        <w:t xml:space="preserve">completed </w:t>
      </w:r>
      <w:r w:rsidR="009A11A6">
        <w:rPr>
          <w:rFonts w:cs="Calibri"/>
          <w:iCs/>
        </w:rPr>
        <w:t>since</w:t>
      </w:r>
      <w:r w:rsidR="00F547DC">
        <w:rPr>
          <w:rFonts w:cs="Calibri"/>
          <w:iCs/>
        </w:rPr>
        <w:t xml:space="preserve"> the in-compliance rate for health inspections is now within the further review level (SAMM 9b) and a limited file review indicates all but one whistleblower case file </w:t>
      </w:r>
      <w:r w:rsidR="001C694B">
        <w:rPr>
          <w:rFonts w:cs="Calibri"/>
          <w:iCs/>
        </w:rPr>
        <w:t xml:space="preserve">reviewed </w:t>
      </w:r>
      <w:r w:rsidR="00CB56DB">
        <w:rPr>
          <w:rFonts w:cs="Calibri"/>
          <w:iCs/>
        </w:rPr>
        <w:t>contained proof of delivery of determination letters</w:t>
      </w:r>
      <w:r>
        <w:rPr>
          <w:rFonts w:cs="Calibri"/>
          <w:iCs/>
        </w:rPr>
        <w:t xml:space="preserve">.  </w:t>
      </w:r>
      <w:r w:rsidR="00310A34">
        <w:rPr>
          <w:rFonts w:cs="Calibri"/>
          <w:iCs/>
        </w:rPr>
        <w:t>T</w:t>
      </w:r>
      <w:r w:rsidR="00C54E57">
        <w:rPr>
          <w:rFonts w:cs="Calibri"/>
          <w:iCs/>
        </w:rPr>
        <w:t>hree</w:t>
      </w:r>
      <w:r w:rsidR="00CB56DB">
        <w:rPr>
          <w:rFonts w:cs="Calibri"/>
          <w:iCs/>
        </w:rPr>
        <w:t xml:space="preserve"> finding</w:t>
      </w:r>
      <w:r w:rsidR="00310A34">
        <w:rPr>
          <w:rFonts w:cs="Calibri"/>
          <w:iCs/>
        </w:rPr>
        <w:t>s</w:t>
      </w:r>
      <w:r w:rsidR="00CB56DB">
        <w:rPr>
          <w:rFonts w:cs="Calibri"/>
          <w:iCs/>
        </w:rPr>
        <w:t xml:space="preserve"> remain open</w:t>
      </w:r>
      <w:r w:rsidR="00C54E57">
        <w:rPr>
          <w:rFonts w:cs="Calibri"/>
          <w:iCs/>
        </w:rPr>
        <w:t>.  One of these is</w:t>
      </w:r>
      <w:r w:rsidR="00CB56DB">
        <w:rPr>
          <w:rFonts w:cs="Calibri"/>
          <w:iCs/>
        </w:rPr>
        <w:t xml:space="preserve"> because the lapse time, while improved from FY 2021</w:t>
      </w:r>
      <w:r w:rsidR="00AC16FC">
        <w:rPr>
          <w:rFonts w:cs="Calibri"/>
          <w:iCs/>
        </w:rPr>
        <w:t>,</w:t>
      </w:r>
      <w:r w:rsidR="00CB56DB">
        <w:rPr>
          <w:rFonts w:cs="Calibri"/>
          <w:iCs/>
        </w:rPr>
        <w:t xml:space="preserve"> remains outside the FRL</w:t>
      </w:r>
      <w:r w:rsidR="00C54E57">
        <w:rPr>
          <w:rFonts w:cs="Calibri"/>
          <w:iCs/>
        </w:rPr>
        <w:t xml:space="preserve">.  Another is open </w:t>
      </w:r>
      <w:r w:rsidR="00310A34">
        <w:rPr>
          <w:rFonts w:cs="Calibri"/>
          <w:iCs/>
        </w:rPr>
        <w:t xml:space="preserve">because IOSHA has not </w:t>
      </w:r>
      <w:r w:rsidR="007B38AD">
        <w:rPr>
          <w:rFonts w:cs="Calibri"/>
          <w:iCs/>
        </w:rPr>
        <w:t>adopted OSHA’s 2016 penalty increase and subsequent annual increases for inflation</w:t>
      </w:r>
      <w:r w:rsidR="00C54E57">
        <w:rPr>
          <w:rFonts w:cs="Calibri"/>
          <w:iCs/>
        </w:rPr>
        <w:t xml:space="preserve"> and another because the limited case file review of </w:t>
      </w:r>
      <w:r w:rsidR="0019505B">
        <w:rPr>
          <w:rFonts w:cs="Calibri"/>
          <w:iCs/>
        </w:rPr>
        <w:t>w</w:t>
      </w:r>
      <w:r w:rsidR="00C54E57">
        <w:rPr>
          <w:rFonts w:cs="Calibri"/>
          <w:iCs/>
        </w:rPr>
        <w:t>histleblower cases determined approval dates are still not being entered in OITSS or OIS or are entered inaccurately for Reports of Investigation (ROI)</w:t>
      </w:r>
      <w:r w:rsidR="00CB56DB">
        <w:rPr>
          <w:rFonts w:cs="Calibri"/>
          <w:iCs/>
        </w:rPr>
        <w:t xml:space="preserve">.  </w:t>
      </w:r>
      <w:r w:rsidR="00AB13C6">
        <w:rPr>
          <w:rFonts w:cs="Calibri"/>
          <w:iCs/>
        </w:rPr>
        <w:t xml:space="preserve">Seven findings remain in this FY 2022 Follow-up FAME report.  </w:t>
      </w:r>
      <w:r w:rsidR="00CB56DB">
        <w:rPr>
          <w:rFonts w:cs="Calibri"/>
          <w:iCs/>
        </w:rPr>
        <w:t xml:space="preserve">Appendix A describes the continued findings and recommendations.  Appendix C describes the status of each of the FY 2021 findings and recommendations. </w:t>
      </w:r>
      <w:r>
        <w:rPr>
          <w:rFonts w:cs="Calibri"/>
          <w:iCs/>
        </w:rPr>
        <w:t xml:space="preserve"> </w:t>
      </w:r>
    </w:p>
    <w:p w14:paraId="5A952A6F" w14:textId="77777777" w:rsidR="001E2FBB" w:rsidRPr="001C1E47" w:rsidRDefault="001E2FBB" w:rsidP="00783189">
      <w:pPr>
        <w:widowControl/>
        <w:autoSpaceDE/>
        <w:autoSpaceDN/>
        <w:adjustRightInd/>
        <w:jc w:val="center"/>
        <w:rPr>
          <w:rFonts w:cs="Calibri"/>
          <w:i/>
          <w:highlight w:val="cyan"/>
        </w:rPr>
      </w:pPr>
    </w:p>
    <w:p w14:paraId="1CD392F2" w14:textId="3A5FEE36" w:rsidR="005C1BFC" w:rsidRPr="0061362E" w:rsidRDefault="00733D36" w:rsidP="00783189">
      <w:pPr>
        <w:widowControl/>
        <w:autoSpaceDE/>
        <w:autoSpaceDN/>
        <w:adjustRightInd/>
        <w:rPr>
          <w:rFonts w:cs="Calibri"/>
          <w:b/>
          <w:bCs/>
        </w:rPr>
      </w:pPr>
      <w:r w:rsidRPr="0061362E">
        <w:rPr>
          <w:rFonts w:cs="Calibri"/>
          <w:b/>
          <w:bCs/>
        </w:rPr>
        <w:t xml:space="preserve">Completed </w:t>
      </w:r>
      <w:r w:rsidR="007C0A36" w:rsidRPr="0061362E">
        <w:rPr>
          <w:rFonts w:cs="Calibri"/>
          <w:b/>
          <w:bCs/>
        </w:rPr>
        <w:t>Findings</w:t>
      </w:r>
    </w:p>
    <w:p w14:paraId="7BB91E9C" w14:textId="77777777" w:rsidR="007C0A36" w:rsidRPr="001C1E47" w:rsidRDefault="007C0A36" w:rsidP="00783189">
      <w:pPr>
        <w:widowControl/>
        <w:autoSpaceDE/>
        <w:autoSpaceDN/>
        <w:adjustRightInd/>
        <w:rPr>
          <w:rFonts w:cs="Calibri"/>
          <w:highlight w:val="yellow"/>
          <w:u w:val="single"/>
        </w:rPr>
      </w:pPr>
    </w:p>
    <w:p w14:paraId="07D83891" w14:textId="24334451" w:rsidR="004E505A" w:rsidRPr="001C1E47" w:rsidRDefault="00733D36" w:rsidP="00783189">
      <w:pPr>
        <w:widowControl/>
        <w:autoSpaceDE/>
        <w:autoSpaceDN/>
        <w:adjustRightInd/>
        <w:rPr>
          <w:rFonts w:cs="Calibri"/>
        </w:rPr>
      </w:pPr>
      <w:r w:rsidRPr="001C1E47">
        <w:rPr>
          <w:rFonts w:cs="Calibri"/>
          <w:b/>
        </w:rPr>
        <w:t xml:space="preserve">Finding FY </w:t>
      </w:r>
      <w:r w:rsidR="007C0A36" w:rsidRPr="001C1E47">
        <w:rPr>
          <w:rFonts w:cs="Calibri"/>
          <w:b/>
        </w:rPr>
        <w:t>20</w:t>
      </w:r>
      <w:r w:rsidR="00EB6A76">
        <w:rPr>
          <w:rFonts w:cs="Calibri"/>
          <w:b/>
        </w:rPr>
        <w:t>21</w:t>
      </w:r>
      <w:r w:rsidRPr="001C1E47">
        <w:rPr>
          <w:rFonts w:cs="Calibri"/>
          <w:b/>
        </w:rPr>
        <w:t>-</w:t>
      </w:r>
      <w:r w:rsidR="00EB6A76">
        <w:rPr>
          <w:rFonts w:cs="Calibri"/>
          <w:b/>
        </w:rPr>
        <w:t>02</w:t>
      </w:r>
      <w:r w:rsidRPr="001C1E47">
        <w:rPr>
          <w:rFonts w:cs="Calibri"/>
          <w:b/>
        </w:rPr>
        <w:t>:</w:t>
      </w:r>
      <w:r w:rsidRPr="001C1E47">
        <w:rPr>
          <w:rFonts w:cs="Calibri"/>
        </w:rPr>
        <w:t xml:space="preserve"> </w:t>
      </w:r>
      <w:r w:rsidR="007C0A36" w:rsidRPr="001C1E47">
        <w:rPr>
          <w:rFonts w:cs="Calibri"/>
        </w:rPr>
        <w:t xml:space="preserve"> </w:t>
      </w:r>
      <w:r w:rsidR="00EB6A76">
        <w:rPr>
          <w:rFonts w:cs="Calibri"/>
        </w:rPr>
        <w:t>IOSHA’s in-compliance rate for health inspections is 63.1% and is outside the Further Review Level (</w:t>
      </w:r>
      <w:r w:rsidR="00E343CF">
        <w:rPr>
          <w:rFonts w:cs="Calibri"/>
        </w:rPr>
        <w:t>F</w:t>
      </w:r>
      <w:r w:rsidR="00EB6A76">
        <w:rPr>
          <w:rFonts w:cs="Calibri"/>
        </w:rPr>
        <w:t xml:space="preserve">RL) of </w:t>
      </w:r>
      <w:r w:rsidR="00E343CF">
        <w:rPr>
          <w:rFonts w:cs="Calibri"/>
        </w:rPr>
        <w:t>+</w:t>
      </w:r>
      <w:r w:rsidR="00EB6A76">
        <w:rPr>
          <w:rFonts w:cs="Calibri"/>
        </w:rPr>
        <w:t>/-20% of 40.6% (32.5% to 48.8%</w:t>
      </w:r>
      <w:r w:rsidR="00593BB2">
        <w:rPr>
          <w:rFonts w:cs="Calibri"/>
        </w:rPr>
        <w:t xml:space="preserve">; </w:t>
      </w:r>
      <w:r w:rsidR="00EB6A76">
        <w:rPr>
          <w:rFonts w:cs="Calibri"/>
        </w:rPr>
        <w:t>SAMM 9b, Appendix D)</w:t>
      </w:r>
      <w:r w:rsidRPr="001C1E47">
        <w:rPr>
          <w:rFonts w:cs="Calibri"/>
        </w:rPr>
        <w:t>.</w:t>
      </w:r>
    </w:p>
    <w:p w14:paraId="0CFEC9C0" w14:textId="77777777" w:rsidR="00733D36" w:rsidRPr="001C1E47" w:rsidRDefault="00733D36" w:rsidP="00783189">
      <w:pPr>
        <w:widowControl/>
        <w:autoSpaceDE/>
        <w:autoSpaceDN/>
        <w:adjustRightInd/>
        <w:rPr>
          <w:rFonts w:cs="Calibri"/>
        </w:rPr>
      </w:pPr>
    </w:p>
    <w:p w14:paraId="258E91A2" w14:textId="61EE2E8C" w:rsidR="00733D36" w:rsidRDefault="007C0A36" w:rsidP="00783189">
      <w:pPr>
        <w:widowControl/>
        <w:autoSpaceDE/>
        <w:autoSpaceDN/>
        <w:adjustRightInd/>
        <w:rPr>
          <w:rFonts w:cs="Calibri"/>
        </w:rPr>
      </w:pPr>
      <w:r w:rsidRPr="001C1E47">
        <w:rPr>
          <w:rFonts w:cs="Calibri"/>
          <w:b/>
        </w:rPr>
        <w:t>Status</w:t>
      </w:r>
      <w:r w:rsidR="00733D36" w:rsidRPr="001C1E47">
        <w:rPr>
          <w:rFonts w:cs="Calibri"/>
          <w:b/>
        </w:rPr>
        <w:t>:</w:t>
      </w:r>
      <w:r w:rsidR="00733D36" w:rsidRPr="001C1E47">
        <w:rPr>
          <w:rFonts w:cs="Calibri"/>
        </w:rPr>
        <w:t xml:space="preserve"> </w:t>
      </w:r>
      <w:r w:rsidR="00A82AAE">
        <w:rPr>
          <w:rFonts w:cs="Calibri"/>
        </w:rPr>
        <w:t>At 52.17% for FY 2022, t</w:t>
      </w:r>
      <w:r w:rsidR="00733D36" w:rsidRPr="001C1E47">
        <w:rPr>
          <w:rFonts w:cs="Calibri"/>
        </w:rPr>
        <w:t xml:space="preserve">he State Plan </w:t>
      </w:r>
      <w:r w:rsidR="00A82AAE">
        <w:rPr>
          <w:rFonts w:cs="Calibri"/>
        </w:rPr>
        <w:t xml:space="preserve">is now within the FRL </w:t>
      </w:r>
      <w:r w:rsidR="00E343CF">
        <w:rPr>
          <w:rFonts w:cs="Calibri"/>
        </w:rPr>
        <w:t>(+/-20% of 44.42%</w:t>
      </w:r>
      <w:r w:rsidR="00D72758">
        <w:rPr>
          <w:rFonts w:cs="Calibri"/>
        </w:rPr>
        <w:t>, and an acceptable range of</w:t>
      </w:r>
      <w:r w:rsidR="00E343CF">
        <w:rPr>
          <w:rFonts w:cs="Calibri"/>
        </w:rPr>
        <w:t xml:space="preserve"> 35.54% to 53.30%) </w:t>
      </w:r>
      <w:r w:rsidR="00A82AAE">
        <w:rPr>
          <w:rFonts w:cs="Calibri"/>
        </w:rPr>
        <w:t>for percent of health inspections that are in-compliance</w:t>
      </w:r>
      <w:r w:rsidR="00E343CF">
        <w:rPr>
          <w:rFonts w:cs="Calibri"/>
        </w:rPr>
        <w:t xml:space="preserve"> (SAMM 9b, Appendix D). </w:t>
      </w:r>
      <w:r w:rsidR="00DE069B" w:rsidRPr="001C1E47">
        <w:rPr>
          <w:rFonts w:cs="Calibri"/>
        </w:rPr>
        <w:t>This item is completed.</w:t>
      </w:r>
      <w:r w:rsidR="00733D36" w:rsidRPr="001C1E47">
        <w:rPr>
          <w:rFonts w:cs="Calibri"/>
        </w:rPr>
        <w:t xml:space="preserve">  </w:t>
      </w:r>
    </w:p>
    <w:p w14:paraId="097C8B9A" w14:textId="0A044527" w:rsidR="004A5D8B" w:rsidRDefault="004A5D8B" w:rsidP="00783189">
      <w:pPr>
        <w:widowControl/>
        <w:autoSpaceDE/>
        <w:autoSpaceDN/>
        <w:adjustRightInd/>
        <w:rPr>
          <w:rFonts w:cs="Calibri"/>
        </w:rPr>
      </w:pPr>
    </w:p>
    <w:p w14:paraId="60DD911A" w14:textId="511B58F8" w:rsidR="004A5D8B" w:rsidRDefault="004A5D8B" w:rsidP="00783189">
      <w:pPr>
        <w:widowControl/>
        <w:autoSpaceDE/>
        <w:autoSpaceDN/>
        <w:adjustRightInd/>
        <w:rPr>
          <w:rFonts w:cs="Calibri"/>
        </w:rPr>
      </w:pPr>
      <w:r w:rsidRPr="004A5D8B">
        <w:rPr>
          <w:rFonts w:cs="Calibri"/>
          <w:b/>
          <w:bCs/>
        </w:rPr>
        <w:t xml:space="preserve">Finding </w:t>
      </w:r>
      <w:r w:rsidR="00925CC9">
        <w:rPr>
          <w:rFonts w:cs="Calibri"/>
          <w:b/>
          <w:bCs/>
        </w:rPr>
        <w:t xml:space="preserve">FY </w:t>
      </w:r>
      <w:r w:rsidRPr="004A5D8B">
        <w:rPr>
          <w:rFonts w:cs="Calibri"/>
          <w:b/>
          <w:bCs/>
        </w:rPr>
        <w:t>2021-07:</w:t>
      </w:r>
      <w:r>
        <w:rPr>
          <w:rFonts w:cs="Calibri"/>
        </w:rPr>
        <w:t xml:space="preserve">  Proof of receipt of whistleblower determination letters must be preserved in the file with copies of the letters to maintain accountability.  Proof of receipt of the determination letters was not evident in seven of the 20 (35%) case files reviewed</w:t>
      </w:r>
      <w:r w:rsidR="00C93F60">
        <w:rPr>
          <w:rFonts w:cs="Calibri"/>
        </w:rPr>
        <w:t xml:space="preserve"> from FY 2021</w:t>
      </w:r>
      <w:r>
        <w:rPr>
          <w:rFonts w:cs="Calibri"/>
        </w:rPr>
        <w:t xml:space="preserve">. </w:t>
      </w:r>
    </w:p>
    <w:p w14:paraId="01B98325" w14:textId="44E8DB9D" w:rsidR="004A5D8B" w:rsidRDefault="004A5D8B" w:rsidP="00783189">
      <w:pPr>
        <w:widowControl/>
        <w:autoSpaceDE/>
        <w:autoSpaceDN/>
        <w:adjustRightInd/>
        <w:rPr>
          <w:rFonts w:cs="Calibri"/>
        </w:rPr>
      </w:pPr>
    </w:p>
    <w:p w14:paraId="6B173C3A" w14:textId="061B1ED6" w:rsidR="002008CB" w:rsidRPr="004A5D8B" w:rsidRDefault="004A5D8B" w:rsidP="00783189">
      <w:pPr>
        <w:widowControl/>
        <w:autoSpaceDE/>
        <w:autoSpaceDN/>
        <w:adjustRightInd/>
        <w:rPr>
          <w:rFonts w:cs="Calibri"/>
        </w:rPr>
      </w:pPr>
      <w:r w:rsidRPr="004A5D8B">
        <w:rPr>
          <w:rFonts w:cs="Calibri"/>
          <w:b/>
          <w:bCs/>
        </w:rPr>
        <w:lastRenderedPageBreak/>
        <w:t>Status:</w:t>
      </w:r>
      <w:r>
        <w:rPr>
          <w:rFonts w:cs="Calibri"/>
          <w:b/>
          <w:bCs/>
        </w:rPr>
        <w:t xml:space="preserve">  </w:t>
      </w:r>
      <w:r>
        <w:rPr>
          <w:rFonts w:cs="Calibri"/>
        </w:rPr>
        <w:t>The limited review</w:t>
      </w:r>
      <w:r w:rsidR="00AB4684">
        <w:rPr>
          <w:rFonts w:cs="Calibri"/>
        </w:rPr>
        <w:t xml:space="preserve"> of </w:t>
      </w:r>
      <w:r w:rsidR="00822230">
        <w:rPr>
          <w:rFonts w:cs="Calibri"/>
        </w:rPr>
        <w:t>11</w:t>
      </w:r>
      <w:r w:rsidR="00AB4684">
        <w:rPr>
          <w:rFonts w:cs="Calibri"/>
        </w:rPr>
        <w:t xml:space="preserve"> case files</w:t>
      </w:r>
      <w:r w:rsidR="00C93F60">
        <w:rPr>
          <w:rFonts w:cs="Calibri"/>
        </w:rPr>
        <w:t xml:space="preserve"> from FY 2022</w:t>
      </w:r>
      <w:r w:rsidR="00AB4684">
        <w:rPr>
          <w:rFonts w:cs="Calibri"/>
        </w:rPr>
        <w:t xml:space="preserve"> </w:t>
      </w:r>
      <w:r w:rsidR="007B67AF">
        <w:rPr>
          <w:rFonts w:cs="Calibri"/>
        </w:rPr>
        <w:t>indicates</w:t>
      </w:r>
      <w:r w:rsidR="00AB4684">
        <w:rPr>
          <w:rFonts w:cs="Calibri"/>
        </w:rPr>
        <w:t xml:space="preserve"> all but one of the files contained proof of delivery.  Most determination letters were sent via UPS and by email.  </w:t>
      </w:r>
      <w:r w:rsidR="00434939">
        <w:rPr>
          <w:rFonts w:cs="Calibri"/>
        </w:rPr>
        <w:t>CHSOs must b</w:t>
      </w:r>
      <w:r w:rsidR="00E83DC0">
        <w:rPr>
          <w:rFonts w:cs="Calibri"/>
        </w:rPr>
        <w:t>e sure to maintain delivery receipts for emails sent with determination letters</w:t>
      </w:r>
      <w:r w:rsidR="006D48AF">
        <w:rPr>
          <w:rFonts w:cs="Calibri"/>
        </w:rPr>
        <w:t xml:space="preserve"> in the case files</w:t>
      </w:r>
      <w:r w:rsidR="00E83DC0">
        <w:rPr>
          <w:rFonts w:cs="Calibri"/>
        </w:rPr>
        <w:t xml:space="preserve">.  </w:t>
      </w:r>
      <w:r w:rsidR="00AB4684">
        <w:rPr>
          <w:rFonts w:cs="Calibri"/>
        </w:rPr>
        <w:t xml:space="preserve">This item is completed. </w:t>
      </w:r>
    </w:p>
    <w:p w14:paraId="6975C73F" w14:textId="77777777" w:rsidR="00733729" w:rsidRPr="001C1E47" w:rsidRDefault="00733729" w:rsidP="00783189">
      <w:pPr>
        <w:widowControl/>
        <w:autoSpaceDE/>
        <w:autoSpaceDN/>
        <w:adjustRightInd/>
        <w:rPr>
          <w:rFonts w:cs="Calibri"/>
          <w:u w:val="single"/>
        </w:rPr>
      </w:pPr>
    </w:p>
    <w:p w14:paraId="66699C18" w14:textId="0E6C8C98" w:rsidR="00A33959" w:rsidRPr="001A2E00" w:rsidRDefault="00785B2E" w:rsidP="00783189">
      <w:pPr>
        <w:widowControl/>
        <w:autoSpaceDE/>
        <w:autoSpaceDN/>
        <w:adjustRightInd/>
        <w:rPr>
          <w:rFonts w:cs="Calibri"/>
          <w:i/>
        </w:rPr>
      </w:pPr>
      <w:r w:rsidRPr="0061362E">
        <w:rPr>
          <w:rFonts w:cs="Calibri"/>
          <w:b/>
          <w:bCs/>
        </w:rPr>
        <w:t xml:space="preserve">Continued </w:t>
      </w:r>
      <w:r w:rsidR="007C0A36" w:rsidRPr="0061362E">
        <w:rPr>
          <w:rFonts w:cs="Calibri"/>
          <w:b/>
          <w:bCs/>
        </w:rPr>
        <w:t>Findings</w:t>
      </w:r>
      <w:r w:rsidR="00AB4684">
        <w:rPr>
          <w:rFonts w:cs="Calibri"/>
          <w:b/>
          <w:bCs/>
        </w:rPr>
        <w:t xml:space="preserve">:  </w:t>
      </w:r>
    </w:p>
    <w:p w14:paraId="7C96273F" w14:textId="77777777" w:rsidR="00A33959" w:rsidRPr="001C1E47" w:rsidRDefault="00A33959" w:rsidP="00783189">
      <w:pPr>
        <w:widowControl/>
        <w:tabs>
          <w:tab w:val="center" w:pos="270"/>
          <w:tab w:val="left" w:pos="360"/>
        </w:tabs>
        <w:autoSpaceDE/>
        <w:autoSpaceDN/>
        <w:adjustRightInd/>
        <w:rPr>
          <w:rFonts w:eastAsia="Calibri" w:cs="Calibri"/>
          <w:b/>
        </w:rPr>
      </w:pPr>
    </w:p>
    <w:p w14:paraId="7E7E6E27" w14:textId="75F8838C" w:rsidR="00F10CB4" w:rsidRPr="001C1E47" w:rsidRDefault="00F10CB4" w:rsidP="00F10CB4">
      <w:pPr>
        <w:widowControl/>
        <w:autoSpaceDE/>
        <w:autoSpaceDN/>
        <w:adjustRightInd/>
        <w:rPr>
          <w:rFonts w:cs="Calibri"/>
        </w:rPr>
      </w:pPr>
      <w:r>
        <w:rPr>
          <w:rFonts w:cs="Calibri"/>
          <w:b/>
        </w:rPr>
        <w:t>Finding FY 2022-01 (</w:t>
      </w:r>
      <w:r w:rsidRPr="001C1E47">
        <w:rPr>
          <w:rFonts w:cs="Calibri"/>
          <w:b/>
        </w:rPr>
        <w:t xml:space="preserve">Finding </w:t>
      </w:r>
      <w:r>
        <w:rPr>
          <w:rFonts w:cs="Calibri"/>
          <w:b/>
        </w:rPr>
        <w:t xml:space="preserve">FY </w:t>
      </w:r>
      <w:r w:rsidRPr="001C1E47">
        <w:rPr>
          <w:rFonts w:cs="Calibri"/>
          <w:b/>
        </w:rPr>
        <w:t>20</w:t>
      </w:r>
      <w:r>
        <w:rPr>
          <w:rFonts w:cs="Calibri"/>
          <w:b/>
        </w:rPr>
        <w:t>21</w:t>
      </w:r>
      <w:r w:rsidRPr="001C1E47">
        <w:rPr>
          <w:rFonts w:cs="Calibri"/>
          <w:b/>
        </w:rPr>
        <w:t>-01</w:t>
      </w:r>
      <w:r>
        <w:rPr>
          <w:rFonts w:cs="Calibri"/>
          <w:b/>
        </w:rPr>
        <w:t>)</w:t>
      </w:r>
      <w:r w:rsidRPr="001C1E47">
        <w:rPr>
          <w:rFonts w:cs="Calibri"/>
          <w:b/>
        </w:rPr>
        <w:t xml:space="preserve">:  </w:t>
      </w:r>
      <w:r>
        <w:rPr>
          <w:rFonts w:cs="Calibri"/>
        </w:rPr>
        <w:t xml:space="preserve">In </w:t>
      </w:r>
      <w:r w:rsidR="00C93F60">
        <w:rPr>
          <w:rFonts w:cs="Calibri"/>
        </w:rPr>
        <w:t xml:space="preserve">FY 2021, in </w:t>
      </w:r>
      <w:r>
        <w:rPr>
          <w:rFonts w:cs="Calibri"/>
        </w:rPr>
        <w:t>20 of 27 (74.1%) fatality case files reviewed, letters to the next-of-kin (NOK) were not found in the files. Some files had either the initial or final letter and other files had neither</w:t>
      </w:r>
      <w:r w:rsidRPr="001C1E47">
        <w:rPr>
          <w:rFonts w:cs="Calibri"/>
        </w:rPr>
        <w:t xml:space="preserve">. </w:t>
      </w:r>
    </w:p>
    <w:p w14:paraId="5354CF6B" w14:textId="77777777" w:rsidR="00F10CB4" w:rsidRPr="001C1E47" w:rsidRDefault="00F10CB4" w:rsidP="00F10CB4">
      <w:pPr>
        <w:widowControl/>
        <w:autoSpaceDE/>
        <w:autoSpaceDN/>
        <w:adjustRightInd/>
        <w:rPr>
          <w:rFonts w:cs="Calibri"/>
          <w:b/>
        </w:rPr>
      </w:pPr>
    </w:p>
    <w:p w14:paraId="02EA2D78" w14:textId="3B8462CE" w:rsidR="00F10CB4" w:rsidRDefault="00F10CB4" w:rsidP="00F10CB4">
      <w:pPr>
        <w:widowControl/>
        <w:tabs>
          <w:tab w:val="center" w:pos="270"/>
          <w:tab w:val="left" w:pos="360"/>
        </w:tabs>
        <w:autoSpaceDE/>
        <w:autoSpaceDN/>
        <w:adjustRightInd/>
        <w:rPr>
          <w:rFonts w:cs="Calibri"/>
        </w:rPr>
      </w:pPr>
      <w:r w:rsidRPr="001C1E47">
        <w:rPr>
          <w:rFonts w:cs="Calibri"/>
          <w:b/>
        </w:rPr>
        <w:t xml:space="preserve">Status:  </w:t>
      </w:r>
      <w:r w:rsidRPr="001C1E47">
        <w:rPr>
          <w:rFonts w:cs="Calibri"/>
        </w:rPr>
        <w:t>A case file review is necessary to gather the facts needed to evaluate progress on this finding. This finding will be a focus of next year’s on-site case file review during the FY 20</w:t>
      </w:r>
      <w:r>
        <w:rPr>
          <w:rFonts w:cs="Calibri"/>
        </w:rPr>
        <w:t>23</w:t>
      </w:r>
      <w:r w:rsidRPr="001C1E47">
        <w:rPr>
          <w:rFonts w:cs="Calibri"/>
        </w:rPr>
        <w:t xml:space="preserve"> comprehensive FAME and remains open.</w:t>
      </w:r>
    </w:p>
    <w:p w14:paraId="60CF482F" w14:textId="77777777" w:rsidR="00F10CB4" w:rsidRDefault="00F10CB4" w:rsidP="00F10CB4">
      <w:pPr>
        <w:widowControl/>
        <w:tabs>
          <w:tab w:val="center" w:pos="270"/>
          <w:tab w:val="left" w:pos="360"/>
        </w:tabs>
        <w:autoSpaceDE/>
        <w:autoSpaceDN/>
        <w:adjustRightInd/>
        <w:rPr>
          <w:rFonts w:eastAsia="Calibri" w:cs="Calibri"/>
          <w:b/>
        </w:rPr>
      </w:pPr>
    </w:p>
    <w:p w14:paraId="6F72A3A7" w14:textId="39E435A1" w:rsidR="00A33959" w:rsidRPr="001C1E47" w:rsidRDefault="00F10CB4" w:rsidP="00783189">
      <w:pPr>
        <w:widowControl/>
        <w:tabs>
          <w:tab w:val="center" w:pos="270"/>
          <w:tab w:val="left" w:pos="360"/>
        </w:tabs>
        <w:autoSpaceDE/>
        <w:autoSpaceDN/>
        <w:adjustRightInd/>
        <w:rPr>
          <w:rFonts w:eastAsia="Calibri" w:cs="Calibri"/>
        </w:rPr>
      </w:pPr>
      <w:r>
        <w:rPr>
          <w:rFonts w:eastAsia="Calibri" w:cs="Calibri"/>
          <w:b/>
        </w:rPr>
        <w:t>Finding FY 2022-02 (</w:t>
      </w:r>
      <w:r w:rsidR="00A33959" w:rsidRPr="001C1E47">
        <w:rPr>
          <w:rFonts w:eastAsia="Calibri" w:cs="Calibri"/>
          <w:b/>
        </w:rPr>
        <w:t xml:space="preserve">Finding FY </w:t>
      </w:r>
      <w:r w:rsidR="00832082">
        <w:rPr>
          <w:rFonts w:eastAsia="Calibri" w:cs="Calibri"/>
          <w:b/>
        </w:rPr>
        <w:t>2021-03</w:t>
      </w:r>
      <w:r>
        <w:rPr>
          <w:rFonts w:eastAsia="Calibri" w:cs="Calibri"/>
          <w:b/>
        </w:rPr>
        <w:t>)</w:t>
      </w:r>
      <w:r w:rsidR="00A33959" w:rsidRPr="001C1E47">
        <w:rPr>
          <w:rFonts w:eastAsia="Calibri" w:cs="Calibri"/>
          <w:b/>
        </w:rPr>
        <w:t xml:space="preserve">: </w:t>
      </w:r>
      <w:r w:rsidR="007C126B" w:rsidRPr="001C1E47">
        <w:rPr>
          <w:rFonts w:eastAsia="Calibri" w:cs="Calibri"/>
          <w:b/>
        </w:rPr>
        <w:t xml:space="preserve"> </w:t>
      </w:r>
      <w:r w:rsidR="00832082">
        <w:rPr>
          <w:rFonts w:eastAsia="Calibri" w:cs="Calibri"/>
        </w:rPr>
        <w:t>IOSHA’s average lapse time for health inspections is 115 days, above the FRL of +/-20% of 66.1 and the acceptable range of 52</w:t>
      </w:r>
      <w:r w:rsidR="00593BB2">
        <w:rPr>
          <w:rFonts w:eastAsia="Calibri" w:cs="Calibri"/>
        </w:rPr>
        <w:t>.</w:t>
      </w:r>
      <w:r w:rsidR="00832082">
        <w:rPr>
          <w:rFonts w:eastAsia="Calibri" w:cs="Calibri"/>
        </w:rPr>
        <w:t>9 to 79.3 (SAMM 11b, Appendix D).</w:t>
      </w:r>
    </w:p>
    <w:p w14:paraId="1BFD3508" w14:textId="77777777" w:rsidR="00A33959" w:rsidRPr="001C1E47" w:rsidRDefault="00A33959" w:rsidP="00783189">
      <w:pPr>
        <w:widowControl/>
        <w:tabs>
          <w:tab w:val="center" w:pos="270"/>
          <w:tab w:val="left" w:pos="360"/>
        </w:tabs>
        <w:autoSpaceDE/>
        <w:autoSpaceDN/>
        <w:adjustRightInd/>
        <w:rPr>
          <w:rFonts w:eastAsia="Calibri" w:cs="Calibri"/>
        </w:rPr>
      </w:pPr>
    </w:p>
    <w:p w14:paraId="3880DCAA" w14:textId="19BEBDBA" w:rsidR="00593BB2" w:rsidRDefault="00A33959" w:rsidP="00783189">
      <w:pPr>
        <w:widowControl/>
        <w:autoSpaceDE/>
        <w:autoSpaceDN/>
        <w:adjustRightInd/>
        <w:rPr>
          <w:rFonts w:eastAsia="Calibri" w:cs="Calibri"/>
        </w:rPr>
      </w:pPr>
      <w:r w:rsidRPr="001C1E47">
        <w:rPr>
          <w:rFonts w:eastAsia="Calibri" w:cs="Calibri"/>
          <w:b/>
        </w:rPr>
        <w:t>Status:</w:t>
      </w:r>
      <w:r w:rsidRPr="001C1E47">
        <w:rPr>
          <w:rFonts w:eastAsia="Calibri" w:cs="Calibri"/>
        </w:rPr>
        <w:t xml:space="preserve">  </w:t>
      </w:r>
      <w:r w:rsidR="00593BB2">
        <w:rPr>
          <w:rFonts w:eastAsia="Calibri" w:cs="Calibri"/>
        </w:rPr>
        <w:t>At 92.79 days, t</w:t>
      </w:r>
      <w:r w:rsidRPr="001C1E47">
        <w:rPr>
          <w:rFonts w:eastAsia="Calibri" w:cs="Calibri"/>
        </w:rPr>
        <w:t>he State Plan</w:t>
      </w:r>
      <w:r w:rsidR="00593BB2">
        <w:rPr>
          <w:rFonts w:eastAsia="Calibri" w:cs="Calibri"/>
        </w:rPr>
        <w:t>’s average lapse time for health inspections</w:t>
      </w:r>
      <w:r w:rsidR="002008CB">
        <w:rPr>
          <w:rFonts w:eastAsia="Calibri" w:cs="Calibri"/>
        </w:rPr>
        <w:t>, while improved</w:t>
      </w:r>
      <w:r w:rsidR="0019505B">
        <w:rPr>
          <w:rFonts w:eastAsia="Calibri" w:cs="Calibri"/>
        </w:rPr>
        <w:t xml:space="preserve"> in FY 2022</w:t>
      </w:r>
      <w:r w:rsidR="002008CB">
        <w:rPr>
          <w:rFonts w:eastAsia="Calibri" w:cs="Calibri"/>
        </w:rPr>
        <w:t>,</w:t>
      </w:r>
      <w:r w:rsidR="00593BB2">
        <w:rPr>
          <w:rFonts w:eastAsia="Calibri" w:cs="Calibri"/>
        </w:rPr>
        <w:t xml:space="preserve"> is still above the</w:t>
      </w:r>
      <w:r w:rsidR="002008CB">
        <w:rPr>
          <w:rFonts w:eastAsia="Calibri" w:cs="Calibri"/>
        </w:rPr>
        <w:t xml:space="preserve"> FY 2022 </w:t>
      </w:r>
      <w:r w:rsidR="00593BB2">
        <w:rPr>
          <w:rFonts w:eastAsia="Calibri" w:cs="Calibri"/>
        </w:rPr>
        <w:t xml:space="preserve">FRL of +/-20% of 69.03 days and the acceptable range of 55.22 to 82.84 (SAMM 11b, Appendix D).  This finding remains open. </w:t>
      </w:r>
    </w:p>
    <w:p w14:paraId="78072851" w14:textId="652F503B" w:rsidR="00593BB2" w:rsidRDefault="00593BB2" w:rsidP="00783189">
      <w:pPr>
        <w:widowControl/>
        <w:autoSpaceDE/>
        <w:autoSpaceDN/>
        <w:adjustRightInd/>
        <w:rPr>
          <w:rFonts w:eastAsia="Calibri" w:cs="Calibri"/>
        </w:rPr>
      </w:pPr>
    </w:p>
    <w:p w14:paraId="3B63015E" w14:textId="399F2EC9" w:rsidR="00AB13C6" w:rsidRDefault="00AB13C6" w:rsidP="00AB13C6">
      <w:pPr>
        <w:widowControl/>
        <w:autoSpaceDE/>
        <w:autoSpaceDN/>
        <w:adjustRightInd/>
        <w:rPr>
          <w:rFonts w:cs="Calibri"/>
        </w:rPr>
      </w:pPr>
      <w:r w:rsidRPr="006C5F38">
        <w:rPr>
          <w:rFonts w:cs="Calibri"/>
          <w:b/>
          <w:bCs/>
        </w:rPr>
        <w:t>Fin</w:t>
      </w:r>
      <w:r>
        <w:rPr>
          <w:rFonts w:cs="Calibri"/>
          <w:b/>
          <w:bCs/>
        </w:rPr>
        <w:t>ding FY 2022-03 (Fin</w:t>
      </w:r>
      <w:r w:rsidRPr="006C5F38">
        <w:rPr>
          <w:rFonts w:cs="Calibri"/>
          <w:b/>
          <w:bCs/>
        </w:rPr>
        <w:t xml:space="preserve">ding </w:t>
      </w:r>
      <w:r>
        <w:rPr>
          <w:rFonts w:cs="Calibri"/>
          <w:b/>
          <w:bCs/>
        </w:rPr>
        <w:t xml:space="preserve">FY </w:t>
      </w:r>
      <w:r w:rsidRPr="006C5F38">
        <w:rPr>
          <w:rFonts w:cs="Calibri"/>
          <w:b/>
          <w:bCs/>
        </w:rPr>
        <w:t>2021-04</w:t>
      </w:r>
      <w:r>
        <w:rPr>
          <w:rFonts w:cs="Calibri"/>
          <w:b/>
          <w:bCs/>
        </w:rPr>
        <w:t>)</w:t>
      </w:r>
      <w:r w:rsidRPr="006C5F38">
        <w:rPr>
          <w:rFonts w:cs="Calibri"/>
          <w:b/>
          <w:bCs/>
        </w:rPr>
        <w:t xml:space="preserve">: </w:t>
      </w:r>
      <w:r>
        <w:rPr>
          <w:rFonts w:cs="Calibri"/>
          <w:b/>
          <w:bCs/>
        </w:rPr>
        <w:t xml:space="preserve"> </w:t>
      </w:r>
      <w:r>
        <w:rPr>
          <w:rFonts w:cs="Calibri"/>
        </w:rPr>
        <w:t xml:space="preserve">In </w:t>
      </w:r>
      <w:r w:rsidR="00C93F60">
        <w:rPr>
          <w:rFonts w:cs="Calibri"/>
        </w:rPr>
        <w:t xml:space="preserve">FY 2021, in </w:t>
      </w:r>
      <w:r>
        <w:rPr>
          <w:rFonts w:cs="Calibri"/>
        </w:rPr>
        <w:t xml:space="preserve">two of five (40%) follow-up case files reviewed, adequate verification of abatement couldn’t be determined because information specific to the previously cited hazards was not documented in the case files. </w:t>
      </w:r>
    </w:p>
    <w:p w14:paraId="60384FC2" w14:textId="77777777" w:rsidR="00AB13C6" w:rsidRDefault="00AB13C6" w:rsidP="00AB13C6">
      <w:pPr>
        <w:widowControl/>
        <w:autoSpaceDE/>
        <w:autoSpaceDN/>
        <w:adjustRightInd/>
        <w:rPr>
          <w:rFonts w:cs="Calibri"/>
        </w:rPr>
      </w:pPr>
    </w:p>
    <w:p w14:paraId="6325C77D" w14:textId="69FD2153" w:rsidR="00AB13C6" w:rsidRDefault="00AB13C6" w:rsidP="00AB13C6">
      <w:pPr>
        <w:widowControl/>
        <w:autoSpaceDE/>
        <w:autoSpaceDN/>
        <w:adjustRightInd/>
        <w:rPr>
          <w:rFonts w:cs="Calibri"/>
        </w:rPr>
      </w:pPr>
      <w:r w:rsidRPr="006C5F38">
        <w:rPr>
          <w:rFonts w:cs="Calibri"/>
          <w:b/>
          <w:bCs/>
        </w:rPr>
        <w:t>Status:</w:t>
      </w:r>
      <w:r>
        <w:rPr>
          <w:rFonts w:cs="Calibri"/>
          <w:b/>
          <w:bCs/>
        </w:rPr>
        <w:t xml:space="preserve">  </w:t>
      </w:r>
      <w:r w:rsidRPr="001C1E47">
        <w:rPr>
          <w:rFonts w:cs="Calibri"/>
        </w:rPr>
        <w:t>A case file review is necessary to gather the facts needed to evaluate progress on this finding. This finding will be a focus of next year’s on-site case file review during the FY 20</w:t>
      </w:r>
      <w:r>
        <w:rPr>
          <w:rFonts w:cs="Calibri"/>
        </w:rPr>
        <w:t>23</w:t>
      </w:r>
      <w:r w:rsidRPr="001C1E47">
        <w:rPr>
          <w:rFonts w:cs="Calibri"/>
        </w:rPr>
        <w:t xml:space="preserve"> comprehensive FAME and remains open.</w:t>
      </w:r>
    </w:p>
    <w:p w14:paraId="2EF45A53" w14:textId="77777777" w:rsidR="00AB13C6" w:rsidRDefault="00AB13C6" w:rsidP="00AB13C6">
      <w:pPr>
        <w:widowControl/>
        <w:autoSpaceDE/>
        <w:autoSpaceDN/>
        <w:adjustRightInd/>
        <w:rPr>
          <w:rFonts w:eastAsia="Calibri" w:cs="Calibri"/>
        </w:rPr>
      </w:pPr>
    </w:p>
    <w:p w14:paraId="0E11E07B" w14:textId="2317D535" w:rsidR="00593BB2" w:rsidRDefault="00F10CB4" w:rsidP="00783189">
      <w:pPr>
        <w:widowControl/>
        <w:autoSpaceDE/>
        <w:autoSpaceDN/>
        <w:adjustRightInd/>
        <w:rPr>
          <w:rFonts w:eastAsia="Calibri" w:cs="Calibri"/>
        </w:rPr>
      </w:pPr>
      <w:r>
        <w:rPr>
          <w:rFonts w:eastAsia="Calibri" w:cs="Calibri"/>
          <w:b/>
          <w:bCs/>
        </w:rPr>
        <w:t>Finding FY 2022-04 (</w:t>
      </w:r>
      <w:r w:rsidR="00593BB2" w:rsidRPr="00593BB2">
        <w:rPr>
          <w:rFonts w:eastAsia="Calibri" w:cs="Calibri"/>
          <w:b/>
          <w:bCs/>
        </w:rPr>
        <w:t>Finding FY 2021-0</w:t>
      </w:r>
      <w:r w:rsidR="00644FFC">
        <w:rPr>
          <w:rFonts w:eastAsia="Calibri" w:cs="Calibri"/>
          <w:b/>
          <w:bCs/>
        </w:rPr>
        <w:t>5</w:t>
      </w:r>
      <w:r>
        <w:rPr>
          <w:rFonts w:eastAsia="Calibri" w:cs="Calibri"/>
          <w:b/>
          <w:bCs/>
        </w:rPr>
        <w:t>)</w:t>
      </w:r>
      <w:r w:rsidR="00593BB2" w:rsidRPr="00593BB2">
        <w:rPr>
          <w:rFonts w:eastAsia="Calibri" w:cs="Calibri"/>
          <w:b/>
          <w:bCs/>
        </w:rPr>
        <w:t xml:space="preserve">: </w:t>
      </w:r>
      <w:r w:rsidR="00D82A33">
        <w:rPr>
          <w:rFonts w:eastAsia="Calibri" w:cs="Calibri"/>
          <w:b/>
          <w:bCs/>
        </w:rPr>
        <w:t xml:space="preserve"> </w:t>
      </w:r>
      <w:r w:rsidR="00593BB2">
        <w:rPr>
          <w:rFonts w:eastAsia="Calibri" w:cs="Calibri"/>
        </w:rPr>
        <w:t xml:space="preserve">IOSHA failed to adopt OSHA’s initial FY 2016 maximum and minimum penalty increase and subsequent annual penalty amount increases. </w:t>
      </w:r>
    </w:p>
    <w:p w14:paraId="34DEAF41" w14:textId="5DF63311" w:rsidR="00593BB2" w:rsidRDefault="00593BB2" w:rsidP="00783189">
      <w:pPr>
        <w:widowControl/>
        <w:autoSpaceDE/>
        <w:autoSpaceDN/>
        <w:adjustRightInd/>
        <w:rPr>
          <w:rFonts w:eastAsia="Calibri" w:cs="Calibri"/>
        </w:rPr>
      </w:pPr>
    </w:p>
    <w:p w14:paraId="491206F1" w14:textId="250A3F6D" w:rsidR="00593BB2" w:rsidRPr="00593BB2" w:rsidRDefault="00593BB2" w:rsidP="00783189">
      <w:pPr>
        <w:widowControl/>
        <w:autoSpaceDE/>
        <w:autoSpaceDN/>
        <w:adjustRightInd/>
        <w:rPr>
          <w:rFonts w:eastAsia="Calibri" w:cs="Calibri"/>
        </w:rPr>
      </w:pPr>
      <w:r w:rsidRPr="00D82A33">
        <w:rPr>
          <w:rFonts w:eastAsia="Calibri" w:cs="Calibri"/>
          <w:b/>
          <w:bCs/>
        </w:rPr>
        <w:t>Status:</w:t>
      </w:r>
      <w:r w:rsidR="000C66C4">
        <w:rPr>
          <w:rFonts w:eastAsia="Calibri" w:cs="Calibri"/>
          <w:b/>
          <w:bCs/>
        </w:rPr>
        <w:t xml:space="preserve">  </w:t>
      </w:r>
      <w:r w:rsidR="00D33B70">
        <w:rPr>
          <w:rFonts w:eastAsia="Calibri" w:cs="Calibri"/>
        </w:rPr>
        <w:t>IOSHA submitted language for consideration</w:t>
      </w:r>
      <w:r w:rsidR="002008CB">
        <w:rPr>
          <w:rFonts w:eastAsia="Calibri" w:cs="Calibri"/>
        </w:rPr>
        <w:t xml:space="preserve"> by the Indiana legislature</w:t>
      </w:r>
      <w:r w:rsidR="00F10CB4">
        <w:rPr>
          <w:rFonts w:eastAsia="Calibri" w:cs="Calibri"/>
        </w:rPr>
        <w:t xml:space="preserve"> to increase penalties</w:t>
      </w:r>
      <w:r w:rsidR="00D33B70">
        <w:rPr>
          <w:rFonts w:eastAsia="Calibri" w:cs="Calibri"/>
        </w:rPr>
        <w:t xml:space="preserve">.  However, there has been no action and IOSHA does not expect that the Indiana legislature will take up the annual penalty increase matter during the legislative session. </w:t>
      </w:r>
      <w:r w:rsidR="000C66C4">
        <w:rPr>
          <w:rFonts w:eastAsia="Calibri" w:cs="Calibri"/>
        </w:rPr>
        <w:t xml:space="preserve">This finding remains open. </w:t>
      </w:r>
      <w:r>
        <w:rPr>
          <w:rFonts w:eastAsia="Calibri" w:cs="Calibri"/>
          <w:b/>
          <w:bCs/>
        </w:rPr>
        <w:t xml:space="preserve">  </w:t>
      </w:r>
    </w:p>
    <w:p w14:paraId="4A3A366E" w14:textId="13884F1B" w:rsidR="00593BB2" w:rsidRDefault="00593BB2" w:rsidP="00783189">
      <w:pPr>
        <w:widowControl/>
        <w:autoSpaceDE/>
        <w:autoSpaceDN/>
        <w:adjustRightInd/>
        <w:rPr>
          <w:rFonts w:eastAsia="Calibri" w:cs="Calibri"/>
        </w:rPr>
      </w:pPr>
    </w:p>
    <w:p w14:paraId="57E594E9" w14:textId="1EA50B18" w:rsidR="00AB13C6" w:rsidRPr="001C1E47" w:rsidRDefault="00AB13C6" w:rsidP="00AB13C6">
      <w:pPr>
        <w:widowControl/>
        <w:autoSpaceDE/>
        <w:autoSpaceDN/>
        <w:adjustRightInd/>
        <w:rPr>
          <w:rFonts w:cs="Calibri"/>
        </w:rPr>
      </w:pPr>
      <w:r>
        <w:rPr>
          <w:rFonts w:cs="Calibri"/>
          <w:b/>
        </w:rPr>
        <w:t>Finding FY 2022-05 (</w:t>
      </w:r>
      <w:r w:rsidRPr="001C1E47">
        <w:rPr>
          <w:rFonts w:cs="Calibri"/>
          <w:b/>
        </w:rPr>
        <w:t xml:space="preserve">Finding </w:t>
      </w:r>
      <w:r>
        <w:rPr>
          <w:rFonts w:cs="Calibri"/>
          <w:b/>
        </w:rPr>
        <w:t xml:space="preserve">FY </w:t>
      </w:r>
      <w:r w:rsidRPr="001C1E47">
        <w:rPr>
          <w:rFonts w:cs="Calibri"/>
          <w:b/>
        </w:rPr>
        <w:t>20</w:t>
      </w:r>
      <w:r>
        <w:rPr>
          <w:rFonts w:cs="Calibri"/>
          <w:b/>
        </w:rPr>
        <w:t>21</w:t>
      </w:r>
      <w:r w:rsidRPr="001C1E47">
        <w:rPr>
          <w:rFonts w:cs="Calibri"/>
          <w:b/>
        </w:rPr>
        <w:t>-0</w:t>
      </w:r>
      <w:r>
        <w:rPr>
          <w:rFonts w:cs="Calibri"/>
          <w:b/>
        </w:rPr>
        <w:t>6)</w:t>
      </w:r>
      <w:r w:rsidRPr="001C1E47">
        <w:rPr>
          <w:rFonts w:cs="Calibri"/>
          <w:b/>
        </w:rPr>
        <w:t>:</w:t>
      </w:r>
      <w:r w:rsidR="00C93F60">
        <w:rPr>
          <w:rFonts w:cs="Calibri"/>
          <w:b/>
        </w:rPr>
        <w:t xml:space="preserve"> </w:t>
      </w:r>
      <w:r w:rsidRPr="001C1E47">
        <w:rPr>
          <w:rFonts w:cs="Calibri"/>
          <w:b/>
        </w:rPr>
        <w:t xml:space="preserve"> </w:t>
      </w:r>
      <w:r>
        <w:rPr>
          <w:rFonts w:cs="Calibri"/>
        </w:rPr>
        <w:t>Appropriate analysis of the elements was nonexistent or incorrect in seven of the 20 (35%) whistleblower files reviewed</w:t>
      </w:r>
      <w:r w:rsidR="00C93F60">
        <w:rPr>
          <w:rFonts w:cs="Calibri"/>
        </w:rPr>
        <w:t xml:space="preserve"> from FY 2021</w:t>
      </w:r>
      <w:r>
        <w:rPr>
          <w:rFonts w:cs="Calibri"/>
        </w:rPr>
        <w:t xml:space="preserve">. </w:t>
      </w:r>
      <w:r w:rsidRPr="001C1E47">
        <w:rPr>
          <w:rFonts w:cs="Calibri"/>
        </w:rPr>
        <w:t xml:space="preserve"> </w:t>
      </w:r>
    </w:p>
    <w:p w14:paraId="1D8EA1A9" w14:textId="77777777" w:rsidR="00AB13C6" w:rsidRPr="001C1E47" w:rsidRDefault="00AB13C6" w:rsidP="00AB13C6">
      <w:pPr>
        <w:widowControl/>
        <w:autoSpaceDE/>
        <w:autoSpaceDN/>
        <w:adjustRightInd/>
        <w:rPr>
          <w:rFonts w:cs="Calibri"/>
          <w:b/>
        </w:rPr>
      </w:pPr>
    </w:p>
    <w:p w14:paraId="6F4F7FC5" w14:textId="234E02FB" w:rsidR="00AB13C6" w:rsidRDefault="00AB13C6" w:rsidP="00AB13C6">
      <w:pPr>
        <w:widowControl/>
        <w:autoSpaceDE/>
        <w:autoSpaceDN/>
        <w:adjustRightInd/>
        <w:rPr>
          <w:rFonts w:cs="Calibri"/>
        </w:rPr>
      </w:pPr>
      <w:r w:rsidRPr="00D82A33">
        <w:rPr>
          <w:rFonts w:cs="Calibri"/>
          <w:b/>
        </w:rPr>
        <w:lastRenderedPageBreak/>
        <w:t>Status:</w:t>
      </w:r>
      <w:r w:rsidRPr="001C1E47">
        <w:rPr>
          <w:rFonts w:cs="Calibri"/>
          <w:b/>
        </w:rPr>
        <w:t xml:space="preserve">  </w:t>
      </w:r>
      <w:r w:rsidRPr="001C1E47">
        <w:rPr>
          <w:rFonts w:cs="Calibri"/>
        </w:rPr>
        <w:t>A case file review is necessary to gather the facts needed to evaluate progress on this finding. This finding will be a focus of next year’s on-site case file review during the FY 20</w:t>
      </w:r>
      <w:r>
        <w:rPr>
          <w:rFonts w:cs="Calibri"/>
        </w:rPr>
        <w:t>23</w:t>
      </w:r>
      <w:r w:rsidRPr="001C1E47">
        <w:rPr>
          <w:rFonts w:cs="Calibri"/>
        </w:rPr>
        <w:t xml:space="preserve"> comprehensive FAME and remains open.</w:t>
      </w:r>
    </w:p>
    <w:p w14:paraId="02D5130F" w14:textId="77777777" w:rsidR="00AB13C6" w:rsidRDefault="00AB13C6" w:rsidP="00AB13C6">
      <w:pPr>
        <w:widowControl/>
        <w:autoSpaceDE/>
        <w:autoSpaceDN/>
        <w:adjustRightInd/>
        <w:rPr>
          <w:rFonts w:eastAsia="Calibri" w:cs="Calibri"/>
        </w:rPr>
      </w:pPr>
    </w:p>
    <w:p w14:paraId="200F0DA7" w14:textId="6DB9610D" w:rsidR="006C5F38" w:rsidRDefault="00F10CB4" w:rsidP="00783189">
      <w:pPr>
        <w:widowControl/>
        <w:autoSpaceDE/>
        <w:autoSpaceDN/>
        <w:adjustRightInd/>
        <w:rPr>
          <w:rFonts w:cs="Calibri"/>
        </w:rPr>
      </w:pPr>
      <w:r>
        <w:rPr>
          <w:rFonts w:cs="Calibri"/>
          <w:b/>
          <w:bCs/>
        </w:rPr>
        <w:t>Finding FY 2022-06 (</w:t>
      </w:r>
      <w:r w:rsidR="006C5F38" w:rsidRPr="006C5F38">
        <w:rPr>
          <w:rFonts w:cs="Calibri"/>
          <w:b/>
          <w:bCs/>
        </w:rPr>
        <w:t xml:space="preserve">Finding </w:t>
      </w:r>
      <w:r>
        <w:rPr>
          <w:rFonts w:cs="Calibri"/>
          <w:b/>
          <w:bCs/>
        </w:rPr>
        <w:t xml:space="preserve">FY </w:t>
      </w:r>
      <w:r w:rsidR="006C5F38" w:rsidRPr="006C5F38">
        <w:rPr>
          <w:rFonts w:cs="Calibri"/>
          <w:b/>
          <w:bCs/>
        </w:rPr>
        <w:t>2021-08</w:t>
      </w:r>
      <w:r>
        <w:rPr>
          <w:rFonts w:cs="Calibri"/>
          <w:b/>
          <w:bCs/>
        </w:rPr>
        <w:t>)</w:t>
      </w:r>
      <w:r w:rsidR="006C5F38" w:rsidRPr="006C5F38">
        <w:rPr>
          <w:rFonts w:cs="Calibri"/>
          <w:b/>
          <w:bCs/>
        </w:rPr>
        <w:t>:</w:t>
      </w:r>
      <w:r w:rsidR="006C5F38">
        <w:rPr>
          <w:rFonts w:cs="Calibri"/>
        </w:rPr>
        <w:t xml:space="preserve">  In 11 of the 20 (55%) whistleblower case files reviewed</w:t>
      </w:r>
      <w:r w:rsidR="00C93F60">
        <w:rPr>
          <w:rFonts w:cs="Calibri"/>
        </w:rPr>
        <w:t xml:space="preserve"> from FY 2022</w:t>
      </w:r>
      <w:r w:rsidR="006C5F38">
        <w:rPr>
          <w:rFonts w:cs="Calibri"/>
        </w:rPr>
        <w:t>, the Report of Investigation (ROI) approval dates were either not entered in the database or were entered incorrectly.</w:t>
      </w:r>
    </w:p>
    <w:p w14:paraId="6F73E391" w14:textId="77777777" w:rsidR="000A2B6F" w:rsidRDefault="000A2B6F" w:rsidP="00783189">
      <w:pPr>
        <w:widowControl/>
        <w:autoSpaceDE/>
        <w:autoSpaceDN/>
        <w:adjustRightInd/>
        <w:rPr>
          <w:rFonts w:cs="Calibri"/>
        </w:rPr>
      </w:pPr>
    </w:p>
    <w:p w14:paraId="42F0C220" w14:textId="6151DE93" w:rsidR="00AB4684" w:rsidRDefault="006C5F38" w:rsidP="00AB4684">
      <w:pPr>
        <w:widowControl/>
        <w:autoSpaceDE/>
        <w:autoSpaceDN/>
        <w:adjustRightInd/>
        <w:rPr>
          <w:rFonts w:cs="Calibri"/>
        </w:rPr>
      </w:pPr>
      <w:r w:rsidRPr="006C5F38">
        <w:rPr>
          <w:rFonts w:cs="Calibri"/>
          <w:b/>
          <w:bCs/>
        </w:rPr>
        <w:t>Status:</w:t>
      </w:r>
      <w:r>
        <w:rPr>
          <w:rFonts w:cs="Calibri"/>
          <w:b/>
          <w:bCs/>
        </w:rPr>
        <w:t xml:space="preserve"> </w:t>
      </w:r>
      <w:r w:rsidR="00D82A33">
        <w:rPr>
          <w:rFonts w:cs="Calibri"/>
          <w:b/>
          <w:bCs/>
        </w:rPr>
        <w:t xml:space="preserve"> </w:t>
      </w:r>
      <w:r w:rsidR="00D82A33">
        <w:rPr>
          <w:rFonts w:cs="Calibri"/>
        </w:rPr>
        <w:t xml:space="preserve">The limited review of 11 case files </w:t>
      </w:r>
      <w:r w:rsidR="00F10CB4">
        <w:rPr>
          <w:rFonts w:cs="Calibri"/>
        </w:rPr>
        <w:t xml:space="preserve">for this Follow-up FAME </w:t>
      </w:r>
      <w:r w:rsidR="00D82A33">
        <w:rPr>
          <w:rFonts w:cs="Calibri"/>
        </w:rPr>
        <w:t>indicates the Report of Investigation (ROI) approval dates were either not entered in OITSS (6 of 11, 54.5%) or were entered inaccurately (1 of 1</w:t>
      </w:r>
      <w:r w:rsidR="00D33B70">
        <w:rPr>
          <w:rFonts w:cs="Calibri"/>
        </w:rPr>
        <w:t>1</w:t>
      </w:r>
      <w:r w:rsidR="00D82A33">
        <w:rPr>
          <w:rFonts w:cs="Calibri"/>
        </w:rPr>
        <w:t xml:space="preserve">, </w:t>
      </w:r>
      <w:r w:rsidR="00D33B70">
        <w:rPr>
          <w:rFonts w:cs="Calibri"/>
        </w:rPr>
        <w:t>9.1</w:t>
      </w:r>
      <w:r w:rsidR="00D82A33">
        <w:rPr>
          <w:rFonts w:cs="Calibri"/>
        </w:rPr>
        <w:t xml:space="preserve">%).  </w:t>
      </w:r>
      <w:r>
        <w:rPr>
          <w:rFonts w:cs="Calibri"/>
        </w:rPr>
        <w:t xml:space="preserve">This finding </w:t>
      </w:r>
      <w:r w:rsidR="007B67AF">
        <w:rPr>
          <w:rFonts w:cs="Calibri"/>
        </w:rPr>
        <w:t>r</w:t>
      </w:r>
      <w:r>
        <w:rPr>
          <w:rFonts w:cs="Calibri"/>
        </w:rPr>
        <w:t>emains open.</w:t>
      </w:r>
    </w:p>
    <w:p w14:paraId="1041DA39" w14:textId="77777777" w:rsidR="00AB4684" w:rsidRPr="006C5F38" w:rsidRDefault="00AB4684" w:rsidP="00783189">
      <w:pPr>
        <w:widowControl/>
        <w:autoSpaceDE/>
        <w:autoSpaceDN/>
        <w:adjustRightInd/>
        <w:rPr>
          <w:rFonts w:cs="Calibri"/>
        </w:rPr>
      </w:pPr>
    </w:p>
    <w:p w14:paraId="364F337C" w14:textId="634BFABF" w:rsidR="007C0A36" w:rsidRDefault="00AB13C6" w:rsidP="00783189">
      <w:pPr>
        <w:widowControl/>
        <w:autoSpaceDE/>
        <w:autoSpaceDN/>
        <w:adjustRightInd/>
        <w:rPr>
          <w:rFonts w:cs="Calibri"/>
          <w:bCs/>
          <w:iCs/>
        </w:rPr>
      </w:pPr>
      <w:r>
        <w:rPr>
          <w:rFonts w:cs="Calibri"/>
          <w:b/>
          <w:iCs/>
        </w:rPr>
        <w:t>Finding FY 2022-07 (</w:t>
      </w:r>
      <w:r w:rsidR="00AB4684" w:rsidRPr="00AB4684">
        <w:rPr>
          <w:rFonts w:cs="Calibri"/>
          <w:b/>
          <w:iCs/>
        </w:rPr>
        <w:t xml:space="preserve">Finding </w:t>
      </w:r>
      <w:r>
        <w:rPr>
          <w:rFonts w:cs="Calibri"/>
          <w:b/>
          <w:iCs/>
        </w:rPr>
        <w:t xml:space="preserve">FY </w:t>
      </w:r>
      <w:r w:rsidR="00AB4684" w:rsidRPr="00AB4684">
        <w:rPr>
          <w:rFonts w:cs="Calibri"/>
          <w:b/>
          <w:iCs/>
        </w:rPr>
        <w:t>2021-09</w:t>
      </w:r>
      <w:r>
        <w:rPr>
          <w:rFonts w:cs="Calibri"/>
          <w:b/>
          <w:iCs/>
        </w:rPr>
        <w:t>)</w:t>
      </w:r>
      <w:r w:rsidR="00AB4684" w:rsidRPr="00AB4684">
        <w:rPr>
          <w:rFonts w:cs="Calibri"/>
          <w:b/>
          <w:iCs/>
        </w:rPr>
        <w:t xml:space="preserve">:  </w:t>
      </w:r>
      <w:r w:rsidR="00AB4684">
        <w:rPr>
          <w:rFonts w:cs="Calibri"/>
          <w:bCs/>
          <w:iCs/>
        </w:rPr>
        <w:t xml:space="preserve">In </w:t>
      </w:r>
      <w:r w:rsidR="00C93F60">
        <w:rPr>
          <w:rFonts w:cs="Calibri"/>
          <w:bCs/>
          <w:iCs/>
        </w:rPr>
        <w:t xml:space="preserve">FY 2021, in </w:t>
      </w:r>
      <w:r w:rsidR="00AB4684">
        <w:rPr>
          <w:rFonts w:cs="Calibri"/>
          <w:bCs/>
          <w:iCs/>
        </w:rPr>
        <w:t>six of the 20 (30%) whistleblower case files reviewed, the supervisor did not review the file to ensure technical accuracy, thoroughness of the investigation, correct application of the law to the facts, completeness of the Secretary’s Findings, and merits of the case (W</w:t>
      </w:r>
      <w:r w:rsidR="0019505B">
        <w:rPr>
          <w:rFonts w:cs="Calibri"/>
          <w:bCs/>
          <w:iCs/>
        </w:rPr>
        <w:t>histleblower Investigation Manual (W</w:t>
      </w:r>
      <w:r w:rsidR="00AB4684">
        <w:rPr>
          <w:rFonts w:cs="Calibri"/>
          <w:bCs/>
          <w:iCs/>
        </w:rPr>
        <w:t>IM</w:t>
      </w:r>
      <w:r w:rsidR="0019505B">
        <w:rPr>
          <w:rFonts w:cs="Calibri"/>
          <w:bCs/>
          <w:iCs/>
        </w:rPr>
        <w:t>)</w:t>
      </w:r>
      <w:r w:rsidR="00AB4684">
        <w:rPr>
          <w:rFonts w:cs="Calibri"/>
          <w:bCs/>
          <w:iCs/>
        </w:rPr>
        <w:t xml:space="preserve"> Chapter 4, Section IV.A).</w:t>
      </w:r>
    </w:p>
    <w:p w14:paraId="3F78709E" w14:textId="0A852CD3" w:rsidR="00AB4684" w:rsidRDefault="00AB4684" w:rsidP="00783189">
      <w:pPr>
        <w:widowControl/>
        <w:autoSpaceDE/>
        <w:autoSpaceDN/>
        <w:adjustRightInd/>
        <w:rPr>
          <w:rFonts w:cs="Calibri"/>
          <w:bCs/>
          <w:iCs/>
        </w:rPr>
      </w:pPr>
    </w:p>
    <w:p w14:paraId="19EB1006" w14:textId="08CF68D5" w:rsidR="00D82A33" w:rsidRDefault="00AB4684" w:rsidP="00783189">
      <w:pPr>
        <w:widowControl/>
        <w:autoSpaceDE/>
        <w:autoSpaceDN/>
        <w:adjustRightInd/>
        <w:rPr>
          <w:rFonts w:cs="Calibri"/>
          <w:bCs/>
          <w:iCs/>
        </w:rPr>
      </w:pPr>
      <w:r w:rsidRPr="00AB4684">
        <w:rPr>
          <w:rFonts w:cs="Calibri"/>
          <w:b/>
          <w:iCs/>
        </w:rPr>
        <w:t xml:space="preserve">Status: </w:t>
      </w:r>
      <w:r w:rsidR="00D82A33">
        <w:rPr>
          <w:rFonts w:cs="Calibri"/>
          <w:b/>
          <w:iCs/>
        </w:rPr>
        <w:t xml:space="preserve"> </w:t>
      </w:r>
      <w:r w:rsidR="00D82A33" w:rsidRPr="001C1E47">
        <w:rPr>
          <w:rFonts w:cs="Calibri"/>
        </w:rPr>
        <w:t>A case file review is necessary to gather the facts needed to evaluate progress on this finding. This finding will be a focus of next year’s on-site case file review during the FY 20</w:t>
      </w:r>
      <w:r w:rsidR="00D82A33">
        <w:rPr>
          <w:rFonts w:cs="Calibri"/>
        </w:rPr>
        <w:t>23</w:t>
      </w:r>
      <w:r w:rsidR="00D82A33" w:rsidRPr="001C1E47">
        <w:rPr>
          <w:rFonts w:cs="Calibri"/>
        </w:rPr>
        <w:t xml:space="preserve"> comprehensive FAME and</w:t>
      </w:r>
      <w:r w:rsidR="00D82A33">
        <w:rPr>
          <w:rFonts w:cs="Calibri"/>
          <w:bCs/>
          <w:iCs/>
        </w:rPr>
        <w:t xml:space="preserve"> remains open.</w:t>
      </w:r>
    </w:p>
    <w:p w14:paraId="17F56044" w14:textId="77777777" w:rsidR="00822230" w:rsidRPr="00D82A33" w:rsidRDefault="00822230" w:rsidP="00783189">
      <w:pPr>
        <w:widowControl/>
        <w:autoSpaceDE/>
        <w:autoSpaceDN/>
        <w:adjustRightInd/>
        <w:rPr>
          <w:rFonts w:cs="Calibri"/>
          <w:bCs/>
          <w:iCs/>
        </w:rPr>
      </w:pPr>
    </w:p>
    <w:p w14:paraId="3B828F9D" w14:textId="6C45BA5D" w:rsidR="00F132A8" w:rsidRPr="0061362E" w:rsidRDefault="00F132A8" w:rsidP="0061362E">
      <w:pPr>
        <w:pStyle w:val="Heading3"/>
      </w:pPr>
      <w:bookmarkStart w:id="18" w:name="_Toc118900177"/>
      <w:bookmarkStart w:id="19" w:name="_Toc118905016"/>
      <w:bookmarkStart w:id="20" w:name="_Toc119418668"/>
      <w:r w:rsidRPr="0061362E">
        <w:t>State Activity Mandated Measures (SAMM)</w:t>
      </w:r>
      <w:r w:rsidR="00A243D6" w:rsidRPr="0061362E">
        <w:t xml:space="preserve"> Highlights</w:t>
      </w:r>
      <w:bookmarkEnd w:id="18"/>
      <w:bookmarkEnd w:id="19"/>
      <w:bookmarkEnd w:id="20"/>
    </w:p>
    <w:p w14:paraId="1ACC4DE2" w14:textId="77777777" w:rsidR="00F132A8" w:rsidRPr="001C1E47" w:rsidRDefault="00F132A8" w:rsidP="00783189">
      <w:pPr>
        <w:widowControl/>
        <w:autoSpaceDE/>
        <w:autoSpaceDN/>
        <w:adjustRightInd/>
        <w:ind w:left="720"/>
        <w:contextualSpacing/>
        <w:rPr>
          <w:rFonts w:cs="Calibri"/>
          <w:sz w:val="28"/>
          <w:szCs w:val="28"/>
        </w:rPr>
      </w:pPr>
    </w:p>
    <w:p w14:paraId="75AF2501" w14:textId="2EC01052" w:rsidR="00EC7600" w:rsidRDefault="00EC7600" w:rsidP="00783189">
      <w:pPr>
        <w:widowControl/>
        <w:autoSpaceDE/>
        <w:adjustRightInd/>
        <w:rPr>
          <w:rFonts w:cs="Calibri"/>
        </w:rPr>
      </w:pPr>
      <w:r w:rsidRPr="001C1E47">
        <w:rPr>
          <w:rFonts w:cs="Calibri"/>
        </w:rPr>
        <w:t xml:space="preserve">Each SAMM has an agreed upon </w:t>
      </w:r>
      <w:r w:rsidR="00D7654E" w:rsidRPr="001C1E47">
        <w:rPr>
          <w:rFonts w:cs="Calibri"/>
        </w:rPr>
        <w:t>FRL</w:t>
      </w:r>
      <w:r w:rsidRPr="001C1E47">
        <w:rPr>
          <w:rFonts w:cs="Calibri"/>
        </w:rPr>
        <w:t xml:space="preserve"> which can be either a single number, or </w:t>
      </w:r>
      <w:r w:rsidR="00D7654E" w:rsidRPr="001C1E47">
        <w:rPr>
          <w:rFonts w:cs="Calibri"/>
        </w:rPr>
        <w:t xml:space="preserve">a </w:t>
      </w:r>
      <w:r w:rsidRPr="001C1E47">
        <w:rPr>
          <w:rFonts w:cs="Calibri"/>
        </w:rPr>
        <w:t xml:space="preserve">range of numbers above and below the national average.  State Plan SAMM data that falls outside the FRL triggers a closer look at the underlying performance of the mandatory activity.  </w:t>
      </w:r>
      <w:r w:rsidR="005D1F76" w:rsidRPr="001C1E47">
        <w:rPr>
          <w:rFonts w:cs="Calibri"/>
        </w:rPr>
        <w:t>Appendix D presents the State Plan’s FY 20</w:t>
      </w:r>
      <w:r w:rsidR="00476C08">
        <w:rPr>
          <w:rFonts w:cs="Calibri"/>
        </w:rPr>
        <w:t>22</w:t>
      </w:r>
      <w:r w:rsidR="005D1F76" w:rsidRPr="001C1E47">
        <w:rPr>
          <w:rFonts w:cs="Calibri"/>
        </w:rPr>
        <w:t xml:space="preserve"> State Activity Mandated Measures (SAMM) Report and includes the FRLs for each measure. </w:t>
      </w:r>
      <w:r w:rsidRPr="001C1E47">
        <w:rPr>
          <w:rFonts w:cs="Calibri"/>
        </w:rPr>
        <w:t>The State Plan was outside the FRL on the following SAMMs:</w:t>
      </w:r>
    </w:p>
    <w:p w14:paraId="193EDA4E" w14:textId="1B49A4E0" w:rsidR="002B6B4D" w:rsidRDefault="002B6B4D" w:rsidP="00783189">
      <w:pPr>
        <w:widowControl/>
        <w:autoSpaceDE/>
        <w:adjustRightInd/>
        <w:rPr>
          <w:rFonts w:cs="Calibri"/>
        </w:rPr>
      </w:pPr>
    </w:p>
    <w:p w14:paraId="7346E43D" w14:textId="3E387C45" w:rsidR="002B6B4D" w:rsidRPr="001C1E47" w:rsidRDefault="002B6B4D" w:rsidP="00783189">
      <w:pPr>
        <w:widowControl/>
        <w:autoSpaceDE/>
        <w:adjustRightInd/>
        <w:rPr>
          <w:rFonts w:cs="Calibri"/>
        </w:rPr>
      </w:pPr>
      <w:r w:rsidRPr="00DB278E">
        <w:rPr>
          <w:rFonts w:cs="Calibri"/>
        </w:rPr>
        <w:t xml:space="preserve">It should be noted that OSHA is in the final stages of transitioning from the Whistleblower Application in the OSHA IT Support System (OITSS), a legacy data system, to the Whistleblower module in OIS, a modern data system.  For FY 2022, a portion of the State Plan whistleblower data was recorded </w:t>
      </w:r>
      <w:r>
        <w:rPr>
          <w:rFonts w:cs="Calibri"/>
        </w:rPr>
        <w:t xml:space="preserve">in </w:t>
      </w:r>
      <w:r w:rsidRPr="00DB278E">
        <w:rPr>
          <w:rFonts w:cs="Calibri"/>
        </w:rPr>
        <w:t>OITSS, and a portion was captured in OIS.   OSHA encountered challenges in combining the report that generates SAMM 14, 15, and 16 from both systems.  As such, OSHA will not be relying on SAMMs 14, 15, or 16 in the evaluation of the State Plans</w:t>
      </w:r>
      <w:r>
        <w:rPr>
          <w:rFonts w:cs="Calibri"/>
        </w:rPr>
        <w:t>’</w:t>
      </w:r>
      <w:r w:rsidRPr="00DB278E">
        <w:rPr>
          <w:rFonts w:cs="Calibri"/>
        </w:rPr>
        <w:t xml:space="preserve"> whistleblower programs for FY 2022.</w:t>
      </w:r>
    </w:p>
    <w:p w14:paraId="5B2B946B" w14:textId="77777777" w:rsidR="00A02B33" w:rsidRPr="001C1E47" w:rsidRDefault="00A02B33" w:rsidP="00783189">
      <w:pPr>
        <w:widowControl/>
        <w:autoSpaceDE/>
        <w:adjustRightInd/>
        <w:rPr>
          <w:rFonts w:cs="Calibri"/>
          <w:b/>
          <w:u w:val="single"/>
        </w:rPr>
      </w:pPr>
    </w:p>
    <w:p w14:paraId="31E9ACDB" w14:textId="0BEA633E" w:rsidR="00EC7600" w:rsidRPr="001C1E47" w:rsidRDefault="00EC7600" w:rsidP="00783189">
      <w:pPr>
        <w:widowControl/>
        <w:autoSpaceDE/>
        <w:adjustRightInd/>
        <w:rPr>
          <w:rFonts w:cs="Calibri"/>
          <w:b/>
        </w:rPr>
      </w:pPr>
      <w:r w:rsidRPr="001C1E47">
        <w:rPr>
          <w:rFonts w:cs="Calibri"/>
          <w:b/>
        </w:rPr>
        <w:t xml:space="preserve">SAMM </w:t>
      </w:r>
      <w:r w:rsidR="00420003">
        <w:rPr>
          <w:rFonts w:cs="Calibri"/>
          <w:b/>
        </w:rPr>
        <w:t>2a</w:t>
      </w:r>
      <w:r w:rsidRPr="001C1E47">
        <w:rPr>
          <w:rFonts w:cs="Calibri"/>
          <w:b/>
        </w:rPr>
        <w:t xml:space="preserve"> – </w:t>
      </w:r>
      <w:r w:rsidR="00420003">
        <w:rPr>
          <w:rFonts w:cs="Calibri"/>
          <w:b/>
        </w:rPr>
        <w:t xml:space="preserve">Average number of </w:t>
      </w:r>
      <w:r w:rsidR="00AF3CC4">
        <w:rPr>
          <w:rFonts w:cs="Calibri"/>
          <w:b/>
        </w:rPr>
        <w:t>workdays</w:t>
      </w:r>
      <w:r w:rsidR="00420003">
        <w:rPr>
          <w:rFonts w:cs="Calibri"/>
          <w:b/>
        </w:rPr>
        <w:t xml:space="preserve"> to initiate complaint investigations (state formula)</w:t>
      </w:r>
    </w:p>
    <w:p w14:paraId="6C991B2F" w14:textId="77777777" w:rsidR="00EC7600" w:rsidRPr="001C1E47" w:rsidRDefault="00EC7600" w:rsidP="00783189">
      <w:pPr>
        <w:widowControl/>
        <w:autoSpaceDE/>
        <w:adjustRightInd/>
        <w:rPr>
          <w:rFonts w:cs="Calibri"/>
        </w:rPr>
      </w:pPr>
    </w:p>
    <w:p w14:paraId="2E17488E" w14:textId="2E926EC2" w:rsidR="00420003" w:rsidRDefault="005D1F76" w:rsidP="00783189">
      <w:pPr>
        <w:widowControl/>
        <w:autoSpaceDE/>
        <w:adjustRightInd/>
        <w:rPr>
          <w:rFonts w:cs="Calibri"/>
        </w:rPr>
      </w:pPr>
      <w:r w:rsidRPr="001C1E47">
        <w:rPr>
          <w:rFonts w:cs="Calibri"/>
          <w:u w:val="single"/>
        </w:rPr>
        <w:t xml:space="preserve">Discussion of </w:t>
      </w:r>
      <w:r w:rsidR="003F2E2D" w:rsidRPr="001C1E47">
        <w:rPr>
          <w:rFonts w:cs="Calibri"/>
          <w:u w:val="single"/>
        </w:rPr>
        <w:t>State</w:t>
      </w:r>
      <w:r w:rsidR="00391D6F" w:rsidRPr="001C1E47">
        <w:rPr>
          <w:rFonts w:cs="Calibri"/>
          <w:u w:val="single"/>
        </w:rPr>
        <w:t xml:space="preserve"> Plan </w:t>
      </w:r>
      <w:r w:rsidR="00476C08">
        <w:rPr>
          <w:rFonts w:cs="Calibri"/>
          <w:u w:val="single"/>
        </w:rPr>
        <w:t>D</w:t>
      </w:r>
      <w:r w:rsidR="00EC7600" w:rsidRPr="001C1E47">
        <w:rPr>
          <w:rFonts w:cs="Calibri"/>
          <w:u w:val="single"/>
        </w:rPr>
        <w:t>ata and FRL</w:t>
      </w:r>
      <w:r w:rsidRPr="001C1E47">
        <w:rPr>
          <w:rFonts w:cs="Calibri"/>
          <w:u w:val="single"/>
        </w:rPr>
        <w:t>:</w:t>
      </w:r>
      <w:r w:rsidR="00EC7600" w:rsidRPr="001C1E47">
        <w:rPr>
          <w:rFonts w:cs="Calibri"/>
        </w:rPr>
        <w:t xml:space="preserve"> The FRL for </w:t>
      </w:r>
      <w:r w:rsidR="00420003">
        <w:rPr>
          <w:rFonts w:cs="Calibri"/>
        </w:rPr>
        <w:t xml:space="preserve">average number of </w:t>
      </w:r>
      <w:r w:rsidR="00AF3CC4">
        <w:rPr>
          <w:rFonts w:cs="Calibri"/>
        </w:rPr>
        <w:t>workdays</w:t>
      </w:r>
      <w:r w:rsidR="00420003">
        <w:rPr>
          <w:rFonts w:cs="Calibri"/>
        </w:rPr>
        <w:t xml:space="preserve"> to initiate complaint investigations (state formula) is </w:t>
      </w:r>
      <w:r w:rsidR="0019505B">
        <w:rPr>
          <w:rFonts w:cs="Calibri"/>
        </w:rPr>
        <w:t>five</w:t>
      </w:r>
      <w:r w:rsidR="00420003">
        <w:rPr>
          <w:rFonts w:cs="Calibri"/>
        </w:rPr>
        <w:t xml:space="preserve"> days</w:t>
      </w:r>
      <w:r w:rsidR="00241D05">
        <w:rPr>
          <w:rFonts w:cs="Calibri"/>
        </w:rPr>
        <w:t>,</w:t>
      </w:r>
      <w:r w:rsidR="00420003">
        <w:rPr>
          <w:rFonts w:cs="Calibri"/>
        </w:rPr>
        <w:t xml:space="preserve"> which is negotiated by OSHA and the State Plan. </w:t>
      </w:r>
      <w:r w:rsidR="00A02B33" w:rsidRPr="001C1E47">
        <w:rPr>
          <w:rFonts w:cs="Calibri"/>
        </w:rPr>
        <w:t xml:space="preserve">The </w:t>
      </w:r>
      <w:r w:rsidR="00420003">
        <w:rPr>
          <w:rFonts w:cs="Calibri"/>
        </w:rPr>
        <w:t>Indiana</w:t>
      </w:r>
      <w:r w:rsidR="00EC7600" w:rsidRPr="001C1E47">
        <w:rPr>
          <w:rFonts w:cs="Calibri"/>
        </w:rPr>
        <w:t xml:space="preserve"> State Plan’s </w:t>
      </w:r>
      <w:r w:rsidR="00420003">
        <w:rPr>
          <w:rFonts w:cs="Calibri"/>
        </w:rPr>
        <w:t xml:space="preserve">average number of </w:t>
      </w:r>
      <w:r w:rsidR="00AF3CC4">
        <w:rPr>
          <w:rFonts w:cs="Calibri"/>
        </w:rPr>
        <w:t>workdays</w:t>
      </w:r>
      <w:r w:rsidR="00420003">
        <w:rPr>
          <w:rFonts w:cs="Calibri"/>
        </w:rPr>
        <w:t xml:space="preserve"> to initiate complaint investigations is 6.1 days</w:t>
      </w:r>
      <w:r w:rsidR="00EC7600" w:rsidRPr="001C1E47">
        <w:rPr>
          <w:rFonts w:cs="Calibri"/>
        </w:rPr>
        <w:t xml:space="preserve"> which is </w:t>
      </w:r>
      <w:r w:rsidR="003F2E2D" w:rsidRPr="001C1E47">
        <w:rPr>
          <w:rFonts w:cs="Calibri"/>
        </w:rPr>
        <w:t xml:space="preserve">higher than </w:t>
      </w:r>
      <w:r w:rsidR="00EC7600" w:rsidRPr="001C1E47">
        <w:rPr>
          <w:rFonts w:cs="Calibri"/>
        </w:rPr>
        <w:t>the FRL</w:t>
      </w:r>
      <w:r w:rsidR="00EC7600" w:rsidRPr="00A25006">
        <w:rPr>
          <w:rFonts w:cs="Calibri"/>
        </w:rPr>
        <w:t>.</w:t>
      </w:r>
      <w:r w:rsidR="00EC7600" w:rsidRPr="001C1E47">
        <w:rPr>
          <w:rFonts w:cs="Calibri"/>
        </w:rPr>
        <w:t xml:space="preserve"> </w:t>
      </w:r>
    </w:p>
    <w:p w14:paraId="202C0885" w14:textId="77777777" w:rsidR="00420003" w:rsidRDefault="00420003" w:rsidP="00783189">
      <w:pPr>
        <w:widowControl/>
        <w:autoSpaceDE/>
        <w:adjustRightInd/>
        <w:rPr>
          <w:rFonts w:cs="Calibri"/>
        </w:rPr>
      </w:pPr>
    </w:p>
    <w:p w14:paraId="41AA351F" w14:textId="2B898A59" w:rsidR="00420003" w:rsidRDefault="00EC7600" w:rsidP="00783189">
      <w:pPr>
        <w:widowControl/>
        <w:autoSpaceDE/>
        <w:autoSpaceDN/>
        <w:adjustRightInd/>
        <w:rPr>
          <w:rFonts w:cs="Calibri"/>
        </w:rPr>
      </w:pPr>
      <w:r w:rsidRPr="004367CC">
        <w:rPr>
          <w:rFonts w:cs="Calibri"/>
          <w:u w:val="single"/>
        </w:rPr>
        <w:t>Explanation</w:t>
      </w:r>
      <w:r w:rsidR="005D1F76" w:rsidRPr="004367CC">
        <w:rPr>
          <w:rFonts w:cs="Calibri"/>
          <w:u w:val="single"/>
        </w:rPr>
        <w:t>:</w:t>
      </w:r>
      <w:r w:rsidRPr="001C1E47">
        <w:rPr>
          <w:rFonts w:cs="Calibri"/>
        </w:rPr>
        <w:t xml:space="preserve"> The </w:t>
      </w:r>
      <w:r w:rsidR="00420003">
        <w:rPr>
          <w:rFonts w:cs="Calibri"/>
        </w:rPr>
        <w:t>Indiana</w:t>
      </w:r>
      <w:r w:rsidRPr="001C1E47">
        <w:rPr>
          <w:rFonts w:cs="Calibri"/>
        </w:rPr>
        <w:t xml:space="preserve"> State Plan’s </w:t>
      </w:r>
      <w:r w:rsidR="00420003">
        <w:rPr>
          <w:rFonts w:cs="Calibri"/>
        </w:rPr>
        <w:t xml:space="preserve">average number of days to investigate complaints </w:t>
      </w:r>
      <w:r w:rsidR="00AF3CC4">
        <w:rPr>
          <w:rFonts w:cs="Calibri"/>
        </w:rPr>
        <w:t xml:space="preserve">has </w:t>
      </w:r>
      <w:r w:rsidR="004367CC">
        <w:rPr>
          <w:rFonts w:cs="Calibri"/>
        </w:rPr>
        <w:t>almost doubled since FY 2021 when it was 3.22 days</w:t>
      </w:r>
      <w:r w:rsidR="000F734A">
        <w:rPr>
          <w:rFonts w:cs="Calibri"/>
        </w:rPr>
        <w:t xml:space="preserve">.  This </w:t>
      </w:r>
      <w:r w:rsidR="00420003">
        <w:rPr>
          <w:rFonts w:cs="Calibri"/>
        </w:rPr>
        <w:t xml:space="preserve">can be attributed to </w:t>
      </w:r>
      <w:r w:rsidR="004367CC">
        <w:rPr>
          <w:rFonts w:cs="Calibri"/>
        </w:rPr>
        <w:t xml:space="preserve">issues related to </w:t>
      </w:r>
      <w:r w:rsidR="000F734A">
        <w:rPr>
          <w:rFonts w:cs="Calibri"/>
        </w:rPr>
        <w:t xml:space="preserve">complaint intake staff </w:t>
      </w:r>
      <w:r w:rsidR="004367CC">
        <w:rPr>
          <w:rFonts w:cs="Calibri"/>
        </w:rPr>
        <w:t>coding unprogrammed activities with incorrect actions</w:t>
      </w:r>
      <w:r w:rsidR="00D33B70">
        <w:rPr>
          <w:rFonts w:cs="Calibri"/>
        </w:rPr>
        <w:t xml:space="preserve"> in OSHA Express and subsequently OIS</w:t>
      </w:r>
      <w:r w:rsidR="000F734A">
        <w:rPr>
          <w:rFonts w:cs="Calibri"/>
        </w:rPr>
        <w:t>, as well as not having enough staff to manage the intake of complaints</w:t>
      </w:r>
      <w:r w:rsidR="004367CC">
        <w:rPr>
          <w:rFonts w:cs="Calibri"/>
        </w:rPr>
        <w:t>.</w:t>
      </w:r>
      <w:r w:rsidR="000F734A">
        <w:rPr>
          <w:rFonts w:cs="Calibri"/>
        </w:rPr>
        <w:t xml:space="preserve">  Staff was provided training and additional intake staff was hired.</w:t>
      </w:r>
    </w:p>
    <w:p w14:paraId="4E325E49" w14:textId="77777777" w:rsidR="00420003" w:rsidRDefault="00420003" w:rsidP="00783189">
      <w:pPr>
        <w:widowControl/>
        <w:autoSpaceDE/>
        <w:autoSpaceDN/>
        <w:adjustRightInd/>
        <w:rPr>
          <w:rFonts w:cs="Calibri"/>
        </w:rPr>
      </w:pPr>
    </w:p>
    <w:p w14:paraId="43EAABFB" w14:textId="5C396DAE" w:rsidR="00BE05DB" w:rsidRDefault="00BE05DB" w:rsidP="007A71AC">
      <w:pPr>
        <w:widowControl/>
        <w:autoSpaceDE/>
        <w:autoSpaceDN/>
        <w:adjustRightInd/>
        <w:rPr>
          <w:rFonts w:cs="Calibri"/>
          <w:b/>
          <w:bCs/>
        </w:rPr>
      </w:pPr>
      <w:r w:rsidRPr="00BE05DB">
        <w:rPr>
          <w:rFonts w:cs="Calibri"/>
          <w:b/>
          <w:bCs/>
        </w:rPr>
        <w:t xml:space="preserve">SAMM 7a – Planned </w:t>
      </w:r>
      <w:r w:rsidR="007D7FFD">
        <w:rPr>
          <w:rFonts w:cs="Calibri"/>
          <w:b/>
          <w:bCs/>
        </w:rPr>
        <w:t>v</w:t>
      </w:r>
      <w:r w:rsidRPr="00BE05DB">
        <w:rPr>
          <w:rFonts w:cs="Calibri"/>
          <w:b/>
          <w:bCs/>
        </w:rPr>
        <w:t xml:space="preserve">. actual inspections (safety) </w:t>
      </w:r>
      <w:r w:rsidR="002A4AE7" w:rsidRPr="00BE05DB">
        <w:rPr>
          <w:rFonts w:cs="Calibri"/>
          <w:b/>
          <w:bCs/>
        </w:rPr>
        <w:t xml:space="preserve">     </w:t>
      </w:r>
    </w:p>
    <w:p w14:paraId="242A233B" w14:textId="77777777" w:rsidR="00BE05DB" w:rsidRDefault="00BE05DB" w:rsidP="007A71AC">
      <w:pPr>
        <w:widowControl/>
        <w:autoSpaceDE/>
        <w:autoSpaceDN/>
        <w:adjustRightInd/>
        <w:rPr>
          <w:rFonts w:cs="Calibri"/>
          <w:b/>
          <w:bCs/>
        </w:rPr>
      </w:pPr>
    </w:p>
    <w:p w14:paraId="312AFA0E" w14:textId="392CF7F4" w:rsidR="00476CDA" w:rsidRDefault="00BE05DB" w:rsidP="007A71AC">
      <w:pPr>
        <w:widowControl/>
        <w:autoSpaceDE/>
        <w:autoSpaceDN/>
        <w:adjustRightInd/>
        <w:rPr>
          <w:rFonts w:cs="Calibri"/>
        </w:rPr>
      </w:pPr>
      <w:r w:rsidRPr="00BE05DB">
        <w:rPr>
          <w:rFonts w:cs="Calibri"/>
          <w:u w:val="single"/>
        </w:rPr>
        <w:t>Discussion of State Plan Data and FRL</w:t>
      </w:r>
      <w:r>
        <w:rPr>
          <w:rFonts w:cs="Calibri"/>
        </w:rPr>
        <w:t xml:space="preserve">:  The FRL for the number of safety inspections conducted is based on a number negotiated by OSHA and the State Plan through the grant application.  The range of acceptable data not requiring further review is </w:t>
      </w:r>
      <w:r w:rsidR="00476CDA">
        <w:rPr>
          <w:rFonts w:cs="Calibri"/>
        </w:rPr>
        <w:t xml:space="preserve">+/- 5% of 960 which is </w:t>
      </w:r>
      <w:r>
        <w:rPr>
          <w:rFonts w:cs="Calibri"/>
        </w:rPr>
        <w:t>91</w:t>
      </w:r>
      <w:r w:rsidR="008A5250">
        <w:rPr>
          <w:rFonts w:cs="Calibri"/>
        </w:rPr>
        <w:t>2</w:t>
      </w:r>
      <w:r>
        <w:rPr>
          <w:rFonts w:cs="Calibri"/>
        </w:rPr>
        <w:t xml:space="preserve"> to 1,008 safety inspections.  The Indiana State Plan</w:t>
      </w:r>
      <w:r w:rsidR="00476CDA">
        <w:rPr>
          <w:rFonts w:cs="Calibri"/>
        </w:rPr>
        <w:t xml:space="preserve"> conducted 809 </w:t>
      </w:r>
      <w:r w:rsidR="00851A22">
        <w:rPr>
          <w:rFonts w:cs="Calibri"/>
        </w:rPr>
        <w:t xml:space="preserve">(84%) </w:t>
      </w:r>
      <w:r w:rsidR="00476CDA">
        <w:rPr>
          <w:rFonts w:cs="Calibri"/>
        </w:rPr>
        <w:t>safety inspections</w:t>
      </w:r>
      <w:r w:rsidR="0050515F">
        <w:rPr>
          <w:rFonts w:cs="Calibri"/>
        </w:rPr>
        <w:t>,</w:t>
      </w:r>
      <w:r w:rsidR="00476CDA">
        <w:rPr>
          <w:rFonts w:cs="Calibri"/>
        </w:rPr>
        <w:t xml:space="preserve"> below the FRL. </w:t>
      </w:r>
    </w:p>
    <w:p w14:paraId="0D310F74" w14:textId="77777777" w:rsidR="00C93F60" w:rsidRDefault="00C93F60" w:rsidP="007A71AC">
      <w:pPr>
        <w:widowControl/>
        <w:autoSpaceDE/>
        <w:autoSpaceDN/>
        <w:adjustRightInd/>
        <w:rPr>
          <w:rFonts w:cs="Calibri"/>
        </w:rPr>
      </w:pPr>
    </w:p>
    <w:p w14:paraId="3D268606" w14:textId="786155D1" w:rsidR="003F67EB" w:rsidRDefault="00476CDA" w:rsidP="007A71AC">
      <w:pPr>
        <w:widowControl/>
        <w:autoSpaceDE/>
        <w:autoSpaceDN/>
        <w:adjustRightInd/>
        <w:rPr>
          <w:rFonts w:cs="Calibri"/>
        </w:rPr>
      </w:pPr>
      <w:r w:rsidRPr="005F1E90">
        <w:rPr>
          <w:rFonts w:cs="Calibri"/>
          <w:u w:val="single"/>
        </w:rPr>
        <w:t>Explanation</w:t>
      </w:r>
      <w:r w:rsidRPr="005F1E90">
        <w:rPr>
          <w:rFonts w:cs="Calibri"/>
        </w:rPr>
        <w:t>:</w:t>
      </w:r>
      <w:r>
        <w:rPr>
          <w:rFonts w:cs="Calibri"/>
        </w:rPr>
        <w:t xml:space="preserve">  The Indiana State Plan’s low number of safety inspections can be attributed</w:t>
      </w:r>
      <w:r w:rsidR="002F0293">
        <w:rPr>
          <w:rFonts w:cs="Calibri"/>
        </w:rPr>
        <w:t xml:space="preserve"> </w:t>
      </w:r>
      <w:r w:rsidR="00123F7E">
        <w:rPr>
          <w:rFonts w:cs="Calibri"/>
        </w:rPr>
        <w:t xml:space="preserve">to </w:t>
      </w:r>
      <w:r w:rsidR="009C22CF">
        <w:rPr>
          <w:rFonts w:cs="Calibri"/>
        </w:rPr>
        <w:t>staff focus</w:t>
      </w:r>
      <w:r w:rsidR="000A2B6F">
        <w:rPr>
          <w:rFonts w:cs="Calibri"/>
        </w:rPr>
        <w:t>ing</w:t>
      </w:r>
      <w:r w:rsidR="009C22CF">
        <w:rPr>
          <w:rFonts w:cs="Calibri"/>
        </w:rPr>
        <w:t xml:space="preserve"> on </w:t>
      </w:r>
      <w:r w:rsidR="000A2B6F">
        <w:rPr>
          <w:rFonts w:cs="Calibri"/>
        </w:rPr>
        <w:t xml:space="preserve">the </w:t>
      </w:r>
      <w:r w:rsidR="009C22CF">
        <w:rPr>
          <w:rFonts w:cs="Calibri"/>
        </w:rPr>
        <w:t xml:space="preserve">transition to OSHA’s Information System (OIS) from their long-term use of OSHA Express as their database, as well as </w:t>
      </w:r>
      <w:r w:rsidR="00123F7E">
        <w:rPr>
          <w:rFonts w:cs="Calibri"/>
        </w:rPr>
        <w:t xml:space="preserve">turnover within the agency. </w:t>
      </w:r>
      <w:r w:rsidR="009C22CF">
        <w:rPr>
          <w:rFonts w:cs="Calibri"/>
        </w:rPr>
        <w:t xml:space="preserve"> Prior to the transition to OIS, staff spent time in training </w:t>
      </w:r>
      <w:r w:rsidR="000A2B6F">
        <w:rPr>
          <w:rFonts w:cs="Calibri"/>
        </w:rPr>
        <w:t xml:space="preserve">to </w:t>
      </w:r>
      <w:r w:rsidR="009C22CF">
        <w:rPr>
          <w:rFonts w:cs="Calibri"/>
        </w:rPr>
        <w:t>becom</w:t>
      </w:r>
      <w:r w:rsidR="000A2B6F">
        <w:rPr>
          <w:rFonts w:cs="Calibri"/>
        </w:rPr>
        <w:t>e</w:t>
      </w:r>
      <w:r w:rsidR="009C22CF">
        <w:rPr>
          <w:rFonts w:cs="Calibri"/>
        </w:rPr>
        <w:t xml:space="preserve"> familiar with the new system. </w:t>
      </w:r>
      <w:r w:rsidR="002F0293">
        <w:rPr>
          <w:rFonts w:cs="Calibri"/>
        </w:rPr>
        <w:t xml:space="preserve"> </w:t>
      </w:r>
      <w:r w:rsidR="0004291E">
        <w:rPr>
          <w:rFonts w:cs="Calibri"/>
        </w:rPr>
        <w:t xml:space="preserve">In FY 2022, 15 compliance safety and health officers </w:t>
      </w:r>
      <w:r w:rsidR="003B7AF5">
        <w:rPr>
          <w:rFonts w:cs="Calibri"/>
        </w:rPr>
        <w:t xml:space="preserve">resigned </w:t>
      </w:r>
      <w:r w:rsidR="0004291E">
        <w:rPr>
          <w:rFonts w:cs="Calibri"/>
        </w:rPr>
        <w:t xml:space="preserve">and </w:t>
      </w:r>
      <w:r w:rsidR="003B7AF5">
        <w:rPr>
          <w:rFonts w:cs="Calibri"/>
        </w:rPr>
        <w:t xml:space="preserve">IOSHA </w:t>
      </w:r>
      <w:r w:rsidR="0004291E">
        <w:rPr>
          <w:rFonts w:cs="Calibri"/>
        </w:rPr>
        <w:t>hired 13 new officers.</w:t>
      </w:r>
      <w:r w:rsidR="0011064F">
        <w:rPr>
          <w:rFonts w:cs="Calibri"/>
        </w:rPr>
        <w:t xml:space="preserve">  </w:t>
      </w:r>
      <w:r w:rsidR="0004291E">
        <w:rPr>
          <w:rFonts w:cs="Calibri"/>
        </w:rPr>
        <w:t xml:space="preserve">With 38 positions </w:t>
      </w:r>
      <w:r w:rsidR="002E2A65">
        <w:rPr>
          <w:rFonts w:cs="Calibri"/>
        </w:rPr>
        <w:t xml:space="preserve">allocated </w:t>
      </w:r>
      <w:r w:rsidR="0004291E">
        <w:rPr>
          <w:rFonts w:cs="Calibri"/>
        </w:rPr>
        <w:t>for inspection work, this is 39% and 34%</w:t>
      </w:r>
      <w:r w:rsidR="0011064F">
        <w:rPr>
          <w:rFonts w:cs="Calibri"/>
        </w:rPr>
        <w:t xml:space="preserve">, respectively. </w:t>
      </w:r>
      <w:r w:rsidR="00B35F1B">
        <w:rPr>
          <w:rFonts w:cs="Calibri"/>
        </w:rPr>
        <w:t>IOSHA projected to do 1,140 safety and health inspections in the fiscal year and did 883.</w:t>
      </w:r>
      <w:r w:rsidR="0011064F">
        <w:rPr>
          <w:rFonts w:cs="Calibri"/>
        </w:rPr>
        <w:t xml:space="preserve"> </w:t>
      </w:r>
      <w:r w:rsidR="005B7598">
        <w:rPr>
          <w:rFonts w:cs="Calibri"/>
        </w:rPr>
        <w:t>In early FY 2022, salaries for supervisors and compliance officers were increased</w:t>
      </w:r>
      <w:r w:rsidR="009951A9">
        <w:rPr>
          <w:rFonts w:cs="Calibri"/>
        </w:rPr>
        <w:t xml:space="preserve">. </w:t>
      </w:r>
      <w:r w:rsidR="00494C41">
        <w:rPr>
          <w:rFonts w:cs="Calibri"/>
        </w:rPr>
        <w:t xml:space="preserve"> </w:t>
      </w:r>
      <w:r w:rsidR="009951A9">
        <w:rPr>
          <w:rFonts w:cs="Calibri"/>
        </w:rPr>
        <w:t>I</w:t>
      </w:r>
      <w:r w:rsidR="005B7598">
        <w:rPr>
          <w:rFonts w:cs="Calibri"/>
        </w:rPr>
        <w:t>n 2022, t</w:t>
      </w:r>
      <w:r w:rsidR="0011064F">
        <w:rPr>
          <w:rFonts w:cs="Calibri"/>
        </w:rPr>
        <w:t>he State of Indiana completed a statewide compensation review.  This resulted in an</w:t>
      </w:r>
      <w:r w:rsidR="0019505B">
        <w:rPr>
          <w:rFonts w:cs="Calibri"/>
        </w:rPr>
        <w:t xml:space="preserve">other </w:t>
      </w:r>
      <w:r w:rsidR="0011064F">
        <w:rPr>
          <w:rFonts w:cs="Calibri"/>
        </w:rPr>
        <w:t>increase in salaries for all job classifications within the state, includ</w:t>
      </w:r>
      <w:r w:rsidR="00925CC9">
        <w:rPr>
          <w:rFonts w:cs="Calibri"/>
        </w:rPr>
        <w:t>ing</w:t>
      </w:r>
      <w:r w:rsidR="0011064F">
        <w:rPr>
          <w:rFonts w:cs="Calibri"/>
        </w:rPr>
        <w:t xml:space="preserve"> compliance officers.  </w:t>
      </w:r>
      <w:r w:rsidR="009951A9">
        <w:rPr>
          <w:rFonts w:cs="Calibri"/>
        </w:rPr>
        <w:t xml:space="preserve">The overall </w:t>
      </w:r>
      <w:r w:rsidR="00925CC9">
        <w:rPr>
          <w:rFonts w:cs="Calibri"/>
        </w:rPr>
        <w:t xml:space="preserve">salary </w:t>
      </w:r>
      <w:r w:rsidR="009951A9">
        <w:rPr>
          <w:rFonts w:cs="Calibri"/>
        </w:rPr>
        <w:t xml:space="preserve">increase for IOSHA supervisors and compliance officers is 41-46%. </w:t>
      </w:r>
      <w:r w:rsidR="00494C41">
        <w:rPr>
          <w:rFonts w:cs="Calibri"/>
        </w:rPr>
        <w:t xml:space="preserve"> </w:t>
      </w:r>
      <w:r w:rsidR="002E2A65">
        <w:rPr>
          <w:rFonts w:cs="Calibri"/>
        </w:rPr>
        <w:t>This is significant for IOSHA in attracting new staff and maintaining them</w:t>
      </w:r>
      <w:r w:rsidR="009951A9">
        <w:rPr>
          <w:rFonts w:cs="Calibri"/>
        </w:rPr>
        <w:t>, as well as current staff</w:t>
      </w:r>
      <w:r w:rsidR="00B35F1B">
        <w:rPr>
          <w:rFonts w:cs="Calibri"/>
        </w:rPr>
        <w:t xml:space="preserve"> and the overall number of </w:t>
      </w:r>
      <w:r w:rsidR="00925CC9">
        <w:rPr>
          <w:rFonts w:cs="Calibri"/>
        </w:rPr>
        <w:t xml:space="preserve">safety </w:t>
      </w:r>
      <w:r w:rsidR="00B35F1B">
        <w:rPr>
          <w:rFonts w:cs="Calibri"/>
        </w:rPr>
        <w:t xml:space="preserve">inspections </w:t>
      </w:r>
      <w:r w:rsidR="000A2B6F">
        <w:rPr>
          <w:rFonts w:cs="Calibri"/>
        </w:rPr>
        <w:t>is expected to</w:t>
      </w:r>
      <w:r w:rsidR="00B35F1B">
        <w:rPr>
          <w:rFonts w:cs="Calibri"/>
        </w:rPr>
        <w:t xml:space="preserve"> increase.</w:t>
      </w:r>
    </w:p>
    <w:p w14:paraId="67E1C5AD" w14:textId="77777777" w:rsidR="003F67EB" w:rsidRDefault="003F67EB" w:rsidP="007A71AC">
      <w:pPr>
        <w:widowControl/>
        <w:autoSpaceDE/>
        <w:autoSpaceDN/>
        <w:adjustRightInd/>
        <w:rPr>
          <w:rFonts w:cs="Calibri"/>
        </w:rPr>
      </w:pPr>
    </w:p>
    <w:p w14:paraId="1CA8F414" w14:textId="77777777" w:rsidR="003F67EB" w:rsidRPr="007D7FFD" w:rsidRDefault="003F67EB" w:rsidP="007A71AC">
      <w:pPr>
        <w:widowControl/>
        <w:autoSpaceDE/>
        <w:autoSpaceDN/>
        <w:adjustRightInd/>
        <w:rPr>
          <w:rFonts w:cs="Calibri"/>
          <w:b/>
          <w:bCs/>
        </w:rPr>
      </w:pPr>
      <w:r w:rsidRPr="007D7FFD">
        <w:rPr>
          <w:rFonts w:cs="Calibri"/>
          <w:b/>
          <w:bCs/>
        </w:rPr>
        <w:t>SAMM 7b – Planned v. actual inspections (health)</w:t>
      </w:r>
    </w:p>
    <w:p w14:paraId="0DB58175" w14:textId="77777777" w:rsidR="003F67EB" w:rsidRDefault="003F67EB" w:rsidP="007A71AC">
      <w:pPr>
        <w:widowControl/>
        <w:autoSpaceDE/>
        <w:autoSpaceDN/>
        <w:adjustRightInd/>
        <w:rPr>
          <w:rFonts w:cs="Calibri"/>
        </w:rPr>
      </w:pPr>
    </w:p>
    <w:p w14:paraId="37D76E4F" w14:textId="7E28E99B" w:rsidR="007D7FFD" w:rsidRDefault="003F67EB" w:rsidP="007A71AC">
      <w:pPr>
        <w:widowControl/>
        <w:autoSpaceDE/>
        <w:autoSpaceDN/>
        <w:adjustRightInd/>
        <w:rPr>
          <w:rFonts w:cs="Calibri"/>
        </w:rPr>
      </w:pPr>
      <w:r w:rsidRPr="007D7FFD">
        <w:rPr>
          <w:rFonts w:cs="Calibri"/>
          <w:u w:val="single"/>
        </w:rPr>
        <w:t>Discussion of State Plan Data and FRL</w:t>
      </w:r>
      <w:r>
        <w:rPr>
          <w:rFonts w:cs="Calibri"/>
        </w:rPr>
        <w:t>:  The FRL for the number of health inspections conducted is based on a number negotiated by OSHA and the State Plan through the grant application.  The range of acceptable data not requiring further review is +/-5% of</w:t>
      </w:r>
      <w:r w:rsidR="007D7FFD">
        <w:rPr>
          <w:rFonts w:cs="Calibri"/>
        </w:rPr>
        <w:t xml:space="preserve"> 180</w:t>
      </w:r>
      <w:r>
        <w:rPr>
          <w:rFonts w:cs="Calibri"/>
        </w:rPr>
        <w:t xml:space="preserve"> which is </w:t>
      </w:r>
      <w:r w:rsidR="007D7FFD">
        <w:rPr>
          <w:rFonts w:cs="Calibri"/>
        </w:rPr>
        <w:t>171</w:t>
      </w:r>
      <w:r w:rsidR="002E2A65">
        <w:rPr>
          <w:rFonts w:cs="Calibri"/>
        </w:rPr>
        <w:t xml:space="preserve"> </w:t>
      </w:r>
      <w:r>
        <w:rPr>
          <w:rFonts w:cs="Calibri"/>
        </w:rPr>
        <w:t xml:space="preserve">to </w:t>
      </w:r>
      <w:r w:rsidR="007D7FFD">
        <w:rPr>
          <w:rFonts w:cs="Calibri"/>
        </w:rPr>
        <w:t>189</w:t>
      </w:r>
      <w:r>
        <w:rPr>
          <w:rFonts w:cs="Calibri"/>
        </w:rPr>
        <w:t xml:space="preserve"> health inspections. The Indiana State Plan conducted </w:t>
      </w:r>
      <w:r w:rsidR="007D7FFD">
        <w:rPr>
          <w:rFonts w:cs="Calibri"/>
        </w:rPr>
        <w:t>74</w:t>
      </w:r>
      <w:r>
        <w:rPr>
          <w:rFonts w:cs="Calibri"/>
        </w:rPr>
        <w:t xml:space="preserve"> </w:t>
      </w:r>
      <w:r w:rsidR="002E2A65">
        <w:rPr>
          <w:rFonts w:cs="Calibri"/>
        </w:rPr>
        <w:t xml:space="preserve">(41%) </w:t>
      </w:r>
      <w:r>
        <w:rPr>
          <w:rFonts w:cs="Calibri"/>
        </w:rPr>
        <w:t>health inspections, below the FRL.</w:t>
      </w:r>
    </w:p>
    <w:p w14:paraId="1B9FB424" w14:textId="77777777" w:rsidR="002E2A65" w:rsidRDefault="002E2A65" w:rsidP="007A71AC">
      <w:pPr>
        <w:widowControl/>
        <w:autoSpaceDE/>
        <w:autoSpaceDN/>
        <w:adjustRightInd/>
        <w:rPr>
          <w:rFonts w:cs="Calibri"/>
        </w:rPr>
      </w:pPr>
    </w:p>
    <w:p w14:paraId="523B47A1" w14:textId="49262B09" w:rsidR="007D7FFD" w:rsidRDefault="007D7FFD" w:rsidP="007A71AC">
      <w:pPr>
        <w:widowControl/>
        <w:autoSpaceDE/>
        <w:autoSpaceDN/>
        <w:adjustRightInd/>
        <w:rPr>
          <w:rFonts w:cs="Calibri"/>
        </w:rPr>
      </w:pPr>
      <w:r w:rsidRPr="007D7FFD">
        <w:rPr>
          <w:rFonts w:cs="Calibri"/>
          <w:u w:val="single"/>
        </w:rPr>
        <w:t>Explanation</w:t>
      </w:r>
      <w:r>
        <w:rPr>
          <w:rFonts w:cs="Calibri"/>
        </w:rPr>
        <w:t>:</w:t>
      </w:r>
      <w:r w:rsidR="003F67EB">
        <w:rPr>
          <w:rFonts w:cs="Calibri"/>
        </w:rPr>
        <w:t xml:space="preserve"> </w:t>
      </w:r>
      <w:r w:rsidR="00476CDA">
        <w:rPr>
          <w:rFonts w:cs="Calibri"/>
        </w:rPr>
        <w:t xml:space="preserve"> </w:t>
      </w:r>
      <w:r>
        <w:rPr>
          <w:rFonts w:cs="Calibri"/>
        </w:rPr>
        <w:t xml:space="preserve">The Indiana State Plan’s low number of health inspections can be attributed to </w:t>
      </w:r>
      <w:r w:rsidR="009C22CF">
        <w:rPr>
          <w:rFonts w:cs="Calibri"/>
        </w:rPr>
        <w:t xml:space="preserve">IOSHA’s transition to OIS and </w:t>
      </w:r>
      <w:r w:rsidR="00B5208B">
        <w:rPr>
          <w:rFonts w:cs="Calibri"/>
        </w:rPr>
        <w:t>turnover</w:t>
      </w:r>
      <w:r w:rsidR="009C22CF">
        <w:rPr>
          <w:rFonts w:cs="Calibri"/>
        </w:rPr>
        <w:t xml:space="preserve"> as explained above</w:t>
      </w:r>
      <w:r w:rsidR="00B5208B">
        <w:rPr>
          <w:rFonts w:cs="Calibri"/>
        </w:rPr>
        <w:t xml:space="preserve">.  In FY 2022, seven of the 15 compliance officers that resigned were health compliance officers. </w:t>
      </w:r>
      <w:r w:rsidR="00494C41">
        <w:rPr>
          <w:rFonts w:cs="Calibri"/>
        </w:rPr>
        <w:t xml:space="preserve"> </w:t>
      </w:r>
      <w:r w:rsidR="00B5208B">
        <w:rPr>
          <w:rFonts w:cs="Calibri"/>
        </w:rPr>
        <w:t xml:space="preserve">IOSHA allocated 13 health compliance officers in their FY 2022 23(g) grant which means more than 50% resigned during the year.  </w:t>
      </w:r>
      <w:r w:rsidR="003B7AF5">
        <w:rPr>
          <w:rFonts w:cs="Calibri"/>
        </w:rPr>
        <w:t>As stated above, salar</w:t>
      </w:r>
      <w:r w:rsidR="005B7598">
        <w:rPr>
          <w:rFonts w:cs="Calibri"/>
        </w:rPr>
        <w:t xml:space="preserve">ies have </w:t>
      </w:r>
      <w:r w:rsidR="003B7AF5">
        <w:rPr>
          <w:rFonts w:cs="Calibri"/>
        </w:rPr>
        <w:t>increase</w:t>
      </w:r>
      <w:r w:rsidR="005B7598">
        <w:rPr>
          <w:rFonts w:cs="Calibri"/>
        </w:rPr>
        <w:t xml:space="preserve">d for </w:t>
      </w:r>
      <w:r w:rsidR="009951A9">
        <w:rPr>
          <w:rFonts w:cs="Calibri"/>
        </w:rPr>
        <w:t xml:space="preserve">IOSHA staff which </w:t>
      </w:r>
      <w:r w:rsidR="003B7AF5">
        <w:rPr>
          <w:rFonts w:cs="Calibri"/>
        </w:rPr>
        <w:t xml:space="preserve">should attract </w:t>
      </w:r>
      <w:r w:rsidR="009951A9">
        <w:rPr>
          <w:rFonts w:cs="Calibri"/>
        </w:rPr>
        <w:t xml:space="preserve">and maintain </w:t>
      </w:r>
      <w:r w:rsidR="003B7AF5">
        <w:rPr>
          <w:rFonts w:cs="Calibri"/>
        </w:rPr>
        <w:t>new staff a</w:t>
      </w:r>
      <w:r w:rsidR="009951A9">
        <w:rPr>
          <w:rFonts w:cs="Calibri"/>
        </w:rPr>
        <w:t>s well as maintain current staff</w:t>
      </w:r>
      <w:r w:rsidR="00B35F1B">
        <w:rPr>
          <w:rFonts w:cs="Calibri"/>
        </w:rPr>
        <w:t xml:space="preserve"> and the overall number of health inspections </w:t>
      </w:r>
      <w:r w:rsidR="000A2B6F">
        <w:rPr>
          <w:rFonts w:cs="Calibri"/>
        </w:rPr>
        <w:t>is expected to</w:t>
      </w:r>
      <w:r w:rsidR="00B35F1B">
        <w:rPr>
          <w:rFonts w:cs="Calibri"/>
        </w:rPr>
        <w:t xml:space="preserve"> increase</w:t>
      </w:r>
      <w:r w:rsidR="005B7598">
        <w:rPr>
          <w:rFonts w:cs="Calibri"/>
        </w:rPr>
        <w:t xml:space="preserve">.  </w:t>
      </w:r>
    </w:p>
    <w:p w14:paraId="4531CFCE" w14:textId="77777777" w:rsidR="007D7FFD" w:rsidRDefault="007D7FFD" w:rsidP="007A71AC">
      <w:pPr>
        <w:widowControl/>
        <w:autoSpaceDE/>
        <w:autoSpaceDN/>
        <w:adjustRightInd/>
        <w:rPr>
          <w:rFonts w:cs="Calibri"/>
        </w:rPr>
      </w:pPr>
    </w:p>
    <w:p w14:paraId="2F9CB41A" w14:textId="77777777" w:rsidR="00CD1664" w:rsidRDefault="007D7FFD" w:rsidP="007A71AC">
      <w:pPr>
        <w:widowControl/>
        <w:autoSpaceDE/>
        <w:autoSpaceDN/>
        <w:adjustRightInd/>
        <w:rPr>
          <w:rFonts w:cs="Calibri"/>
          <w:b/>
          <w:bCs/>
        </w:rPr>
      </w:pPr>
      <w:r w:rsidRPr="00CD1664">
        <w:rPr>
          <w:rFonts w:cs="Calibri"/>
          <w:b/>
          <w:bCs/>
        </w:rPr>
        <w:lastRenderedPageBreak/>
        <w:t>SAMMs 8 and 8a-8d – Average current serious penalty in private sector – total (1 to greater than 250 workers): average current serious penalty in private sector (1-25 workers); average current serious penalty in private sector (26-100 workers); average current serious penalty in private sector (101-250 workers); average current serious penalty in private sector (greater than 250 workers)</w:t>
      </w:r>
    </w:p>
    <w:p w14:paraId="4863BC7F" w14:textId="77777777" w:rsidR="00CD1664" w:rsidRDefault="00CD1664" w:rsidP="007A71AC">
      <w:pPr>
        <w:widowControl/>
        <w:autoSpaceDE/>
        <w:autoSpaceDN/>
        <w:adjustRightInd/>
        <w:rPr>
          <w:rFonts w:cs="Calibri"/>
          <w:b/>
          <w:bCs/>
        </w:rPr>
      </w:pPr>
    </w:p>
    <w:p w14:paraId="649DC7C8" w14:textId="36C4A980" w:rsidR="00241D8A" w:rsidRDefault="00CD1664" w:rsidP="007A71AC">
      <w:pPr>
        <w:widowControl/>
        <w:autoSpaceDE/>
        <w:autoSpaceDN/>
        <w:adjustRightInd/>
        <w:rPr>
          <w:rFonts w:cs="Calibri"/>
        </w:rPr>
      </w:pPr>
      <w:r w:rsidRPr="00AC1E87">
        <w:rPr>
          <w:rFonts w:cs="Calibri"/>
          <w:u w:val="single"/>
        </w:rPr>
        <w:t>Discussion of State Plan Data and FRL</w:t>
      </w:r>
      <w:r>
        <w:rPr>
          <w:rFonts w:cs="Calibri"/>
        </w:rPr>
        <w:t xml:space="preserve">:  </w:t>
      </w:r>
      <w:r w:rsidR="001F473A">
        <w:rPr>
          <w:rFonts w:cs="Calibri"/>
        </w:rPr>
        <w:t xml:space="preserve">SAMM 8 is divided into categories based on the number of workers controlled by the employer, ex. 1-25, 26-100, 101-250, and greater than 250.  </w:t>
      </w:r>
      <w:r w:rsidR="00AC1E87">
        <w:rPr>
          <w:rFonts w:cs="Calibri"/>
        </w:rPr>
        <w:t xml:space="preserve">The FRLs for average current penalties are based on three-year national averages </w:t>
      </w:r>
      <w:r w:rsidR="001F473A">
        <w:rPr>
          <w:rFonts w:cs="Calibri"/>
        </w:rPr>
        <w:t xml:space="preserve">for each category.  The Indiana State Plan fell below the FRL range in every category.  The FRL for all numbers of workers is </w:t>
      </w:r>
      <w:r w:rsidR="00AC1E87">
        <w:rPr>
          <w:rFonts w:cs="Calibri"/>
        </w:rPr>
        <w:t xml:space="preserve">+/-25% of </w:t>
      </w:r>
      <w:r w:rsidR="001F473A">
        <w:rPr>
          <w:rFonts w:cs="Calibri"/>
        </w:rPr>
        <w:t xml:space="preserve">the three-year national average of </w:t>
      </w:r>
      <w:r w:rsidR="00AC1E87">
        <w:rPr>
          <w:rFonts w:cs="Calibri"/>
        </w:rPr>
        <w:t>$3,259</w:t>
      </w:r>
      <w:r w:rsidR="001F473A">
        <w:rPr>
          <w:rFonts w:cs="Calibri"/>
        </w:rPr>
        <w:t>.35, which equals a range of $2,444.51 to $4,074.19.  IOSHA’s average penalty was $1,424.24</w:t>
      </w:r>
      <w:r w:rsidR="00241D8A">
        <w:rPr>
          <w:rFonts w:cs="Calibri"/>
        </w:rPr>
        <w:t xml:space="preserve">. </w:t>
      </w:r>
    </w:p>
    <w:p w14:paraId="12618399" w14:textId="77777777" w:rsidR="002B6B4D" w:rsidRDefault="002B6B4D" w:rsidP="007A71AC">
      <w:pPr>
        <w:widowControl/>
        <w:autoSpaceDE/>
        <w:autoSpaceDN/>
        <w:adjustRightInd/>
        <w:rPr>
          <w:rFonts w:cs="Calibri"/>
        </w:rPr>
      </w:pPr>
    </w:p>
    <w:p w14:paraId="2FEA2744" w14:textId="154A3CBB" w:rsidR="00241D8A" w:rsidRDefault="00241D8A" w:rsidP="007A71AC">
      <w:pPr>
        <w:widowControl/>
        <w:autoSpaceDE/>
        <w:autoSpaceDN/>
        <w:adjustRightInd/>
        <w:rPr>
          <w:rFonts w:cs="Calibri"/>
        </w:rPr>
      </w:pPr>
      <w:r w:rsidRPr="00241D8A">
        <w:rPr>
          <w:rFonts w:cs="Calibri"/>
          <w:u w:val="single"/>
        </w:rPr>
        <w:t>Explanation</w:t>
      </w:r>
      <w:r>
        <w:rPr>
          <w:rFonts w:cs="Calibri"/>
        </w:rPr>
        <w:t xml:space="preserve">:  The Indiana State Plan’s low average current penalties </w:t>
      </w:r>
      <w:r w:rsidR="00B35F1B">
        <w:rPr>
          <w:rFonts w:cs="Calibri"/>
        </w:rPr>
        <w:t xml:space="preserve">when compared to the national average, </w:t>
      </w:r>
      <w:r>
        <w:rPr>
          <w:rFonts w:cs="Calibri"/>
        </w:rPr>
        <w:t>for all number</w:t>
      </w:r>
      <w:r w:rsidR="00B35F1B">
        <w:rPr>
          <w:rFonts w:cs="Calibri"/>
        </w:rPr>
        <w:t>s</w:t>
      </w:r>
      <w:r>
        <w:rPr>
          <w:rFonts w:cs="Calibri"/>
        </w:rPr>
        <w:t xml:space="preserve"> of work</w:t>
      </w:r>
      <w:r w:rsidR="009951A9">
        <w:rPr>
          <w:rFonts w:cs="Calibri"/>
        </w:rPr>
        <w:t>er</w:t>
      </w:r>
      <w:r>
        <w:rPr>
          <w:rFonts w:cs="Calibri"/>
        </w:rPr>
        <w:t>s can be attributed to</w:t>
      </w:r>
      <w:r w:rsidR="009951A9">
        <w:rPr>
          <w:rFonts w:cs="Calibri"/>
        </w:rPr>
        <w:t xml:space="preserve"> </w:t>
      </w:r>
      <w:r w:rsidR="00B35F1B">
        <w:rPr>
          <w:rFonts w:cs="Calibri"/>
        </w:rPr>
        <w:t xml:space="preserve">IOSHA not adopting OSHA’s penalty increase in 2016 and subsequent </w:t>
      </w:r>
      <w:r w:rsidR="000A2B6F">
        <w:rPr>
          <w:rFonts w:cs="Calibri"/>
        </w:rPr>
        <w:t xml:space="preserve">increases for </w:t>
      </w:r>
      <w:r w:rsidR="00B35F1B">
        <w:rPr>
          <w:rFonts w:cs="Calibri"/>
        </w:rPr>
        <w:t xml:space="preserve">annual inflation. </w:t>
      </w:r>
      <w:r w:rsidR="00501A12">
        <w:rPr>
          <w:rFonts w:cs="Calibri"/>
        </w:rPr>
        <w:t xml:space="preserve"> Finding FY 2022-04 addresses this (previously Finding FY 2022-05). </w:t>
      </w:r>
    </w:p>
    <w:p w14:paraId="72BA1D05" w14:textId="77777777" w:rsidR="00241D8A" w:rsidRDefault="00241D8A" w:rsidP="007A71AC">
      <w:pPr>
        <w:widowControl/>
        <w:autoSpaceDE/>
        <w:autoSpaceDN/>
        <w:adjustRightInd/>
        <w:rPr>
          <w:rFonts w:cs="Calibri"/>
        </w:rPr>
      </w:pPr>
    </w:p>
    <w:p w14:paraId="41D8A970" w14:textId="77777777" w:rsidR="00241D8A" w:rsidRDefault="00241D8A" w:rsidP="007A71AC">
      <w:pPr>
        <w:widowControl/>
        <w:autoSpaceDE/>
        <w:autoSpaceDN/>
        <w:adjustRightInd/>
        <w:rPr>
          <w:rFonts w:cs="Calibri"/>
          <w:b/>
          <w:bCs/>
        </w:rPr>
      </w:pPr>
      <w:r w:rsidRPr="00241D8A">
        <w:rPr>
          <w:rFonts w:cs="Calibri"/>
          <w:b/>
          <w:bCs/>
        </w:rPr>
        <w:t xml:space="preserve">SAMM 10 – Percent of work-related fatalities responded to in one </w:t>
      </w:r>
      <w:proofErr w:type="gramStart"/>
      <w:r w:rsidRPr="00241D8A">
        <w:rPr>
          <w:rFonts w:cs="Calibri"/>
          <w:b/>
          <w:bCs/>
        </w:rPr>
        <w:t>day</w:t>
      </w:r>
      <w:proofErr w:type="gramEnd"/>
      <w:r w:rsidRPr="00241D8A">
        <w:rPr>
          <w:rFonts w:cs="Calibri"/>
          <w:b/>
          <w:bCs/>
        </w:rPr>
        <w:t xml:space="preserve"> </w:t>
      </w:r>
      <w:r w:rsidR="00AC1E87" w:rsidRPr="00241D8A">
        <w:rPr>
          <w:rFonts w:cs="Calibri"/>
          <w:b/>
          <w:bCs/>
        </w:rPr>
        <w:t xml:space="preserve"> </w:t>
      </w:r>
    </w:p>
    <w:p w14:paraId="1ACF8C56" w14:textId="77777777" w:rsidR="00241D8A" w:rsidRDefault="00241D8A" w:rsidP="007A71AC">
      <w:pPr>
        <w:widowControl/>
        <w:autoSpaceDE/>
        <w:autoSpaceDN/>
        <w:adjustRightInd/>
        <w:rPr>
          <w:rFonts w:cs="Calibri"/>
          <w:b/>
          <w:bCs/>
        </w:rPr>
      </w:pPr>
    </w:p>
    <w:p w14:paraId="579D6BCD" w14:textId="7F575AA2" w:rsidR="002570F6" w:rsidRDefault="00241D8A" w:rsidP="007A71AC">
      <w:pPr>
        <w:widowControl/>
        <w:autoSpaceDE/>
        <w:autoSpaceDN/>
        <w:adjustRightInd/>
        <w:rPr>
          <w:rFonts w:cs="Calibri"/>
        </w:rPr>
      </w:pPr>
      <w:r w:rsidRPr="002570F6">
        <w:rPr>
          <w:rFonts w:cs="Calibri"/>
          <w:u w:val="single"/>
        </w:rPr>
        <w:t>Discussion of State Plan Data and FRL</w:t>
      </w:r>
      <w:r>
        <w:rPr>
          <w:rFonts w:cs="Calibri"/>
        </w:rPr>
        <w:t>:</w:t>
      </w:r>
      <w:r w:rsidR="002570F6">
        <w:rPr>
          <w:rFonts w:cs="Calibri"/>
        </w:rPr>
        <w:t xml:space="preserve">  The FRL for percent of work-related fatalities responded to within one day is fixed at 100% for all State Plans.  The Indiana State Plan responded to 96.43% of work-related fatalities within one day. </w:t>
      </w:r>
    </w:p>
    <w:p w14:paraId="493C5B38" w14:textId="77777777" w:rsidR="002570F6" w:rsidRDefault="002570F6" w:rsidP="007A71AC">
      <w:pPr>
        <w:widowControl/>
        <w:autoSpaceDE/>
        <w:autoSpaceDN/>
        <w:adjustRightInd/>
        <w:rPr>
          <w:rFonts w:cs="Calibri"/>
        </w:rPr>
      </w:pPr>
    </w:p>
    <w:p w14:paraId="775A524A" w14:textId="128E1E26" w:rsidR="003A66E8" w:rsidRDefault="002570F6" w:rsidP="007A71AC">
      <w:pPr>
        <w:widowControl/>
        <w:autoSpaceDE/>
        <w:autoSpaceDN/>
        <w:adjustRightInd/>
        <w:rPr>
          <w:rFonts w:cs="Calibri"/>
        </w:rPr>
      </w:pPr>
      <w:r w:rsidRPr="002570F6">
        <w:rPr>
          <w:rFonts w:cs="Calibri"/>
          <w:u w:val="single"/>
        </w:rPr>
        <w:t>Explanation</w:t>
      </w:r>
      <w:r>
        <w:rPr>
          <w:rFonts w:cs="Calibri"/>
        </w:rPr>
        <w:t xml:space="preserve">:  The Indiana State Plan responded to </w:t>
      </w:r>
      <w:r w:rsidR="003A66E8">
        <w:rPr>
          <w:rFonts w:cs="Calibri"/>
        </w:rPr>
        <w:t xml:space="preserve">27 of 28 work-related fatalities within one day (96.43%).  One fatality was not responded to timely because the fatality was initially reported as a heart attack.  </w:t>
      </w:r>
      <w:r w:rsidR="000A2B6F">
        <w:rPr>
          <w:rFonts w:cs="Calibri"/>
        </w:rPr>
        <w:t>When t</w:t>
      </w:r>
      <w:r w:rsidR="003A66E8">
        <w:rPr>
          <w:rFonts w:cs="Calibri"/>
        </w:rPr>
        <w:t>he State Plan realized that heat may have been a factor</w:t>
      </w:r>
      <w:r w:rsidR="000A2B6F">
        <w:rPr>
          <w:rFonts w:cs="Calibri"/>
        </w:rPr>
        <w:t>, they</w:t>
      </w:r>
      <w:r w:rsidR="003A66E8">
        <w:rPr>
          <w:rFonts w:cs="Calibri"/>
        </w:rPr>
        <w:t xml:space="preserve"> decided to do an inspection</w:t>
      </w:r>
      <w:r w:rsidR="00C91F1C">
        <w:rPr>
          <w:rFonts w:cs="Calibri"/>
        </w:rPr>
        <w:t xml:space="preserve"> two days after receiving the report. </w:t>
      </w:r>
    </w:p>
    <w:p w14:paraId="67BEE91F" w14:textId="22022BD3" w:rsidR="00073361" w:rsidRDefault="00073361" w:rsidP="007A71AC">
      <w:pPr>
        <w:widowControl/>
        <w:autoSpaceDE/>
        <w:autoSpaceDN/>
        <w:adjustRightInd/>
        <w:rPr>
          <w:rFonts w:cs="Calibri"/>
        </w:rPr>
      </w:pPr>
    </w:p>
    <w:p w14:paraId="4857F4CD" w14:textId="2DD36556" w:rsidR="00073361" w:rsidRDefault="00073361" w:rsidP="007A71AC">
      <w:pPr>
        <w:widowControl/>
        <w:autoSpaceDE/>
        <w:autoSpaceDN/>
        <w:adjustRightInd/>
        <w:rPr>
          <w:rFonts w:cs="Calibri"/>
          <w:b/>
          <w:bCs/>
        </w:rPr>
      </w:pPr>
      <w:r w:rsidRPr="00073361">
        <w:rPr>
          <w:rFonts w:cs="Calibri"/>
          <w:b/>
          <w:bCs/>
        </w:rPr>
        <w:t xml:space="preserve">SAMM 13 – Percent of initial inspections with worker walk-around representation or worker </w:t>
      </w:r>
      <w:proofErr w:type="gramStart"/>
      <w:r w:rsidRPr="00073361">
        <w:rPr>
          <w:rFonts w:cs="Calibri"/>
          <w:b/>
          <w:bCs/>
        </w:rPr>
        <w:t>interview</w:t>
      </w:r>
      <w:proofErr w:type="gramEnd"/>
    </w:p>
    <w:p w14:paraId="21E35463" w14:textId="292910AA" w:rsidR="00073361" w:rsidRDefault="00073361" w:rsidP="007A71AC">
      <w:pPr>
        <w:widowControl/>
        <w:autoSpaceDE/>
        <w:autoSpaceDN/>
        <w:adjustRightInd/>
        <w:rPr>
          <w:rFonts w:cs="Calibri"/>
          <w:b/>
          <w:bCs/>
        </w:rPr>
      </w:pPr>
    </w:p>
    <w:p w14:paraId="2771142A" w14:textId="70FDF6DA" w:rsidR="00073361" w:rsidRDefault="00073361" w:rsidP="007A71AC">
      <w:pPr>
        <w:widowControl/>
        <w:autoSpaceDE/>
        <w:autoSpaceDN/>
        <w:adjustRightInd/>
        <w:rPr>
          <w:rFonts w:cs="Calibri"/>
        </w:rPr>
      </w:pPr>
      <w:r w:rsidRPr="00073361">
        <w:rPr>
          <w:rFonts w:cs="Calibri"/>
          <w:u w:val="single"/>
        </w:rPr>
        <w:t>Discussion of State Plan Data and FRL</w:t>
      </w:r>
      <w:r>
        <w:rPr>
          <w:rFonts w:cs="Calibri"/>
        </w:rPr>
        <w:t>:  The FRL for percent of initial inspections with worker walk-around representation or worker interview is fixed at 100% for all State Plans.  The Indiana State Plan had worker walk-around representation or worker interview for 97.73% of inspections.</w:t>
      </w:r>
      <w:r w:rsidR="00A61B95">
        <w:rPr>
          <w:rFonts w:cs="Calibri"/>
        </w:rPr>
        <w:t xml:space="preserve"> </w:t>
      </w:r>
      <w:r>
        <w:rPr>
          <w:rFonts w:cs="Calibri"/>
        </w:rPr>
        <w:t xml:space="preserve"> </w:t>
      </w:r>
      <w:r w:rsidR="00A61B95">
        <w:rPr>
          <w:rFonts w:cs="Calibri"/>
        </w:rPr>
        <w:t>The Indiana State Plan conducted 20 inspections without worker walk-around representation or worker interviews</w:t>
      </w:r>
      <w:r w:rsidR="00A61B95" w:rsidRPr="00A25006">
        <w:rPr>
          <w:rFonts w:cs="Calibri"/>
        </w:rPr>
        <w:t>.</w:t>
      </w:r>
      <w:r w:rsidR="00A61B95">
        <w:rPr>
          <w:rFonts w:cs="Calibri"/>
        </w:rPr>
        <w:t xml:space="preserve"> </w:t>
      </w:r>
    </w:p>
    <w:p w14:paraId="5479ED22" w14:textId="648B0CC3" w:rsidR="00073361" w:rsidRDefault="00073361" w:rsidP="007A71AC">
      <w:pPr>
        <w:widowControl/>
        <w:autoSpaceDE/>
        <w:autoSpaceDN/>
        <w:adjustRightInd/>
        <w:rPr>
          <w:rFonts w:cs="Calibri"/>
        </w:rPr>
      </w:pPr>
    </w:p>
    <w:p w14:paraId="307F1D6F" w14:textId="5442EB12" w:rsidR="00A61B95" w:rsidRDefault="00A61B95" w:rsidP="007A71AC">
      <w:pPr>
        <w:widowControl/>
        <w:autoSpaceDE/>
        <w:autoSpaceDN/>
        <w:adjustRightInd/>
        <w:rPr>
          <w:rFonts w:cs="Calibri"/>
        </w:rPr>
      </w:pPr>
      <w:r w:rsidRPr="00A61B95">
        <w:rPr>
          <w:rFonts w:cs="Calibri"/>
          <w:u w:val="single"/>
        </w:rPr>
        <w:t>Explanation</w:t>
      </w:r>
      <w:r>
        <w:rPr>
          <w:rFonts w:cs="Calibri"/>
        </w:rPr>
        <w:t xml:space="preserve">:  The Indiana State Plan did 20 inspections without worker walk-around representation or worker interviews, and </w:t>
      </w:r>
      <w:r w:rsidR="00C91F1C">
        <w:rPr>
          <w:rFonts w:cs="Calibri"/>
        </w:rPr>
        <w:t xml:space="preserve">some of </w:t>
      </w:r>
      <w:r>
        <w:rPr>
          <w:rFonts w:cs="Calibri"/>
        </w:rPr>
        <w:t>this can be attributed to</w:t>
      </w:r>
      <w:r w:rsidR="00C91F1C">
        <w:rPr>
          <w:rFonts w:cs="Calibri"/>
        </w:rPr>
        <w:t xml:space="preserve"> worker refusal to join the walk-around or to be interviewed.  In response to this, compliance officers have been trained and instructed to seek worker participation in the walk-around or by interviewing them. </w:t>
      </w:r>
    </w:p>
    <w:p w14:paraId="5FBC23BA" w14:textId="77777777" w:rsidR="00A61B95" w:rsidRDefault="00A61B95" w:rsidP="007A71AC">
      <w:pPr>
        <w:widowControl/>
        <w:autoSpaceDE/>
        <w:autoSpaceDN/>
        <w:adjustRightInd/>
        <w:rPr>
          <w:rFonts w:cs="Calibri"/>
        </w:rPr>
      </w:pPr>
    </w:p>
    <w:p w14:paraId="7A7C8CFC" w14:textId="77777777" w:rsidR="00495288" w:rsidRDefault="00495288" w:rsidP="007A71AC">
      <w:pPr>
        <w:widowControl/>
        <w:autoSpaceDE/>
        <w:autoSpaceDN/>
        <w:adjustRightInd/>
        <w:rPr>
          <w:rFonts w:cs="Calibri"/>
          <w:b/>
          <w:bCs/>
        </w:rPr>
      </w:pPr>
    </w:p>
    <w:p w14:paraId="69BF4F03" w14:textId="77777777" w:rsidR="00495288" w:rsidRDefault="00495288" w:rsidP="007A71AC">
      <w:pPr>
        <w:widowControl/>
        <w:autoSpaceDE/>
        <w:autoSpaceDN/>
        <w:adjustRightInd/>
        <w:rPr>
          <w:rFonts w:cs="Calibri"/>
          <w:b/>
          <w:bCs/>
        </w:rPr>
      </w:pPr>
    </w:p>
    <w:p w14:paraId="1EA78F02" w14:textId="77777777" w:rsidR="00495288" w:rsidRDefault="00495288" w:rsidP="007A71AC">
      <w:pPr>
        <w:widowControl/>
        <w:autoSpaceDE/>
        <w:autoSpaceDN/>
        <w:adjustRightInd/>
        <w:rPr>
          <w:rFonts w:cs="Calibri"/>
          <w:b/>
          <w:bCs/>
        </w:rPr>
      </w:pPr>
    </w:p>
    <w:p w14:paraId="457585C2" w14:textId="4704CFE0" w:rsidR="00073361" w:rsidRPr="00A61B95" w:rsidRDefault="00A61B95" w:rsidP="007A71AC">
      <w:pPr>
        <w:widowControl/>
        <w:autoSpaceDE/>
        <w:autoSpaceDN/>
        <w:adjustRightInd/>
        <w:rPr>
          <w:rFonts w:cs="Calibri"/>
          <w:b/>
          <w:bCs/>
        </w:rPr>
      </w:pPr>
      <w:r w:rsidRPr="00A61B95">
        <w:rPr>
          <w:rFonts w:cs="Calibri"/>
          <w:b/>
          <w:bCs/>
        </w:rPr>
        <w:t xml:space="preserve">SAMM 17 – Percent of enforcement presence </w:t>
      </w:r>
    </w:p>
    <w:p w14:paraId="166FF49B" w14:textId="24201881" w:rsidR="003A66E8" w:rsidRDefault="003A66E8" w:rsidP="007A71AC">
      <w:pPr>
        <w:widowControl/>
        <w:autoSpaceDE/>
        <w:autoSpaceDN/>
        <w:adjustRightInd/>
        <w:rPr>
          <w:rFonts w:cs="Calibri"/>
        </w:rPr>
      </w:pPr>
    </w:p>
    <w:p w14:paraId="7E58D0F8" w14:textId="72ED7FC1" w:rsidR="00A61B95" w:rsidRDefault="00A61B95" w:rsidP="007A71AC">
      <w:pPr>
        <w:widowControl/>
        <w:autoSpaceDE/>
        <w:autoSpaceDN/>
        <w:adjustRightInd/>
        <w:rPr>
          <w:rFonts w:cs="Calibri"/>
        </w:rPr>
      </w:pPr>
      <w:r w:rsidRPr="00A61B95">
        <w:rPr>
          <w:rFonts w:cs="Calibri"/>
          <w:u w:val="single"/>
        </w:rPr>
        <w:t>Discussion of State Plan Data and FRL</w:t>
      </w:r>
      <w:r>
        <w:rPr>
          <w:rFonts w:cs="Calibri"/>
        </w:rPr>
        <w:t xml:space="preserve">:  </w:t>
      </w:r>
      <w:r w:rsidR="00560678">
        <w:rPr>
          <w:rFonts w:cs="Calibri"/>
        </w:rPr>
        <w:t xml:space="preserve">The FRL for percent of enforcement presence is based on a three-year national average of +/- 25% of 1.64% with a range of acceptable data not requiring further review of 1.23% to 2.05%.  The Indiana State Plan’s percent of enforcement presence is 0.73% which is significantly below the FRL and is cause for concern. </w:t>
      </w:r>
    </w:p>
    <w:p w14:paraId="1C4B0C9F" w14:textId="062FECD5" w:rsidR="00560678" w:rsidRDefault="00560678" w:rsidP="007A71AC">
      <w:pPr>
        <w:widowControl/>
        <w:autoSpaceDE/>
        <w:autoSpaceDN/>
        <w:adjustRightInd/>
        <w:rPr>
          <w:rFonts w:cs="Calibri"/>
        </w:rPr>
      </w:pPr>
    </w:p>
    <w:p w14:paraId="779D5C46" w14:textId="5402212D" w:rsidR="00560678" w:rsidRDefault="00560678" w:rsidP="007A71AC">
      <w:pPr>
        <w:widowControl/>
        <w:autoSpaceDE/>
        <w:autoSpaceDN/>
        <w:adjustRightInd/>
        <w:rPr>
          <w:rFonts w:cs="Calibri"/>
        </w:rPr>
      </w:pPr>
      <w:r w:rsidRPr="00560678">
        <w:rPr>
          <w:rFonts w:cs="Calibri"/>
          <w:u w:val="single"/>
        </w:rPr>
        <w:t>Explanation</w:t>
      </w:r>
      <w:r>
        <w:rPr>
          <w:rFonts w:cs="Calibri"/>
        </w:rPr>
        <w:t xml:space="preserve">:  The Indiana State Plan’s low enforcement presence can be attributed to </w:t>
      </w:r>
      <w:r w:rsidR="00C91F1C">
        <w:rPr>
          <w:rFonts w:cs="Calibri"/>
        </w:rPr>
        <w:t xml:space="preserve">staff turnover and retention.  Salary increases for new hires as well as current staff should improve </w:t>
      </w:r>
      <w:r w:rsidR="00925CC9">
        <w:rPr>
          <w:rFonts w:cs="Calibri"/>
        </w:rPr>
        <w:t xml:space="preserve">enforcement presence in Indiana. </w:t>
      </w:r>
      <w:r w:rsidR="00C91F1C">
        <w:rPr>
          <w:rFonts w:cs="Calibri"/>
        </w:rPr>
        <w:t xml:space="preserve"> </w:t>
      </w:r>
    </w:p>
    <w:p w14:paraId="4DD4CBB7" w14:textId="5F13D219" w:rsidR="002A4AE7" w:rsidRPr="00241D8A" w:rsidRDefault="00476CDA" w:rsidP="007A71AC">
      <w:pPr>
        <w:widowControl/>
        <w:autoSpaceDE/>
        <w:autoSpaceDN/>
        <w:adjustRightInd/>
        <w:rPr>
          <w:rFonts w:cs="Calibri"/>
          <w:b/>
          <w:bCs/>
        </w:rPr>
        <w:sectPr w:rsidR="002A4AE7" w:rsidRPr="00241D8A" w:rsidSect="00783189">
          <w:headerReference w:type="even" r:id="rId10"/>
          <w:headerReference w:type="default" r:id="rId11"/>
          <w:footerReference w:type="even" r:id="rId12"/>
          <w:footerReference w:type="default" r:id="rId13"/>
          <w:headerReference w:type="first" r:id="rId14"/>
          <w:footerReference w:type="first" r:id="rId15"/>
          <w:pgSz w:w="12240" w:h="15840"/>
          <w:pgMar w:top="1440" w:right="1260" w:bottom="1260" w:left="1440" w:header="720" w:footer="526" w:gutter="0"/>
          <w:pgNumType w:start="1"/>
          <w:cols w:space="720"/>
          <w:titlePg/>
          <w:docGrid w:linePitch="360"/>
        </w:sectPr>
      </w:pPr>
      <w:r w:rsidRPr="00241D8A">
        <w:rPr>
          <w:rFonts w:cs="Calibri"/>
          <w:b/>
          <w:bCs/>
        </w:rPr>
        <w:t xml:space="preserve">   </w:t>
      </w:r>
      <w:r w:rsidR="005D053F" w:rsidRPr="00241D8A">
        <w:rPr>
          <w:rFonts w:cs="Calibri"/>
          <w:b/>
          <w:bCs/>
        </w:rPr>
        <w:t xml:space="preserve">  </w:t>
      </w:r>
    </w:p>
    <w:p w14:paraId="516D3ECD" w14:textId="77777777" w:rsidR="00B6741C" w:rsidRPr="0002572C" w:rsidRDefault="00B6741C" w:rsidP="000F63C1">
      <w:pPr>
        <w:pStyle w:val="Heading3"/>
        <w:numPr>
          <w:ilvl w:val="0"/>
          <w:numId w:val="0"/>
        </w:numPr>
      </w:pPr>
      <w:bookmarkStart w:id="21" w:name="_Toc118905017"/>
      <w:bookmarkStart w:id="22" w:name="_Toc119418669"/>
      <w:r w:rsidRPr="0002572C">
        <w:lastRenderedPageBreak/>
        <w:t>Appendix A – New and Continued Findings and Recommendations</w:t>
      </w:r>
      <w:bookmarkEnd w:id="21"/>
      <w:bookmarkEnd w:id="22"/>
    </w:p>
    <w:p w14:paraId="670F195C" w14:textId="24CB363E" w:rsidR="00B6741C" w:rsidRDefault="00B6741C" w:rsidP="00B6741C">
      <w:r>
        <w:t xml:space="preserve">FY </w:t>
      </w:r>
      <w:r w:rsidRPr="00A07883">
        <w:t xml:space="preserve">2022 </w:t>
      </w:r>
      <w:r w:rsidR="00A07883" w:rsidRPr="00A07883">
        <w:t>Indiana OSHA</w:t>
      </w:r>
      <w:r w:rsidRPr="00A07883">
        <w:t xml:space="preserve"> </w:t>
      </w:r>
      <w:r>
        <w:t>Follow-up FAME Report</w:t>
      </w:r>
    </w:p>
    <w:p w14:paraId="77980CE2"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Look w:val="01E0" w:firstRow="1" w:lastRow="1" w:firstColumn="1" w:lastColumn="1" w:noHBand="0" w:noVBand="0"/>
      </w:tblPr>
      <w:tblGrid>
        <w:gridCol w:w="1440"/>
        <w:gridCol w:w="4721"/>
        <w:gridCol w:w="4819"/>
        <w:gridCol w:w="1890"/>
      </w:tblGrid>
      <w:tr w:rsidR="00185C7D" w:rsidRPr="001C1E47" w14:paraId="0F6BB42C" w14:textId="77777777" w:rsidTr="00185C7D">
        <w:trPr>
          <w:trHeight w:val="350"/>
        </w:trPr>
        <w:tc>
          <w:tcPr>
            <w:tcW w:w="1440" w:type="dxa"/>
          </w:tcPr>
          <w:p w14:paraId="1F333F67" w14:textId="155D2397" w:rsidR="000A134A" w:rsidRPr="001C1E47" w:rsidRDefault="000A134A"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A07883">
              <w:rPr>
                <w:rFonts w:cs="Calibri"/>
                <w:b/>
              </w:rPr>
              <w:t>22</w:t>
            </w:r>
            <w:r w:rsidRPr="001C1E47">
              <w:rPr>
                <w:rFonts w:cs="Calibri"/>
                <w:b/>
              </w:rPr>
              <w:t>-</w:t>
            </w:r>
            <w:r w:rsidR="00BB0343" w:rsidRPr="001C1E47">
              <w:rPr>
                <w:rFonts w:cs="Calibri"/>
                <w:b/>
              </w:rPr>
              <w:t>#</w:t>
            </w:r>
          </w:p>
        </w:tc>
        <w:tc>
          <w:tcPr>
            <w:tcW w:w="4721" w:type="dxa"/>
          </w:tcPr>
          <w:p w14:paraId="0C140B4B" w14:textId="77777777" w:rsidR="000A134A" w:rsidRPr="001C1E47" w:rsidRDefault="000A134A" w:rsidP="007A71AC">
            <w:pPr>
              <w:widowControl/>
              <w:autoSpaceDE/>
              <w:autoSpaceDN/>
              <w:adjustRightInd/>
              <w:jc w:val="center"/>
              <w:rPr>
                <w:rFonts w:cs="Calibri"/>
                <w:b/>
              </w:rPr>
            </w:pPr>
            <w:r w:rsidRPr="001C1E47">
              <w:rPr>
                <w:rFonts w:cs="Calibri"/>
                <w:b/>
              </w:rPr>
              <w:t>Finding</w:t>
            </w:r>
          </w:p>
        </w:tc>
        <w:tc>
          <w:tcPr>
            <w:tcW w:w="4819" w:type="dxa"/>
          </w:tcPr>
          <w:p w14:paraId="7801EA8C" w14:textId="77777777" w:rsidR="000A134A" w:rsidRPr="001C1E47" w:rsidRDefault="000A134A" w:rsidP="007A71AC">
            <w:pPr>
              <w:widowControl/>
              <w:autoSpaceDE/>
              <w:autoSpaceDN/>
              <w:adjustRightInd/>
              <w:jc w:val="center"/>
              <w:rPr>
                <w:rFonts w:cs="Calibri"/>
                <w:b/>
              </w:rPr>
            </w:pPr>
            <w:r w:rsidRPr="001C1E47">
              <w:rPr>
                <w:rFonts w:cs="Calibri"/>
                <w:b/>
              </w:rPr>
              <w:t>Recommendation</w:t>
            </w:r>
          </w:p>
        </w:tc>
        <w:tc>
          <w:tcPr>
            <w:tcW w:w="1890" w:type="dxa"/>
          </w:tcPr>
          <w:p w14:paraId="7C9006CD" w14:textId="446AA29B" w:rsidR="00BB0343" w:rsidRPr="001C1E47" w:rsidRDefault="00BB0343" w:rsidP="007A71AC">
            <w:pPr>
              <w:widowControl/>
              <w:autoSpaceDE/>
              <w:autoSpaceDN/>
              <w:adjustRightInd/>
              <w:jc w:val="center"/>
              <w:rPr>
                <w:rFonts w:cs="Calibri"/>
                <w:b/>
              </w:rPr>
            </w:pPr>
            <w:r w:rsidRPr="001C1E47">
              <w:rPr>
                <w:rFonts w:cs="Calibri"/>
                <w:b/>
              </w:rPr>
              <w:t xml:space="preserve">FY </w:t>
            </w:r>
            <w:r w:rsidR="00DC4A62" w:rsidRPr="001C1E47">
              <w:rPr>
                <w:rFonts w:cs="Calibri"/>
                <w:b/>
              </w:rPr>
              <w:t>20</w:t>
            </w:r>
            <w:r w:rsidR="00A07883">
              <w:rPr>
                <w:rFonts w:cs="Calibri"/>
                <w:b/>
              </w:rPr>
              <w:t>21</w:t>
            </w:r>
            <w:r w:rsidRPr="001C1E47">
              <w:rPr>
                <w:rFonts w:cs="Calibri"/>
                <w:b/>
              </w:rPr>
              <w:t xml:space="preserve">-# </w:t>
            </w:r>
          </w:p>
          <w:p w14:paraId="3C61CFBF" w14:textId="76CE363F" w:rsidR="000A134A" w:rsidRPr="001C1E47" w:rsidRDefault="000A134A" w:rsidP="007A71AC">
            <w:pPr>
              <w:widowControl/>
              <w:autoSpaceDE/>
              <w:autoSpaceDN/>
              <w:adjustRightInd/>
              <w:jc w:val="center"/>
              <w:rPr>
                <w:rFonts w:cs="Calibri"/>
                <w:b/>
              </w:rPr>
            </w:pPr>
          </w:p>
        </w:tc>
      </w:tr>
      <w:tr w:rsidR="000A134A" w:rsidRPr="001C1E47" w14:paraId="5368CE16" w14:textId="77777777" w:rsidTr="00185C7D">
        <w:tc>
          <w:tcPr>
            <w:tcW w:w="1440" w:type="dxa"/>
          </w:tcPr>
          <w:p w14:paraId="31EBB109" w14:textId="781ADFEE" w:rsidR="000A134A" w:rsidRPr="001C1E47" w:rsidRDefault="000A134A" w:rsidP="007A71AC">
            <w:pPr>
              <w:widowControl/>
              <w:autoSpaceDE/>
              <w:autoSpaceDN/>
              <w:adjustRightInd/>
              <w:rPr>
                <w:rFonts w:cs="Calibri"/>
              </w:rPr>
            </w:pPr>
            <w:r w:rsidRPr="001C1E47">
              <w:rPr>
                <w:rFonts w:cs="Calibri"/>
              </w:rPr>
              <w:t xml:space="preserve"> </w:t>
            </w:r>
            <w:r w:rsidR="00A07883">
              <w:rPr>
                <w:rFonts w:cs="Calibri"/>
              </w:rPr>
              <w:t>FY 2022-01</w:t>
            </w:r>
          </w:p>
          <w:p w14:paraId="39F370D3" w14:textId="77777777" w:rsidR="000A134A" w:rsidRPr="001C1E47" w:rsidRDefault="000A134A" w:rsidP="007A71AC">
            <w:pPr>
              <w:widowControl/>
              <w:autoSpaceDE/>
              <w:autoSpaceDN/>
              <w:adjustRightInd/>
              <w:rPr>
                <w:rFonts w:cs="Calibri"/>
              </w:rPr>
            </w:pPr>
          </w:p>
        </w:tc>
        <w:tc>
          <w:tcPr>
            <w:tcW w:w="4721" w:type="dxa"/>
          </w:tcPr>
          <w:p w14:paraId="4B3C1E3A" w14:textId="3AA39A4A" w:rsidR="000A134A" w:rsidRPr="00324738" w:rsidRDefault="00324738" w:rsidP="007A71AC">
            <w:pPr>
              <w:widowControl/>
              <w:autoSpaceDE/>
              <w:autoSpaceDN/>
              <w:adjustRightInd/>
              <w:rPr>
                <w:rFonts w:asciiTheme="minorHAnsi" w:hAnsiTheme="minorHAnsi" w:cstheme="minorHAnsi"/>
              </w:rPr>
            </w:pPr>
            <w:r w:rsidRPr="00324738">
              <w:rPr>
                <w:rFonts w:asciiTheme="minorHAnsi" w:hAnsiTheme="minorHAnsi" w:cstheme="minorHAnsi"/>
              </w:rPr>
              <w:t>In 20 of 27 (74.1%) fatality case files reviewed, letters to the next-of-kin (NOK) were not found in the files. Some files had either the initial or final letter and other files had neither.</w:t>
            </w:r>
          </w:p>
        </w:tc>
        <w:tc>
          <w:tcPr>
            <w:tcW w:w="4819" w:type="dxa"/>
          </w:tcPr>
          <w:p w14:paraId="7A48B2C8" w14:textId="49AF0A52" w:rsidR="000A134A" w:rsidRPr="001C1E47" w:rsidRDefault="00324738" w:rsidP="00324738">
            <w:pPr>
              <w:widowControl/>
              <w:autoSpaceDE/>
              <w:autoSpaceDN/>
              <w:adjustRightInd/>
              <w:rPr>
                <w:rFonts w:cs="Calibri"/>
              </w:rPr>
            </w:pPr>
            <w:r w:rsidRPr="00324738">
              <w:rPr>
                <w:rFonts w:asciiTheme="minorHAnsi" w:hAnsiTheme="minorHAnsi" w:cstheme="minorHAnsi"/>
              </w:rPr>
              <w:t>IOSHA should follow Chapter 11, Section II of the IFOM and ensure that both the initial and final letters to the victim’s family for fatality investigations are sent and copies are maintained in the file. Supervisors should use the fatality checklist when reviewing the case files to ensure the NOK letters have been sent and are maintained in the file.</w:t>
            </w:r>
            <w:r>
              <w:rPr>
                <w:rFonts w:asciiTheme="minorHAnsi" w:hAnsiTheme="minorHAnsi" w:cstheme="minorHAnsi"/>
              </w:rPr>
              <w:t xml:space="preserve"> Corrective action complete. Awaiting verification.</w:t>
            </w:r>
          </w:p>
        </w:tc>
        <w:tc>
          <w:tcPr>
            <w:tcW w:w="1890" w:type="dxa"/>
          </w:tcPr>
          <w:p w14:paraId="51FF8A48" w14:textId="7E0ED997" w:rsidR="000A134A" w:rsidRPr="001C1E47" w:rsidRDefault="00324738" w:rsidP="002B6B4D">
            <w:pPr>
              <w:widowControl/>
              <w:autoSpaceDE/>
              <w:autoSpaceDN/>
              <w:adjustRightInd/>
              <w:jc w:val="center"/>
              <w:rPr>
                <w:rFonts w:cs="Calibri"/>
              </w:rPr>
            </w:pPr>
            <w:r>
              <w:rPr>
                <w:rFonts w:cs="Calibri"/>
              </w:rPr>
              <w:t>FY 2021-01</w:t>
            </w:r>
          </w:p>
        </w:tc>
      </w:tr>
      <w:tr w:rsidR="000A134A" w:rsidRPr="001C1E47" w14:paraId="103CA6F2" w14:textId="77777777" w:rsidTr="00185C7D">
        <w:tc>
          <w:tcPr>
            <w:tcW w:w="1440" w:type="dxa"/>
          </w:tcPr>
          <w:p w14:paraId="76B70B57" w14:textId="2EBCFFA9" w:rsidR="000A134A" w:rsidRPr="001C1E47" w:rsidRDefault="000A134A" w:rsidP="007A71AC">
            <w:pPr>
              <w:widowControl/>
              <w:autoSpaceDE/>
              <w:autoSpaceDN/>
              <w:adjustRightInd/>
              <w:rPr>
                <w:rFonts w:cs="Calibri"/>
              </w:rPr>
            </w:pPr>
            <w:r w:rsidRPr="001C1E47">
              <w:rPr>
                <w:rFonts w:cs="Calibri"/>
              </w:rPr>
              <w:t xml:space="preserve"> </w:t>
            </w:r>
            <w:r w:rsidR="00A07883">
              <w:rPr>
                <w:rFonts w:cs="Calibri"/>
              </w:rPr>
              <w:t>FY 2022-02</w:t>
            </w:r>
          </w:p>
          <w:p w14:paraId="673AF147" w14:textId="77777777" w:rsidR="000A134A" w:rsidRPr="001C1E47" w:rsidRDefault="000A134A" w:rsidP="007A71AC">
            <w:pPr>
              <w:widowControl/>
              <w:autoSpaceDE/>
              <w:autoSpaceDN/>
              <w:adjustRightInd/>
              <w:rPr>
                <w:rFonts w:cs="Calibri"/>
              </w:rPr>
            </w:pPr>
          </w:p>
        </w:tc>
        <w:tc>
          <w:tcPr>
            <w:tcW w:w="4721" w:type="dxa"/>
          </w:tcPr>
          <w:p w14:paraId="53C5489A" w14:textId="63C7B4DF" w:rsidR="000A134A" w:rsidRPr="00FA1B27" w:rsidRDefault="00FA1B27" w:rsidP="00FA1B27">
            <w:pPr>
              <w:widowControl/>
              <w:autoSpaceDE/>
              <w:autoSpaceDN/>
              <w:adjustRightInd/>
              <w:rPr>
                <w:rFonts w:asciiTheme="minorHAnsi" w:hAnsiTheme="minorHAnsi" w:cstheme="minorHAnsi"/>
              </w:rPr>
            </w:pPr>
            <w:bookmarkStart w:id="23" w:name="_Hlk125021445"/>
            <w:r w:rsidRPr="009D2667">
              <w:rPr>
                <w:rFonts w:asciiTheme="minorHAnsi" w:hAnsiTheme="minorHAnsi" w:cstheme="minorHAnsi"/>
              </w:rPr>
              <w:t xml:space="preserve">IOSHA’s average lapse time for health inspections is </w:t>
            </w:r>
            <w:r w:rsidR="00937AE9" w:rsidRPr="009D2667">
              <w:rPr>
                <w:rFonts w:asciiTheme="minorHAnsi" w:hAnsiTheme="minorHAnsi" w:cstheme="minorHAnsi"/>
              </w:rPr>
              <w:t>92.79</w:t>
            </w:r>
            <w:r w:rsidRPr="009D2667">
              <w:rPr>
                <w:rFonts w:asciiTheme="minorHAnsi" w:hAnsiTheme="minorHAnsi" w:cstheme="minorHAnsi"/>
              </w:rPr>
              <w:t xml:space="preserve"> days, above the FRL of +/- 20% of 6</w:t>
            </w:r>
            <w:r w:rsidR="00937AE9" w:rsidRPr="009D2667">
              <w:rPr>
                <w:rFonts w:asciiTheme="minorHAnsi" w:hAnsiTheme="minorHAnsi" w:cstheme="minorHAnsi"/>
              </w:rPr>
              <w:t xml:space="preserve">9.03 </w:t>
            </w:r>
            <w:r w:rsidRPr="009D2667">
              <w:rPr>
                <w:rFonts w:asciiTheme="minorHAnsi" w:hAnsiTheme="minorHAnsi" w:cstheme="minorHAnsi"/>
              </w:rPr>
              <w:t>and the acceptable range of 5</w:t>
            </w:r>
            <w:r w:rsidR="00937AE9" w:rsidRPr="009D2667">
              <w:rPr>
                <w:rFonts w:asciiTheme="minorHAnsi" w:hAnsiTheme="minorHAnsi" w:cstheme="minorHAnsi"/>
              </w:rPr>
              <w:t>5.22</w:t>
            </w:r>
            <w:r w:rsidRPr="009D2667">
              <w:rPr>
                <w:rFonts w:asciiTheme="minorHAnsi" w:hAnsiTheme="minorHAnsi" w:cstheme="minorHAnsi"/>
              </w:rPr>
              <w:t xml:space="preserve"> to </w:t>
            </w:r>
            <w:r w:rsidR="00937AE9" w:rsidRPr="009D2667">
              <w:rPr>
                <w:rFonts w:asciiTheme="minorHAnsi" w:hAnsiTheme="minorHAnsi" w:cstheme="minorHAnsi"/>
              </w:rPr>
              <w:t>82.84</w:t>
            </w:r>
            <w:r w:rsidRPr="009D2667">
              <w:rPr>
                <w:rFonts w:asciiTheme="minorHAnsi" w:hAnsiTheme="minorHAnsi" w:cstheme="minorHAnsi"/>
              </w:rPr>
              <w:t xml:space="preserve"> days.</w:t>
            </w:r>
            <w:bookmarkEnd w:id="23"/>
          </w:p>
        </w:tc>
        <w:tc>
          <w:tcPr>
            <w:tcW w:w="4819" w:type="dxa"/>
          </w:tcPr>
          <w:p w14:paraId="7375EF07" w14:textId="285191E3" w:rsidR="000A134A" w:rsidRPr="00FA1B27" w:rsidRDefault="008961BD" w:rsidP="00FA1B27">
            <w:pPr>
              <w:widowControl/>
              <w:autoSpaceDE/>
              <w:autoSpaceDN/>
              <w:adjustRightInd/>
              <w:rPr>
                <w:rFonts w:asciiTheme="minorHAnsi" w:hAnsiTheme="minorHAnsi" w:cstheme="minorHAnsi"/>
              </w:rPr>
            </w:pPr>
            <w:r>
              <w:rPr>
                <w:rFonts w:asciiTheme="minorHAnsi" w:hAnsiTheme="minorHAnsi" w:cstheme="minorHAnsi"/>
              </w:rPr>
              <w:t xml:space="preserve">IOSHA supervisors of health CSHOs should review progress on health case files periodically to ensure safety orders </w:t>
            </w:r>
            <w:r w:rsidR="00C54E57">
              <w:rPr>
                <w:rFonts w:asciiTheme="minorHAnsi" w:hAnsiTheme="minorHAnsi" w:cstheme="minorHAnsi"/>
              </w:rPr>
              <w:t>are issued</w:t>
            </w:r>
            <w:r>
              <w:rPr>
                <w:rFonts w:asciiTheme="minorHAnsi" w:hAnsiTheme="minorHAnsi" w:cstheme="minorHAnsi"/>
              </w:rPr>
              <w:t xml:space="preserve"> within an acceptable number of days. </w:t>
            </w:r>
          </w:p>
        </w:tc>
        <w:tc>
          <w:tcPr>
            <w:tcW w:w="1890" w:type="dxa"/>
          </w:tcPr>
          <w:p w14:paraId="0E5FE764" w14:textId="231CA699" w:rsidR="000A134A" w:rsidRPr="001C1E47" w:rsidRDefault="00FA1B27" w:rsidP="002B6B4D">
            <w:pPr>
              <w:widowControl/>
              <w:autoSpaceDE/>
              <w:autoSpaceDN/>
              <w:adjustRightInd/>
              <w:jc w:val="center"/>
              <w:rPr>
                <w:rFonts w:cs="Calibri"/>
              </w:rPr>
            </w:pPr>
            <w:r>
              <w:rPr>
                <w:rFonts w:cs="Calibri"/>
              </w:rPr>
              <w:t>FY 2021-03</w:t>
            </w:r>
          </w:p>
        </w:tc>
      </w:tr>
      <w:tr w:rsidR="000A134A" w:rsidRPr="001C1E47" w14:paraId="361E1BD2" w14:textId="77777777" w:rsidTr="00185C7D">
        <w:tc>
          <w:tcPr>
            <w:tcW w:w="1440" w:type="dxa"/>
          </w:tcPr>
          <w:p w14:paraId="01DD4D90" w14:textId="3A37C955" w:rsidR="000A134A" w:rsidRPr="001C1E47" w:rsidRDefault="000A134A" w:rsidP="007A71AC">
            <w:pPr>
              <w:widowControl/>
              <w:autoSpaceDE/>
              <w:autoSpaceDN/>
              <w:adjustRightInd/>
              <w:rPr>
                <w:rFonts w:cs="Calibri"/>
              </w:rPr>
            </w:pPr>
            <w:r w:rsidRPr="001C1E47">
              <w:rPr>
                <w:rFonts w:cs="Calibri"/>
              </w:rPr>
              <w:t xml:space="preserve"> </w:t>
            </w:r>
            <w:r w:rsidR="00A07883">
              <w:rPr>
                <w:rFonts w:cs="Calibri"/>
              </w:rPr>
              <w:t>FY 2022-03</w:t>
            </w:r>
          </w:p>
        </w:tc>
        <w:tc>
          <w:tcPr>
            <w:tcW w:w="4721" w:type="dxa"/>
          </w:tcPr>
          <w:p w14:paraId="21F530E8" w14:textId="4AF76228" w:rsidR="000A134A" w:rsidRPr="00FA1B27" w:rsidRDefault="00FA1B27" w:rsidP="007A71AC">
            <w:pPr>
              <w:widowControl/>
              <w:autoSpaceDE/>
              <w:autoSpaceDN/>
              <w:adjustRightInd/>
              <w:rPr>
                <w:rFonts w:asciiTheme="minorHAnsi" w:hAnsiTheme="minorHAnsi" w:cstheme="minorHAnsi"/>
              </w:rPr>
            </w:pPr>
            <w:r w:rsidRPr="00FA1B27">
              <w:rPr>
                <w:rFonts w:asciiTheme="minorHAnsi" w:hAnsiTheme="minorHAnsi" w:cstheme="minorHAnsi"/>
              </w:rPr>
              <w:t>In two of five (40%) follow-up case files reviewed, adequate verification of abatement could not be determined because information specific to the previously cited hazards was not documented in the case files.</w:t>
            </w:r>
          </w:p>
        </w:tc>
        <w:tc>
          <w:tcPr>
            <w:tcW w:w="4819" w:type="dxa"/>
          </w:tcPr>
          <w:p w14:paraId="069FF3A9" w14:textId="10EE0F61" w:rsidR="000A134A" w:rsidRPr="001C1E47" w:rsidRDefault="00FA1B27" w:rsidP="00C54E57">
            <w:pPr>
              <w:widowControl/>
              <w:autoSpaceDE/>
              <w:autoSpaceDN/>
              <w:adjustRightInd/>
              <w:rPr>
                <w:rFonts w:cs="Calibri"/>
              </w:rPr>
            </w:pPr>
            <w:r w:rsidRPr="00FA1B27">
              <w:rPr>
                <w:rFonts w:asciiTheme="minorHAnsi" w:hAnsiTheme="minorHAnsi" w:cstheme="minorHAnsi"/>
              </w:rPr>
              <w:t>IOSHA should ensure that follow-up case files include all documentation related to hazard violations being followed up on during the inspection, including the previous inspection date(s), location(s</w:t>
            </w:r>
            <w:proofErr w:type="gramStart"/>
            <w:r w:rsidRPr="00FA1B27">
              <w:rPr>
                <w:rFonts w:asciiTheme="minorHAnsi" w:hAnsiTheme="minorHAnsi" w:cstheme="minorHAnsi"/>
              </w:rPr>
              <w:t>)</w:t>
            </w:r>
            <w:proofErr w:type="gramEnd"/>
            <w:r w:rsidRPr="00FA1B27">
              <w:rPr>
                <w:rFonts w:asciiTheme="minorHAnsi" w:hAnsiTheme="minorHAnsi" w:cstheme="minorHAnsi"/>
              </w:rPr>
              <w:t xml:space="preserve"> and violation(s). IOSHA should also follow their FOM, Chapter 3, Section IX.A.3. and include follow-up inspection reports in the original (parent) case file.</w:t>
            </w:r>
            <w:r w:rsidR="0019505B">
              <w:rPr>
                <w:rFonts w:asciiTheme="minorHAnsi" w:hAnsiTheme="minorHAnsi" w:cstheme="minorHAnsi"/>
              </w:rPr>
              <w:t xml:space="preserve">  Corrective action complete.  Awaiting verification. </w:t>
            </w:r>
          </w:p>
        </w:tc>
        <w:tc>
          <w:tcPr>
            <w:tcW w:w="1890" w:type="dxa"/>
          </w:tcPr>
          <w:p w14:paraId="41535CDB" w14:textId="49ECF916" w:rsidR="000A134A" w:rsidRPr="001C1E47" w:rsidRDefault="00FA1B27" w:rsidP="002B6B4D">
            <w:pPr>
              <w:widowControl/>
              <w:autoSpaceDE/>
              <w:autoSpaceDN/>
              <w:adjustRightInd/>
              <w:jc w:val="center"/>
              <w:rPr>
                <w:rFonts w:cs="Calibri"/>
              </w:rPr>
            </w:pPr>
            <w:r>
              <w:rPr>
                <w:rFonts w:cs="Calibri"/>
              </w:rPr>
              <w:t>FY 2021-04</w:t>
            </w:r>
          </w:p>
        </w:tc>
      </w:tr>
      <w:tr w:rsidR="00A07883" w:rsidRPr="001C1E47" w14:paraId="1D7204E2" w14:textId="77777777" w:rsidTr="00185C7D">
        <w:tc>
          <w:tcPr>
            <w:tcW w:w="1440" w:type="dxa"/>
          </w:tcPr>
          <w:p w14:paraId="1D904082" w14:textId="347AC25E" w:rsidR="00A07883" w:rsidRDefault="00A07883" w:rsidP="007A71AC">
            <w:pPr>
              <w:widowControl/>
              <w:autoSpaceDE/>
              <w:autoSpaceDN/>
              <w:adjustRightInd/>
              <w:rPr>
                <w:rFonts w:cs="Calibri"/>
              </w:rPr>
            </w:pPr>
            <w:r>
              <w:rPr>
                <w:rFonts w:cs="Calibri"/>
              </w:rPr>
              <w:t>FY 2022-04</w:t>
            </w:r>
          </w:p>
          <w:p w14:paraId="00736ABA" w14:textId="0933A6BC" w:rsidR="00A07883" w:rsidRPr="001C1E47" w:rsidRDefault="00A07883" w:rsidP="007A71AC">
            <w:pPr>
              <w:widowControl/>
              <w:autoSpaceDE/>
              <w:autoSpaceDN/>
              <w:adjustRightInd/>
              <w:rPr>
                <w:rFonts w:cs="Calibri"/>
              </w:rPr>
            </w:pPr>
          </w:p>
        </w:tc>
        <w:tc>
          <w:tcPr>
            <w:tcW w:w="4721" w:type="dxa"/>
          </w:tcPr>
          <w:p w14:paraId="66D2108C" w14:textId="270C2CD3" w:rsidR="00A07883" w:rsidRPr="00FA1B27" w:rsidRDefault="00FA1B27" w:rsidP="007A71AC">
            <w:pPr>
              <w:widowControl/>
              <w:autoSpaceDE/>
              <w:autoSpaceDN/>
              <w:adjustRightInd/>
              <w:rPr>
                <w:rFonts w:asciiTheme="minorHAnsi" w:hAnsiTheme="minorHAnsi" w:cstheme="minorHAnsi"/>
              </w:rPr>
            </w:pPr>
            <w:r w:rsidRPr="00FA1B27">
              <w:rPr>
                <w:rFonts w:asciiTheme="minorHAnsi" w:hAnsiTheme="minorHAnsi" w:cstheme="minorHAnsi"/>
              </w:rPr>
              <w:t>IOSHA failed to adopt OSHA’s initial FY 2016 maximum and minimum penalty increase and subsequent annual penalty amount increases.</w:t>
            </w:r>
          </w:p>
        </w:tc>
        <w:tc>
          <w:tcPr>
            <w:tcW w:w="4819" w:type="dxa"/>
          </w:tcPr>
          <w:p w14:paraId="23D1C6CB" w14:textId="5082D885" w:rsidR="00A07883" w:rsidRPr="00FA1B27" w:rsidRDefault="00FA1B27" w:rsidP="007A71AC">
            <w:pPr>
              <w:widowControl/>
              <w:autoSpaceDE/>
              <w:autoSpaceDN/>
              <w:adjustRightInd/>
              <w:rPr>
                <w:rFonts w:asciiTheme="minorHAnsi" w:hAnsiTheme="minorHAnsi" w:cstheme="minorHAnsi"/>
              </w:rPr>
            </w:pPr>
            <w:r w:rsidRPr="00FA1B27">
              <w:rPr>
                <w:rFonts w:asciiTheme="minorHAnsi" w:hAnsiTheme="minorHAnsi" w:cstheme="minorHAnsi"/>
              </w:rPr>
              <w:t xml:space="preserve">IOSHA should </w:t>
            </w:r>
            <w:r w:rsidR="008961BD">
              <w:rPr>
                <w:rFonts w:asciiTheme="minorHAnsi" w:hAnsiTheme="minorHAnsi" w:cstheme="minorHAnsi"/>
              </w:rPr>
              <w:t xml:space="preserve">continue to </w:t>
            </w:r>
            <w:r w:rsidRPr="00FA1B27">
              <w:rPr>
                <w:rFonts w:asciiTheme="minorHAnsi" w:hAnsiTheme="minorHAnsi" w:cstheme="minorHAnsi"/>
              </w:rPr>
              <w:t xml:space="preserve">work with their state authorities to complete the legislative changes necessary to adopt the maximum and </w:t>
            </w:r>
            <w:r w:rsidRPr="00FA1B27">
              <w:rPr>
                <w:rFonts w:asciiTheme="minorHAnsi" w:hAnsiTheme="minorHAnsi" w:cstheme="minorHAnsi"/>
              </w:rPr>
              <w:lastRenderedPageBreak/>
              <w:t>minimum penalty increase and subsequent annual increases to be at least as effective as federal OSHA penalty levels.</w:t>
            </w:r>
          </w:p>
        </w:tc>
        <w:tc>
          <w:tcPr>
            <w:tcW w:w="1890" w:type="dxa"/>
          </w:tcPr>
          <w:p w14:paraId="41C42952" w14:textId="5216C605" w:rsidR="00A07883" w:rsidRPr="001C1E47" w:rsidRDefault="00FA1B27" w:rsidP="002B6B4D">
            <w:pPr>
              <w:widowControl/>
              <w:autoSpaceDE/>
              <w:autoSpaceDN/>
              <w:adjustRightInd/>
              <w:jc w:val="center"/>
              <w:rPr>
                <w:rFonts w:cs="Calibri"/>
              </w:rPr>
            </w:pPr>
            <w:r>
              <w:rPr>
                <w:rFonts w:cs="Calibri"/>
              </w:rPr>
              <w:lastRenderedPageBreak/>
              <w:t>FY 202</w:t>
            </w:r>
            <w:r w:rsidR="0031325B">
              <w:rPr>
                <w:rFonts w:cs="Calibri"/>
              </w:rPr>
              <w:t>1</w:t>
            </w:r>
            <w:r>
              <w:rPr>
                <w:rFonts w:cs="Calibri"/>
              </w:rPr>
              <w:t>-05</w:t>
            </w:r>
          </w:p>
        </w:tc>
      </w:tr>
      <w:tr w:rsidR="00A07883" w:rsidRPr="001C1E47" w14:paraId="73CCCB63" w14:textId="77777777" w:rsidTr="00185C7D">
        <w:tc>
          <w:tcPr>
            <w:tcW w:w="1440" w:type="dxa"/>
          </w:tcPr>
          <w:p w14:paraId="02ADF327" w14:textId="31708842" w:rsidR="00A07883" w:rsidRDefault="00A07883" w:rsidP="007A71AC">
            <w:pPr>
              <w:widowControl/>
              <w:autoSpaceDE/>
              <w:autoSpaceDN/>
              <w:adjustRightInd/>
              <w:rPr>
                <w:rFonts w:cs="Calibri"/>
              </w:rPr>
            </w:pPr>
            <w:r>
              <w:rPr>
                <w:rFonts w:cs="Calibri"/>
              </w:rPr>
              <w:t>FY 2022-05</w:t>
            </w:r>
          </w:p>
          <w:p w14:paraId="67625601" w14:textId="647F4CB0" w:rsidR="00A07883" w:rsidRPr="001C1E47" w:rsidRDefault="00A07883" w:rsidP="007A71AC">
            <w:pPr>
              <w:widowControl/>
              <w:autoSpaceDE/>
              <w:autoSpaceDN/>
              <w:adjustRightInd/>
              <w:rPr>
                <w:rFonts w:cs="Calibri"/>
              </w:rPr>
            </w:pPr>
          </w:p>
        </w:tc>
        <w:tc>
          <w:tcPr>
            <w:tcW w:w="4721" w:type="dxa"/>
          </w:tcPr>
          <w:p w14:paraId="428A532F" w14:textId="7B6455D2" w:rsidR="00A07883" w:rsidRPr="001C1E47" w:rsidRDefault="0031325B" w:rsidP="0031325B">
            <w:pPr>
              <w:rPr>
                <w:rFonts w:cs="Calibri"/>
              </w:rPr>
            </w:pPr>
            <w:r w:rsidRPr="0031325B">
              <w:rPr>
                <w:rFonts w:asciiTheme="minorHAnsi" w:hAnsiTheme="minorHAnsi" w:cstheme="minorHAnsi"/>
              </w:rPr>
              <w:t>Appropriate</w:t>
            </w:r>
            <w:r>
              <w:rPr>
                <w:rFonts w:asciiTheme="minorHAnsi" w:hAnsiTheme="minorHAnsi" w:cstheme="minorHAnsi"/>
              </w:rPr>
              <w:t xml:space="preserve"> </w:t>
            </w:r>
            <w:r w:rsidRPr="0031325B">
              <w:rPr>
                <w:rFonts w:asciiTheme="minorHAnsi" w:hAnsiTheme="minorHAnsi" w:cstheme="minorHAnsi"/>
              </w:rPr>
              <w:t>analysis of the elements was nonexistent or incorrect in seven of the 20 (35%) whistleblower files reviewed.</w:t>
            </w:r>
          </w:p>
        </w:tc>
        <w:tc>
          <w:tcPr>
            <w:tcW w:w="4819" w:type="dxa"/>
          </w:tcPr>
          <w:p w14:paraId="4FA5FE5A" w14:textId="6E8A58E1" w:rsidR="00A07883" w:rsidRPr="0031325B" w:rsidRDefault="0031325B" w:rsidP="007A71AC">
            <w:pPr>
              <w:widowControl/>
              <w:autoSpaceDE/>
              <w:autoSpaceDN/>
              <w:adjustRightInd/>
              <w:rPr>
                <w:rFonts w:asciiTheme="minorHAnsi" w:hAnsiTheme="minorHAnsi" w:cstheme="minorHAnsi"/>
              </w:rPr>
            </w:pPr>
            <w:r w:rsidRPr="0031325B">
              <w:rPr>
                <w:rFonts w:asciiTheme="minorHAnsi" w:hAnsiTheme="minorHAnsi" w:cstheme="minorHAnsi"/>
              </w:rPr>
              <w:t xml:space="preserve">IOSHA should provide refresher training for </w:t>
            </w:r>
            <w:r w:rsidR="00C54E57">
              <w:rPr>
                <w:rFonts w:asciiTheme="minorHAnsi" w:hAnsiTheme="minorHAnsi" w:cstheme="minorHAnsi"/>
              </w:rPr>
              <w:t xml:space="preserve">Whistleblower </w:t>
            </w:r>
            <w:r w:rsidRPr="0031325B">
              <w:rPr>
                <w:rFonts w:asciiTheme="minorHAnsi" w:hAnsiTheme="minorHAnsi" w:cstheme="minorHAnsi"/>
              </w:rPr>
              <w:t>investigators and supervisory staff to include appropriate analysis of elements.</w:t>
            </w:r>
            <w:r w:rsidR="0019505B">
              <w:rPr>
                <w:rFonts w:asciiTheme="minorHAnsi" w:hAnsiTheme="minorHAnsi" w:cstheme="minorHAnsi"/>
              </w:rPr>
              <w:t xml:space="preserve">  Corrective action complete.  Awaiting verification. </w:t>
            </w:r>
          </w:p>
        </w:tc>
        <w:tc>
          <w:tcPr>
            <w:tcW w:w="1890" w:type="dxa"/>
          </w:tcPr>
          <w:p w14:paraId="2E1B9917" w14:textId="7294016C" w:rsidR="00A07883" w:rsidRPr="001C1E47" w:rsidRDefault="0031325B" w:rsidP="002B6B4D">
            <w:pPr>
              <w:widowControl/>
              <w:autoSpaceDE/>
              <w:autoSpaceDN/>
              <w:adjustRightInd/>
              <w:jc w:val="center"/>
              <w:rPr>
                <w:rFonts w:cs="Calibri"/>
              </w:rPr>
            </w:pPr>
            <w:r>
              <w:rPr>
                <w:rFonts w:cs="Calibri"/>
              </w:rPr>
              <w:t>FY 2021-06</w:t>
            </w:r>
          </w:p>
        </w:tc>
      </w:tr>
      <w:tr w:rsidR="00A07883" w:rsidRPr="001C1E47" w14:paraId="65C4D27B" w14:textId="77777777" w:rsidTr="00185C7D">
        <w:tc>
          <w:tcPr>
            <w:tcW w:w="1440" w:type="dxa"/>
          </w:tcPr>
          <w:p w14:paraId="30569390" w14:textId="6EF8482B" w:rsidR="00A07883" w:rsidRDefault="00A07883" w:rsidP="007A71AC">
            <w:pPr>
              <w:widowControl/>
              <w:autoSpaceDE/>
              <w:autoSpaceDN/>
              <w:adjustRightInd/>
              <w:rPr>
                <w:rFonts w:cs="Calibri"/>
              </w:rPr>
            </w:pPr>
            <w:r>
              <w:rPr>
                <w:rFonts w:cs="Calibri"/>
              </w:rPr>
              <w:t>FY 2022-06</w:t>
            </w:r>
          </w:p>
          <w:p w14:paraId="5D42BF26" w14:textId="4528266A" w:rsidR="00A07883" w:rsidRPr="001C1E47" w:rsidRDefault="00A07883" w:rsidP="007A71AC">
            <w:pPr>
              <w:widowControl/>
              <w:autoSpaceDE/>
              <w:autoSpaceDN/>
              <w:adjustRightInd/>
              <w:rPr>
                <w:rFonts w:cs="Calibri"/>
              </w:rPr>
            </w:pPr>
          </w:p>
        </w:tc>
        <w:tc>
          <w:tcPr>
            <w:tcW w:w="4721" w:type="dxa"/>
          </w:tcPr>
          <w:p w14:paraId="64ABEAD2" w14:textId="1F2C13D5" w:rsidR="00A07883" w:rsidRPr="00BB7869" w:rsidRDefault="00BB7869" w:rsidP="00BB7869">
            <w:pPr>
              <w:rPr>
                <w:rFonts w:asciiTheme="minorHAnsi" w:hAnsiTheme="minorHAnsi" w:cstheme="minorHAnsi"/>
              </w:rPr>
            </w:pPr>
            <w:r>
              <w:t>In 7 of the 10 files reviewed, the Report of Investigation (ROI) approval dates were either not entered in OITSS</w:t>
            </w:r>
            <w:r w:rsidR="008961BD">
              <w:t>/OIS</w:t>
            </w:r>
            <w:r>
              <w:t xml:space="preserve"> (6 of 10) or were entered inaccurately (1 of 10).  </w:t>
            </w:r>
          </w:p>
        </w:tc>
        <w:tc>
          <w:tcPr>
            <w:tcW w:w="4819" w:type="dxa"/>
          </w:tcPr>
          <w:p w14:paraId="325C6836" w14:textId="418DB959" w:rsidR="00A07883" w:rsidRPr="00BB7869" w:rsidRDefault="00BB7869" w:rsidP="007A71AC">
            <w:pPr>
              <w:widowControl/>
              <w:autoSpaceDE/>
              <w:autoSpaceDN/>
              <w:adjustRightInd/>
              <w:rPr>
                <w:rFonts w:asciiTheme="minorHAnsi" w:hAnsiTheme="minorHAnsi" w:cstheme="minorHAnsi"/>
              </w:rPr>
            </w:pPr>
            <w:r w:rsidRPr="00BB7869">
              <w:rPr>
                <w:rFonts w:asciiTheme="minorHAnsi" w:hAnsiTheme="minorHAnsi" w:cstheme="minorHAnsi"/>
              </w:rPr>
              <w:t xml:space="preserve">IOSHA should ensure that the date the </w:t>
            </w:r>
            <w:r w:rsidR="00C54E57">
              <w:rPr>
                <w:rFonts w:asciiTheme="minorHAnsi" w:hAnsiTheme="minorHAnsi" w:cstheme="minorHAnsi"/>
              </w:rPr>
              <w:t xml:space="preserve">Whistleblower </w:t>
            </w:r>
            <w:r w:rsidRPr="00BB7869">
              <w:rPr>
                <w:rFonts w:asciiTheme="minorHAnsi" w:hAnsiTheme="minorHAnsi" w:cstheme="minorHAnsi"/>
              </w:rPr>
              <w:t xml:space="preserve">supervisor approves (signs) the Report of Investigation is entered and entered accurately into </w:t>
            </w:r>
            <w:r w:rsidR="0034265F">
              <w:rPr>
                <w:rFonts w:asciiTheme="minorHAnsi" w:hAnsiTheme="minorHAnsi" w:cstheme="minorHAnsi"/>
              </w:rPr>
              <w:t>OITSS/</w:t>
            </w:r>
            <w:r w:rsidR="008961BD">
              <w:rPr>
                <w:rFonts w:asciiTheme="minorHAnsi" w:hAnsiTheme="minorHAnsi" w:cstheme="minorHAnsi"/>
              </w:rPr>
              <w:t>OI</w:t>
            </w:r>
            <w:r w:rsidRPr="00BB7869">
              <w:rPr>
                <w:rFonts w:asciiTheme="minorHAnsi" w:hAnsiTheme="minorHAnsi" w:cstheme="minorHAnsi"/>
              </w:rPr>
              <w:t>S.</w:t>
            </w:r>
          </w:p>
        </w:tc>
        <w:tc>
          <w:tcPr>
            <w:tcW w:w="1890" w:type="dxa"/>
          </w:tcPr>
          <w:p w14:paraId="1E16A501" w14:textId="06D859BC" w:rsidR="00A07883" w:rsidRPr="001C1E47" w:rsidRDefault="00BB7869" w:rsidP="002B6B4D">
            <w:pPr>
              <w:widowControl/>
              <w:autoSpaceDE/>
              <w:autoSpaceDN/>
              <w:adjustRightInd/>
              <w:jc w:val="center"/>
              <w:rPr>
                <w:rFonts w:cs="Calibri"/>
              </w:rPr>
            </w:pPr>
            <w:r>
              <w:rPr>
                <w:rFonts w:cs="Calibri"/>
              </w:rPr>
              <w:t>FY 2021-08</w:t>
            </w:r>
          </w:p>
        </w:tc>
      </w:tr>
      <w:tr w:rsidR="00A07883" w:rsidRPr="001C1E47" w14:paraId="0579C059" w14:textId="77777777" w:rsidTr="00185C7D">
        <w:tc>
          <w:tcPr>
            <w:tcW w:w="1440" w:type="dxa"/>
          </w:tcPr>
          <w:p w14:paraId="54732712" w14:textId="77777777" w:rsidR="00A07883" w:rsidRDefault="00A07883" w:rsidP="007A71AC">
            <w:pPr>
              <w:widowControl/>
              <w:autoSpaceDE/>
              <w:autoSpaceDN/>
              <w:adjustRightInd/>
              <w:rPr>
                <w:rFonts w:cs="Calibri"/>
              </w:rPr>
            </w:pPr>
            <w:r>
              <w:rPr>
                <w:rFonts w:cs="Calibri"/>
              </w:rPr>
              <w:t>FY 2022-07</w:t>
            </w:r>
          </w:p>
          <w:p w14:paraId="7C070C7F" w14:textId="0A1B4D5A" w:rsidR="00A07883" w:rsidRPr="001C1E47" w:rsidRDefault="00A07883" w:rsidP="007A71AC">
            <w:pPr>
              <w:widowControl/>
              <w:autoSpaceDE/>
              <w:autoSpaceDN/>
              <w:adjustRightInd/>
              <w:rPr>
                <w:rFonts w:cs="Calibri"/>
              </w:rPr>
            </w:pPr>
          </w:p>
        </w:tc>
        <w:tc>
          <w:tcPr>
            <w:tcW w:w="4721" w:type="dxa"/>
          </w:tcPr>
          <w:p w14:paraId="35776B75" w14:textId="453FE782" w:rsidR="00A07883" w:rsidRPr="00BB7869" w:rsidRDefault="00BB7869" w:rsidP="007A71AC">
            <w:pPr>
              <w:widowControl/>
              <w:autoSpaceDE/>
              <w:autoSpaceDN/>
              <w:adjustRightInd/>
              <w:rPr>
                <w:rFonts w:asciiTheme="minorHAnsi" w:hAnsiTheme="minorHAnsi" w:cstheme="minorHAnsi"/>
              </w:rPr>
            </w:pPr>
            <w:r w:rsidRPr="00BB7869">
              <w:rPr>
                <w:rFonts w:asciiTheme="minorHAnsi" w:hAnsiTheme="minorHAnsi" w:cstheme="minorHAnsi"/>
              </w:rPr>
              <w:t>In six of the 20 (30%) whistleblower case files reviewed, the supervisor did not review the file to ensure technical accuracy, thoroughness of the investigation, correct application of the law to the facts, completeness of the Secretary’s Findings, and merits of the case (WIM Chapter 4, Section IV.A).</w:t>
            </w:r>
          </w:p>
        </w:tc>
        <w:tc>
          <w:tcPr>
            <w:tcW w:w="4819" w:type="dxa"/>
          </w:tcPr>
          <w:p w14:paraId="52085396" w14:textId="5727F3E6" w:rsidR="00BB7869" w:rsidRPr="00BB7869" w:rsidRDefault="00BB7869" w:rsidP="00BB7869">
            <w:pPr>
              <w:contextualSpacing/>
              <w:rPr>
                <w:rFonts w:asciiTheme="minorHAnsi" w:hAnsiTheme="minorHAnsi" w:cstheme="minorHAnsi"/>
              </w:rPr>
            </w:pPr>
            <w:r w:rsidRPr="00BB7869">
              <w:rPr>
                <w:rFonts w:asciiTheme="minorHAnsi" w:hAnsiTheme="minorHAnsi" w:cstheme="minorHAnsi"/>
              </w:rPr>
              <w:t>IOSHA should follow the WIM, Chapter 4, Section IV.A to ensure all whistleblower case files submitted for review are thoroughly reviewed by a supervisor</w:t>
            </w:r>
            <w:r w:rsidR="00AB13C6">
              <w:rPr>
                <w:rFonts w:asciiTheme="minorHAnsi" w:hAnsiTheme="minorHAnsi" w:cstheme="minorHAnsi"/>
              </w:rPr>
              <w:t xml:space="preserve"> </w:t>
            </w:r>
            <w:r w:rsidRPr="00BB7869">
              <w:rPr>
                <w:rFonts w:asciiTheme="minorHAnsi" w:hAnsiTheme="minorHAnsi" w:cstheme="minorHAnsi"/>
              </w:rPr>
              <w:t xml:space="preserve">to ensure completeness of the file, technical accuracy, thoroughness of the investigation, </w:t>
            </w:r>
            <w:proofErr w:type="gramStart"/>
            <w:r w:rsidRPr="00BB7869">
              <w:rPr>
                <w:rFonts w:asciiTheme="minorHAnsi" w:hAnsiTheme="minorHAnsi" w:cstheme="minorHAnsi"/>
              </w:rPr>
              <w:t>correct</w:t>
            </w:r>
            <w:proofErr w:type="gramEnd"/>
          </w:p>
          <w:p w14:paraId="41624324" w14:textId="63CF626D" w:rsidR="00A07883" w:rsidRPr="001C1E47" w:rsidRDefault="00BB7869" w:rsidP="00BB7869">
            <w:pPr>
              <w:widowControl/>
              <w:autoSpaceDE/>
              <w:autoSpaceDN/>
              <w:adjustRightInd/>
              <w:rPr>
                <w:rFonts w:cs="Calibri"/>
              </w:rPr>
            </w:pPr>
            <w:r w:rsidRPr="00BB7869">
              <w:rPr>
                <w:rFonts w:asciiTheme="minorHAnsi" w:hAnsiTheme="minorHAnsi" w:cstheme="minorHAnsi"/>
              </w:rPr>
              <w:t>application of the law to the facts, completeness of the Secretary’s findings, and merits of the case.</w:t>
            </w:r>
            <w:r w:rsidR="0019505B">
              <w:rPr>
                <w:rFonts w:asciiTheme="minorHAnsi" w:hAnsiTheme="minorHAnsi" w:cstheme="minorHAnsi"/>
              </w:rPr>
              <w:t xml:space="preserve">  Corrective action complete.  Awaiting verification. </w:t>
            </w:r>
          </w:p>
        </w:tc>
        <w:tc>
          <w:tcPr>
            <w:tcW w:w="1890" w:type="dxa"/>
          </w:tcPr>
          <w:p w14:paraId="71B69B89" w14:textId="2ECC5ABE" w:rsidR="00A07883" w:rsidRPr="001C1E47" w:rsidRDefault="00BB7869" w:rsidP="002B6B4D">
            <w:pPr>
              <w:widowControl/>
              <w:autoSpaceDE/>
              <w:autoSpaceDN/>
              <w:adjustRightInd/>
              <w:jc w:val="center"/>
              <w:rPr>
                <w:rFonts w:cs="Calibri"/>
              </w:rPr>
            </w:pPr>
            <w:r>
              <w:rPr>
                <w:rFonts w:cs="Calibri"/>
              </w:rPr>
              <w:t>FY 2021-09</w:t>
            </w:r>
          </w:p>
        </w:tc>
      </w:tr>
    </w:tbl>
    <w:p w14:paraId="3C1E0E19" w14:textId="77777777" w:rsidR="000A134A" w:rsidRPr="001C1E47" w:rsidRDefault="000A134A" w:rsidP="007A71AC">
      <w:pPr>
        <w:widowControl/>
        <w:autoSpaceDE/>
        <w:autoSpaceDN/>
        <w:adjustRightInd/>
        <w:rPr>
          <w:rFonts w:cs="Calibri"/>
        </w:rPr>
      </w:pPr>
    </w:p>
    <w:p w14:paraId="3AB3DC8E" w14:textId="77777777" w:rsidR="000A134A" w:rsidRPr="00476C08" w:rsidRDefault="000A134A" w:rsidP="007A71AC">
      <w:pPr>
        <w:widowControl/>
        <w:autoSpaceDE/>
        <w:autoSpaceDN/>
        <w:adjustRightInd/>
        <w:rPr>
          <w:rFonts w:cs="Calibri"/>
          <w:iCs/>
          <w:color w:val="0070C0"/>
        </w:rPr>
      </w:pPr>
    </w:p>
    <w:p w14:paraId="693D6D3C" w14:textId="77777777" w:rsidR="000A134A" w:rsidRPr="00476C08" w:rsidRDefault="000A134A" w:rsidP="007A71AC">
      <w:pPr>
        <w:widowControl/>
        <w:autoSpaceDE/>
        <w:autoSpaceDN/>
        <w:adjustRightInd/>
        <w:rPr>
          <w:rFonts w:cs="Calibri"/>
          <w:iCs/>
          <w:color w:val="0070C0"/>
        </w:rPr>
      </w:pPr>
    </w:p>
    <w:p w14:paraId="003E7189" w14:textId="77777777" w:rsidR="000A134A" w:rsidRPr="00476C08" w:rsidRDefault="000A134A" w:rsidP="007A71AC">
      <w:pPr>
        <w:widowControl/>
        <w:autoSpaceDE/>
        <w:autoSpaceDN/>
        <w:adjustRightInd/>
        <w:rPr>
          <w:rFonts w:cs="Calibri"/>
          <w:iCs/>
          <w:color w:val="0070C0"/>
        </w:rPr>
      </w:pPr>
    </w:p>
    <w:p w14:paraId="7696391B" w14:textId="252DC76B" w:rsidR="000A134A" w:rsidRPr="00476C08" w:rsidRDefault="000A134A" w:rsidP="007A71AC">
      <w:pPr>
        <w:widowControl/>
        <w:autoSpaceDE/>
        <w:autoSpaceDN/>
        <w:adjustRightInd/>
        <w:rPr>
          <w:rFonts w:cs="Calibri"/>
          <w:iCs/>
          <w:color w:val="0070C0"/>
        </w:rPr>
      </w:pPr>
    </w:p>
    <w:p w14:paraId="7C19C4AE" w14:textId="25009AC5" w:rsidR="00D86879" w:rsidRDefault="00D86879" w:rsidP="007A71AC">
      <w:pPr>
        <w:widowControl/>
        <w:autoSpaceDE/>
        <w:autoSpaceDN/>
        <w:adjustRightInd/>
        <w:rPr>
          <w:rFonts w:cs="Calibri"/>
          <w:i/>
        </w:rPr>
      </w:pPr>
    </w:p>
    <w:p w14:paraId="233E4AD0" w14:textId="27C8DFD6" w:rsidR="0034265F" w:rsidRDefault="0034265F" w:rsidP="007A71AC">
      <w:pPr>
        <w:widowControl/>
        <w:autoSpaceDE/>
        <w:autoSpaceDN/>
        <w:adjustRightInd/>
        <w:rPr>
          <w:rFonts w:cs="Calibri"/>
          <w:i/>
        </w:rPr>
      </w:pPr>
    </w:p>
    <w:p w14:paraId="603FD926" w14:textId="0C7A80CB" w:rsidR="0034265F" w:rsidRDefault="0034265F" w:rsidP="007A71AC">
      <w:pPr>
        <w:widowControl/>
        <w:autoSpaceDE/>
        <w:autoSpaceDN/>
        <w:adjustRightInd/>
        <w:rPr>
          <w:rFonts w:cs="Calibri"/>
          <w:i/>
        </w:rPr>
      </w:pPr>
    </w:p>
    <w:p w14:paraId="52AB9422" w14:textId="1B5EB286" w:rsidR="0034265F" w:rsidRDefault="0034265F" w:rsidP="007A71AC">
      <w:pPr>
        <w:widowControl/>
        <w:autoSpaceDE/>
        <w:autoSpaceDN/>
        <w:adjustRightInd/>
        <w:rPr>
          <w:rFonts w:cs="Calibri"/>
          <w:i/>
        </w:rPr>
      </w:pPr>
    </w:p>
    <w:p w14:paraId="1AF36DD0" w14:textId="77777777" w:rsidR="0034265F" w:rsidRPr="001C1E47" w:rsidRDefault="0034265F" w:rsidP="007A71AC">
      <w:pPr>
        <w:widowControl/>
        <w:autoSpaceDE/>
        <w:autoSpaceDN/>
        <w:adjustRightInd/>
        <w:rPr>
          <w:rFonts w:cs="Calibri"/>
          <w:i/>
        </w:rPr>
      </w:pPr>
    </w:p>
    <w:p w14:paraId="72DA695E" w14:textId="77777777" w:rsidR="00B6741C" w:rsidRPr="0002572C" w:rsidRDefault="00B6741C" w:rsidP="000F63C1">
      <w:pPr>
        <w:pStyle w:val="Heading3"/>
        <w:numPr>
          <w:ilvl w:val="0"/>
          <w:numId w:val="0"/>
        </w:numPr>
      </w:pPr>
      <w:bookmarkStart w:id="24" w:name="_Toc118905018"/>
      <w:bookmarkStart w:id="25" w:name="_Toc119418670"/>
      <w:r w:rsidRPr="0002572C">
        <w:t>Appendix B – Observations Subject to Continued Monitoring</w:t>
      </w:r>
      <w:bookmarkEnd w:id="24"/>
      <w:bookmarkEnd w:id="25"/>
    </w:p>
    <w:p w14:paraId="73014EBD" w14:textId="03B96015" w:rsidR="00B6741C" w:rsidRPr="00F0678A" w:rsidRDefault="00B6741C" w:rsidP="0002572C">
      <w:r>
        <w:t>FY 20</w:t>
      </w:r>
      <w:r w:rsidR="00257227">
        <w:t>22 Indiana OSHA</w:t>
      </w:r>
      <w:r w:rsidRPr="00476C08">
        <w:rPr>
          <w:color w:val="0070C0"/>
        </w:rPr>
        <w:t xml:space="preserve"> </w:t>
      </w:r>
      <w:r>
        <w:t>Follow-up FAME Report</w:t>
      </w:r>
    </w:p>
    <w:p w14:paraId="75823E10" w14:textId="77777777" w:rsidR="00D86879" w:rsidRPr="001C1E47" w:rsidRDefault="00D86879" w:rsidP="007A71AC">
      <w:pPr>
        <w:widowControl/>
        <w:autoSpaceDE/>
        <w:autoSpaceDN/>
        <w:adjustRightInd/>
        <w:rPr>
          <w:rFonts w:cs="Calibri"/>
          <w:i/>
        </w:rPr>
      </w:pPr>
    </w:p>
    <w:p w14:paraId="2093D22B" w14:textId="77777777" w:rsidR="00D86879" w:rsidRPr="001C1E47" w:rsidRDefault="00D86879" w:rsidP="007A71AC">
      <w:pPr>
        <w:widowControl/>
        <w:autoSpaceDE/>
        <w:autoSpaceDN/>
        <w:adjustRightInd/>
        <w:rPr>
          <w:rFonts w:cs="Calibri"/>
          <w:i/>
        </w:rPr>
      </w:pPr>
    </w:p>
    <w:p w14:paraId="61F273E4" w14:textId="4BA1F7A9" w:rsidR="00492379" w:rsidRPr="001C1E47" w:rsidRDefault="00492379" w:rsidP="007A71AC">
      <w:pPr>
        <w:widowControl/>
        <w:autoSpaceDE/>
        <w:autoSpaceDN/>
        <w:adjustRightInd/>
        <w:rPr>
          <w:rFonts w:cs="Calibri"/>
          <w:i/>
        </w:rPr>
        <w:sectPr w:rsidR="00492379" w:rsidRPr="001C1E47" w:rsidSect="00DD7206">
          <w:headerReference w:type="even" r:id="rId16"/>
          <w:headerReference w:type="default" r:id="rId17"/>
          <w:footerReference w:type="default" r:id="rId18"/>
          <w:headerReference w:type="first" r:id="rId19"/>
          <w:footerReference w:type="first" r:id="rId20"/>
          <w:type w:val="continuous"/>
          <w:pgSz w:w="15840" w:h="12240" w:orient="landscape"/>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2657"/>
        <w:gridCol w:w="2690"/>
        <w:gridCol w:w="2657"/>
        <w:gridCol w:w="2630"/>
        <w:gridCol w:w="2316"/>
      </w:tblGrid>
      <w:tr w:rsidR="00B6741C" w14:paraId="266E8016" w14:textId="4E26EFF8" w:rsidTr="00B6741C">
        <w:trPr>
          <w:cantSplit/>
          <w:tblHeader/>
        </w:trPr>
        <w:tc>
          <w:tcPr>
            <w:tcW w:w="2657" w:type="dxa"/>
          </w:tcPr>
          <w:p w14:paraId="5950BEA4"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 #</w:t>
            </w:r>
          </w:p>
          <w:p w14:paraId="09AE72D2"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FY 20XX-OB-#</w:t>
            </w:r>
          </w:p>
          <w:p w14:paraId="07702D17" w14:textId="77777777" w:rsidR="00B6741C" w:rsidRDefault="00B6741C" w:rsidP="00B6741C">
            <w:pPr>
              <w:widowControl/>
              <w:autoSpaceDE/>
              <w:autoSpaceDN/>
              <w:adjustRightInd/>
              <w:rPr>
                <w:rFonts w:cs="Calibri"/>
                <w:i/>
                <w:sz w:val="22"/>
                <w:szCs w:val="22"/>
              </w:rPr>
            </w:pPr>
          </w:p>
        </w:tc>
        <w:tc>
          <w:tcPr>
            <w:tcW w:w="2690" w:type="dxa"/>
          </w:tcPr>
          <w:p w14:paraId="5B8F9311" w14:textId="77777777" w:rsidR="00B6741C" w:rsidRPr="001C1E47" w:rsidRDefault="00B6741C" w:rsidP="00B6741C">
            <w:pPr>
              <w:widowControl/>
              <w:autoSpaceDE/>
              <w:autoSpaceDN/>
              <w:adjustRightInd/>
              <w:rPr>
                <w:rFonts w:cs="Calibri"/>
                <w:b/>
                <w:sz w:val="22"/>
                <w:szCs w:val="22"/>
              </w:rPr>
            </w:pPr>
            <w:r w:rsidRPr="001C1E47">
              <w:rPr>
                <w:rFonts w:cs="Calibri"/>
                <w:b/>
                <w:sz w:val="22"/>
                <w:szCs w:val="22"/>
              </w:rPr>
              <w:t>Observation#</w:t>
            </w:r>
          </w:p>
          <w:p w14:paraId="757E85A6" w14:textId="2E09DB1A" w:rsidR="00B6741C" w:rsidRDefault="00B6741C" w:rsidP="00B6741C">
            <w:pPr>
              <w:widowControl/>
              <w:autoSpaceDE/>
              <w:autoSpaceDN/>
              <w:adjustRightInd/>
              <w:rPr>
                <w:rFonts w:cs="Calibri"/>
                <w:i/>
                <w:sz w:val="22"/>
                <w:szCs w:val="22"/>
              </w:rPr>
            </w:pPr>
            <w:r w:rsidRPr="001C1E47">
              <w:rPr>
                <w:rFonts w:cs="Calibri"/>
                <w:b/>
                <w:sz w:val="22"/>
                <w:szCs w:val="22"/>
              </w:rPr>
              <w:t xml:space="preserve">FY 20XX-OB-# </w:t>
            </w:r>
            <w:r w:rsidRPr="001C1E47">
              <w:rPr>
                <w:rFonts w:cs="Calibri"/>
                <w:b/>
                <w:i/>
                <w:sz w:val="22"/>
                <w:szCs w:val="22"/>
              </w:rPr>
              <w:t>or</w:t>
            </w:r>
            <w:r w:rsidRPr="001C1E47">
              <w:rPr>
                <w:rFonts w:cs="Calibri"/>
                <w:b/>
                <w:sz w:val="22"/>
                <w:szCs w:val="22"/>
              </w:rPr>
              <w:t xml:space="preserve"> FY 20XX-#</w:t>
            </w:r>
          </w:p>
        </w:tc>
        <w:tc>
          <w:tcPr>
            <w:tcW w:w="2657" w:type="dxa"/>
          </w:tcPr>
          <w:p w14:paraId="11DA1749" w14:textId="7AE042CC" w:rsidR="00B6741C" w:rsidRDefault="00B6741C" w:rsidP="00B6741C">
            <w:pPr>
              <w:widowControl/>
              <w:autoSpaceDE/>
              <w:autoSpaceDN/>
              <w:adjustRightInd/>
              <w:rPr>
                <w:rFonts w:cs="Calibri"/>
                <w:i/>
                <w:sz w:val="22"/>
                <w:szCs w:val="22"/>
              </w:rPr>
            </w:pPr>
            <w:r w:rsidRPr="001C1E47">
              <w:rPr>
                <w:rFonts w:cs="Calibri"/>
                <w:b/>
                <w:sz w:val="22"/>
                <w:szCs w:val="22"/>
              </w:rPr>
              <w:t>Observation</w:t>
            </w:r>
          </w:p>
        </w:tc>
        <w:tc>
          <w:tcPr>
            <w:tcW w:w="2630" w:type="dxa"/>
          </w:tcPr>
          <w:p w14:paraId="76BC073C" w14:textId="70BBC1B0" w:rsidR="00B6741C" w:rsidRDefault="00B6741C" w:rsidP="00B6741C">
            <w:pPr>
              <w:widowControl/>
              <w:autoSpaceDE/>
              <w:autoSpaceDN/>
              <w:adjustRightInd/>
              <w:rPr>
                <w:rFonts w:cs="Calibri"/>
                <w:i/>
                <w:sz w:val="22"/>
                <w:szCs w:val="22"/>
              </w:rPr>
            </w:pPr>
            <w:r w:rsidRPr="001C1E47">
              <w:rPr>
                <w:rFonts w:cs="Calibri"/>
                <w:b/>
                <w:sz w:val="22"/>
                <w:szCs w:val="22"/>
              </w:rPr>
              <w:t>Federal Monitoring Plan</w:t>
            </w:r>
          </w:p>
        </w:tc>
        <w:tc>
          <w:tcPr>
            <w:tcW w:w="2316" w:type="dxa"/>
          </w:tcPr>
          <w:p w14:paraId="46D0EE63" w14:textId="4A2BA825" w:rsidR="00B6741C" w:rsidRPr="001C1E47" w:rsidRDefault="00B6741C" w:rsidP="00B6741C">
            <w:pPr>
              <w:widowControl/>
              <w:autoSpaceDE/>
              <w:autoSpaceDN/>
              <w:adjustRightInd/>
              <w:rPr>
                <w:rFonts w:cs="Calibri"/>
                <w:b/>
                <w:sz w:val="22"/>
                <w:szCs w:val="22"/>
              </w:rPr>
            </w:pPr>
            <w:r w:rsidRPr="001C1E47">
              <w:rPr>
                <w:rFonts w:cs="Calibri"/>
                <w:b/>
                <w:sz w:val="22"/>
                <w:szCs w:val="22"/>
              </w:rPr>
              <w:t>Current Status</w:t>
            </w:r>
          </w:p>
        </w:tc>
      </w:tr>
      <w:tr w:rsidR="00B6741C" w14:paraId="715083EB" w14:textId="58561804" w:rsidTr="00B6741C">
        <w:trPr>
          <w:cantSplit/>
        </w:trPr>
        <w:tc>
          <w:tcPr>
            <w:tcW w:w="2657" w:type="dxa"/>
          </w:tcPr>
          <w:p w14:paraId="7834860F" w14:textId="3E07BDDB" w:rsidR="00B6741C" w:rsidRPr="00476C08" w:rsidRDefault="00C91F1C" w:rsidP="00B6741C">
            <w:pPr>
              <w:widowControl/>
              <w:autoSpaceDE/>
              <w:autoSpaceDN/>
              <w:adjustRightInd/>
              <w:rPr>
                <w:rFonts w:cs="Calibri"/>
                <w:iCs/>
                <w:color w:val="0070C0"/>
                <w:sz w:val="22"/>
                <w:szCs w:val="22"/>
              </w:rPr>
            </w:pPr>
            <w:r w:rsidRPr="00C91F1C">
              <w:rPr>
                <w:rFonts w:cs="Calibri"/>
                <w:iCs/>
                <w:sz w:val="22"/>
                <w:szCs w:val="22"/>
              </w:rPr>
              <w:t>None</w:t>
            </w:r>
          </w:p>
        </w:tc>
        <w:tc>
          <w:tcPr>
            <w:tcW w:w="2690" w:type="dxa"/>
          </w:tcPr>
          <w:p w14:paraId="1207E4E3" w14:textId="77777777" w:rsidR="00B6741C" w:rsidRPr="00476C08" w:rsidRDefault="00B6741C" w:rsidP="00B6741C">
            <w:pPr>
              <w:widowControl/>
              <w:autoSpaceDE/>
              <w:autoSpaceDN/>
              <w:adjustRightInd/>
              <w:rPr>
                <w:rFonts w:cs="Calibri"/>
                <w:iCs/>
                <w:color w:val="0070C0"/>
                <w:sz w:val="22"/>
                <w:szCs w:val="22"/>
              </w:rPr>
            </w:pPr>
          </w:p>
        </w:tc>
        <w:tc>
          <w:tcPr>
            <w:tcW w:w="2657" w:type="dxa"/>
          </w:tcPr>
          <w:p w14:paraId="53E4A09F" w14:textId="316C9E61" w:rsidR="00B6741C" w:rsidRPr="00476C08" w:rsidRDefault="00B6741C" w:rsidP="00B6741C">
            <w:pPr>
              <w:widowControl/>
              <w:autoSpaceDE/>
              <w:autoSpaceDN/>
              <w:adjustRightInd/>
              <w:rPr>
                <w:rFonts w:cs="Calibri"/>
                <w:iCs/>
                <w:color w:val="0070C0"/>
                <w:sz w:val="22"/>
                <w:szCs w:val="22"/>
              </w:rPr>
            </w:pPr>
          </w:p>
        </w:tc>
        <w:tc>
          <w:tcPr>
            <w:tcW w:w="2630" w:type="dxa"/>
          </w:tcPr>
          <w:p w14:paraId="04F2CA88" w14:textId="77777777" w:rsidR="00B6741C" w:rsidRPr="00476C08" w:rsidRDefault="00B6741C" w:rsidP="00B6741C">
            <w:pPr>
              <w:widowControl/>
              <w:autoSpaceDE/>
              <w:autoSpaceDN/>
              <w:adjustRightInd/>
              <w:rPr>
                <w:rFonts w:cs="Calibri"/>
                <w:iCs/>
                <w:color w:val="0070C0"/>
                <w:sz w:val="22"/>
                <w:szCs w:val="22"/>
              </w:rPr>
            </w:pPr>
          </w:p>
        </w:tc>
        <w:tc>
          <w:tcPr>
            <w:tcW w:w="2316" w:type="dxa"/>
          </w:tcPr>
          <w:p w14:paraId="79E4394D" w14:textId="79A7B235" w:rsidR="00B6741C" w:rsidRPr="00476C08" w:rsidRDefault="00B6741C" w:rsidP="00B6741C">
            <w:pPr>
              <w:widowControl/>
              <w:autoSpaceDE/>
              <w:autoSpaceDN/>
              <w:adjustRightInd/>
              <w:rPr>
                <w:rFonts w:cs="Calibri"/>
                <w:iCs/>
                <w:color w:val="0070C0"/>
                <w:sz w:val="22"/>
                <w:szCs w:val="22"/>
              </w:rPr>
            </w:pPr>
          </w:p>
        </w:tc>
      </w:tr>
      <w:tr w:rsidR="00B6741C" w14:paraId="414575F4" w14:textId="437735BC" w:rsidTr="00B6741C">
        <w:trPr>
          <w:cantSplit/>
        </w:trPr>
        <w:tc>
          <w:tcPr>
            <w:tcW w:w="2657" w:type="dxa"/>
          </w:tcPr>
          <w:p w14:paraId="38E1B745" w14:textId="77777777" w:rsidR="00B6741C" w:rsidRPr="00476C08" w:rsidRDefault="00B6741C" w:rsidP="00B6741C">
            <w:pPr>
              <w:widowControl/>
              <w:autoSpaceDE/>
              <w:autoSpaceDN/>
              <w:adjustRightInd/>
              <w:rPr>
                <w:rFonts w:cs="Calibri"/>
                <w:iCs/>
                <w:color w:val="0070C0"/>
                <w:sz w:val="22"/>
                <w:szCs w:val="22"/>
              </w:rPr>
            </w:pPr>
          </w:p>
        </w:tc>
        <w:tc>
          <w:tcPr>
            <w:tcW w:w="2690" w:type="dxa"/>
          </w:tcPr>
          <w:p w14:paraId="4640B74B" w14:textId="56C4BC03" w:rsidR="00B6741C" w:rsidRPr="00476C08" w:rsidRDefault="00B6741C" w:rsidP="00B6741C">
            <w:pPr>
              <w:widowControl/>
              <w:autoSpaceDE/>
              <w:autoSpaceDN/>
              <w:adjustRightInd/>
              <w:rPr>
                <w:rFonts w:cs="Calibri"/>
                <w:iCs/>
                <w:color w:val="0070C0"/>
                <w:sz w:val="22"/>
                <w:szCs w:val="22"/>
              </w:rPr>
            </w:pPr>
          </w:p>
        </w:tc>
        <w:tc>
          <w:tcPr>
            <w:tcW w:w="2657" w:type="dxa"/>
          </w:tcPr>
          <w:p w14:paraId="3BC4A14C" w14:textId="215BB894" w:rsidR="00B6741C" w:rsidRPr="00476C08" w:rsidRDefault="00B6741C" w:rsidP="00B6741C">
            <w:pPr>
              <w:widowControl/>
              <w:autoSpaceDE/>
              <w:autoSpaceDN/>
              <w:adjustRightInd/>
              <w:rPr>
                <w:rFonts w:cs="Calibri"/>
                <w:iCs/>
                <w:color w:val="0070C0"/>
                <w:sz w:val="22"/>
                <w:szCs w:val="22"/>
              </w:rPr>
            </w:pPr>
          </w:p>
        </w:tc>
        <w:tc>
          <w:tcPr>
            <w:tcW w:w="2630" w:type="dxa"/>
          </w:tcPr>
          <w:p w14:paraId="016CAD6A" w14:textId="64EADE36" w:rsidR="00B6741C" w:rsidRPr="00476C08" w:rsidRDefault="00B6741C" w:rsidP="00B6741C">
            <w:pPr>
              <w:widowControl/>
              <w:autoSpaceDE/>
              <w:autoSpaceDN/>
              <w:adjustRightInd/>
              <w:rPr>
                <w:rFonts w:cs="Calibri"/>
                <w:iCs/>
                <w:color w:val="0070C0"/>
                <w:sz w:val="22"/>
                <w:szCs w:val="22"/>
              </w:rPr>
            </w:pPr>
          </w:p>
        </w:tc>
        <w:tc>
          <w:tcPr>
            <w:tcW w:w="2316" w:type="dxa"/>
          </w:tcPr>
          <w:p w14:paraId="4F554364" w14:textId="2F04C449" w:rsidR="00B6741C" w:rsidRPr="00476C08" w:rsidRDefault="00B6741C" w:rsidP="00B6741C">
            <w:pPr>
              <w:widowControl/>
              <w:autoSpaceDE/>
              <w:autoSpaceDN/>
              <w:adjustRightInd/>
              <w:rPr>
                <w:rFonts w:cs="Calibri"/>
                <w:iCs/>
                <w:color w:val="0070C0"/>
                <w:sz w:val="22"/>
                <w:szCs w:val="22"/>
              </w:rPr>
            </w:pPr>
          </w:p>
        </w:tc>
      </w:tr>
    </w:tbl>
    <w:p w14:paraId="2352A70A" w14:textId="7478DFBA" w:rsidR="00E759AB" w:rsidRPr="001C1E47" w:rsidRDefault="00E759AB" w:rsidP="007A71AC">
      <w:pPr>
        <w:widowControl/>
        <w:autoSpaceDE/>
        <w:autoSpaceDN/>
        <w:adjustRightInd/>
        <w:rPr>
          <w:rFonts w:cs="Calibri"/>
          <w:i/>
          <w:sz w:val="22"/>
          <w:szCs w:val="22"/>
        </w:rPr>
      </w:pPr>
    </w:p>
    <w:p w14:paraId="77A1F7A4" w14:textId="68481F66" w:rsidR="000A134A" w:rsidRPr="00476C08" w:rsidRDefault="000A134A" w:rsidP="007A71AC">
      <w:pPr>
        <w:widowControl/>
        <w:autoSpaceDE/>
        <w:autoSpaceDN/>
        <w:adjustRightInd/>
        <w:rPr>
          <w:rFonts w:cs="Calibri"/>
          <w:iCs/>
          <w:color w:val="0070C0"/>
        </w:rPr>
      </w:pPr>
    </w:p>
    <w:p w14:paraId="1BA64E2F" w14:textId="77777777" w:rsidR="000A134A" w:rsidRPr="00476C08" w:rsidRDefault="000A134A" w:rsidP="007A71AC">
      <w:pPr>
        <w:widowControl/>
        <w:autoSpaceDE/>
        <w:autoSpaceDN/>
        <w:adjustRightInd/>
        <w:rPr>
          <w:rFonts w:cs="Calibri"/>
          <w:b/>
          <w:iCs/>
          <w:color w:val="0070C0"/>
        </w:rPr>
      </w:pPr>
    </w:p>
    <w:p w14:paraId="70B4EDC6" w14:textId="77777777" w:rsidR="000A134A" w:rsidRPr="00476C08" w:rsidRDefault="000A134A" w:rsidP="007A71AC">
      <w:pPr>
        <w:widowControl/>
        <w:autoSpaceDE/>
        <w:autoSpaceDN/>
        <w:adjustRightInd/>
        <w:rPr>
          <w:rFonts w:cs="Calibri"/>
          <w:b/>
          <w:iCs/>
          <w:color w:val="0070C0"/>
        </w:rPr>
      </w:pPr>
    </w:p>
    <w:p w14:paraId="3CBB7B73" w14:textId="77777777" w:rsidR="000A134A" w:rsidRPr="00476C08" w:rsidRDefault="000A134A" w:rsidP="007A71AC">
      <w:pPr>
        <w:widowControl/>
        <w:autoSpaceDE/>
        <w:autoSpaceDN/>
        <w:adjustRightInd/>
        <w:rPr>
          <w:rFonts w:cs="Calibri"/>
          <w:b/>
          <w:iCs/>
          <w:color w:val="0070C0"/>
        </w:rPr>
      </w:pPr>
    </w:p>
    <w:p w14:paraId="033D154E" w14:textId="6280CDA7" w:rsidR="000A134A" w:rsidRPr="00476C08" w:rsidRDefault="000A134A" w:rsidP="00C91F1C">
      <w:pPr>
        <w:widowControl/>
        <w:autoSpaceDE/>
        <w:autoSpaceDN/>
        <w:adjustRightInd/>
        <w:ind w:left="720"/>
        <w:rPr>
          <w:rFonts w:cs="Calibri"/>
          <w:iCs/>
          <w:color w:val="0070C0"/>
        </w:rPr>
      </w:pPr>
    </w:p>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even" r:id="rId21"/>
          <w:headerReference w:type="default" r:id="rId22"/>
          <w:headerReference w:type="first" r:id="rId23"/>
          <w:footerReference w:type="first" r:id="rId24"/>
          <w:type w:val="continuous"/>
          <w:pgSz w:w="15840" w:h="12240" w:orient="landscape"/>
          <w:pgMar w:top="1440" w:right="1440" w:bottom="1440" w:left="1440" w:header="720" w:footer="720" w:gutter="0"/>
          <w:cols w:space="720"/>
          <w:titlePg/>
          <w:docGrid w:linePitch="360"/>
        </w:sectPr>
      </w:pPr>
    </w:p>
    <w:p w14:paraId="01176981" w14:textId="48DEE150" w:rsidR="00747710" w:rsidRDefault="00747710" w:rsidP="000F63C1">
      <w:pPr>
        <w:pStyle w:val="Heading3"/>
        <w:numPr>
          <w:ilvl w:val="0"/>
          <w:numId w:val="0"/>
        </w:numPr>
      </w:pPr>
      <w:bookmarkStart w:id="26" w:name="_Toc118905019"/>
      <w:bookmarkStart w:id="27" w:name="_Toc119418671"/>
      <w:r w:rsidRPr="00747710">
        <w:lastRenderedPageBreak/>
        <w:t>Appendix C - Status of FY 20</w:t>
      </w:r>
      <w:r w:rsidR="00257227">
        <w:t>21</w:t>
      </w:r>
      <w:r w:rsidRPr="00747710">
        <w:t xml:space="preserve"> Findings and Recommendations</w:t>
      </w:r>
      <w:bookmarkEnd w:id="26"/>
      <w:bookmarkEnd w:id="27"/>
    </w:p>
    <w:p w14:paraId="45E6B5CB" w14:textId="0F92574F" w:rsidR="005367D5" w:rsidRDefault="00747710" w:rsidP="00257227">
      <w:pPr>
        <w:rPr>
          <w:rFonts w:cs="Calibri"/>
          <w:iCs/>
        </w:rPr>
      </w:pPr>
      <w:r w:rsidRPr="00747710">
        <w:t xml:space="preserve">FY 2022 </w:t>
      </w:r>
      <w:r w:rsidR="00257227">
        <w:t>Indiana OSHA</w:t>
      </w:r>
      <w:r w:rsidRPr="00476C08">
        <w:rPr>
          <w:color w:val="0070C0"/>
        </w:rPr>
        <w:t xml:space="preserve"> </w:t>
      </w:r>
      <w:r w:rsidRPr="00747710">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402"/>
        <w:gridCol w:w="3808"/>
        <w:gridCol w:w="1772"/>
        <w:gridCol w:w="2070"/>
      </w:tblGrid>
      <w:tr w:rsidR="005367D5" w:rsidRPr="00257227" w14:paraId="04152CB8" w14:textId="77777777" w:rsidTr="00A04A8B">
        <w:trPr>
          <w:trHeight w:val="412"/>
        </w:trPr>
        <w:tc>
          <w:tcPr>
            <w:tcW w:w="1435" w:type="dxa"/>
          </w:tcPr>
          <w:p w14:paraId="0FAB4AA2" w14:textId="25AF5C16" w:rsidR="005367D5" w:rsidRPr="00257227" w:rsidRDefault="005367D5" w:rsidP="00D93CB3">
            <w:pPr>
              <w:rPr>
                <w:rFonts w:cs="Calibri"/>
                <w:b/>
              </w:rPr>
            </w:pPr>
            <w:r w:rsidRPr="00257227">
              <w:rPr>
                <w:rFonts w:cs="Calibri"/>
                <w:b/>
              </w:rPr>
              <w:t>FY 20</w:t>
            </w:r>
            <w:r w:rsidR="00257227" w:rsidRPr="00257227">
              <w:rPr>
                <w:rFonts w:cs="Calibri"/>
                <w:b/>
              </w:rPr>
              <w:t>21</w:t>
            </w:r>
            <w:r w:rsidRPr="00257227">
              <w:rPr>
                <w:rFonts w:cs="Calibri"/>
                <w:b/>
              </w:rPr>
              <w:t>-#</w:t>
            </w:r>
          </w:p>
        </w:tc>
        <w:tc>
          <w:tcPr>
            <w:tcW w:w="2098" w:type="dxa"/>
          </w:tcPr>
          <w:p w14:paraId="395AE41F" w14:textId="77777777" w:rsidR="005367D5" w:rsidRPr="00257227" w:rsidRDefault="005367D5" w:rsidP="00D93CB3">
            <w:pPr>
              <w:rPr>
                <w:rFonts w:cs="Calibri"/>
                <w:b/>
              </w:rPr>
            </w:pPr>
            <w:r w:rsidRPr="00257227">
              <w:rPr>
                <w:rFonts w:cs="Calibri"/>
                <w:b/>
              </w:rPr>
              <w:t>Finding</w:t>
            </w:r>
          </w:p>
        </w:tc>
        <w:tc>
          <w:tcPr>
            <w:tcW w:w="2402" w:type="dxa"/>
          </w:tcPr>
          <w:p w14:paraId="6EEE46BC" w14:textId="77777777" w:rsidR="005367D5" w:rsidRPr="00257227" w:rsidRDefault="005367D5" w:rsidP="00D93CB3">
            <w:pPr>
              <w:rPr>
                <w:rFonts w:cs="Calibri"/>
                <w:b/>
              </w:rPr>
            </w:pPr>
            <w:r w:rsidRPr="00257227">
              <w:rPr>
                <w:rFonts w:cs="Calibri"/>
                <w:b/>
              </w:rPr>
              <w:t>Recommendation</w:t>
            </w:r>
          </w:p>
        </w:tc>
        <w:tc>
          <w:tcPr>
            <w:tcW w:w="3808" w:type="dxa"/>
          </w:tcPr>
          <w:p w14:paraId="461C9375" w14:textId="77777777" w:rsidR="005367D5" w:rsidRPr="00257227" w:rsidRDefault="005367D5" w:rsidP="00D93CB3">
            <w:pPr>
              <w:rPr>
                <w:rFonts w:cs="Calibri"/>
                <w:b/>
              </w:rPr>
            </w:pPr>
            <w:r w:rsidRPr="00257227">
              <w:rPr>
                <w:rFonts w:cs="Calibri"/>
                <w:b/>
              </w:rPr>
              <w:t>State Plan Corrective Action</w:t>
            </w:r>
          </w:p>
        </w:tc>
        <w:tc>
          <w:tcPr>
            <w:tcW w:w="1772" w:type="dxa"/>
          </w:tcPr>
          <w:p w14:paraId="5151BE67" w14:textId="77777777" w:rsidR="005367D5" w:rsidRPr="00257227" w:rsidRDefault="005367D5" w:rsidP="00D93CB3">
            <w:pPr>
              <w:rPr>
                <w:rFonts w:cs="Calibri"/>
                <w:b/>
              </w:rPr>
            </w:pPr>
            <w:r w:rsidRPr="00257227">
              <w:rPr>
                <w:rFonts w:cs="Calibri"/>
                <w:b/>
              </w:rPr>
              <w:t>Completion Date</w:t>
            </w:r>
          </w:p>
        </w:tc>
        <w:tc>
          <w:tcPr>
            <w:tcW w:w="2070" w:type="dxa"/>
          </w:tcPr>
          <w:p w14:paraId="48025986" w14:textId="77777777" w:rsidR="005367D5" w:rsidRPr="00257227" w:rsidRDefault="005367D5" w:rsidP="00D93CB3">
            <w:pPr>
              <w:rPr>
                <w:rFonts w:cs="Calibri"/>
                <w:b/>
              </w:rPr>
            </w:pPr>
            <w:r w:rsidRPr="00257227">
              <w:rPr>
                <w:rFonts w:cs="Calibri"/>
                <w:b/>
              </w:rPr>
              <w:t xml:space="preserve">Current Status </w:t>
            </w:r>
          </w:p>
          <w:p w14:paraId="1D3136EF" w14:textId="77777777" w:rsidR="005367D5" w:rsidRPr="00257227" w:rsidRDefault="005367D5" w:rsidP="00D93CB3">
            <w:pPr>
              <w:rPr>
                <w:rFonts w:cs="Calibri"/>
                <w:b/>
              </w:rPr>
            </w:pPr>
            <w:r w:rsidRPr="00257227">
              <w:rPr>
                <w:rFonts w:cs="Calibri"/>
                <w:b/>
              </w:rPr>
              <w:t>and Date</w:t>
            </w:r>
          </w:p>
        </w:tc>
      </w:tr>
      <w:tr w:rsidR="005367D5" w:rsidRPr="00257227" w14:paraId="7244A508" w14:textId="77777777" w:rsidTr="00A04A8B">
        <w:trPr>
          <w:trHeight w:val="412"/>
        </w:trPr>
        <w:tc>
          <w:tcPr>
            <w:tcW w:w="1435" w:type="dxa"/>
          </w:tcPr>
          <w:p w14:paraId="3B6143AB" w14:textId="17E6C7F1" w:rsidR="005367D5" w:rsidRPr="00257227" w:rsidRDefault="005367D5"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257227">
              <w:rPr>
                <w:rFonts w:eastAsia="PMingLiU" w:cs="Calibri"/>
                <w:b/>
                <w:bCs/>
              </w:rPr>
              <w:t> </w:t>
            </w:r>
            <w:r w:rsidR="00257227" w:rsidRPr="00257227">
              <w:rPr>
                <w:rFonts w:eastAsia="PMingLiU" w:cs="Calibri"/>
              </w:rPr>
              <w:t>FY 202</w:t>
            </w:r>
            <w:r w:rsidR="003B7CA7">
              <w:rPr>
                <w:rFonts w:eastAsia="PMingLiU" w:cs="Calibri"/>
              </w:rPr>
              <w:t>1</w:t>
            </w:r>
            <w:r w:rsidR="00257227" w:rsidRPr="00257227">
              <w:rPr>
                <w:rFonts w:eastAsia="PMingLiU" w:cs="Calibri"/>
              </w:rPr>
              <w:t>-01</w:t>
            </w:r>
          </w:p>
        </w:tc>
        <w:tc>
          <w:tcPr>
            <w:tcW w:w="2098" w:type="dxa"/>
          </w:tcPr>
          <w:p w14:paraId="1D6DD323" w14:textId="1B9F26EB" w:rsidR="005367D5" w:rsidRPr="00057103" w:rsidRDefault="00257227" w:rsidP="002572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57103">
              <w:rPr>
                <w:rFonts w:asciiTheme="minorHAnsi" w:hAnsiTheme="minorHAnsi" w:cstheme="minorHAnsi"/>
              </w:rPr>
              <w:t>In 20 of 27 (74.1%) fatality case files reviewed, letters to the next-of-kin (NOK) were not found in the files. Some files had either the initial or final letter and other files had neither.</w:t>
            </w:r>
            <w:r w:rsidR="005367D5" w:rsidRPr="00057103">
              <w:rPr>
                <w:rFonts w:asciiTheme="minorHAnsi" w:eastAsia="PMingLiU" w:hAnsiTheme="minorHAnsi" w:cstheme="minorHAnsi"/>
                <w:b/>
              </w:rPr>
              <w:t> </w:t>
            </w:r>
          </w:p>
        </w:tc>
        <w:tc>
          <w:tcPr>
            <w:tcW w:w="2402" w:type="dxa"/>
          </w:tcPr>
          <w:p w14:paraId="19499B4B" w14:textId="377E9E79" w:rsidR="005367D5" w:rsidRPr="00057103" w:rsidRDefault="00257227" w:rsidP="002572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57103">
              <w:rPr>
                <w:rFonts w:asciiTheme="minorHAnsi" w:hAnsiTheme="minorHAnsi" w:cstheme="minorHAnsi"/>
              </w:rPr>
              <w:t>IOSHA should follow Chapter 11, Section II of the IFOM and ensure that both the initial and final letters to the victim’s family for fatality investigations are sent and copies are maintained in the file. Supervisors should use the fatality checklist when reviewing the case files to ensure the NOK letters have been sent and are maintained in the file.</w:t>
            </w:r>
          </w:p>
        </w:tc>
        <w:tc>
          <w:tcPr>
            <w:tcW w:w="3808" w:type="dxa"/>
          </w:tcPr>
          <w:p w14:paraId="05155F45" w14:textId="5449F6F3" w:rsidR="00257227" w:rsidRPr="00057103" w:rsidRDefault="00257227" w:rsidP="00257227">
            <w:pPr>
              <w:rPr>
                <w:rFonts w:asciiTheme="minorHAnsi" w:hAnsiTheme="minorHAnsi" w:cstheme="minorHAnsi"/>
              </w:rPr>
            </w:pPr>
            <w:r w:rsidRPr="00057103">
              <w:rPr>
                <w:rFonts w:asciiTheme="minorHAnsi" w:hAnsiTheme="minorHAnsi" w:cstheme="minorHAnsi"/>
              </w:rPr>
              <w:t>IOSHA has retrained administrative staff to ensure a copy of the letters for the next of kin are placed in the respective file.</w:t>
            </w:r>
          </w:p>
          <w:p w14:paraId="37D73ADA" w14:textId="1FF4970F" w:rsidR="005367D5" w:rsidRPr="00257227" w:rsidRDefault="005367D5" w:rsidP="0025722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1772" w:type="dxa"/>
          </w:tcPr>
          <w:p w14:paraId="56F99649" w14:textId="2DBBC7BB" w:rsidR="0019505B" w:rsidRPr="00257227" w:rsidRDefault="0019505B"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8/18/2022</w:t>
            </w:r>
          </w:p>
        </w:tc>
        <w:tc>
          <w:tcPr>
            <w:tcW w:w="2070" w:type="dxa"/>
          </w:tcPr>
          <w:p w14:paraId="63C4A8E2" w14:textId="77777777" w:rsidR="005367D5" w:rsidRDefault="0025722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Pr>
                <w:rFonts w:eastAsia="PMingLiU" w:cs="Calibri"/>
                <w:bCs/>
              </w:rPr>
              <w:t>Awaiting Verification</w:t>
            </w:r>
            <w:r w:rsidR="005367D5" w:rsidRPr="00257227">
              <w:rPr>
                <w:rFonts w:eastAsia="PMingLiU" w:cs="Calibri"/>
                <w:b/>
              </w:rPr>
              <w:t> </w:t>
            </w:r>
          </w:p>
          <w:p w14:paraId="4007473C" w14:textId="1D7E89C5" w:rsidR="00937AE9" w:rsidRPr="00257227" w:rsidRDefault="00937AE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sidRPr="00257227">
              <w:rPr>
                <w:rFonts w:eastAsia="PMingLiU" w:cs="Calibri"/>
                <w:bCs/>
              </w:rPr>
              <w:t>8/18/2022 </w:t>
            </w:r>
          </w:p>
        </w:tc>
      </w:tr>
      <w:tr w:rsidR="005367D5" w:rsidRPr="00257227" w14:paraId="4703F521" w14:textId="77777777" w:rsidTr="00A04A8B">
        <w:trPr>
          <w:trHeight w:val="385"/>
        </w:trPr>
        <w:tc>
          <w:tcPr>
            <w:tcW w:w="1435" w:type="dxa"/>
          </w:tcPr>
          <w:p w14:paraId="4E7C14BF" w14:textId="5B0FE99C" w:rsidR="005367D5" w:rsidRPr="00257227" w:rsidRDefault="0025722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257227">
              <w:rPr>
                <w:rFonts w:eastAsia="PMingLiU" w:cs="Calibri"/>
              </w:rPr>
              <w:t>FY 202</w:t>
            </w:r>
            <w:r w:rsidR="003B7CA7">
              <w:rPr>
                <w:rFonts w:eastAsia="PMingLiU" w:cs="Calibri"/>
              </w:rPr>
              <w:t>1</w:t>
            </w:r>
            <w:r w:rsidRPr="00257227">
              <w:rPr>
                <w:rFonts w:eastAsia="PMingLiU" w:cs="Calibri"/>
              </w:rPr>
              <w:t>-02</w:t>
            </w:r>
          </w:p>
        </w:tc>
        <w:tc>
          <w:tcPr>
            <w:tcW w:w="2098" w:type="dxa"/>
          </w:tcPr>
          <w:p w14:paraId="0934D282" w14:textId="13F519CC" w:rsidR="005367D5" w:rsidRPr="000A35BB" w:rsidRDefault="004F2ADC" w:rsidP="004F2A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IOSHA’s in-compliance rate for health inspections is 63.1% and is outside the Further Review Level (FRL) of +/-</w:t>
            </w:r>
            <w:r w:rsidRPr="000A35BB">
              <w:rPr>
                <w:rFonts w:asciiTheme="minorHAnsi" w:hAnsiTheme="minorHAnsi" w:cstheme="minorHAnsi"/>
              </w:rPr>
              <w:lastRenderedPageBreak/>
              <w:t>20% of 40.6% (32.5% to 48.8%). (SAMM 9, Appendix D)</w:t>
            </w:r>
          </w:p>
        </w:tc>
        <w:tc>
          <w:tcPr>
            <w:tcW w:w="2402" w:type="dxa"/>
          </w:tcPr>
          <w:p w14:paraId="4A7C8703" w14:textId="66099655" w:rsidR="005367D5" w:rsidRPr="000A35BB" w:rsidRDefault="004F2ADC" w:rsidP="004F2A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lastRenderedPageBreak/>
              <w:t xml:space="preserve">IOSHA supervisors should continue to ensure inspection case files with hazards in plain view are thoroughly investigated and all other apparent </w:t>
            </w:r>
            <w:r w:rsidRPr="000A35BB">
              <w:rPr>
                <w:rFonts w:asciiTheme="minorHAnsi" w:hAnsiTheme="minorHAnsi" w:cstheme="minorHAnsi"/>
              </w:rPr>
              <w:lastRenderedPageBreak/>
              <w:t>violations are cited during review of case files. IOSHA should also ensure resources are spent in workplaces that are exposing workers to hazards by implementing corrective action in the most hazardous worksites.</w:t>
            </w:r>
          </w:p>
        </w:tc>
        <w:tc>
          <w:tcPr>
            <w:tcW w:w="3808" w:type="dxa"/>
          </w:tcPr>
          <w:p w14:paraId="09A3006F" w14:textId="15AE894C" w:rsidR="004F2ADC" w:rsidRPr="000A35BB" w:rsidRDefault="004F2ADC" w:rsidP="004F2ADC">
            <w:pPr>
              <w:rPr>
                <w:rFonts w:asciiTheme="minorHAnsi" w:hAnsiTheme="minorHAnsi" w:cstheme="minorHAnsi"/>
              </w:rPr>
            </w:pPr>
            <w:r w:rsidRPr="000A35BB">
              <w:rPr>
                <w:rFonts w:asciiTheme="minorHAnsi" w:hAnsiTheme="minorHAnsi" w:cstheme="minorHAnsi"/>
              </w:rPr>
              <w:lastRenderedPageBreak/>
              <w:t xml:space="preserve">IOSHA will continue to train its health inspectors and supervisors to ensure they have excellent hazard recognition skills. IOSHA will ensure supervisors maintain their thorough review of health inspection files. IOSHA will work to use emphasis programs to target establishments </w:t>
            </w:r>
            <w:r w:rsidRPr="000A35BB">
              <w:rPr>
                <w:rFonts w:asciiTheme="minorHAnsi" w:hAnsiTheme="minorHAnsi" w:cstheme="minorHAnsi"/>
              </w:rPr>
              <w:lastRenderedPageBreak/>
              <w:t>as appropriate.</w:t>
            </w:r>
          </w:p>
          <w:p w14:paraId="26546A5D" w14:textId="4D545F3E" w:rsidR="005367D5" w:rsidRPr="00257227" w:rsidRDefault="005367D5" w:rsidP="004F2A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1772" w:type="dxa"/>
          </w:tcPr>
          <w:p w14:paraId="0F813752" w14:textId="1E291080" w:rsidR="005367D5" w:rsidRPr="00257227" w:rsidRDefault="00937AE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Pr>
                <w:rFonts w:eastAsia="PMingLiU" w:cs="Calibri"/>
                <w:bCs/>
              </w:rPr>
              <w:lastRenderedPageBreak/>
              <w:t>9/30/2022</w:t>
            </w:r>
            <w:r w:rsidR="005367D5" w:rsidRPr="00257227">
              <w:rPr>
                <w:rFonts w:eastAsia="PMingLiU" w:cs="Calibri"/>
                <w:b/>
              </w:rPr>
              <w:t> </w:t>
            </w:r>
          </w:p>
        </w:tc>
        <w:tc>
          <w:tcPr>
            <w:tcW w:w="2070" w:type="dxa"/>
          </w:tcPr>
          <w:p w14:paraId="5A7DEF80" w14:textId="77777777" w:rsidR="005367D5" w:rsidRDefault="00937AE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Pr>
                <w:rFonts w:eastAsia="PMingLiU" w:cs="Calibri"/>
                <w:bCs/>
              </w:rPr>
              <w:t>Completed</w:t>
            </w:r>
            <w:r w:rsidR="005367D5" w:rsidRPr="00257227">
              <w:rPr>
                <w:rFonts w:eastAsia="PMingLiU" w:cs="Calibri"/>
                <w:b/>
              </w:rPr>
              <w:t> </w:t>
            </w:r>
          </w:p>
          <w:p w14:paraId="6B340DD8" w14:textId="189EE28D" w:rsidR="009F0B0F" w:rsidRPr="009F0B0F" w:rsidRDefault="009F0B0F"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11/14/2022</w:t>
            </w:r>
          </w:p>
        </w:tc>
      </w:tr>
      <w:tr w:rsidR="00D93CB3" w:rsidRPr="00257227" w14:paraId="3FC304A6" w14:textId="77777777" w:rsidTr="00A04A8B">
        <w:trPr>
          <w:trHeight w:val="385"/>
        </w:trPr>
        <w:tc>
          <w:tcPr>
            <w:tcW w:w="1435" w:type="dxa"/>
          </w:tcPr>
          <w:p w14:paraId="2D7BC92D" w14:textId="6F23DA4B" w:rsidR="00D93CB3" w:rsidRPr="004F2ADC" w:rsidRDefault="0025722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4F2ADC">
              <w:rPr>
                <w:rFonts w:eastAsia="PMingLiU" w:cs="Calibri"/>
              </w:rPr>
              <w:t>FY 202</w:t>
            </w:r>
            <w:r w:rsidR="003B7CA7">
              <w:rPr>
                <w:rFonts w:eastAsia="PMingLiU" w:cs="Calibri"/>
              </w:rPr>
              <w:t>1</w:t>
            </w:r>
            <w:r w:rsidRPr="004F2ADC">
              <w:rPr>
                <w:rFonts w:eastAsia="PMingLiU" w:cs="Calibri"/>
              </w:rPr>
              <w:t>-03</w:t>
            </w:r>
          </w:p>
        </w:tc>
        <w:tc>
          <w:tcPr>
            <w:tcW w:w="2098" w:type="dxa"/>
          </w:tcPr>
          <w:p w14:paraId="00E182D1" w14:textId="1FFE576E" w:rsidR="00D93CB3" w:rsidRPr="000A35BB" w:rsidRDefault="004F2ADC" w:rsidP="004F2A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IOSHA’s average lapse time for health inspections is 115 days, above the FRL of +/- 20% of 66.1 and the acceptable range of 52.9 to 79.3 days.</w:t>
            </w:r>
          </w:p>
        </w:tc>
        <w:tc>
          <w:tcPr>
            <w:tcW w:w="2402" w:type="dxa"/>
          </w:tcPr>
          <w:p w14:paraId="666439A1" w14:textId="4F6A57E0" w:rsidR="00D93CB3" w:rsidRPr="000A35BB" w:rsidRDefault="004F2ADC" w:rsidP="004F2A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IOSHA should ensure CSHOs are conducting health sampling as soon as possible after opening an inspection. IOSHA should also ensure that in consultation with supervisors, CSHOs determine as soon as possible which citations will be issued after opening an inspection. The citation(s) should be issued soon after making this determination to reduce lapse time.</w:t>
            </w:r>
          </w:p>
        </w:tc>
        <w:tc>
          <w:tcPr>
            <w:tcW w:w="3808" w:type="dxa"/>
          </w:tcPr>
          <w:p w14:paraId="2E03CE0D" w14:textId="29C7FCC6" w:rsidR="00D93CB3" w:rsidRPr="000A35BB" w:rsidRDefault="004F2ADC" w:rsidP="004F2AD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 xml:space="preserve">IOSHA will ensure CSHOs perform required sampling in the most productive way and issue any Safety Orders, as appropriate and as timely as possible. Additionally, IOSHA is procuring more equipment to better allow for same day sampling whenever possible. Training is continual for all IOSHA staff, including IHs. IOSHA has instituted a team of experienced IHs to help ensure equipment is maintained and ready for use. The goal is for every IH to have </w:t>
            </w:r>
            <w:proofErr w:type="gramStart"/>
            <w:r w:rsidRPr="000A35BB">
              <w:rPr>
                <w:rFonts w:asciiTheme="minorHAnsi" w:hAnsiTheme="minorHAnsi" w:cstheme="minorHAnsi"/>
              </w:rPr>
              <w:t>the majority of</w:t>
            </w:r>
            <w:proofErr w:type="gramEnd"/>
            <w:r w:rsidRPr="000A35BB">
              <w:rPr>
                <w:rFonts w:asciiTheme="minorHAnsi" w:hAnsiTheme="minorHAnsi" w:cstheme="minorHAnsi"/>
              </w:rPr>
              <w:t xml:space="preserve"> their own equipment to prevent having to shuttle equipment from various team members.</w:t>
            </w:r>
          </w:p>
        </w:tc>
        <w:tc>
          <w:tcPr>
            <w:tcW w:w="1772" w:type="dxa"/>
          </w:tcPr>
          <w:p w14:paraId="630491A0" w14:textId="54001791" w:rsidR="00D93CB3" w:rsidRPr="004F2ADC" w:rsidRDefault="009F0B0F"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Not completed</w:t>
            </w:r>
          </w:p>
        </w:tc>
        <w:tc>
          <w:tcPr>
            <w:tcW w:w="2070" w:type="dxa"/>
          </w:tcPr>
          <w:p w14:paraId="7A27F1C1" w14:textId="77777777" w:rsidR="00D93CB3" w:rsidRDefault="00937AE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sidRPr="004F2ADC">
              <w:rPr>
                <w:rFonts w:eastAsia="PMingLiU" w:cs="Calibri"/>
                <w:bCs/>
              </w:rPr>
              <w:t>Open</w:t>
            </w:r>
          </w:p>
          <w:p w14:paraId="41539D36" w14:textId="1DA5DC56" w:rsidR="00937AE9" w:rsidRPr="00257227" w:rsidRDefault="00937AE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rPr>
            </w:pPr>
            <w:r>
              <w:rPr>
                <w:rFonts w:eastAsia="PMingLiU" w:cs="Calibri"/>
                <w:bCs/>
              </w:rPr>
              <w:t>9/30/2022</w:t>
            </w:r>
          </w:p>
        </w:tc>
      </w:tr>
      <w:tr w:rsidR="00257227" w:rsidRPr="00257227" w14:paraId="6A929780" w14:textId="77777777" w:rsidTr="00A04A8B">
        <w:trPr>
          <w:trHeight w:val="385"/>
        </w:trPr>
        <w:tc>
          <w:tcPr>
            <w:tcW w:w="1435" w:type="dxa"/>
          </w:tcPr>
          <w:p w14:paraId="17A9F826" w14:textId="6977AA1C" w:rsidR="00257227" w:rsidRPr="00EC5751" w:rsidRDefault="0025722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EC5751">
              <w:rPr>
                <w:rFonts w:eastAsia="PMingLiU" w:cs="Calibri"/>
              </w:rPr>
              <w:lastRenderedPageBreak/>
              <w:t>FY 202</w:t>
            </w:r>
            <w:r w:rsidR="003B7CA7">
              <w:rPr>
                <w:rFonts w:eastAsia="PMingLiU" w:cs="Calibri"/>
              </w:rPr>
              <w:t>1</w:t>
            </w:r>
            <w:r w:rsidRPr="00EC5751">
              <w:rPr>
                <w:rFonts w:eastAsia="PMingLiU" w:cs="Calibri"/>
              </w:rPr>
              <w:t>-04</w:t>
            </w:r>
          </w:p>
        </w:tc>
        <w:tc>
          <w:tcPr>
            <w:tcW w:w="2098" w:type="dxa"/>
          </w:tcPr>
          <w:p w14:paraId="6EA18F30" w14:textId="72C5B855"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In two of five (40%) follow-up case files reviewed, adequate verification of abatement could not be determined because information specific to the previously cited hazards was not documented in the case files.</w:t>
            </w:r>
          </w:p>
        </w:tc>
        <w:tc>
          <w:tcPr>
            <w:tcW w:w="2402" w:type="dxa"/>
          </w:tcPr>
          <w:p w14:paraId="46FF05EB" w14:textId="3CD572DA"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IOSHA should ensure that follow-up case files include all documentation related to hazard violations being followed up on during the inspection, including the previous inspection date(s), location(s</w:t>
            </w:r>
            <w:proofErr w:type="gramStart"/>
            <w:r w:rsidRPr="000A35BB">
              <w:rPr>
                <w:rFonts w:asciiTheme="minorHAnsi" w:hAnsiTheme="minorHAnsi" w:cstheme="minorHAnsi"/>
              </w:rPr>
              <w:t>)</w:t>
            </w:r>
            <w:proofErr w:type="gramEnd"/>
            <w:r w:rsidRPr="000A35BB">
              <w:rPr>
                <w:rFonts w:asciiTheme="minorHAnsi" w:hAnsiTheme="minorHAnsi" w:cstheme="minorHAnsi"/>
              </w:rPr>
              <w:t xml:space="preserve"> and violation(s). IOSHA should also follow their FOM, Chapter 3, Section IX.A.3. and include follow-up inspection reports in the original (parent) case file.</w:t>
            </w:r>
          </w:p>
        </w:tc>
        <w:tc>
          <w:tcPr>
            <w:tcW w:w="3808" w:type="dxa"/>
          </w:tcPr>
          <w:p w14:paraId="4092EE59" w14:textId="3F4C112C"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 xml:space="preserve">IOSHA typically includes all information on the previously cited hazards with the original (parent) case file. It was not that IOSHA couldn’t adequately verify abatement, as the information was in the original (parent) file. It was that IOSHA failed to copy that information to the new follow-up file. IOSHA will make an addition to </w:t>
            </w:r>
            <w:r w:rsidR="00C91F1C" w:rsidRPr="000A35BB">
              <w:rPr>
                <w:rFonts w:asciiTheme="minorHAnsi" w:hAnsiTheme="minorHAnsi" w:cstheme="minorHAnsi"/>
              </w:rPr>
              <w:t>its</w:t>
            </w:r>
            <w:r w:rsidRPr="000A35BB">
              <w:rPr>
                <w:rFonts w:asciiTheme="minorHAnsi" w:hAnsiTheme="minorHAnsi" w:cstheme="minorHAnsi"/>
              </w:rPr>
              <w:t xml:space="preserve"> IFOM and provide additional training to all CSHOs on where all this information should be documented.</w:t>
            </w:r>
          </w:p>
        </w:tc>
        <w:tc>
          <w:tcPr>
            <w:tcW w:w="1772" w:type="dxa"/>
          </w:tcPr>
          <w:p w14:paraId="5FCEAE56" w14:textId="4A24C53C" w:rsidR="00257227" w:rsidRPr="009F0B0F" w:rsidRDefault="009F0B0F"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sidRPr="009F0B0F">
              <w:rPr>
                <w:rFonts w:eastAsia="PMingLiU" w:cs="Calibri"/>
                <w:bCs/>
              </w:rPr>
              <w:t>12/8/2022</w:t>
            </w:r>
          </w:p>
        </w:tc>
        <w:tc>
          <w:tcPr>
            <w:tcW w:w="2070" w:type="dxa"/>
          </w:tcPr>
          <w:p w14:paraId="047C2F6E" w14:textId="77777777" w:rsidR="00257227" w:rsidRDefault="00937AE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Awaiting Verification</w:t>
            </w:r>
          </w:p>
          <w:p w14:paraId="17030990" w14:textId="1304C52F" w:rsidR="00937AE9" w:rsidRPr="00937AE9" w:rsidRDefault="00C91F1C"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12/8/2022</w:t>
            </w:r>
          </w:p>
        </w:tc>
      </w:tr>
      <w:tr w:rsidR="00257227" w:rsidRPr="00257227" w14:paraId="5CCC0ADF" w14:textId="77777777" w:rsidTr="00A04A8B">
        <w:trPr>
          <w:trHeight w:val="385"/>
        </w:trPr>
        <w:tc>
          <w:tcPr>
            <w:tcW w:w="1435" w:type="dxa"/>
          </w:tcPr>
          <w:p w14:paraId="0658B58A" w14:textId="7A488389" w:rsidR="00257227" w:rsidRPr="00EC5751" w:rsidRDefault="0025722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EC5751">
              <w:rPr>
                <w:rFonts w:eastAsia="PMingLiU" w:cs="Calibri"/>
              </w:rPr>
              <w:t>FY 202</w:t>
            </w:r>
            <w:r w:rsidR="003B7CA7">
              <w:rPr>
                <w:rFonts w:eastAsia="PMingLiU" w:cs="Calibri"/>
              </w:rPr>
              <w:t>1</w:t>
            </w:r>
            <w:r w:rsidRPr="00EC5751">
              <w:rPr>
                <w:rFonts w:eastAsia="PMingLiU" w:cs="Calibri"/>
              </w:rPr>
              <w:t>-05</w:t>
            </w:r>
          </w:p>
        </w:tc>
        <w:tc>
          <w:tcPr>
            <w:tcW w:w="2098" w:type="dxa"/>
          </w:tcPr>
          <w:p w14:paraId="14391FC4" w14:textId="4B6969D4"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IOSHA failed to adopt OSHA’s initial FY 2016 maximum and minimum penalty increase and subsequent annual penalty amount increases.</w:t>
            </w:r>
          </w:p>
        </w:tc>
        <w:tc>
          <w:tcPr>
            <w:tcW w:w="2402" w:type="dxa"/>
          </w:tcPr>
          <w:p w14:paraId="6E845141" w14:textId="510BB572"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 xml:space="preserve">IOSHA should work with their state authorities to complete the legislative changes necessary to adopt the maximum and minimum penalty increase and subsequent annual increases to be at least as effective as </w:t>
            </w:r>
            <w:r w:rsidRPr="000A35BB">
              <w:rPr>
                <w:rFonts w:asciiTheme="minorHAnsi" w:hAnsiTheme="minorHAnsi" w:cstheme="minorHAnsi"/>
              </w:rPr>
              <w:lastRenderedPageBreak/>
              <w:t>federal OSHA penalty levels.</w:t>
            </w:r>
          </w:p>
        </w:tc>
        <w:tc>
          <w:tcPr>
            <w:tcW w:w="3808" w:type="dxa"/>
          </w:tcPr>
          <w:p w14:paraId="6DC4FBF0" w14:textId="096319A3" w:rsidR="00EC5751" w:rsidRPr="000A35BB" w:rsidRDefault="00EC5751" w:rsidP="00EC5751">
            <w:pPr>
              <w:rPr>
                <w:rFonts w:asciiTheme="minorHAnsi" w:hAnsiTheme="minorHAnsi" w:cstheme="minorHAnsi"/>
              </w:rPr>
            </w:pPr>
            <w:r w:rsidRPr="000A35BB">
              <w:rPr>
                <w:rFonts w:asciiTheme="minorHAnsi" w:hAnsiTheme="minorHAnsi" w:cstheme="minorHAnsi"/>
              </w:rPr>
              <w:lastRenderedPageBreak/>
              <w:t>IOSHA submitted a legislative proposal for the 2023 session to its legislative liaison to increase its penalties.</w:t>
            </w:r>
          </w:p>
          <w:p w14:paraId="652E2D83" w14:textId="77777777" w:rsidR="00257227" w:rsidRPr="00257227" w:rsidRDefault="00257227"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p>
        </w:tc>
        <w:tc>
          <w:tcPr>
            <w:tcW w:w="1772" w:type="dxa"/>
          </w:tcPr>
          <w:p w14:paraId="3794E105" w14:textId="1EAE75E4" w:rsidR="00257227" w:rsidRPr="009F0B0F" w:rsidRDefault="009F0B0F"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Not completed</w:t>
            </w:r>
          </w:p>
        </w:tc>
        <w:tc>
          <w:tcPr>
            <w:tcW w:w="2070" w:type="dxa"/>
          </w:tcPr>
          <w:p w14:paraId="2E7A094E" w14:textId="77777777" w:rsidR="00257227" w:rsidRDefault="00937AE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Open</w:t>
            </w:r>
          </w:p>
          <w:p w14:paraId="65893BE7" w14:textId="6894144A" w:rsidR="00937AE9" w:rsidRPr="00937AE9" w:rsidRDefault="00CD058C" w:rsidP="0034265F">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2/1/</w:t>
            </w:r>
            <w:r w:rsidR="0034265F">
              <w:rPr>
                <w:rFonts w:eastAsia="PMingLiU" w:cs="Calibri"/>
                <w:bCs/>
              </w:rPr>
              <w:t>2023</w:t>
            </w:r>
          </w:p>
        </w:tc>
      </w:tr>
      <w:tr w:rsidR="00257227" w:rsidRPr="00257227" w14:paraId="06694EA8" w14:textId="77777777" w:rsidTr="00A04A8B">
        <w:trPr>
          <w:trHeight w:val="385"/>
        </w:trPr>
        <w:tc>
          <w:tcPr>
            <w:tcW w:w="1435" w:type="dxa"/>
          </w:tcPr>
          <w:p w14:paraId="4EE73883" w14:textId="39BF603E" w:rsidR="00257227" w:rsidRPr="00EC5751" w:rsidRDefault="0025722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EC5751">
              <w:rPr>
                <w:rFonts w:eastAsia="PMingLiU" w:cs="Calibri"/>
              </w:rPr>
              <w:t>FY 202</w:t>
            </w:r>
            <w:r w:rsidR="003B7CA7">
              <w:rPr>
                <w:rFonts w:eastAsia="PMingLiU" w:cs="Calibri"/>
              </w:rPr>
              <w:t>1</w:t>
            </w:r>
            <w:r w:rsidRPr="00EC5751">
              <w:rPr>
                <w:rFonts w:eastAsia="PMingLiU" w:cs="Calibri"/>
              </w:rPr>
              <w:t>-06</w:t>
            </w:r>
          </w:p>
        </w:tc>
        <w:tc>
          <w:tcPr>
            <w:tcW w:w="2098" w:type="dxa"/>
          </w:tcPr>
          <w:p w14:paraId="089E2707" w14:textId="77777777" w:rsidR="00EC5751" w:rsidRPr="000A35BB" w:rsidRDefault="00EC5751" w:rsidP="00EC5751">
            <w:pPr>
              <w:rPr>
                <w:rFonts w:asciiTheme="minorHAnsi" w:hAnsiTheme="minorHAnsi" w:cstheme="minorHAnsi"/>
              </w:rPr>
            </w:pPr>
            <w:r w:rsidRPr="000A35BB">
              <w:rPr>
                <w:rFonts w:asciiTheme="minorHAnsi" w:hAnsiTheme="minorHAnsi" w:cstheme="minorHAnsi"/>
              </w:rPr>
              <w:t xml:space="preserve">Appropriate analysis of the elements was nonexistent or </w:t>
            </w:r>
          </w:p>
          <w:p w14:paraId="176FC6C5" w14:textId="364BDFA1" w:rsidR="00257227" w:rsidRPr="00257227"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0A35BB">
              <w:rPr>
                <w:rFonts w:asciiTheme="minorHAnsi" w:hAnsiTheme="minorHAnsi" w:cstheme="minorHAnsi"/>
              </w:rPr>
              <w:t>incorrect in seven of the 20 (35%) whistleblower files reviewed.</w:t>
            </w:r>
          </w:p>
        </w:tc>
        <w:tc>
          <w:tcPr>
            <w:tcW w:w="2402" w:type="dxa"/>
          </w:tcPr>
          <w:p w14:paraId="36292A7D" w14:textId="30D7F67D"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IOSHA should provide refresher training for investigators and supervisory staff to include appropriate analysis of elements.</w:t>
            </w:r>
          </w:p>
        </w:tc>
        <w:tc>
          <w:tcPr>
            <w:tcW w:w="3808" w:type="dxa"/>
          </w:tcPr>
          <w:p w14:paraId="644FDCB8" w14:textId="09AC7C98"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IOSHA re-trained all WB investigators to include appropriate analysis of the elements. IOSHA will continue to provide additional training to WB staff to better hone these skills.</w:t>
            </w:r>
          </w:p>
        </w:tc>
        <w:tc>
          <w:tcPr>
            <w:tcW w:w="1772" w:type="dxa"/>
          </w:tcPr>
          <w:p w14:paraId="66D35A7B" w14:textId="5F724988" w:rsidR="00257227" w:rsidRPr="009F0B0F" w:rsidRDefault="009F0B0F"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sidRPr="009F0B0F">
              <w:rPr>
                <w:rFonts w:eastAsia="PMingLiU" w:cs="Calibri"/>
                <w:bCs/>
              </w:rPr>
              <w:t>9/30/2022</w:t>
            </w:r>
          </w:p>
        </w:tc>
        <w:tc>
          <w:tcPr>
            <w:tcW w:w="2070" w:type="dxa"/>
          </w:tcPr>
          <w:p w14:paraId="748943A5" w14:textId="337B27EA" w:rsidR="003B7CA7" w:rsidRDefault="003B7CA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 xml:space="preserve">Awaiting Verification </w:t>
            </w:r>
          </w:p>
          <w:p w14:paraId="55430024" w14:textId="43912D14" w:rsidR="00CF291A" w:rsidRPr="003B7CA7" w:rsidRDefault="009F0B0F"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9/30/2022</w:t>
            </w:r>
          </w:p>
        </w:tc>
      </w:tr>
      <w:tr w:rsidR="00257227" w:rsidRPr="00257227" w14:paraId="16524B94" w14:textId="77777777" w:rsidTr="00A04A8B">
        <w:trPr>
          <w:trHeight w:val="385"/>
        </w:trPr>
        <w:tc>
          <w:tcPr>
            <w:tcW w:w="1435" w:type="dxa"/>
          </w:tcPr>
          <w:p w14:paraId="70CCE281" w14:textId="79617AD4" w:rsidR="00257227" w:rsidRPr="00EC5751" w:rsidRDefault="0025722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EC5751">
              <w:rPr>
                <w:rFonts w:eastAsia="PMingLiU" w:cs="Calibri"/>
              </w:rPr>
              <w:t>FY 202</w:t>
            </w:r>
            <w:r w:rsidR="003B7CA7">
              <w:rPr>
                <w:rFonts w:eastAsia="PMingLiU" w:cs="Calibri"/>
              </w:rPr>
              <w:t>1</w:t>
            </w:r>
            <w:r w:rsidRPr="00EC5751">
              <w:rPr>
                <w:rFonts w:eastAsia="PMingLiU" w:cs="Calibri"/>
              </w:rPr>
              <w:t>-07</w:t>
            </w:r>
          </w:p>
        </w:tc>
        <w:tc>
          <w:tcPr>
            <w:tcW w:w="2098" w:type="dxa"/>
          </w:tcPr>
          <w:p w14:paraId="7F1A64F2" w14:textId="7822A3A5"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Proof of receipt of whistleblower determination letters must be preserved in the file with copies of the letters to maintain accountability. Proof of receipt of the determination letters was not evident in seven of the 20 (35%) case files reviewed.</w:t>
            </w:r>
          </w:p>
        </w:tc>
        <w:tc>
          <w:tcPr>
            <w:tcW w:w="2402" w:type="dxa"/>
          </w:tcPr>
          <w:p w14:paraId="329FA24F" w14:textId="2EDBF3D1"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 xml:space="preserve">IOSHA should ensure that proof of receipt is preserved in the file with copies of the Whistleblower determination letters, as required by WIM Chapter </w:t>
            </w:r>
            <w:proofErr w:type="gramStart"/>
            <w:r w:rsidRPr="000A35BB">
              <w:rPr>
                <w:rFonts w:asciiTheme="minorHAnsi" w:hAnsiTheme="minorHAnsi" w:cstheme="minorHAnsi"/>
              </w:rPr>
              <w:t>4.IV.B.</w:t>
            </w:r>
            <w:proofErr w:type="gramEnd"/>
          </w:p>
        </w:tc>
        <w:tc>
          <w:tcPr>
            <w:tcW w:w="3808" w:type="dxa"/>
          </w:tcPr>
          <w:p w14:paraId="3122770F" w14:textId="7AED9397"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IOSHA will continue to add proof of receipt when it is received and has provided refresher training to staff. When proof of receipt is not received, IOSHA will attempt to retrieve tracking information via USPS website and document efforts in the file.</w:t>
            </w:r>
          </w:p>
        </w:tc>
        <w:tc>
          <w:tcPr>
            <w:tcW w:w="1772" w:type="dxa"/>
          </w:tcPr>
          <w:p w14:paraId="123E436F" w14:textId="74937EEB" w:rsidR="00257227" w:rsidRPr="00CD058C" w:rsidRDefault="00CD058C"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sidRPr="00CD058C">
              <w:rPr>
                <w:rFonts w:eastAsia="PMingLiU" w:cs="Calibri"/>
                <w:bCs/>
              </w:rPr>
              <w:t>2/14/2023</w:t>
            </w:r>
          </w:p>
        </w:tc>
        <w:tc>
          <w:tcPr>
            <w:tcW w:w="2070" w:type="dxa"/>
          </w:tcPr>
          <w:p w14:paraId="2F660A84" w14:textId="16B71912" w:rsidR="00257227" w:rsidRDefault="003B7CA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Completed</w:t>
            </w:r>
          </w:p>
          <w:p w14:paraId="094991F2" w14:textId="2EDD56AD" w:rsidR="009F0B0F" w:rsidRDefault="009F0B0F"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2/14/2023</w:t>
            </w:r>
          </w:p>
          <w:p w14:paraId="79ADA9A6" w14:textId="5978FE79" w:rsidR="003B7CA7" w:rsidRPr="003B7CA7" w:rsidRDefault="003B7CA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p>
        </w:tc>
      </w:tr>
      <w:tr w:rsidR="00257227" w:rsidRPr="00257227" w14:paraId="2108332D" w14:textId="77777777" w:rsidTr="00A04A8B">
        <w:trPr>
          <w:trHeight w:val="385"/>
        </w:trPr>
        <w:tc>
          <w:tcPr>
            <w:tcW w:w="1435" w:type="dxa"/>
          </w:tcPr>
          <w:p w14:paraId="5357C52D" w14:textId="6A654EC3" w:rsidR="00257227" w:rsidRPr="00EC5751" w:rsidRDefault="0025722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EC5751">
              <w:rPr>
                <w:rFonts w:eastAsia="PMingLiU" w:cs="Calibri"/>
              </w:rPr>
              <w:t>FY 202</w:t>
            </w:r>
            <w:r w:rsidR="003B7CA7">
              <w:rPr>
                <w:rFonts w:eastAsia="PMingLiU" w:cs="Calibri"/>
              </w:rPr>
              <w:t>1</w:t>
            </w:r>
            <w:r w:rsidRPr="00EC5751">
              <w:rPr>
                <w:rFonts w:eastAsia="PMingLiU" w:cs="Calibri"/>
              </w:rPr>
              <w:t>-08</w:t>
            </w:r>
          </w:p>
        </w:tc>
        <w:tc>
          <w:tcPr>
            <w:tcW w:w="2098" w:type="dxa"/>
          </w:tcPr>
          <w:p w14:paraId="69343579" w14:textId="0E264986"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 xml:space="preserve">In 11 of the 20 (55%) whistleblower case files reviewed, the Report of Investigation (ROI) </w:t>
            </w:r>
            <w:r w:rsidRPr="000A35BB">
              <w:rPr>
                <w:rFonts w:asciiTheme="minorHAnsi" w:hAnsiTheme="minorHAnsi" w:cstheme="minorHAnsi"/>
              </w:rPr>
              <w:lastRenderedPageBreak/>
              <w:t>approval dates were either not entered in OITSS or were entered inaccurately.</w:t>
            </w:r>
          </w:p>
        </w:tc>
        <w:tc>
          <w:tcPr>
            <w:tcW w:w="2402" w:type="dxa"/>
          </w:tcPr>
          <w:p w14:paraId="12F452E7" w14:textId="46F88B89"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lastRenderedPageBreak/>
              <w:t>IOSHA should ensure that the date the supervisor approves (signs) the Report of Investigation is entered into OITSS.</w:t>
            </w:r>
          </w:p>
        </w:tc>
        <w:tc>
          <w:tcPr>
            <w:tcW w:w="3808" w:type="dxa"/>
          </w:tcPr>
          <w:p w14:paraId="421D29A1" w14:textId="17102078"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IOSHA’s Whistleblower Supervisor has been re-trained in this and will ensure that the dates are entered and entered accurately in OITSS (now OIS).</w:t>
            </w:r>
          </w:p>
        </w:tc>
        <w:tc>
          <w:tcPr>
            <w:tcW w:w="1772" w:type="dxa"/>
          </w:tcPr>
          <w:p w14:paraId="73D2EACA" w14:textId="7CC932B0" w:rsidR="00257227" w:rsidRPr="009F0B0F" w:rsidRDefault="009F0B0F"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Not completed</w:t>
            </w:r>
          </w:p>
        </w:tc>
        <w:tc>
          <w:tcPr>
            <w:tcW w:w="2070" w:type="dxa"/>
          </w:tcPr>
          <w:p w14:paraId="23CC3513" w14:textId="3CE7B426" w:rsidR="00257227" w:rsidRDefault="0034265F"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Open</w:t>
            </w:r>
          </w:p>
          <w:p w14:paraId="7D863766" w14:textId="4C7906CF" w:rsidR="003B7CA7" w:rsidRPr="003B7CA7" w:rsidRDefault="003B7CA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2/14/2023</w:t>
            </w:r>
          </w:p>
        </w:tc>
      </w:tr>
      <w:tr w:rsidR="00257227" w:rsidRPr="00257227" w14:paraId="7B0EE002" w14:textId="77777777" w:rsidTr="00A04A8B">
        <w:trPr>
          <w:trHeight w:val="385"/>
        </w:trPr>
        <w:tc>
          <w:tcPr>
            <w:tcW w:w="1435" w:type="dxa"/>
          </w:tcPr>
          <w:p w14:paraId="4E88ADB5" w14:textId="3F977D3C" w:rsidR="00257227" w:rsidRPr="00EC5751" w:rsidRDefault="0025722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EC5751">
              <w:rPr>
                <w:rFonts w:eastAsia="PMingLiU" w:cs="Calibri"/>
              </w:rPr>
              <w:t>FY 202</w:t>
            </w:r>
            <w:r w:rsidR="003B7CA7">
              <w:rPr>
                <w:rFonts w:eastAsia="PMingLiU" w:cs="Calibri"/>
              </w:rPr>
              <w:t>1</w:t>
            </w:r>
            <w:r w:rsidRPr="00EC5751">
              <w:rPr>
                <w:rFonts w:eastAsia="PMingLiU" w:cs="Calibri"/>
              </w:rPr>
              <w:t>-09</w:t>
            </w:r>
          </w:p>
        </w:tc>
        <w:tc>
          <w:tcPr>
            <w:tcW w:w="2098" w:type="dxa"/>
          </w:tcPr>
          <w:p w14:paraId="6C7CD8E2" w14:textId="13C1AC9E"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In six of the 20 (30%) whistleblower case files reviewed, the supervisor did not review the file to ensure technical accuracy, thoroughness of the investigation, correct application of the law to the facts, completeness of the Secretary’s Findings, and merits of the case (WIM Chapter 4, Section IV.A).</w:t>
            </w:r>
          </w:p>
        </w:tc>
        <w:tc>
          <w:tcPr>
            <w:tcW w:w="2402" w:type="dxa"/>
          </w:tcPr>
          <w:p w14:paraId="7E551466" w14:textId="3A0F843A" w:rsidR="00EC5751" w:rsidRPr="000A35BB" w:rsidRDefault="00EC5751" w:rsidP="00EC5751">
            <w:pPr>
              <w:contextualSpacing/>
              <w:rPr>
                <w:rFonts w:asciiTheme="minorHAnsi" w:hAnsiTheme="minorHAnsi" w:cstheme="minorHAnsi"/>
              </w:rPr>
            </w:pPr>
            <w:r w:rsidRPr="000A35BB">
              <w:rPr>
                <w:rFonts w:asciiTheme="minorHAnsi" w:hAnsiTheme="minorHAnsi" w:cstheme="minorHAnsi"/>
              </w:rPr>
              <w:t xml:space="preserve">IOSHA should follow the WIM, Chapter 4, Section IV.A to ensure all </w:t>
            </w:r>
            <w:r w:rsidR="005F5CD7">
              <w:rPr>
                <w:rFonts w:asciiTheme="minorHAnsi" w:hAnsiTheme="minorHAnsi" w:cstheme="minorHAnsi"/>
              </w:rPr>
              <w:t>w</w:t>
            </w:r>
            <w:r w:rsidRPr="000A35BB">
              <w:rPr>
                <w:rFonts w:asciiTheme="minorHAnsi" w:hAnsiTheme="minorHAnsi" w:cstheme="minorHAnsi"/>
              </w:rPr>
              <w:t>histleblower case files submitted for review are thoroughly reviewed by a supervisor</w:t>
            </w:r>
            <w:r w:rsidR="00A04A8B">
              <w:rPr>
                <w:rFonts w:asciiTheme="minorHAnsi" w:hAnsiTheme="minorHAnsi" w:cstheme="minorHAnsi"/>
              </w:rPr>
              <w:t xml:space="preserve"> </w:t>
            </w:r>
            <w:r w:rsidRPr="000A35BB">
              <w:rPr>
                <w:rFonts w:asciiTheme="minorHAnsi" w:hAnsiTheme="minorHAnsi" w:cstheme="minorHAnsi"/>
              </w:rPr>
              <w:t xml:space="preserve">to ensure completeness of the file, technical accuracy, thoroughness of the investigation, </w:t>
            </w:r>
            <w:proofErr w:type="gramStart"/>
            <w:r w:rsidRPr="000A35BB">
              <w:rPr>
                <w:rFonts w:asciiTheme="minorHAnsi" w:hAnsiTheme="minorHAnsi" w:cstheme="minorHAnsi"/>
              </w:rPr>
              <w:t>correct</w:t>
            </w:r>
            <w:proofErr w:type="gramEnd"/>
          </w:p>
          <w:p w14:paraId="0C995808" w14:textId="20FC8F95" w:rsidR="00257227" w:rsidRPr="00257227"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
              </w:rPr>
            </w:pPr>
            <w:r w:rsidRPr="000A35BB">
              <w:rPr>
                <w:rFonts w:asciiTheme="minorHAnsi" w:hAnsiTheme="minorHAnsi" w:cstheme="minorHAnsi"/>
              </w:rPr>
              <w:t>application of the law to the facts, completeness of the Secretary’s findings, and merits of the case.</w:t>
            </w:r>
          </w:p>
        </w:tc>
        <w:tc>
          <w:tcPr>
            <w:tcW w:w="3808" w:type="dxa"/>
          </w:tcPr>
          <w:p w14:paraId="71D2DD2E" w14:textId="69831221" w:rsidR="00257227" w:rsidRPr="000A35BB" w:rsidRDefault="00EC5751" w:rsidP="00EC575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rPr>
            </w:pPr>
            <w:r w:rsidRPr="000A35BB">
              <w:rPr>
                <w:rFonts w:asciiTheme="minorHAnsi" w:hAnsiTheme="minorHAnsi" w:cstheme="minorHAnsi"/>
              </w:rPr>
              <w:t>IOSHA’s Whistleblower Supervisor has been re-trained in this and will ensure whistleblower case files are thoroughly reviewed to ensure completeness, technical accuracy, thoroughness of the investigation, correct application of the law to the facts, completeness of the Secretary’s findings, and merits of the case.</w:t>
            </w:r>
          </w:p>
        </w:tc>
        <w:tc>
          <w:tcPr>
            <w:tcW w:w="1772" w:type="dxa"/>
          </w:tcPr>
          <w:p w14:paraId="417C2958" w14:textId="6A7EC8AC" w:rsidR="00257227" w:rsidRPr="009F0B0F" w:rsidRDefault="009F0B0F"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9</w:t>
            </w:r>
            <w:r w:rsidRPr="009F0B0F">
              <w:rPr>
                <w:rFonts w:eastAsia="PMingLiU" w:cs="Calibri"/>
                <w:bCs/>
              </w:rPr>
              <w:t>/</w:t>
            </w:r>
            <w:r>
              <w:rPr>
                <w:rFonts w:eastAsia="PMingLiU" w:cs="Calibri"/>
                <w:bCs/>
              </w:rPr>
              <w:t>30</w:t>
            </w:r>
            <w:r w:rsidRPr="009F0B0F">
              <w:rPr>
                <w:rFonts w:eastAsia="PMingLiU" w:cs="Calibri"/>
                <w:bCs/>
              </w:rPr>
              <w:t>/2022</w:t>
            </w:r>
          </w:p>
        </w:tc>
        <w:tc>
          <w:tcPr>
            <w:tcW w:w="2070" w:type="dxa"/>
          </w:tcPr>
          <w:p w14:paraId="1581C696" w14:textId="77777777" w:rsidR="00257227" w:rsidRDefault="003B7CA7"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Awaiting Verification</w:t>
            </w:r>
          </w:p>
          <w:p w14:paraId="534AE3B8" w14:textId="12E87D92" w:rsidR="003B7CA7" w:rsidRPr="003B7CA7" w:rsidRDefault="009F0B0F"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Cs/>
              </w:rPr>
            </w:pPr>
            <w:r>
              <w:rPr>
                <w:rFonts w:eastAsia="PMingLiU" w:cs="Calibri"/>
                <w:bCs/>
              </w:rPr>
              <w:t>9/30</w:t>
            </w:r>
            <w:r w:rsidR="00CD058C">
              <w:rPr>
                <w:rFonts w:eastAsia="PMingLiU" w:cs="Calibri"/>
                <w:bCs/>
              </w:rPr>
              <w:t>/2022</w:t>
            </w:r>
          </w:p>
        </w:tc>
      </w:tr>
    </w:tbl>
    <w:p w14:paraId="5A163C8E" w14:textId="7D5F2145"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even" r:id="rId25"/>
          <w:headerReference w:type="default" r:id="rId26"/>
          <w:headerReference w:type="first" r:id="rId27"/>
          <w:footerReference w:type="first" r:id="rId28"/>
          <w:pgSz w:w="15840" w:h="12240" w:orient="landscape"/>
          <w:pgMar w:top="1440" w:right="1440" w:bottom="1440" w:left="1440" w:header="630" w:footer="720" w:gutter="0"/>
          <w:cols w:space="720"/>
          <w:titlePg/>
          <w:docGrid w:linePitch="360"/>
        </w:sectPr>
      </w:pPr>
    </w:p>
    <w:p w14:paraId="1B0B407C" w14:textId="77777777" w:rsidR="00690C0D" w:rsidRPr="00D93CB3" w:rsidRDefault="00690C0D" w:rsidP="000F63C1">
      <w:pPr>
        <w:pStyle w:val="Heading3"/>
        <w:numPr>
          <w:ilvl w:val="0"/>
          <w:numId w:val="0"/>
        </w:numPr>
        <w:rPr>
          <w:color w:val="0070C0"/>
        </w:rPr>
      </w:pPr>
      <w:bookmarkStart w:id="28" w:name="_Toc119418672"/>
      <w:r w:rsidRPr="00D93CB3">
        <w:lastRenderedPageBreak/>
        <w:t xml:space="preserve">Appendix D – </w:t>
      </w:r>
      <w:bookmarkStart w:id="29" w:name="_Hlk119349018"/>
      <w:r w:rsidRPr="00D93CB3">
        <w:t>FY 2022 State Activity Mandated Measures (SAMM) Report</w:t>
      </w:r>
      <w:bookmarkEnd w:id="28"/>
      <w:bookmarkEnd w:id="29"/>
    </w:p>
    <w:p w14:paraId="19B594E3" w14:textId="1A9DAB9A" w:rsidR="00690C0D" w:rsidRPr="000767C0" w:rsidRDefault="00690C0D" w:rsidP="00476C08">
      <w:pPr>
        <w:pStyle w:val="Header"/>
      </w:pPr>
      <w:r w:rsidRPr="00042327">
        <w:t xml:space="preserve">FY </w:t>
      </w:r>
      <w:r>
        <w:t>2022</w:t>
      </w:r>
      <w:r w:rsidRPr="00042327">
        <w:t xml:space="preserve"> </w:t>
      </w:r>
      <w:r w:rsidR="00257227">
        <w:t>Indiana OSHA</w:t>
      </w:r>
      <w:r w:rsidRPr="00476C08">
        <w:rPr>
          <w:color w:val="0070C0"/>
        </w:rPr>
        <w:t xml:space="preserve">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1034"/>
        <w:gridCol w:w="2494"/>
        <w:gridCol w:w="1188"/>
        <w:gridCol w:w="1297"/>
        <w:gridCol w:w="4337"/>
      </w:tblGrid>
      <w:tr w:rsidR="00634539" w:rsidRPr="001C1E47" w14:paraId="4B607DC1" w14:textId="77777777" w:rsidTr="00D93C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3" w:type="dxa"/>
            <w:tcBorders>
              <w:right w:val="single" w:sz="4" w:space="0" w:color="000000" w:themeColor="text1"/>
            </w:tcBorders>
            <w:shd w:val="clear" w:color="auto" w:fill="auto"/>
          </w:tcPr>
          <w:p w14:paraId="57458A1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bCs w:val="0"/>
                <w:color w:val="000000" w:themeColor="text1"/>
              </w:rPr>
            </w:pPr>
            <w:r w:rsidRPr="001C1E47">
              <w:rPr>
                <w:rFonts w:eastAsia="PMingLiU" w:cs="Calibri"/>
                <w:bCs w:val="0"/>
                <w:color w:val="000000" w:themeColor="text1"/>
              </w:rPr>
              <w:t>SAMM Number</w:t>
            </w:r>
          </w:p>
        </w:tc>
        <w:tc>
          <w:tcPr>
            <w:tcW w:w="2572" w:type="dxa"/>
            <w:tcBorders>
              <w:left w:val="single" w:sz="4" w:space="0" w:color="000000" w:themeColor="text1"/>
              <w:right w:val="single" w:sz="4" w:space="0" w:color="000000" w:themeColor="text1"/>
            </w:tcBorders>
            <w:shd w:val="clear" w:color="auto" w:fill="auto"/>
          </w:tcPr>
          <w:p w14:paraId="21CEF63D"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SAMM Name</w:t>
            </w:r>
          </w:p>
        </w:tc>
        <w:tc>
          <w:tcPr>
            <w:tcW w:w="979" w:type="dxa"/>
            <w:tcBorders>
              <w:left w:val="single" w:sz="4" w:space="0" w:color="000000" w:themeColor="text1"/>
              <w:right w:val="single" w:sz="4" w:space="0" w:color="000000" w:themeColor="text1"/>
            </w:tcBorders>
            <w:shd w:val="clear" w:color="auto" w:fill="auto"/>
          </w:tcPr>
          <w:p w14:paraId="1BC934E4"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State Plan Data</w:t>
            </w:r>
          </w:p>
        </w:tc>
        <w:tc>
          <w:tcPr>
            <w:tcW w:w="1307" w:type="dxa"/>
            <w:tcBorders>
              <w:left w:val="single" w:sz="4" w:space="0" w:color="000000" w:themeColor="text1"/>
              <w:right w:val="single" w:sz="4" w:space="0" w:color="000000" w:themeColor="text1"/>
            </w:tcBorders>
            <w:shd w:val="clear" w:color="auto" w:fill="auto"/>
          </w:tcPr>
          <w:p w14:paraId="10FEC12F"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Further Review Level</w:t>
            </w:r>
          </w:p>
        </w:tc>
        <w:tc>
          <w:tcPr>
            <w:tcW w:w="4599" w:type="dxa"/>
            <w:tcBorders>
              <w:left w:val="single" w:sz="4" w:space="0" w:color="000000" w:themeColor="text1"/>
            </w:tcBorders>
            <w:shd w:val="clear" w:color="auto" w:fill="auto"/>
          </w:tcPr>
          <w:p w14:paraId="1845DDF3" w14:textId="77777777" w:rsidR="00634539" w:rsidRPr="001C1E47" w:rsidRDefault="00634539" w:rsidP="00D93CB3">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bCs w:val="0"/>
                <w:color w:val="000000" w:themeColor="text1"/>
              </w:rPr>
            </w:pPr>
            <w:r w:rsidRPr="001C1E47">
              <w:rPr>
                <w:rFonts w:eastAsia="PMingLiU" w:cs="Calibri"/>
                <w:bCs w:val="0"/>
                <w:color w:val="000000" w:themeColor="text1"/>
              </w:rPr>
              <w:t>Notes</w:t>
            </w:r>
          </w:p>
        </w:tc>
      </w:tr>
      <w:tr w:rsidR="00634539" w:rsidRPr="001C1E47" w14:paraId="23E15083"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FC5441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1a</w:t>
            </w:r>
          </w:p>
        </w:tc>
        <w:tc>
          <w:tcPr>
            <w:tcW w:w="2572" w:type="dxa"/>
          </w:tcPr>
          <w:p w14:paraId="5DD1B3D7" w14:textId="584DD8B3"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workdays to initiate complaint inspections (state formula)</w:t>
            </w:r>
          </w:p>
        </w:tc>
        <w:tc>
          <w:tcPr>
            <w:tcW w:w="979" w:type="dxa"/>
          </w:tcPr>
          <w:p w14:paraId="50ED339E" w14:textId="6FC9C512" w:rsidR="00634539" w:rsidRPr="001C1E47" w:rsidRDefault="000A35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8.14</w:t>
            </w:r>
          </w:p>
        </w:tc>
        <w:tc>
          <w:tcPr>
            <w:tcW w:w="1307" w:type="dxa"/>
          </w:tcPr>
          <w:p w14:paraId="36E21F8C" w14:textId="01F7EEA3" w:rsidR="00634539" w:rsidRPr="001C1E47" w:rsidRDefault="000A35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10</w:t>
            </w:r>
          </w:p>
        </w:tc>
        <w:tc>
          <w:tcPr>
            <w:tcW w:w="4599" w:type="dxa"/>
          </w:tcPr>
          <w:p w14:paraId="1BE10DF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634539" w:rsidRPr="001C1E47" w14:paraId="6E87F5F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5DA89A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1b</w:t>
            </w:r>
          </w:p>
        </w:tc>
        <w:tc>
          <w:tcPr>
            <w:tcW w:w="2572" w:type="dxa"/>
          </w:tcPr>
          <w:p w14:paraId="7BDECFBC" w14:textId="3D7F42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workdays to initiate complaint inspections (federal formula)</w:t>
            </w:r>
          </w:p>
        </w:tc>
        <w:tc>
          <w:tcPr>
            <w:tcW w:w="979" w:type="dxa"/>
          </w:tcPr>
          <w:p w14:paraId="2DD44EDE" w14:textId="23FB1437" w:rsidR="00634539" w:rsidRPr="001C1E47" w:rsidRDefault="000A35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6.44</w:t>
            </w:r>
          </w:p>
        </w:tc>
        <w:tc>
          <w:tcPr>
            <w:tcW w:w="1307" w:type="dxa"/>
          </w:tcPr>
          <w:p w14:paraId="44E25FF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N/A</w:t>
            </w:r>
          </w:p>
        </w:tc>
        <w:tc>
          <w:tcPr>
            <w:tcW w:w="4599" w:type="dxa"/>
          </w:tcPr>
          <w:p w14:paraId="3B881485"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634539" w:rsidRPr="001C1E47" w14:paraId="7254895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0F4527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2a</w:t>
            </w:r>
          </w:p>
        </w:tc>
        <w:tc>
          <w:tcPr>
            <w:tcW w:w="2572" w:type="dxa"/>
          </w:tcPr>
          <w:p w14:paraId="680D30CB" w14:textId="5625973C"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workdays to initiate complaint investigations (state formula)</w:t>
            </w:r>
          </w:p>
        </w:tc>
        <w:tc>
          <w:tcPr>
            <w:tcW w:w="979" w:type="dxa"/>
          </w:tcPr>
          <w:p w14:paraId="5D15BC2D" w14:textId="5D5C829B" w:rsidR="00634539" w:rsidRPr="001C1E47" w:rsidRDefault="000A35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22706">
              <w:rPr>
                <w:rFonts w:eastAsia="PMingLiU" w:cs="Calibri"/>
              </w:rPr>
              <w:t>6.10</w:t>
            </w:r>
          </w:p>
        </w:tc>
        <w:tc>
          <w:tcPr>
            <w:tcW w:w="1307" w:type="dxa"/>
          </w:tcPr>
          <w:p w14:paraId="25E101C9" w14:textId="0237D649" w:rsidR="00634539" w:rsidRPr="001C1E47" w:rsidRDefault="000A35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5</w:t>
            </w:r>
          </w:p>
        </w:tc>
        <w:tc>
          <w:tcPr>
            <w:tcW w:w="4599" w:type="dxa"/>
          </w:tcPr>
          <w:p w14:paraId="440E440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negotiated by OSHA and the State Plan.</w:t>
            </w:r>
          </w:p>
        </w:tc>
      </w:tr>
      <w:tr w:rsidR="00634539" w:rsidRPr="001C1E47" w14:paraId="43AA3020"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3026F0A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2b</w:t>
            </w:r>
          </w:p>
        </w:tc>
        <w:tc>
          <w:tcPr>
            <w:tcW w:w="2572" w:type="dxa"/>
          </w:tcPr>
          <w:p w14:paraId="60EA38B6" w14:textId="7B27C7FD"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workdays to initiate complaint investigations (federal formula)</w:t>
            </w:r>
          </w:p>
        </w:tc>
        <w:tc>
          <w:tcPr>
            <w:tcW w:w="979" w:type="dxa"/>
          </w:tcPr>
          <w:p w14:paraId="148E915C" w14:textId="600807C4" w:rsidR="00634539" w:rsidRPr="001C1E47" w:rsidRDefault="000A35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3.7</w:t>
            </w:r>
          </w:p>
        </w:tc>
        <w:tc>
          <w:tcPr>
            <w:tcW w:w="1307" w:type="dxa"/>
          </w:tcPr>
          <w:p w14:paraId="3C6B37D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N/A</w:t>
            </w:r>
          </w:p>
        </w:tc>
        <w:tc>
          <w:tcPr>
            <w:tcW w:w="4599" w:type="dxa"/>
          </w:tcPr>
          <w:p w14:paraId="7849D62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This measure is for informational purposes only and is not a mandated measure.</w:t>
            </w:r>
          </w:p>
        </w:tc>
      </w:tr>
      <w:tr w:rsidR="00634539" w:rsidRPr="001C1E47" w14:paraId="463E07C8"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30502E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3</w:t>
            </w:r>
          </w:p>
        </w:tc>
        <w:tc>
          <w:tcPr>
            <w:tcW w:w="2572" w:type="dxa"/>
          </w:tcPr>
          <w:p w14:paraId="224C67F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complaints and referrals responded to within one workday (imminent danger)</w:t>
            </w:r>
          </w:p>
        </w:tc>
        <w:tc>
          <w:tcPr>
            <w:tcW w:w="979" w:type="dxa"/>
          </w:tcPr>
          <w:p w14:paraId="683DAD92" w14:textId="492C5D12" w:rsidR="00634539" w:rsidRPr="001C1E47" w:rsidRDefault="000A35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100</w:t>
            </w:r>
            <w:r w:rsidR="00634539" w:rsidRPr="001C1E47">
              <w:rPr>
                <w:rFonts w:cs="Calibri"/>
              </w:rPr>
              <w:t>%</w:t>
            </w:r>
          </w:p>
        </w:tc>
        <w:tc>
          <w:tcPr>
            <w:tcW w:w="1307" w:type="dxa"/>
          </w:tcPr>
          <w:p w14:paraId="2138AC6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100%</w:t>
            </w:r>
          </w:p>
        </w:tc>
        <w:tc>
          <w:tcPr>
            <w:tcW w:w="4599" w:type="dxa"/>
          </w:tcPr>
          <w:p w14:paraId="1639E62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448E8EB5"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4BD594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4</w:t>
            </w:r>
          </w:p>
        </w:tc>
        <w:tc>
          <w:tcPr>
            <w:tcW w:w="2572" w:type="dxa"/>
          </w:tcPr>
          <w:p w14:paraId="7F17AA0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Number of denials where entry not obtained</w:t>
            </w:r>
          </w:p>
        </w:tc>
        <w:tc>
          <w:tcPr>
            <w:tcW w:w="979" w:type="dxa"/>
          </w:tcPr>
          <w:p w14:paraId="49E38EB6" w14:textId="45FB64AA" w:rsidR="00634539" w:rsidRPr="001C1E47" w:rsidRDefault="000A35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0</w:t>
            </w:r>
          </w:p>
        </w:tc>
        <w:tc>
          <w:tcPr>
            <w:tcW w:w="1307" w:type="dxa"/>
          </w:tcPr>
          <w:p w14:paraId="39E6BBC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w:t>
            </w:r>
          </w:p>
        </w:tc>
        <w:tc>
          <w:tcPr>
            <w:tcW w:w="4599" w:type="dxa"/>
          </w:tcPr>
          <w:p w14:paraId="63BF7F9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391899CE" w14:textId="77777777" w:rsidTr="00D93CB3">
        <w:trPr>
          <w:trHeight w:val="854"/>
        </w:trPr>
        <w:tc>
          <w:tcPr>
            <w:cnfStyle w:val="001000000000" w:firstRow="0" w:lastRow="0" w:firstColumn="1" w:lastColumn="0" w:oddVBand="0" w:evenVBand="0" w:oddHBand="0" w:evenHBand="0" w:firstRowFirstColumn="0" w:firstRowLastColumn="0" w:lastRowFirstColumn="0" w:lastRowLastColumn="0"/>
            <w:tcW w:w="893" w:type="dxa"/>
          </w:tcPr>
          <w:p w14:paraId="2C05A134"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5a</w:t>
            </w:r>
          </w:p>
        </w:tc>
        <w:tc>
          <w:tcPr>
            <w:tcW w:w="2572" w:type="dxa"/>
          </w:tcPr>
          <w:p w14:paraId="6F060D7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number of violations per inspection with violations by violation type (SWRU)</w:t>
            </w:r>
          </w:p>
        </w:tc>
        <w:tc>
          <w:tcPr>
            <w:tcW w:w="979" w:type="dxa"/>
          </w:tcPr>
          <w:p w14:paraId="5640B786" w14:textId="1EAAA92B" w:rsidR="00634539" w:rsidRPr="001C1E47" w:rsidRDefault="000A35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2.04</w:t>
            </w:r>
          </w:p>
        </w:tc>
        <w:tc>
          <w:tcPr>
            <w:tcW w:w="1307" w:type="dxa"/>
          </w:tcPr>
          <w:p w14:paraId="0BCD6939"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624A6581" w14:textId="702DB2AD"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1.7</w:t>
            </w:r>
            <w:r w:rsidR="009265B5">
              <w:rPr>
                <w:rFonts w:cs="Calibri"/>
              </w:rPr>
              <w:t>7</w:t>
            </w:r>
          </w:p>
          <w:p w14:paraId="5B24EFB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330DF263" w14:textId="592253B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The further review level is based on a three-year national average.  The range of acceptable data not requiring further review is from 1.42 to 2.1</w:t>
            </w:r>
            <w:r w:rsidR="009265B5">
              <w:rPr>
                <w:rFonts w:eastAsia="PMingLiU" w:cs="Calibri"/>
              </w:rPr>
              <w:t>2</w:t>
            </w:r>
            <w:r w:rsidRPr="001C1E47">
              <w:rPr>
                <w:rFonts w:eastAsia="PMingLiU" w:cs="Calibri"/>
              </w:rPr>
              <w:t xml:space="preserve"> for SWRU. </w:t>
            </w:r>
          </w:p>
        </w:tc>
      </w:tr>
      <w:tr w:rsidR="00634539" w:rsidRPr="001C1E47" w14:paraId="0C0C34AD"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FD1458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5b</w:t>
            </w:r>
          </w:p>
        </w:tc>
        <w:tc>
          <w:tcPr>
            <w:tcW w:w="2572" w:type="dxa"/>
          </w:tcPr>
          <w:p w14:paraId="1A64659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violations per inspection with violations by violation type (other)</w:t>
            </w:r>
          </w:p>
        </w:tc>
        <w:tc>
          <w:tcPr>
            <w:tcW w:w="979" w:type="dxa"/>
          </w:tcPr>
          <w:p w14:paraId="189B2CB4" w14:textId="58E56D2F" w:rsidR="00634539" w:rsidRPr="001C1E47" w:rsidRDefault="000A35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22706">
              <w:rPr>
                <w:rFonts w:eastAsia="PMingLiU" w:cs="Calibri"/>
              </w:rPr>
              <w:t>0.34</w:t>
            </w:r>
          </w:p>
        </w:tc>
        <w:tc>
          <w:tcPr>
            <w:tcW w:w="1307" w:type="dxa"/>
          </w:tcPr>
          <w:p w14:paraId="140EA1C0"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10600A9C" w14:textId="369D2ED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0.9</w:t>
            </w:r>
            <w:r w:rsidR="009265B5">
              <w:rPr>
                <w:rFonts w:cs="Calibri"/>
              </w:rPr>
              <w:t>0</w:t>
            </w:r>
          </w:p>
        </w:tc>
        <w:tc>
          <w:tcPr>
            <w:tcW w:w="4599" w:type="dxa"/>
          </w:tcPr>
          <w:p w14:paraId="43460D0F" w14:textId="77777777" w:rsidR="00634539"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The further review level is based on a three-year national average.  The range of acceptable data not requiring further review is from 0.7</w:t>
            </w:r>
            <w:r w:rsidR="009265B5">
              <w:rPr>
                <w:rFonts w:eastAsia="PMingLiU" w:cs="Calibri"/>
              </w:rPr>
              <w:t>2</w:t>
            </w:r>
            <w:r w:rsidRPr="001C1E47">
              <w:rPr>
                <w:rFonts w:eastAsia="PMingLiU" w:cs="Calibri"/>
              </w:rPr>
              <w:t xml:space="preserve"> to 1.0</w:t>
            </w:r>
            <w:r w:rsidR="009265B5">
              <w:rPr>
                <w:rFonts w:eastAsia="PMingLiU" w:cs="Calibri"/>
              </w:rPr>
              <w:t>8</w:t>
            </w:r>
            <w:r w:rsidRPr="001C1E47">
              <w:rPr>
                <w:rFonts w:eastAsia="PMingLiU" w:cs="Calibri"/>
              </w:rPr>
              <w:t xml:space="preserve"> for OTS.</w:t>
            </w:r>
          </w:p>
          <w:p w14:paraId="0DB37C65" w14:textId="77777777" w:rsidR="00D07734" w:rsidRDefault="00D07734"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p w14:paraId="4F83BD91" w14:textId="6D847619" w:rsidR="00D07734" w:rsidRPr="001C1E47" w:rsidRDefault="00D07734"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r>
      <w:tr w:rsidR="00634539" w:rsidRPr="001C1E47" w14:paraId="73051CF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B4D91E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6</w:t>
            </w:r>
          </w:p>
        </w:tc>
        <w:tc>
          <w:tcPr>
            <w:tcW w:w="2572" w:type="dxa"/>
          </w:tcPr>
          <w:p w14:paraId="79E27E6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Percent of total inspections in state and local government workplaces</w:t>
            </w:r>
          </w:p>
        </w:tc>
        <w:tc>
          <w:tcPr>
            <w:tcW w:w="979" w:type="dxa"/>
          </w:tcPr>
          <w:p w14:paraId="01189742" w14:textId="5488BCA3" w:rsidR="00634539" w:rsidRPr="001C1E47" w:rsidRDefault="000A35BB"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22706">
              <w:rPr>
                <w:rFonts w:cs="Calibri"/>
              </w:rPr>
              <w:t>2.15</w:t>
            </w:r>
            <w:r w:rsidR="00634539" w:rsidRPr="001C1E47">
              <w:rPr>
                <w:rFonts w:cs="Calibri"/>
              </w:rPr>
              <w:t>%</w:t>
            </w:r>
          </w:p>
        </w:tc>
        <w:tc>
          <w:tcPr>
            <w:tcW w:w="1307" w:type="dxa"/>
          </w:tcPr>
          <w:p w14:paraId="276F5E13" w14:textId="77777777" w:rsidR="00634539" w:rsidRPr="001C1E47" w:rsidRDefault="00634539" w:rsidP="00814412">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+/- 5% of</w:t>
            </w:r>
          </w:p>
          <w:p w14:paraId="7678C0FD" w14:textId="4A61DD69" w:rsidR="00634539" w:rsidRPr="001C1E47" w:rsidRDefault="00BD3393"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1.32</w:t>
            </w:r>
            <w:r w:rsidR="00634539" w:rsidRPr="001C1E47">
              <w:rPr>
                <w:rFonts w:cs="Calibri"/>
              </w:rPr>
              <w:t>%</w:t>
            </w:r>
          </w:p>
        </w:tc>
        <w:tc>
          <w:tcPr>
            <w:tcW w:w="4599" w:type="dxa"/>
          </w:tcPr>
          <w:p w14:paraId="11909732" w14:textId="7D6B2F2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 xml:space="preserve">The further review level is based on a number negotiated by OSHA and the State Plan through the grant application.  The range of acceptable data not requiring further review is from </w:t>
            </w:r>
            <w:r w:rsidR="000A35BB">
              <w:rPr>
                <w:rFonts w:eastAsia="PMingLiU" w:cs="Calibri"/>
              </w:rPr>
              <w:t>1.25</w:t>
            </w:r>
            <w:r w:rsidRPr="001C1E47">
              <w:rPr>
                <w:rFonts w:eastAsia="PMingLiU" w:cs="Calibri"/>
              </w:rPr>
              <w:t xml:space="preserve">% to </w:t>
            </w:r>
            <w:r w:rsidR="000A35BB">
              <w:rPr>
                <w:rFonts w:eastAsia="PMingLiU" w:cs="Calibri"/>
              </w:rPr>
              <w:t>1.38</w:t>
            </w:r>
            <w:r w:rsidRPr="001C1E47">
              <w:rPr>
                <w:rFonts w:eastAsia="PMingLiU" w:cs="Calibri"/>
              </w:rPr>
              <w:t>%.</w:t>
            </w:r>
          </w:p>
        </w:tc>
      </w:tr>
      <w:tr w:rsidR="00634539" w:rsidRPr="001C1E47" w14:paraId="47E35DEE"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635650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7a</w:t>
            </w:r>
          </w:p>
        </w:tc>
        <w:tc>
          <w:tcPr>
            <w:tcW w:w="2572" w:type="dxa"/>
          </w:tcPr>
          <w:p w14:paraId="6972B9CD" w14:textId="3BED009A"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Planned v. actual inspections (safety)</w:t>
            </w:r>
          </w:p>
        </w:tc>
        <w:tc>
          <w:tcPr>
            <w:tcW w:w="979" w:type="dxa"/>
          </w:tcPr>
          <w:p w14:paraId="714EE701" w14:textId="61770400" w:rsidR="00634539" w:rsidRPr="001C1E47" w:rsidRDefault="00BD3393"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22706">
              <w:rPr>
                <w:rFonts w:eastAsia="PMingLiU" w:cs="Calibri"/>
              </w:rPr>
              <w:t>809</w:t>
            </w:r>
          </w:p>
        </w:tc>
        <w:tc>
          <w:tcPr>
            <w:tcW w:w="1307" w:type="dxa"/>
          </w:tcPr>
          <w:p w14:paraId="7B010307"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+/- 5% of </w:t>
            </w:r>
          </w:p>
          <w:p w14:paraId="70DE1282" w14:textId="19A752B8" w:rsidR="00634539" w:rsidRPr="001C1E47" w:rsidRDefault="00BD3393"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960</w:t>
            </w:r>
          </w:p>
        </w:tc>
        <w:tc>
          <w:tcPr>
            <w:tcW w:w="4599" w:type="dxa"/>
          </w:tcPr>
          <w:p w14:paraId="127905E2" w14:textId="240622D9"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number negotiated by OSHA and the State Plan through the grant application.  The range of acceptable data not requiring further review is from </w:t>
            </w:r>
            <w:r w:rsidR="00BD3393">
              <w:rPr>
                <w:rFonts w:cs="Calibri"/>
              </w:rPr>
              <w:t>912</w:t>
            </w:r>
            <w:r w:rsidRPr="001C1E47">
              <w:rPr>
                <w:rFonts w:cs="Calibri"/>
              </w:rPr>
              <w:t xml:space="preserve"> to </w:t>
            </w:r>
            <w:r w:rsidR="00BD3393">
              <w:rPr>
                <w:rFonts w:cs="Calibri"/>
              </w:rPr>
              <w:t>1,008</w:t>
            </w:r>
            <w:r w:rsidRPr="001C1E47">
              <w:rPr>
                <w:rFonts w:cs="Calibri"/>
              </w:rPr>
              <w:t xml:space="preserve"> for safety.</w:t>
            </w:r>
          </w:p>
        </w:tc>
      </w:tr>
      <w:tr w:rsidR="00634539" w:rsidRPr="001C1E47" w14:paraId="41D7E5A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8976174"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r w:rsidRPr="001C1E47">
              <w:rPr>
                <w:rFonts w:eastAsia="PMingLiU" w:cs="Calibri"/>
              </w:rPr>
              <w:t>7b</w:t>
            </w:r>
          </w:p>
        </w:tc>
        <w:tc>
          <w:tcPr>
            <w:tcW w:w="2572" w:type="dxa"/>
          </w:tcPr>
          <w:p w14:paraId="628291DB" w14:textId="4C38D916"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Planned v. actual inspections (health)</w:t>
            </w:r>
          </w:p>
        </w:tc>
        <w:tc>
          <w:tcPr>
            <w:tcW w:w="979" w:type="dxa"/>
          </w:tcPr>
          <w:p w14:paraId="46225BFE" w14:textId="62418A05" w:rsidR="00634539" w:rsidRPr="001C1E47" w:rsidRDefault="00BD3393"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22706">
              <w:rPr>
                <w:rFonts w:eastAsia="PMingLiU" w:cs="Calibri"/>
              </w:rPr>
              <w:t>74</w:t>
            </w:r>
          </w:p>
        </w:tc>
        <w:tc>
          <w:tcPr>
            <w:tcW w:w="1307" w:type="dxa"/>
          </w:tcPr>
          <w:p w14:paraId="2F300C85"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+/- 5% of </w:t>
            </w:r>
          </w:p>
          <w:p w14:paraId="615D1DB6" w14:textId="771FF706" w:rsidR="00634539" w:rsidRPr="001C1E47" w:rsidRDefault="00BD3393"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180</w:t>
            </w:r>
          </w:p>
        </w:tc>
        <w:tc>
          <w:tcPr>
            <w:tcW w:w="4599" w:type="dxa"/>
          </w:tcPr>
          <w:p w14:paraId="4C49AF53" w14:textId="5C4AAF8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number negotiated by OSHA and the State Plan through the grant application.  The range of acceptable data not requiring further review is from </w:t>
            </w:r>
            <w:r w:rsidR="00BD3393">
              <w:rPr>
                <w:rFonts w:cs="Calibri"/>
              </w:rPr>
              <w:t>171</w:t>
            </w:r>
            <w:r w:rsidRPr="001C1E47">
              <w:rPr>
                <w:rFonts w:cs="Calibri"/>
              </w:rPr>
              <w:t xml:space="preserve"> to </w:t>
            </w:r>
            <w:r w:rsidR="00BD3393">
              <w:rPr>
                <w:rFonts w:cs="Calibri"/>
              </w:rPr>
              <w:t>189</w:t>
            </w:r>
            <w:r w:rsidRPr="001C1E47">
              <w:rPr>
                <w:rFonts w:cs="Calibri"/>
              </w:rPr>
              <w:t xml:space="preserve"> for health.</w:t>
            </w:r>
          </w:p>
        </w:tc>
      </w:tr>
      <w:tr w:rsidR="00634539" w:rsidRPr="001C1E47" w14:paraId="19A930B8"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2933EF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8</w:t>
            </w:r>
          </w:p>
        </w:tc>
        <w:tc>
          <w:tcPr>
            <w:tcW w:w="2572" w:type="dxa"/>
          </w:tcPr>
          <w:p w14:paraId="35E2919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Average current serious penalty in private sector - total (1 to greater than 250 workers)</w:t>
            </w:r>
          </w:p>
        </w:tc>
        <w:tc>
          <w:tcPr>
            <w:tcW w:w="979" w:type="dxa"/>
          </w:tcPr>
          <w:p w14:paraId="4FF95415" w14:textId="07E822BB" w:rsidR="00634539" w:rsidRPr="000078B0"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r w:rsidRPr="00022706">
              <w:rPr>
                <w:rFonts w:eastAsia="PMingLiU" w:cs="Calibri"/>
              </w:rPr>
              <w:t>$</w:t>
            </w:r>
            <w:r w:rsidR="00BD3393" w:rsidRPr="00022706">
              <w:rPr>
                <w:rFonts w:eastAsia="PMingLiU" w:cs="Calibri"/>
              </w:rPr>
              <w:t>1,424.24</w:t>
            </w:r>
          </w:p>
        </w:tc>
        <w:tc>
          <w:tcPr>
            <w:tcW w:w="1307" w:type="dxa"/>
          </w:tcPr>
          <w:p w14:paraId="2B1B82DF"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5978654D" w14:textId="7396E0DA"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$3,</w:t>
            </w:r>
            <w:r w:rsidR="00BD3393">
              <w:rPr>
                <w:rFonts w:eastAsia="PMingLiU" w:cs="Calibri"/>
              </w:rPr>
              <w:t>259</w:t>
            </w:r>
            <w:r w:rsidRPr="001C1E47">
              <w:rPr>
                <w:rFonts w:eastAsia="PMingLiU" w:cs="Calibri"/>
              </w:rPr>
              <w:t>.</w:t>
            </w:r>
            <w:r w:rsidR="00BD3393">
              <w:rPr>
                <w:rFonts w:eastAsia="PMingLiU" w:cs="Calibri"/>
              </w:rPr>
              <w:t>35</w:t>
            </w:r>
          </w:p>
          <w:p w14:paraId="7AD30EF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0ACD15B8" w14:textId="77777777" w:rsidR="00D07734" w:rsidRDefault="00D07734" w:rsidP="00D07734">
            <w:pPr>
              <w:cnfStyle w:val="000000000000" w:firstRow="0" w:lastRow="0" w:firstColumn="0" w:lastColumn="0" w:oddVBand="0" w:evenVBand="0" w:oddHBand="0" w:evenHBand="0" w:firstRowFirstColumn="0" w:firstRowLastColumn="0" w:lastRowFirstColumn="0" w:lastRowLastColumn="0"/>
            </w:pPr>
            <w:r w:rsidRPr="001C1E47">
              <w:rPr>
                <w:rFonts w:cs="Calibri"/>
              </w:rPr>
              <w:t>The further review level is based on a three-year national average.  The range of acceptable data not requiring further review is from $2,</w:t>
            </w:r>
            <w:r>
              <w:rPr>
                <w:rFonts w:cs="Calibri"/>
              </w:rPr>
              <w:t>444.51</w:t>
            </w:r>
            <w:r w:rsidRPr="001C1E47">
              <w:rPr>
                <w:rFonts w:cs="Calibri"/>
              </w:rPr>
              <w:t xml:space="preserve"> to $</w:t>
            </w:r>
            <w:r>
              <w:rPr>
                <w:rFonts w:cs="Calibri"/>
              </w:rPr>
              <w:t>4</w:t>
            </w:r>
            <w:r w:rsidRPr="001C1E47">
              <w:rPr>
                <w:rFonts w:cs="Calibri"/>
              </w:rPr>
              <w:t>,</w:t>
            </w:r>
            <w:r>
              <w:rPr>
                <w:rFonts w:cs="Calibri"/>
              </w:rPr>
              <w:t>074</w:t>
            </w:r>
            <w:r w:rsidRPr="001C1E47">
              <w:rPr>
                <w:rFonts w:cs="Calibri"/>
              </w:rPr>
              <w:t>.</w:t>
            </w:r>
            <w:r>
              <w:rPr>
                <w:rFonts w:cs="Calibri"/>
              </w:rPr>
              <w:t>19</w:t>
            </w:r>
            <w:r w:rsidRPr="001C1E47">
              <w:rPr>
                <w:rFonts w:cs="Calibri"/>
              </w:rPr>
              <w:t>.</w:t>
            </w:r>
          </w:p>
          <w:p w14:paraId="0DF20B53" w14:textId="552EECD4" w:rsidR="00634539" w:rsidRPr="001C1E47" w:rsidRDefault="00634539" w:rsidP="00634539">
            <w:pPr>
              <w:ind w:right="1331"/>
              <w:cnfStyle w:val="000000000000" w:firstRow="0" w:lastRow="0" w:firstColumn="0" w:lastColumn="0" w:oddVBand="0" w:evenVBand="0" w:oddHBand="0" w:evenHBand="0" w:firstRowFirstColumn="0" w:firstRowLastColumn="0" w:lastRowFirstColumn="0" w:lastRowLastColumn="0"/>
              <w:rPr>
                <w:rFonts w:cs="Calibri"/>
              </w:rPr>
            </w:pPr>
          </w:p>
        </w:tc>
      </w:tr>
      <w:tr w:rsidR="00634539" w:rsidRPr="001C1E47" w14:paraId="4CF9D609"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0ABEB3D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51065DBA"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a</w:t>
            </w:r>
            <w:r w:rsidRPr="001C1E47">
              <w:rPr>
                <w:rFonts w:cs="Calibri"/>
              </w:rPr>
              <w:t>.  Average current serious penalty in private sector</w:t>
            </w:r>
          </w:p>
          <w:p w14:paraId="7C4696D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(1-25 workers)</w:t>
            </w:r>
          </w:p>
        </w:tc>
        <w:tc>
          <w:tcPr>
            <w:tcW w:w="979" w:type="dxa"/>
          </w:tcPr>
          <w:p w14:paraId="3B168483" w14:textId="7408617F" w:rsidR="00634539" w:rsidRPr="000078B0"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r w:rsidRPr="00022706">
              <w:rPr>
                <w:rFonts w:eastAsia="PMingLiU" w:cs="Calibri"/>
              </w:rPr>
              <w:t>$</w:t>
            </w:r>
            <w:r w:rsidR="00BD3393" w:rsidRPr="00022706">
              <w:rPr>
                <w:rFonts w:eastAsia="PMingLiU" w:cs="Calibri"/>
              </w:rPr>
              <w:t>560.00</w:t>
            </w:r>
          </w:p>
        </w:tc>
        <w:tc>
          <w:tcPr>
            <w:tcW w:w="1307" w:type="dxa"/>
          </w:tcPr>
          <w:p w14:paraId="69E6628A"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465F36E0" w14:textId="5E150A52"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w:t>
            </w:r>
            <w:r w:rsidR="00BD3393">
              <w:rPr>
                <w:rFonts w:cs="Calibri"/>
              </w:rPr>
              <w:t>145.46</w:t>
            </w:r>
          </w:p>
          <w:p w14:paraId="4DC91B0C"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371F75E0" w14:textId="63DAB392"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$1,</w:t>
            </w:r>
            <w:r w:rsidR="00BD3393">
              <w:rPr>
                <w:rFonts w:cs="Calibri"/>
              </w:rPr>
              <w:t>609.10</w:t>
            </w:r>
            <w:r w:rsidRPr="001C1E47">
              <w:rPr>
                <w:rFonts w:cs="Calibri"/>
              </w:rPr>
              <w:t xml:space="preserve"> to $2</w:t>
            </w:r>
            <w:r w:rsidR="0062765E">
              <w:rPr>
                <w:rFonts w:cs="Calibri"/>
              </w:rPr>
              <w:t>,681.83</w:t>
            </w:r>
            <w:r w:rsidRPr="001C1E47">
              <w:rPr>
                <w:rFonts w:cs="Calibri"/>
              </w:rPr>
              <w:t>.</w:t>
            </w:r>
          </w:p>
        </w:tc>
      </w:tr>
      <w:tr w:rsidR="00634539" w:rsidRPr="001C1E47" w14:paraId="2F293093"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794F1E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18122F6D"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b</w:t>
            </w:r>
            <w:r w:rsidRPr="001C1E47">
              <w:rPr>
                <w:rFonts w:cs="Calibri"/>
              </w:rPr>
              <w:t xml:space="preserve">. Average current serious penalty in private sector </w:t>
            </w:r>
          </w:p>
          <w:p w14:paraId="0CB214A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(26-100 workers</w:t>
            </w:r>
            <w:r w:rsidRPr="001C1E47">
              <w:rPr>
                <w:rFonts w:cs="Calibri"/>
                <w:b/>
              </w:rPr>
              <w:t>)</w:t>
            </w:r>
          </w:p>
        </w:tc>
        <w:tc>
          <w:tcPr>
            <w:tcW w:w="979" w:type="dxa"/>
          </w:tcPr>
          <w:p w14:paraId="26CF4361" w14:textId="7A362CBF" w:rsidR="00634539" w:rsidRPr="000078B0"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r w:rsidRPr="00022706">
              <w:rPr>
                <w:rFonts w:eastAsia="PMingLiU" w:cs="Calibri"/>
              </w:rPr>
              <w:t>$</w:t>
            </w:r>
            <w:r w:rsidR="0062765E" w:rsidRPr="00022706">
              <w:rPr>
                <w:rFonts w:eastAsia="PMingLiU" w:cs="Calibri"/>
              </w:rPr>
              <w:t>1,863.18</w:t>
            </w:r>
          </w:p>
        </w:tc>
        <w:tc>
          <w:tcPr>
            <w:tcW w:w="1307" w:type="dxa"/>
          </w:tcPr>
          <w:p w14:paraId="7858AB9D"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7CBC9BE5" w14:textId="065EBC0A"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$3,</w:t>
            </w:r>
            <w:r w:rsidR="0062765E">
              <w:rPr>
                <w:rFonts w:cs="Calibri"/>
              </w:rPr>
              <w:t>818.56</w:t>
            </w:r>
          </w:p>
          <w:p w14:paraId="6AB595C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533EE6CD" w14:textId="39B7E3F7" w:rsidR="00D07734" w:rsidRPr="001C1E47" w:rsidRDefault="00634539" w:rsidP="00D07734">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$2,</w:t>
            </w:r>
            <w:r w:rsidR="0062765E">
              <w:rPr>
                <w:rFonts w:cs="Calibri"/>
              </w:rPr>
              <w:t>863.92</w:t>
            </w:r>
            <w:r w:rsidRPr="001C1E47">
              <w:rPr>
                <w:rFonts w:cs="Calibri"/>
              </w:rPr>
              <w:t xml:space="preserve"> to $4,</w:t>
            </w:r>
            <w:r w:rsidR="0062765E">
              <w:rPr>
                <w:rFonts w:cs="Calibri"/>
              </w:rPr>
              <w:t>773.20</w:t>
            </w:r>
            <w:r w:rsidRPr="001C1E47">
              <w:rPr>
                <w:rFonts w:cs="Calibri"/>
              </w:rPr>
              <w:t>.</w:t>
            </w:r>
          </w:p>
        </w:tc>
      </w:tr>
      <w:tr w:rsidR="00634539" w:rsidRPr="001C1E47" w14:paraId="786F3F1A"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A3932A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5F59BDF5"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c</w:t>
            </w:r>
            <w:r w:rsidRPr="001C1E47">
              <w:rPr>
                <w:rFonts w:cs="Calibri"/>
              </w:rPr>
              <w:t>. Average current serious penalty in private sector</w:t>
            </w:r>
          </w:p>
          <w:p w14:paraId="10D9592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(101-250 workers)</w:t>
            </w:r>
          </w:p>
        </w:tc>
        <w:tc>
          <w:tcPr>
            <w:tcW w:w="979" w:type="dxa"/>
          </w:tcPr>
          <w:p w14:paraId="7D3E6F14" w14:textId="73CFF75D" w:rsidR="00634539" w:rsidRPr="000078B0"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r w:rsidRPr="00022706">
              <w:rPr>
                <w:rFonts w:eastAsia="PMingLiU" w:cs="Calibri"/>
              </w:rPr>
              <w:t>$</w:t>
            </w:r>
            <w:r w:rsidR="0062765E" w:rsidRPr="00022706">
              <w:rPr>
                <w:rFonts w:eastAsia="PMingLiU" w:cs="Calibri"/>
              </w:rPr>
              <w:t>3,512.71</w:t>
            </w:r>
          </w:p>
        </w:tc>
        <w:tc>
          <w:tcPr>
            <w:tcW w:w="1307" w:type="dxa"/>
          </w:tcPr>
          <w:p w14:paraId="5F3855C3"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0F3F11A7" w14:textId="40B70E49"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$5,</w:t>
            </w:r>
            <w:r w:rsidR="0062765E">
              <w:rPr>
                <w:rFonts w:cs="Calibri"/>
              </w:rPr>
              <w:t>469.60</w:t>
            </w:r>
          </w:p>
          <w:p w14:paraId="0194F82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4B00CAC2" w14:textId="48840186"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w:t>
            </w:r>
            <w:r w:rsidR="0062765E">
              <w:rPr>
                <w:rFonts w:cs="Calibri"/>
              </w:rPr>
              <w:t>4,102.20</w:t>
            </w:r>
            <w:r w:rsidRPr="001C1E47">
              <w:rPr>
                <w:rFonts w:cs="Calibri"/>
              </w:rPr>
              <w:t xml:space="preserve"> to $6,</w:t>
            </w:r>
            <w:r w:rsidR="0062765E">
              <w:rPr>
                <w:rFonts w:cs="Calibri"/>
              </w:rPr>
              <w:t>837.00</w:t>
            </w:r>
            <w:r w:rsidRPr="001C1E47">
              <w:rPr>
                <w:rFonts w:cs="Calibri"/>
              </w:rPr>
              <w:t>.</w:t>
            </w:r>
          </w:p>
        </w:tc>
      </w:tr>
      <w:tr w:rsidR="00634539" w:rsidRPr="001C1E47" w14:paraId="44B346AD"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ED4D0D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b w:val="0"/>
              </w:rPr>
            </w:pPr>
          </w:p>
        </w:tc>
        <w:tc>
          <w:tcPr>
            <w:tcW w:w="2572" w:type="dxa"/>
          </w:tcPr>
          <w:p w14:paraId="255BABE2" w14:textId="77777777" w:rsidR="00634539" w:rsidRPr="001C1E47" w:rsidRDefault="00634539" w:rsidP="00814412">
            <w:pP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b/>
              </w:rPr>
              <w:t>d</w:t>
            </w:r>
            <w:r w:rsidRPr="001C1E47">
              <w:rPr>
                <w:rFonts w:cs="Calibri"/>
              </w:rPr>
              <w:t>. Average current serious penalty in private sector</w:t>
            </w:r>
          </w:p>
          <w:p w14:paraId="48DDBB4B"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w:t>
            </w:r>
            <w:proofErr w:type="gramStart"/>
            <w:r w:rsidRPr="001C1E47">
              <w:rPr>
                <w:rFonts w:cs="Calibri"/>
              </w:rPr>
              <w:t>greater</w:t>
            </w:r>
            <w:proofErr w:type="gramEnd"/>
            <w:r w:rsidRPr="001C1E47">
              <w:rPr>
                <w:rFonts w:cs="Calibri"/>
              </w:rPr>
              <w:t xml:space="preserve"> than 250 workers)</w:t>
            </w:r>
          </w:p>
        </w:tc>
        <w:tc>
          <w:tcPr>
            <w:tcW w:w="979" w:type="dxa"/>
          </w:tcPr>
          <w:p w14:paraId="7D66FCF1" w14:textId="3B9BB603" w:rsidR="00634539" w:rsidRPr="000078B0"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color w:val="FF0000"/>
              </w:rPr>
            </w:pPr>
            <w:r w:rsidRPr="00022706">
              <w:rPr>
                <w:rFonts w:eastAsia="PMingLiU" w:cs="Calibri"/>
              </w:rPr>
              <w:t>$</w:t>
            </w:r>
            <w:r w:rsidR="0062765E" w:rsidRPr="00022706">
              <w:rPr>
                <w:rFonts w:eastAsia="PMingLiU" w:cs="Calibri"/>
              </w:rPr>
              <w:t>3,268.51</w:t>
            </w:r>
          </w:p>
        </w:tc>
        <w:tc>
          <w:tcPr>
            <w:tcW w:w="1307" w:type="dxa"/>
          </w:tcPr>
          <w:p w14:paraId="73029B70"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+/- 25% of </w:t>
            </w:r>
          </w:p>
          <w:p w14:paraId="46121B7C" w14:textId="0CFF229B"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$6,</w:t>
            </w:r>
            <w:r w:rsidR="0062765E">
              <w:rPr>
                <w:rFonts w:cs="Calibri"/>
              </w:rPr>
              <w:t>725.78</w:t>
            </w:r>
          </w:p>
          <w:p w14:paraId="3FB5515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p>
        </w:tc>
        <w:tc>
          <w:tcPr>
            <w:tcW w:w="4599" w:type="dxa"/>
          </w:tcPr>
          <w:p w14:paraId="29FF5D83" w14:textId="402CE19B"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w:t>
            </w:r>
            <w:r w:rsidR="0062765E">
              <w:rPr>
                <w:rFonts w:cs="Calibri"/>
              </w:rPr>
              <w:t>5,044.34</w:t>
            </w:r>
            <w:r w:rsidRPr="001C1E47">
              <w:rPr>
                <w:rFonts w:cs="Calibri"/>
              </w:rPr>
              <w:t xml:space="preserve"> to $8,</w:t>
            </w:r>
            <w:r w:rsidR="0062765E">
              <w:rPr>
                <w:rFonts w:cs="Calibri"/>
              </w:rPr>
              <w:t>407.23</w:t>
            </w:r>
            <w:r w:rsidRPr="001C1E47">
              <w:rPr>
                <w:rFonts w:cs="Calibri"/>
              </w:rPr>
              <w:t>.</w:t>
            </w:r>
          </w:p>
        </w:tc>
      </w:tr>
      <w:tr w:rsidR="00634539" w:rsidRPr="001C1E47" w14:paraId="6F99001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CAB3DC1"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9a</w:t>
            </w:r>
          </w:p>
        </w:tc>
        <w:tc>
          <w:tcPr>
            <w:tcW w:w="2572" w:type="dxa"/>
          </w:tcPr>
          <w:p w14:paraId="406CE5F6"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(safety)</w:t>
            </w:r>
          </w:p>
        </w:tc>
        <w:tc>
          <w:tcPr>
            <w:tcW w:w="979" w:type="dxa"/>
          </w:tcPr>
          <w:p w14:paraId="2CBEE7D5" w14:textId="495F924C"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26.12</w:t>
            </w:r>
            <w:r w:rsidR="00634539" w:rsidRPr="001C1E47">
              <w:rPr>
                <w:rFonts w:eastAsia="PMingLiU" w:cs="Calibri"/>
              </w:rPr>
              <w:t>%</w:t>
            </w:r>
          </w:p>
        </w:tc>
        <w:tc>
          <w:tcPr>
            <w:tcW w:w="1307" w:type="dxa"/>
          </w:tcPr>
          <w:p w14:paraId="32D0AB93"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0A52EE0A" w14:textId="6958FD7F"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32.25</w:t>
            </w:r>
            <w:r w:rsidR="00634539" w:rsidRPr="001C1E47">
              <w:rPr>
                <w:rFonts w:cs="Calibri"/>
              </w:rPr>
              <w:t>%</w:t>
            </w:r>
          </w:p>
        </w:tc>
        <w:tc>
          <w:tcPr>
            <w:tcW w:w="4599" w:type="dxa"/>
          </w:tcPr>
          <w:p w14:paraId="2A829BA0" w14:textId="1B440284"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based on a three-year national average.  The range of acceptable data not requiring further review is from 25.</w:t>
            </w:r>
            <w:r w:rsidR="0062765E">
              <w:rPr>
                <w:rFonts w:cs="Calibri"/>
              </w:rPr>
              <w:t>80</w:t>
            </w:r>
            <w:r w:rsidRPr="001C1E47">
              <w:rPr>
                <w:rFonts w:cs="Calibri"/>
              </w:rPr>
              <w:t>% to 3</w:t>
            </w:r>
            <w:r w:rsidR="0062765E">
              <w:rPr>
                <w:rFonts w:cs="Calibri"/>
              </w:rPr>
              <w:t>8.70</w:t>
            </w:r>
            <w:r w:rsidRPr="001C1E47">
              <w:rPr>
                <w:rFonts w:cs="Calibri"/>
              </w:rPr>
              <w:t>% for safety.</w:t>
            </w:r>
          </w:p>
        </w:tc>
      </w:tr>
      <w:tr w:rsidR="00634539" w:rsidRPr="001C1E47" w14:paraId="3EB76E55"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5BA68B8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9b</w:t>
            </w:r>
          </w:p>
        </w:tc>
        <w:tc>
          <w:tcPr>
            <w:tcW w:w="2572" w:type="dxa"/>
          </w:tcPr>
          <w:p w14:paraId="1F4404BA"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in compliance (health)</w:t>
            </w:r>
          </w:p>
        </w:tc>
        <w:tc>
          <w:tcPr>
            <w:tcW w:w="979" w:type="dxa"/>
          </w:tcPr>
          <w:p w14:paraId="0F761403" w14:textId="6982B19E"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52.17</w:t>
            </w:r>
            <w:r w:rsidR="00634539" w:rsidRPr="001C1E47">
              <w:rPr>
                <w:rFonts w:eastAsia="PMingLiU" w:cs="Calibri"/>
              </w:rPr>
              <w:t>%</w:t>
            </w:r>
          </w:p>
        </w:tc>
        <w:tc>
          <w:tcPr>
            <w:tcW w:w="1307" w:type="dxa"/>
          </w:tcPr>
          <w:p w14:paraId="3FEA72A8"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+/- 20% of</w:t>
            </w:r>
          </w:p>
          <w:p w14:paraId="203D8062" w14:textId="3CB34517"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44.42</w:t>
            </w:r>
            <w:r w:rsidR="00634539" w:rsidRPr="001C1E47">
              <w:rPr>
                <w:rFonts w:cs="Calibri"/>
              </w:rPr>
              <w:t>%</w:t>
            </w:r>
          </w:p>
        </w:tc>
        <w:tc>
          <w:tcPr>
            <w:tcW w:w="4599" w:type="dxa"/>
          </w:tcPr>
          <w:p w14:paraId="7272F1E9" w14:textId="6790A896"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62765E">
              <w:rPr>
                <w:rFonts w:cs="Calibri"/>
              </w:rPr>
              <w:t>35.54</w:t>
            </w:r>
            <w:r w:rsidRPr="001C1E47">
              <w:rPr>
                <w:rFonts w:cs="Calibri"/>
              </w:rPr>
              <w:t xml:space="preserve">% to </w:t>
            </w:r>
            <w:r w:rsidR="0062765E">
              <w:rPr>
                <w:rFonts w:cs="Calibri"/>
              </w:rPr>
              <w:t>53.30</w:t>
            </w:r>
            <w:r w:rsidRPr="001C1E47">
              <w:rPr>
                <w:rFonts w:cs="Calibri"/>
              </w:rPr>
              <w:t>% for health.</w:t>
            </w:r>
          </w:p>
        </w:tc>
      </w:tr>
      <w:tr w:rsidR="00634539" w:rsidRPr="001C1E47" w14:paraId="6BD622B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E1081E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10</w:t>
            </w:r>
          </w:p>
        </w:tc>
        <w:tc>
          <w:tcPr>
            <w:tcW w:w="2572" w:type="dxa"/>
          </w:tcPr>
          <w:p w14:paraId="7A55532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work-related fatalities responded to in one workday</w:t>
            </w:r>
          </w:p>
        </w:tc>
        <w:tc>
          <w:tcPr>
            <w:tcW w:w="979" w:type="dxa"/>
          </w:tcPr>
          <w:p w14:paraId="36635117" w14:textId="145BA2ED"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22706">
              <w:rPr>
                <w:rFonts w:eastAsia="PMingLiU" w:cs="Calibri"/>
              </w:rPr>
              <w:t>96.43</w:t>
            </w:r>
            <w:r w:rsidR="00634539" w:rsidRPr="001C1E47">
              <w:rPr>
                <w:rFonts w:eastAsia="PMingLiU" w:cs="Calibri"/>
              </w:rPr>
              <w:t>%</w:t>
            </w:r>
          </w:p>
        </w:tc>
        <w:tc>
          <w:tcPr>
            <w:tcW w:w="1307" w:type="dxa"/>
          </w:tcPr>
          <w:p w14:paraId="1B2A9E1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eastAsia="PMingLiU" w:cs="Calibri"/>
              </w:rPr>
              <w:t>100%</w:t>
            </w:r>
          </w:p>
        </w:tc>
        <w:tc>
          <w:tcPr>
            <w:tcW w:w="4599" w:type="dxa"/>
          </w:tcPr>
          <w:p w14:paraId="4CFEF3A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2893D3CE"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0FE802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11a</w:t>
            </w:r>
          </w:p>
        </w:tc>
        <w:tc>
          <w:tcPr>
            <w:tcW w:w="2572" w:type="dxa"/>
          </w:tcPr>
          <w:p w14:paraId="0E88131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(safety)</w:t>
            </w:r>
          </w:p>
        </w:tc>
        <w:tc>
          <w:tcPr>
            <w:tcW w:w="979" w:type="dxa"/>
          </w:tcPr>
          <w:p w14:paraId="155143E8" w14:textId="7887ABBD"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44.71</w:t>
            </w:r>
          </w:p>
        </w:tc>
        <w:tc>
          <w:tcPr>
            <w:tcW w:w="1307" w:type="dxa"/>
          </w:tcPr>
          <w:p w14:paraId="69A6D9FE"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+/- 20% of </w:t>
            </w:r>
          </w:p>
          <w:p w14:paraId="4105E6C0" w14:textId="24BDDBB4" w:rsidR="00634539" w:rsidRPr="001C1E47" w:rsidRDefault="009265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54.58</w:t>
            </w:r>
          </w:p>
        </w:tc>
        <w:tc>
          <w:tcPr>
            <w:tcW w:w="4599" w:type="dxa"/>
          </w:tcPr>
          <w:p w14:paraId="6966AC50" w14:textId="77777777" w:rsidR="00D07734" w:rsidRDefault="00D07734" w:rsidP="00D07734">
            <w:pPr>
              <w:cnfStyle w:val="000000000000" w:firstRow="0" w:lastRow="0" w:firstColumn="0" w:lastColumn="0" w:oddVBand="0" w:evenVBand="0" w:oddHBand="0" w:evenHBand="0" w:firstRowFirstColumn="0" w:firstRowLastColumn="0" w:lastRowFirstColumn="0" w:lastRowLastColumn="0"/>
            </w:pPr>
            <w:r w:rsidRPr="001C1E47">
              <w:rPr>
                <w:rFonts w:cs="Calibri"/>
              </w:rPr>
              <w:t xml:space="preserve">The further review level is </w:t>
            </w:r>
            <w:r>
              <w:rPr>
                <w:rFonts w:cs="Calibri"/>
              </w:rPr>
              <w:t>b</w:t>
            </w:r>
            <w:r w:rsidRPr="001C1E47">
              <w:rPr>
                <w:rFonts w:cs="Calibri"/>
              </w:rPr>
              <w:t>ased on a three-year national average.  The range of acceptable data not requiring further review is from 4</w:t>
            </w:r>
            <w:r>
              <w:rPr>
                <w:rFonts w:cs="Calibri"/>
              </w:rPr>
              <w:t>3.66</w:t>
            </w:r>
            <w:r w:rsidRPr="001C1E47">
              <w:rPr>
                <w:rFonts w:cs="Calibri"/>
              </w:rPr>
              <w:t xml:space="preserve"> to 6</w:t>
            </w:r>
            <w:r>
              <w:rPr>
                <w:rFonts w:cs="Calibri"/>
              </w:rPr>
              <w:t>5.50</w:t>
            </w:r>
            <w:r w:rsidRPr="001C1E47">
              <w:rPr>
                <w:rFonts w:cs="Calibri"/>
              </w:rPr>
              <w:t xml:space="preserve"> for safety.</w:t>
            </w:r>
          </w:p>
          <w:p w14:paraId="1A7228CC" w14:textId="0B9F40E0" w:rsidR="00634539" w:rsidRPr="001C1E47" w:rsidRDefault="00634539" w:rsidP="00494C4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eastAsia="PMingLiU" w:cs="Calibri"/>
              </w:rPr>
            </w:pPr>
          </w:p>
        </w:tc>
      </w:tr>
      <w:tr w:rsidR="00634539" w:rsidRPr="001C1E47" w14:paraId="71994532"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A315A6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11b</w:t>
            </w:r>
          </w:p>
        </w:tc>
        <w:tc>
          <w:tcPr>
            <w:tcW w:w="2572" w:type="dxa"/>
          </w:tcPr>
          <w:p w14:paraId="62670A9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lapse time (health)</w:t>
            </w:r>
          </w:p>
        </w:tc>
        <w:tc>
          <w:tcPr>
            <w:tcW w:w="979" w:type="dxa"/>
          </w:tcPr>
          <w:p w14:paraId="260D705D" w14:textId="74E21463"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22706">
              <w:rPr>
                <w:rFonts w:eastAsia="PMingLiU" w:cs="Calibri"/>
              </w:rPr>
              <w:t>92.79</w:t>
            </w:r>
          </w:p>
        </w:tc>
        <w:tc>
          <w:tcPr>
            <w:tcW w:w="1307" w:type="dxa"/>
          </w:tcPr>
          <w:p w14:paraId="6C9C53C8"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xml:space="preserve">+/- 20% of </w:t>
            </w:r>
          </w:p>
          <w:p w14:paraId="4447221B" w14:textId="01EE9160" w:rsidR="00634539" w:rsidRPr="001C1E47" w:rsidRDefault="009265B5"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69.03</w:t>
            </w:r>
          </w:p>
        </w:tc>
        <w:tc>
          <w:tcPr>
            <w:tcW w:w="4599" w:type="dxa"/>
          </w:tcPr>
          <w:p w14:paraId="402BB02F" w14:textId="77777777" w:rsidR="00634539"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The further review level is based on a three-year national average.  The range of acceptable data not requiring further review is from 5</w:t>
            </w:r>
            <w:r w:rsidR="009265B5">
              <w:rPr>
                <w:rFonts w:cs="Calibri"/>
              </w:rPr>
              <w:t>5.22</w:t>
            </w:r>
            <w:r w:rsidRPr="001C1E47">
              <w:rPr>
                <w:rFonts w:cs="Calibri"/>
              </w:rPr>
              <w:t xml:space="preserve"> to </w:t>
            </w:r>
            <w:r w:rsidR="009265B5">
              <w:rPr>
                <w:rFonts w:cs="Calibri"/>
              </w:rPr>
              <w:t>82.84</w:t>
            </w:r>
            <w:r w:rsidRPr="001C1E47">
              <w:rPr>
                <w:rFonts w:cs="Calibri"/>
              </w:rPr>
              <w:t xml:space="preserve"> for health.</w:t>
            </w:r>
          </w:p>
          <w:p w14:paraId="77F448C9" w14:textId="046C0C97" w:rsidR="00D07734" w:rsidRPr="001C1E47" w:rsidRDefault="00D07734"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p>
        </w:tc>
      </w:tr>
      <w:tr w:rsidR="00634539" w:rsidRPr="001C1E47" w14:paraId="13BCA211"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20008AD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12</w:t>
            </w:r>
          </w:p>
        </w:tc>
        <w:tc>
          <w:tcPr>
            <w:tcW w:w="2572" w:type="dxa"/>
          </w:tcPr>
          <w:p w14:paraId="4FDC62A7"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penalty retained</w:t>
            </w:r>
          </w:p>
        </w:tc>
        <w:tc>
          <w:tcPr>
            <w:tcW w:w="979" w:type="dxa"/>
          </w:tcPr>
          <w:p w14:paraId="54C1921C" w14:textId="6D19DF50"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77.04</w:t>
            </w:r>
            <w:r w:rsidR="00634539" w:rsidRPr="001C1E47">
              <w:rPr>
                <w:rFonts w:cs="Calibri"/>
              </w:rPr>
              <w:t>%</w:t>
            </w:r>
          </w:p>
        </w:tc>
        <w:tc>
          <w:tcPr>
            <w:tcW w:w="1307" w:type="dxa"/>
          </w:tcPr>
          <w:p w14:paraId="210F162A"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+/- 15% of</w:t>
            </w:r>
          </w:p>
          <w:p w14:paraId="5AD20280" w14:textId="7DCAB4B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69.</w:t>
            </w:r>
            <w:r w:rsidR="009265B5">
              <w:rPr>
                <w:rFonts w:cs="Calibri"/>
              </w:rPr>
              <w:t>97</w:t>
            </w:r>
            <w:r w:rsidRPr="001C1E47">
              <w:rPr>
                <w:rFonts w:cs="Calibri"/>
              </w:rPr>
              <w:t>%</w:t>
            </w:r>
          </w:p>
        </w:tc>
        <w:tc>
          <w:tcPr>
            <w:tcW w:w="4599" w:type="dxa"/>
          </w:tcPr>
          <w:p w14:paraId="45B6E003" w14:textId="042311B1"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9265B5">
              <w:rPr>
                <w:rFonts w:cs="Calibri"/>
              </w:rPr>
              <w:t>59.</w:t>
            </w:r>
            <w:r w:rsidR="001F473A">
              <w:rPr>
                <w:rFonts w:cs="Calibri"/>
              </w:rPr>
              <w:t>47</w:t>
            </w:r>
            <w:r w:rsidRPr="001C1E47">
              <w:rPr>
                <w:rFonts w:cs="Calibri"/>
              </w:rPr>
              <w:t xml:space="preserve">% to </w:t>
            </w:r>
            <w:r w:rsidR="001F473A">
              <w:rPr>
                <w:rFonts w:cs="Calibri"/>
              </w:rPr>
              <w:t>80.47</w:t>
            </w:r>
            <w:r w:rsidRPr="001C1E47">
              <w:rPr>
                <w:rFonts w:cs="Calibri"/>
              </w:rPr>
              <w:t>%.</w:t>
            </w:r>
          </w:p>
        </w:tc>
      </w:tr>
      <w:tr w:rsidR="00634539" w:rsidRPr="001C1E47" w14:paraId="2EAC34D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6A22AE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13</w:t>
            </w:r>
          </w:p>
        </w:tc>
        <w:tc>
          <w:tcPr>
            <w:tcW w:w="2572" w:type="dxa"/>
          </w:tcPr>
          <w:p w14:paraId="56540F9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initial inspections with worker walk-around representation or worker interview</w:t>
            </w:r>
          </w:p>
        </w:tc>
        <w:tc>
          <w:tcPr>
            <w:tcW w:w="979" w:type="dxa"/>
          </w:tcPr>
          <w:p w14:paraId="71E71ED8" w14:textId="77C1DCEA"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22706">
              <w:rPr>
                <w:rFonts w:cs="Calibri"/>
              </w:rPr>
              <w:t>97.73</w:t>
            </w:r>
            <w:r w:rsidR="00634539" w:rsidRPr="001C1E47">
              <w:rPr>
                <w:rFonts w:cs="Calibri"/>
              </w:rPr>
              <w:t>%</w:t>
            </w:r>
          </w:p>
        </w:tc>
        <w:tc>
          <w:tcPr>
            <w:tcW w:w="1307" w:type="dxa"/>
          </w:tcPr>
          <w:p w14:paraId="4A97427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100%</w:t>
            </w:r>
          </w:p>
        </w:tc>
        <w:tc>
          <w:tcPr>
            <w:tcW w:w="4599" w:type="dxa"/>
          </w:tcPr>
          <w:p w14:paraId="27DEF00F"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The further review level is fixed for all State Plans.</w:t>
            </w:r>
          </w:p>
        </w:tc>
      </w:tr>
      <w:tr w:rsidR="00634539" w:rsidRPr="001C1E47" w14:paraId="0083664F"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1F73B0DD"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14</w:t>
            </w:r>
          </w:p>
        </w:tc>
        <w:tc>
          <w:tcPr>
            <w:tcW w:w="2572" w:type="dxa"/>
          </w:tcPr>
          <w:p w14:paraId="3454CDD3"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investigations completed within 90 days</w:t>
            </w:r>
          </w:p>
        </w:tc>
        <w:tc>
          <w:tcPr>
            <w:tcW w:w="979" w:type="dxa"/>
          </w:tcPr>
          <w:p w14:paraId="3468F2B1" w14:textId="5E18526B"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1307" w:type="dxa"/>
          </w:tcPr>
          <w:p w14:paraId="39333E60" w14:textId="192290C3"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7DECCD0D" w14:textId="270BD7DE"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This measure is not being reported for FY 2022</w:t>
            </w:r>
            <w:r w:rsidR="00634539" w:rsidRPr="001C1E47">
              <w:rPr>
                <w:rFonts w:cs="Calibri"/>
              </w:rPr>
              <w:t>.</w:t>
            </w:r>
            <w:r>
              <w:rPr>
                <w:rFonts w:cs="Calibri"/>
              </w:rPr>
              <w:t xml:space="preserve"> Please see note below.</w:t>
            </w:r>
          </w:p>
        </w:tc>
      </w:tr>
      <w:tr w:rsidR="00634539" w:rsidRPr="001C1E47" w14:paraId="570F3912"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4BF89E78"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15</w:t>
            </w:r>
          </w:p>
        </w:tc>
        <w:tc>
          <w:tcPr>
            <w:tcW w:w="2572" w:type="dxa"/>
          </w:tcPr>
          <w:p w14:paraId="1BE43D2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11(c) complaints that are meritorious</w:t>
            </w:r>
          </w:p>
        </w:tc>
        <w:tc>
          <w:tcPr>
            <w:tcW w:w="979" w:type="dxa"/>
          </w:tcPr>
          <w:p w14:paraId="1E0B0B7D" w14:textId="3A09BC9B"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1307" w:type="dxa"/>
          </w:tcPr>
          <w:p w14:paraId="147E9AB5" w14:textId="27BA5549"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5801C5D4" w14:textId="5E7C3808"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 xml:space="preserve">This measure is not being reported for FY 2022. Please see note below. </w:t>
            </w:r>
          </w:p>
        </w:tc>
      </w:tr>
      <w:tr w:rsidR="00634539" w:rsidRPr="001C1E47" w14:paraId="06EFF7B6"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7E0D4652"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lastRenderedPageBreak/>
              <w:t>16</w:t>
            </w:r>
          </w:p>
        </w:tc>
        <w:tc>
          <w:tcPr>
            <w:tcW w:w="2572" w:type="dxa"/>
          </w:tcPr>
          <w:p w14:paraId="5E4FAF60"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Average number of calendar days to complete an 11(c) investigation</w:t>
            </w:r>
          </w:p>
        </w:tc>
        <w:tc>
          <w:tcPr>
            <w:tcW w:w="979" w:type="dxa"/>
          </w:tcPr>
          <w:p w14:paraId="3207CBD2" w14:textId="0FAF1579"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eastAsia="PMingLiU" w:cs="Calibri"/>
              </w:rPr>
              <w:t>N/A*</w:t>
            </w:r>
          </w:p>
        </w:tc>
        <w:tc>
          <w:tcPr>
            <w:tcW w:w="1307" w:type="dxa"/>
            <w:shd w:val="clear" w:color="auto" w:fill="auto"/>
          </w:tcPr>
          <w:p w14:paraId="7022F7E0" w14:textId="6A152A6F"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N/A*</w:t>
            </w:r>
          </w:p>
        </w:tc>
        <w:tc>
          <w:tcPr>
            <w:tcW w:w="4599" w:type="dxa"/>
          </w:tcPr>
          <w:p w14:paraId="088C3C3F" w14:textId="2BA48CC0"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 xml:space="preserve">This measure is not being reported for FY 2022. Please see note below. </w:t>
            </w:r>
          </w:p>
        </w:tc>
      </w:tr>
      <w:tr w:rsidR="00634539" w:rsidRPr="001C1E47" w14:paraId="464BCA80" w14:textId="77777777" w:rsidTr="00D93CB3">
        <w:tc>
          <w:tcPr>
            <w:cnfStyle w:val="001000000000" w:firstRow="0" w:lastRow="0" w:firstColumn="1" w:lastColumn="0" w:oddVBand="0" w:evenVBand="0" w:oddHBand="0" w:evenHBand="0" w:firstRowFirstColumn="0" w:firstRowLastColumn="0" w:lastRowFirstColumn="0" w:lastRowLastColumn="0"/>
            <w:tcW w:w="893" w:type="dxa"/>
          </w:tcPr>
          <w:p w14:paraId="3EFEA4C9"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cs="Calibri"/>
              </w:rPr>
            </w:pPr>
            <w:r w:rsidRPr="001C1E47">
              <w:rPr>
                <w:rFonts w:eastAsia="PMingLiU" w:cs="Calibri"/>
              </w:rPr>
              <w:t>17</w:t>
            </w:r>
          </w:p>
        </w:tc>
        <w:tc>
          <w:tcPr>
            <w:tcW w:w="2572" w:type="dxa"/>
          </w:tcPr>
          <w:p w14:paraId="4A04782E" w14:textId="77777777"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Percent of enforcement presence</w:t>
            </w:r>
          </w:p>
        </w:tc>
        <w:tc>
          <w:tcPr>
            <w:tcW w:w="979" w:type="dxa"/>
          </w:tcPr>
          <w:p w14:paraId="2883494A" w14:textId="0E326254"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sidRPr="00022706">
              <w:rPr>
                <w:rFonts w:cs="Calibri"/>
              </w:rPr>
              <w:t>0.73</w:t>
            </w:r>
            <w:r w:rsidR="00634539" w:rsidRPr="001C1E47">
              <w:rPr>
                <w:rFonts w:cs="Calibri"/>
              </w:rPr>
              <w:t>%</w:t>
            </w:r>
          </w:p>
        </w:tc>
        <w:tc>
          <w:tcPr>
            <w:tcW w:w="1307" w:type="dxa"/>
          </w:tcPr>
          <w:p w14:paraId="4F9F67C9" w14:textId="77777777" w:rsidR="00634539" w:rsidRPr="001C1E47" w:rsidRDefault="00634539" w:rsidP="00814412">
            <w:pPr>
              <w:jc w:val="center"/>
              <w:cnfStyle w:val="000000000000" w:firstRow="0" w:lastRow="0" w:firstColumn="0" w:lastColumn="0" w:oddVBand="0" w:evenVBand="0" w:oddHBand="0" w:evenHBand="0" w:firstRowFirstColumn="0" w:firstRowLastColumn="0" w:lastRowFirstColumn="0" w:lastRowLastColumn="0"/>
              <w:rPr>
                <w:rFonts w:cs="Calibri"/>
              </w:rPr>
            </w:pPr>
            <w:r w:rsidRPr="001C1E47">
              <w:rPr>
                <w:rFonts w:cs="Calibri"/>
              </w:rPr>
              <w:t>+/- 25% of</w:t>
            </w:r>
          </w:p>
          <w:p w14:paraId="315D63EF" w14:textId="1E35DF66" w:rsidR="00634539" w:rsidRPr="001C1E47" w:rsidRDefault="0062765E"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cs="Calibri"/>
              </w:rPr>
            </w:pPr>
            <w:r>
              <w:rPr>
                <w:rFonts w:cs="Calibri"/>
              </w:rPr>
              <w:t>1.64</w:t>
            </w:r>
            <w:r w:rsidR="00634539" w:rsidRPr="001C1E47">
              <w:rPr>
                <w:rFonts w:cs="Calibri"/>
              </w:rPr>
              <w:t>%</w:t>
            </w:r>
          </w:p>
        </w:tc>
        <w:tc>
          <w:tcPr>
            <w:tcW w:w="4599" w:type="dxa"/>
          </w:tcPr>
          <w:p w14:paraId="66CFA076" w14:textId="0FFDD6A8" w:rsidR="00634539" w:rsidRPr="001C1E47" w:rsidRDefault="00634539" w:rsidP="00814412">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rPr>
            </w:pPr>
            <w:r w:rsidRPr="001C1E47">
              <w:rPr>
                <w:rFonts w:cs="Calibri"/>
              </w:rPr>
              <w:t xml:space="preserve">The further review level is based on a three-year national average.  The range of acceptable data not requiring further review is from </w:t>
            </w:r>
            <w:r w:rsidR="0062765E">
              <w:rPr>
                <w:rFonts w:cs="Calibri"/>
              </w:rPr>
              <w:t>1.23</w:t>
            </w:r>
            <w:r w:rsidRPr="001C1E47">
              <w:rPr>
                <w:rFonts w:cs="Calibri"/>
              </w:rPr>
              <w:t xml:space="preserve">% to </w:t>
            </w:r>
            <w:r w:rsidR="0062765E">
              <w:rPr>
                <w:rFonts w:cs="Calibri"/>
              </w:rPr>
              <w:t>2.05</w:t>
            </w:r>
            <w:r w:rsidRPr="001C1E47">
              <w:rPr>
                <w:rFonts w:cs="Calibri"/>
              </w:rPr>
              <w:t>%.</w:t>
            </w:r>
          </w:p>
        </w:tc>
      </w:tr>
    </w:tbl>
    <w:p w14:paraId="723E33DA" w14:textId="3AF9EC11" w:rsidR="005128CD" w:rsidRDefault="005128CD" w:rsidP="007A71AC">
      <w:pPr>
        <w:widowControl/>
        <w:autoSpaceDE/>
        <w:autoSpaceDN/>
        <w:adjustRightInd/>
        <w:rPr>
          <w:rFonts w:cs="Calibri"/>
          <w:b/>
          <w:color w:val="1F497D"/>
          <w:sz w:val="28"/>
          <w:szCs w:val="28"/>
        </w:rPr>
      </w:pPr>
    </w:p>
    <w:p w14:paraId="20E21BB9" w14:textId="23C87B06" w:rsidR="000078B0" w:rsidRPr="00022706" w:rsidRDefault="000078B0" w:rsidP="007A71AC">
      <w:pPr>
        <w:widowControl/>
        <w:autoSpaceDE/>
        <w:autoSpaceDN/>
        <w:adjustRightInd/>
        <w:rPr>
          <w:rFonts w:cs="Calibri"/>
          <w:bCs/>
        </w:rPr>
      </w:pPr>
      <w:r w:rsidRPr="00022706">
        <w:rPr>
          <w:rFonts w:cs="Calibri"/>
          <w:bCs/>
        </w:rPr>
        <w:t xml:space="preserve">NOTE: The national averages in this report are three-year rolling averages.  Unless noted, the data contained in this Appendix D are pulled from the State Activity Mandated Measures (SAMM) Report in OIS run on November 14, 2022, as part of OSHA’s official end-of year data run. </w:t>
      </w:r>
    </w:p>
    <w:p w14:paraId="5D246B7F" w14:textId="593CCA91" w:rsidR="000078B0" w:rsidRPr="00022706" w:rsidRDefault="000078B0" w:rsidP="007A71AC">
      <w:pPr>
        <w:widowControl/>
        <w:autoSpaceDE/>
        <w:autoSpaceDN/>
        <w:adjustRightInd/>
        <w:rPr>
          <w:rFonts w:cs="Calibri"/>
          <w:bCs/>
        </w:rPr>
      </w:pPr>
    </w:p>
    <w:p w14:paraId="0C33F7F1" w14:textId="74527A69" w:rsidR="000078B0" w:rsidRPr="00022706" w:rsidRDefault="000078B0" w:rsidP="007A71AC">
      <w:pPr>
        <w:widowControl/>
        <w:autoSpaceDE/>
        <w:autoSpaceDN/>
        <w:adjustRightInd/>
        <w:rPr>
          <w:rFonts w:cs="Calibri"/>
          <w:bCs/>
        </w:rPr>
      </w:pPr>
      <w:r w:rsidRPr="00022706">
        <w:rPr>
          <w:rFonts w:cs="Calibri"/>
          <w:bCs/>
        </w:rPr>
        <w:t xml:space="preserve">*Due to transition of 11(c) data from IMIS to OIS, SAMMs 14, 15, and 16 are not being reported for FY 2022. </w:t>
      </w:r>
    </w:p>
    <w:p w14:paraId="575825F5" w14:textId="77777777" w:rsidR="005128CD" w:rsidRPr="001C1E47" w:rsidRDefault="005128CD" w:rsidP="007A71AC">
      <w:pPr>
        <w:widowControl/>
        <w:autoSpaceDE/>
        <w:autoSpaceDN/>
        <w:adjustRightInd/>
        <w:rPr>
          <w:rFonts w:cs="Calibri"/>
          <w:b/>
          <w:color w:val="1F497D"/>
          <w:sz w:val="28"/>
          <w:szCs w:val="28"/>
        </w:rPr>
      </w:pPr>
    </w:p>
    <w:p w14:paraId="325D26EC" w14:textId="77777777" w:rsidR="00E950BC" w:rsidRPr="001C1E47" w:rsidRDefault="00E950BC" w:rsidP="00634539">
      <w:pPr>
        <w:widowControl/>
        <w:autoSpaceDE/>
        <w:autoSpaceDN/>
        <w:adjustRightInd/>
        <w:rPr>
          <w:rFonts w:cs="Calibri"/>
          <w:i/>
        </w:rPr>
      </w:pPr>
    </w:p>
    <w:p w14:paraId="4A00AD13" w14:textId="77777777" w:rsidR="000A134A" w:rsidRPr="001C1E47" w:rsidRDefault="000A134A" w:rsidP="007A71AC">
      <w:pPr>
        <w:widowControl/>
        <w:autoSpaceDE/>
        <w:autoSpaceDN/>
        <w:adjustRightInd/>
        <w:rPr>
          <w:rFonts w:cs="Calibri"/>
          <w:i/>
        </w:rPr>
      </w:pPr>
    </w:p>
    <w:p w14:paraId="16FC8813" w14:textId="182092D2" w:rsidR="0092646E" w:rsidRPr="00476C08" w:rsidRDefault="000A134A" w:rsidP="00F40413">
      <w:pPr>
        <w:widowControl/>
        <w:autoSpaceDE/>
        <w:autoSpaceDN/>
        <w:adjustRightInd/>
        <w:ind w:left="1080"/>
        <w:rPr>
          <w:rFonts w:cs="Calibri"/>
          <w:iCs/>
          <w:color w:val="0070C0"/>
        </w:rPr>
      </w:pPr>
      <w:r w:rsidRPr="00476C08">
        <w:rPr>
          <w:rFonts w:cs="Calibri"/>
          <w:iCs/>
          <w:color w:val="0070C0"/>
        </w:rPr>
        <w:t xml:space="preserve">                             </w:t>
      </w:r>
    </w:p>
    <w:p w14:paraId="70FCF008" w14:textId="77777777" w:rsidR="0016336D" w:rsidRPr="001C1E47" w:rsidRDefault="0016336D" w:rsidP="00F40413">
      <w:pPr>
        <w:widowControl/>
        <w:autoSpaceDE/>
        <w:autoSpaceDN/>
        <w:adjustRightInd/>
        <w:ind w:left="1080"/>
        <w:rPr>
          <w:rFonts w:cs="Calibri"/>
        </w:rPr>
      </w:pPr>
    </w:p>
    <w:p w14:paraId="3291466A" w14:textId="77777777" w:rsidR="005F128A" w:rsidRPr="001C1E47" w:rsidRDefault="005F128A" w:rsidP="00F40413">
      <w:pPr>
        <w:widowControl/>
        <w:autoSpaceDE/>
        <w:autoSpaceDN/>
        <w:adjustRightInd/>
        <w:ind w:left="1080"/>
        <w:rPr>
          <w:rFonts w:cs="Calibri"/>
        </w:rPr>
      </w:pPr>
    </w:p>
    <w:p w14:paraId="0A470C61" w14:textId="77777777" w:rsidR="005128CD" w:rsidRPr="001C1E47" w:rsidRDefault="005128CD" w:rsidP="00634539">
      <w:pPr>
        <w:widowControl/>
        <w:autoSpaceDE/>
        <w:autoSpaceDN/>
        <w:adjustRightInd/>
        <w:rPr>
          <w:rFonts w:cs="Calibri"/>
        </w:rPr>
        <w:sectPr w:rsidR="005128CD" w:rsidRPr="001C1E47" w:rsidSect="00476C08">
          <w:headerReference w:type="even" r:id="rId29"/>
          <w:headerReference w:type="default" r:id="rId30"/>
          <w:footerReference w:type="default" r:id="rId31"/>
          <w:headerReference w:type="first" r:id="rId32"/>
          <w:pgSz w:w="12240" w:h="15840" w:code="1"/>
          <w:pgMar w:top="1440" w:right="1440" w:bottom="1440" w:left="1440" w:header="720" w:footer="720" w:gutter="0"/>
          <w:cols w:space="720"/>
          <w:noEndnote/>
          <w:docGrid w:linePitch="326"/>
        </w:sectPr>
      </w:pPr>
    </w:p>
    <w:p w14:paraId="52265BF8" w14:textId="77777777" w:rsidR="005F128A" w:rsidRPr="001C1E47" w:rsidRDefault="005F128A" w:rsidP="00634539">
      <w:pPr>
        <w:widowControl/>
        <w:autoSpaceDE/>
        <w:autoSpaceDN/>
        <w:adjustRightInd/>
        <w:rPr>
          <w:rFonts w:cs="Calibri"/>
        </w:rPr>
      </w:pPr>
    </w:p>
    <w:p w14:paraId="24A311E3" w14:textId="77777777" w:rsidR="005F128A" w:rsidRPr="001C1E47" w:rsidRDefault="005F128A" w:rsidP="00F40413">
      <w:pPr>
        <w:widowControl/>
        <w:autoSpaceDE/>
        <w:autoSpaceDN/>
        <w:adjustRightInd/>
        <w:ind w:left="1080"/>
        <w:rPr>
          <w:rFonts w:cs="Calibri"/>
        </w:rPr>
      </w:pPr>
    </w:p>
    <w:p w14:paraId="1EF1EE4F" w14:textId="77777777" w:rsidR="005F128A" w:rsidRPr="001C1E47" w:rsidRDefault="005F128A" w:rsidP="00F40413">
      <w:pPr>
        <w:widowControl/>
        <w:autoSpaceDE/>
        <w:autoSpaceDN/>
        <w:adjustRightInd/>
        <w:ind w:left="1080"/>
        <w:rPr>
          <w:rFonts w:cs="Calibri"/>
        </w:rPr>
      </w:pPr>
    </w:p>
    <w:p w14:paraId="6573BAF6" w14:textId="3FAD77B0" w:rsidR="00634539" w:rsidRPr="001C1E47" w:rsidRDefault="00634539" w:rsidP="00634539">
      <w:pPr>
        <w:tabs>
          <w:tab w:val="left" w:pos="3405"/>
        </w:tabs>
        <w:rPr>
          <w:rFonts w:cs="Calibri"/>
        </w:rPr>
      </w:pPr>
    </w:p>
    <w:sectPr w:rsidR="00634539" w:rsidRPr="001C1E47" w:rsidSect="005128CD">
      <w:headerReference w:type="even" r:id="rId33"/>
      <w:headerReference w:type="default" r:id="rId34"/>
      <w:footerReference w:type="default" r:id="rId35"/>
      <w:headerReference w:type="first" r:id="rId36"/>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D358" w14:textId="77777777" w:rsidR="0082787F" w:rsidRDefault="0082787F" w:rsidP="00C872A0">
      <w:r>
        <w:separator/>
      </w:r>
    </w:p>
  </w:endnote>
  <w:endnote w:type="continuationSeparator" w:id="0">
    <w:p w14:paraId="3055D146" w14:textId="77777777" w:rsidR="0082787F" w:rsidRDefault="0082787F" w:rsidP="00C8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auto"/>
    <w:pitch w:val="fixed"/>
    <w:sig w:usb0="00000001" w:usb1="09060000" w:usb2="00000010" w:usb3="00000000" w:csb0="00080000" w:csb1="00000000"/>
  </w:font>
  <w:font w:name="MS Mincho">
    <w:altName w:val="Yu Gothic"/>
    <w:panose1 w:val="02020609040205080304"/>
    <w:charset w:val="80"/>
    <w:family w:val="roman"/>
    <w:pitch w:val="fixed"/>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8B53" w14:textId="77777777" w:rsidR="00F57BC1" w:rsidRDefault="00F57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504CB050" w:rsidR="002648FC" w:rsidRDefault="00264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E56D4" w14:textId="4502FAB5" w:rsidR="00780E29" w:rsidRDefault="00780E2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780E29" w:rsidRDefault="00780E29">
    <w:pPr>
      <w:pStyle w:val="Footer"/>
      <w:jc w:val="center"/>
    </w:pPr>
  </w:p>
  <w:p w14:paraId="0AB20AA6" w14:textId="77777777" w:rsidR="00780E29" w:rsidRDefault="00780E29" w:rsidP="005C489D">
    <w:pPr>
      <w:pStyle w:val="Footer"/>
      <w:tabs>
        <w:tab w:val="clear" w:pos="4680"/>
        <w:tab w:val="clear" w:pos="9360"/>
        <w:tab w:val="left" w:pos="3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48562"/>
      <w:docPartObj>
        <w:docPartGallery w:val="Page Numbers (Bottom of Page)"/>
        <w:docPartUnique/>
      </w:docPartObj>
    </w:sdtPr>
    <w:sdtEndPr>
      <w:rPr>
        <w:noProof/>
      </w:rPr>
    </w:sdtEndPr>
    <w:sdtContent>
      <w:p w14:paraId="4BC72A5B" w14:textId="406F7F50"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6DEBE" w14:textId="77777777" w:rsidR="00E61319" w:rsidRDefault="00E6131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046971"/>
      <w:docPartObj>
        <w:docPartGallery w:val="Page Numbers (Bottom of Page)"/>
        <w:docPartUnique/>
      </w:docPartObj>
    </w:sdtPr>
    <w:sdtEndPr>
      <w:rPr>
        <w:noProof/>
      </w:rPr>
    </w:sdtEndPr>
    <w:sdtContent>
      <w:p w14:paraId="62D46706" w14:textId="58BDEC49"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B6D71E" w14:textId="77777777" w:rsidR="00780E29" w:rsidRDefault="00780E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D64" w14:textId="77777777" w:rsidR="00780E29" w:rsidRDefault="00780E29">
    <w:pPr>
      <w:pStyle w:val="Footer"/>
      <w:jc w:val="center"/>
    </w:pPr>
    <w:r>
      <w:t>B-1</w:t>
    </w:r>
  </w:p>
  <w:p w14:paraId="1056AAF8" w14:textId="77777777" w:rsidR="00780E29" w:rsidRDefault="00780E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72240"/>
      <w:docPartObj>
        <w:docPartGallery w:val="Page Numbers (Bottom of Page)"/>
        <w:docPartUnique/>
      </w:docPartObj>
    </w:sdtPr>
    <w:sdtEndPr>
      <w:rPr>
        <w:noProof/>
      </w:rPr>
    </w:sdtEndPr>
    <w:sdtContent>
      <w:p w14:paraId="7413F5BF" w14:textId="25062137"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9E6FE" w14:textId="77777777" w:rsidR="00780E29" w:rsidRDefault="00780E2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475891"/>
      <w:docPartObj>
        <w:docPartGallery w:val="Page Numbers (Bottom of Page)"/>
        <w:docPartUnique/>
      </w:docPartObj>
    </w:sdtPr>
    <w:sdtEndPr>
      <w:rPr>
        <w:noProof/>
      </w:rPr>
    </w:sdtEndPr>
    <w:sdtContent>
      <w:p w14:paraId="2EB48E40" w14:textId="55C41B5C" w:rsidR="00476C08" w:rsidRDefault="00476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3659E" w14:textId="1668AEAF" w:rsidR="00780E29" w:rsidRPr="00E20610" w:rsidRDefault="00780E29" w:rsidP="00E2061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AADA" w14:textId="7AB042DC" w:rsidR="00780E29" w:rsidRPr="000E07E7" w:rsidRDefault="00780E29"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EF77" w14:textId="77777777" w:rsidR="0082787F" w:rsidRDefault="0082787F" w:rsidP="00C872A0">
      <w:r>
        <w:separator/>
      </w:r>
    </w:p>
  </w:footnote>
  <w:footnote w:type="continuationSeparator" w:id="0">
    <w:p w14:paraId="26BDDD70" w14:textId="77777777" w:rsidR="0082787F" w:rsidRDefault="0082787F" w:rsidP="00C8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F5D6" w14:textId="4FCCDE08" w:rsidR="00F57BC1" w:rsidRDefault="00F57BC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8BFE" w14:textId="45D73AA6" w:rsidR="00F57BC1" w:rsidRDefault="00F57BC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6CF1BD4E" w:rsidR="00780E29" w:rsidRDefault="00780E29" w:rsidP="009A2ED6">
    <w:pPr>
      <w:pStyle w:val="Header"/>
      <w:jc w:val="center"/>
      <w:rPr>
        <w:b/>
      </w:rPr>
    </w:pPr>
  </w:p>
  <w:p w14:paraId="2DCFF2A3" w14:textId="77777777" w:rsidR="00780E29" w:rsidRPr="009A2ED6" w:rsidRDefault="00780E29" w:rsidP="009A2ED6">
    <w:pPr>
      <w:pStyle w:val="Header"/>
      <w:jc w:val="center"/>
      <w:rPr>
        <w:b/>
      </w:rPr>
    </w:pPr>
  </w:p>
  <w:p w14:paraId="1D9C2B96" w14:textId="77777777" w:rsidR="00780E29" w:rsidRPr="000767C0" w:rsidRDefault="00780E29" w:rsidP="009A2ED6">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7F71A516" w:rsidR="00780E29" w:rsidRPr="006F2309" w:rsidRDefault="00780E29" w:rsidP="006F2309">
    <w:pPr>
      <w:pStyle w:val="Header"/>
    </w:pPr>
    <w:r w:rsidRPr="006F2309">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61E6" w14:textId="218A4093" w:rsidR="00F57BC1" w:rsidRDefault="00F57BC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A0A7" w14:textId="4FDC182D" w:rsidR="00780E29" w:rsidRPr="00D2585B" w:rsidRDefault="00780E29" w:rsidP="00D2585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85ED" w14:textId="10F852B9" w:rsidR="00F57BC1" w:rsidRDefault="00F57BC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5DA3" w14:textId="722F5FC8" w:rsidR="00F57BC1" w:rsidRDefault="00F57BC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1E7A6947" w:rsidR="00780E29" w:rsidRPr="000767C0" w:rsidRDefault="00780E29" w:rsidP="009A2ED6">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DB15" w14:textId="499848D8" w:rsidR="00F57BC1" w:rsidRDefault="00F57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D969" w14:textId="016EC555" w:rsidR="00F57BC1" w:rsidRDefault="00F57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052E" w14:textId="5AF04D28" w:rsidR="00F57BC1" w:rsidRDefault="00F57B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C352" w14:textId="1B6D7CBA" w:rsidR="00F57BC1" w:rsidRDefault="00F57B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9F0" w14:textId="5256AF1E" w:rsidR="00780E29" w:rsidRPr="00B6741C" w:rsidRDefault="00780E29" w:rsidP="00B674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A15F" w14:textId="1194FAFD" w:rsidR="00780E29" w:rsidRPr="00B6741C" w:rsidRDefault="00780E29" w:rsidP="00B674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58E7" w14:textId="3B3702E2" w:rsidR="00F57BC1" w:rsidRDefault="00F57B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C8AC" w14:textId="48765A43" w:rsidR="00F57BC1" w:rsidRDefault="00F57B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A39" w14:textId="6288F54A" w:rsidR="00780E29" w:rsidRPr="00283FF9" w:rsidRDefault="00780E29" w:rsidP="00476C08">
    <w:pPr>
      <w:pStyle w:val="Heading2"/>
    </w:pPr>
    <w:r w:rsidRPr="00283FF9">
      <w:t>Appendix B – Observations and Federal Monitoring Plans</w:t>
    </w:r>
  </w:p>
  <w:p w14:paraId="5EEDD947" w14:textId="7B32B4C1" w:rsidR="00780E29" w:rsidRDefault="00780E29" w:rsidP="000A134A">
    <w:pPr>
      <w:jc w:val="center"/>
    </w:pPr>
    <w:r>
      <w:t>FY 20</w:t>
    </w:r>
    <w:r w:rsidR="00F54BE0">
      <w:t>22</w:t>
    </w:r>
    <w:r>
      <w:t xml:space="preserve"> [</w:t>
    </w:r>
    <w:r>
      <w:rPr>
        <w:i/>
      </w:rPr>
      <w:t>State Plan Name</w:t>
    </w:r>
    <w:r w:rsidRPr="001056A7">
      <w:t>]</w:t>
    </w:r>
    <w:r w:rsidRPr="003E7A6E">
      <w:t xml:space="preserve"> </w:t>
    </w:r>
    <w:r>
      <w:t>Follow-up FAME Report</w:t>
    </w:r>
  </w:p>
  <w:p w14:paraId="65B55A33" w14:textId="77777777" w:rsidR="00780E29" w:rsidRDefault="00780E29" w:rsidP="000A134A">
    <w:pPr>
      <w:jc w:val="center"/>
    </w:pPr>
  </w:p>
  <w:p w14:paraId="79523575" w14:textId="77777777" w:rsidR="00780E29" w:rsidRDefault="00780E29" w:rsidP="000A134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E8935DA"/>
    <w:multiLevelType w:val="hybridMultilevel"/>
    <w:tmpl w:val="78248694"/>
    <w:lvl w:ilvl="0" w:tplc="26E6AB72">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467A"/>
    <w:multiLevelType w:val="hybridMultilevel"/>
    <w:tmpl w:val="7BEEFD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0850163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1892500490">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149781258">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1129668191">
    <w:abstractNumId w:val="30"/>
  </w:num>
  <w:num w:numId="5" w16cid:durableId="437339714">
    <w:abstractNumId w:val="28"/>
  </w:num>
  <w:num w:numId="6" w16cid:durableId="1373268660">
    <w:abstractNumId w:val="25"/>
  </w:num>
  <w:num w:numId="7" w16cid:durableId="1614284284">
    <w:abstractNumId w:val="26"/>
  </w:num>
  <w:num w:numId="8" w16cid:durableId="1901401974">
    <w:abstractNumId w:val="29"/>
  </w:num>
  <w:num w:numId="9" w16cid:durableId="340623116">
    <w:abstractNumId w:val="27"/>
  </w:num>
  <w:num w:numId="10" w16cid:durableId="1713532647">
    <w:abstractNumId w:val="31"/>
  </w:num>
  <w:num w:numId="11" w16cid:durableId="247546233">
    <w:abstractNumId w:val="23"/>
  </w:num>
  <w:num w:numId="12" w16cid:durableId="158769152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201A"/>
    <w:rsid w:val="00002B73"/>
    <w:rsid w:val="000036AB"/>
    <w:rsid w:val="00004200"/>
    <w:rsid w:val="00007781"/>
    <w:rsid w:val="000078B0"/>
    <w:rsid w:val="000116C0"/>
    <w:rsid w:val="00014C7A"/>
    <w:rsid w:val="00016214"/>
    <w:rsid w:val="00016803"/>
    <w:rsid w:val="0001706D"/>
    <w:rsid w:val="00017349"/>
    <w:rsid w:val="00021274"/>
    <w:rsid w:val="000217D1"/>
    <w:rsid w:val="00021FE0"/>
    <w:rsid w:val="00022706"/>
    <w:rsid w:val="00022BEE"/>
    <w:rsid w:val="00023E67"/>
    <w:rsid w:val="000248F0"/>
    <w:rsid w:val="0002572C"/>
    <w:rsid w:val="00025F57"/>
    <w:rsid w:val="00026D63"/>
    <w:rsid w:val="00027093"/>
    <w:rsid w:val="0003442F"/>
    <w:rsid w:val="00034A4E"/>
    <w:rsid w:val="00035083"/>
    <w:rsid w:val="0003567C"/>
    <w:rsid w:val="00036865"/>
    <w:rsid w:val="00036BF8"/>
    <w:rsid w:val="00036EB4"/>
    <w:rsid w:val="00036F0D"/>
    <w:rsid w:val="00037F48"/>
    <w:rsid w:val="000404ED"/>
    <w:rsid w:val="00042327"/>
    <w:rsid w:val="0004291E"/>
    <w:rsid w:val="00043515"/>
    <w:rsid w:val="00044436"/>
    <w:rsid w:val="000447C9"/>
    <w:rsid w:val="000449F8"/>
    <w:rsid w:val="00045479"/>
    <w:rsid w:val="00045BD6"/>
    <w:rsid w:val="00045C51"/>
    <w:rsid w:val="00046151"/>
    <w:rsid w:val="000468C6"/>
    <w:rsid w:val="00046BEE"/>
    <w:rsid w:val="00046E13"/>
    <w:rsid w:val="000470EE"/>
    <w:rsid w:val="0005007B"/>
    <w:rsid w:val="00050FEB"/>
    <w:rsid w:val="000517FA"/>
    <w:rsid w:val="0005255C"/>
    <w:rsid w:val="00052B36"/>
    <w:rsid w:val="00053A2C"/>
    <w:rsid w:val="00054416"/>
    <w:rsid w:val="00054900"/>
    <w:rsid w:val="00055243"/>
    <w:rsid w:val="00055B40"/>
    <w:rsid w:val="00055F2C"/>
    <w:rsid w:val="00056517"/>
    <w:rsid w:val="00057103"/>
    <w:rsid w:val="00057840"/>
    <w:rsid w:val="00060D39"/>
    <w:rsid w:val="00061875"/>
    <w:rsid w:val="000625FB"/>
    <w:rsid w:val="0006398D"/>
    <w:rsid w:val="00065AB2"/>
    <w:rsid w:val="0006611A"/>
    <w:rsid w:val="00066A7B"/>
    <w:rsid w:val="00066C52"/>
    <w:rsid w:val="000701E4"/>
    <w:rsid w:val="0007073F"/>
    <w:rsid w:val="0007157F"/>
    <w:rsid w:val="00071E71"/>
    <w:rsid w:val="000724F1"/>
    <w:rsid w:val="0007306B"/>
    <w:rsid w:val="00073361"/>
    <w:rsid w:val="000743D1"/>
    <w:rsid w:val="00074876"/>
    <w:rsid w:val="000760CB"/>
    <w:rsid w:val="00076601"/>
    <w:rsid w:val="000767C0"/>
    <w:rsid w:val="00077410"/>
    <w:rsid w:val="00083A76"/>
    <w:rsid w:val="000847FC"/>
    <w:rsid w:val="00085230"/>
    <w:rsid w:val="00086F2F"/>
    <w:rsid w:val="0008759E"/>
    <w:rsid w:val="00087EE9"/>
    <w:rsid w:val="00090155"/>
    <w:rsid w:val="000902ED"/>
    <w:rsid w:val="0009134A"/>
    <w:rsid w:val="00091ABD"/>
    <w:rsid w:val="00091AE2"/>
    <w:rsid w:val="00091B54"/>
    <w:rsid w:val="000923E0"/>
    <w:rsid w:val="00092555"/>
    <w:rsid w:val="000929B5"/>
    <w:rsid w:val="00092F1B"/>
    <w:rsid w:val="00093239"/>
    <w:rsid w:val="0009535D"/>
    <w:rsid w:val="0009583F"/>
    <w:rsid w:val="000969E2"/>
    <w:rsid w:val="000A134A"/>
    <w:rsid w:val="000A1CE9"/>
    <w:rsid w:val="000A2B6F"/>
    <w:rsid w:val="000A2DE7"/>
    <w:rsid w:val="000A35BB"/>
    <w:rsid w:val="000A3878"/>
    <w:rsid w:val="000A3F63"/>
    <w:rsid w:val="000A40EC"/>
    <w:rsid w:val="000A55DB"/>
    <w:rsid w:val="000A658C"/>
    <w:rsid w:val="000A7279"/>
    <w:rsid w:val="000A7A05"/>
    <w:rsid w:val="000B07D7"/>
    <w:rsid w:val="000B1A5B"/>
    <w:rsid w:val="000B1ECC"/>
    <w:rsid w:val="000B22E4"/>
    <w:rsid w:val="000B3A37"/>
    <w:rsid w:val="000B440B"/>
    <w:rsid w:val="000B4852"/>
    <w:rsid w:val="000B6A8A"/>
    <w:rsid w:val="000C04C6"/>
    <w:rsid w:val="000C0E15"/>
    <w:rsid w:val="000C12C6"/>
    <w:rsid w:val="000C1882"/>
    <w:rsid w:val="000C1ED8"/>
    <w:rsid w:val="000C295F"/>
    <w:rsid w:val="000C2E74"/>
    <w:rsid w:val="000C368E"/>
    <w:rsid w:val="000C38BD"/>
    <w:rsid w:val="000C4141"/>
    <w:rsid w:val="000C43DE"/>
    <w:rsid w:val="000C46E4"/>
    <w:rsid w:val="000C5C82"/>
    <w:rsid w:val="000C66C4"/>
    <w:rsid w:val="000C7C9A"/>
    <w:rsid w:val="000D343F"/>
    <w:rsid w:val="000D4560"/>
    <w:rsid w:val="000D4A64"/>
    <w:rsid w:val="000D750A"/>
    <w:rsid w:val="000D7AAD"/>
    <w:rsid w:val="000E0408"/>
    <w:rsid w:val="000E07E7"/>
    <w:rsid w:val="000E0DD1"/>
    <w:rsid w:val="000E1AA2"/>
    <w:rsid w:val="000E20A2"/>
    <w:rsid w:val="000E46F3"/>
    <w:rsid w:val="000E5C64"/>
    <w:rsid w:val="000E6466"/>
    <w:rsid w:val="000E7F42"/>
    <w:rsid w:val="000F1D68"/>
    <w:rsid w:val="000F1E49"/>
    <w:rsid w:val="000F46ED"/>
    <w:rsid w:val="000F4DA3"/>
    <w:rsid w:val="000F5631"/>
    <w:rsid w:val="000F5A36"/>
    <w:rsid w:val="000F63C1"/>
    <w:rsid w:val="000F6A5C"/>
    <w:rsid w:val="000F734A"/>
    <w:rsid w:val="000F7ECC"/>
    <w:rsid w:val="001039FA"/>
    <w:rsid w:val="001056A7"/>
    <w:rsid w:val="0011011A"/>
    <w:rsid w:val="0011064F"/>
    <w:rsid w:val="00110CB0"/>
    <w:rsid w:val="001113A1"/>
    <w:rsid w:val="00112C81"/>
    <w:rsid w:val="0011326F"/>
    <w:rsid w:val="0011522A"/>
    <w:rsid w:val="00115B48"/>
    <w:rsid w:val="00115DF5"/>
    <w:rsid w:val="00116055"/>
    <w:rsid w:val="001170E4"/>
    <w:rsid w:val="00117115"/>
    <w:rsid w:val="001174A0"/>
    <w:rsid w:val="001206B1"/>
    <w:rsid w:val="0012164B"/>
    <w:rsid w:val="00122228"/>
    <w:rsid w:val="0012279E"/>
    <w:rsid w:val="00122839"/>
    <w:rsid w:val="00122BD3"/>
    <w:rsid w:val="00123AC4"/>
    <w:rsid w:val="00123F7E"/>
    <w:rsid w:val="00125065"/>
    <w:rsid w:val="00125345"/>
    <w:rsid w:val="00125C8A"/>
    <w:rsid w:val="00126880"/>
    <w:rsid w:val="00132862"/>
    <w:rsid w:val="00132F71"/>
    <w:rsid w:val="001330E6"/>
    <w:rsid w:val="001341FE"/>
    <w:rsid w:val="00134F5C"/>
    <w:rsid w:val="00134F5D"/>
    <w:rsid w:val="001358F0"/>
    <w:rsid w:val="00136DA3"/>
    <w:rsid w:val="001376D1"/>
    <w:rsid w:val="00140C21"/>
    <w:rsid w:val="00141758"/>
    <w:rsid w:val="0014199D"/>
    <w:rsid w:val="00142198"/>
    <w:rsid w:val="00143ACD"/>
    <w:rsid w:val="0014420A"/>
    <w:rsid w:val="00144A53"/>
    <w:rsid w:val="00145BC1"/>
    <w:rsid w:val="001469F6"/>
    <w:rsid w:val="001471B8"/>
    <w:rsid w:val="00147B01"/>
    <w:rsid w:val="00147F8B"/>
    <w:rsid w:val="00150F03"/>
    <w:rsid w:val="001515BB"/>
    <w:rsid w:val="00151CFD"/>
    <w:rsid w:val="00152207"/>
    <w:rsid w:val="00155591"/>
    <w:rsid w:val="00156CD6"/>
    <w:rsid w:val="00156E0C"/>
    <w:rsid w:val="00157520"/>
    <w:rsid w:val="00161740"/>
    <w:rsid w:val="0016336D"/>
    <w:rsid w:val="00163E90"/>
    <w:rsid w:val="00172085"/>
    <w:rsid w:val="00173853"/>
    <w:rsid w:val="0017552C"/>
    <w:rsid w:val="00176DF8"/>
    <w:rsid w:val="00177769"/>
    <w:rsid w:val="00177A1E"/>
    <w:rsid w:val="00177D70"/>
    <w:rsid w:val="00182B5C"/>
    <w:rsid w:val="00182CE0"/>
    <w:rsid w:val="001843E2"/>
    <w:rsid w:val="00184E43"/>
    <w:rsid w:val="00185C7D"/>
    <w:rsid w:val="001861B8"/>
    <w:rsid w:val="00187065"/>
    <w:rsid w:val="00187182"/>
    <w:rsid w:val="001902FE"/>
    <w:rsid w:val="001927A4"/>
    <w:rsid w:val="00192881"/>
    <w:rsid w:val="00192C14"/>
    <w:rsid w:val="00193E53"/>
    <w:rsid w:val="001941DE"/>
    <w:rsid w:val="0019505B"/>
    <w:rsid w:val="00195153"/>
    <w:rsid w:val="001958C8"/>
    <w:rsid w:val="001A2967"/>
    <w:rsid w:val="001A2E00"/>
    <w:rsid w:val="001A335E"/>
    <w:rsid w:val="001A3671"/>
    <w:rsid w:val="001A6B79"/>
    <w:rsid w:val="001A7BB9"/>
    <w:rsid w:val="001A7F60"/>
    <w:rsid w:val="001B0219"/>
    <w:rsid w:val="001B02D7"/>
    <w:rsid w:val="001B0632"/>
    <w:rsid w:val="001B0AF1"/>
    <w:rsid w:val="001B160F"/>
    <w:rsid w:val="001B284A"/>
    <w:rsid w:val="001B346B"/>
    <w:rsid w:val="001B6DA7"/>
    <w:rsid w:val="001B77A2"/>
    <w:rsid w:val="001C154D"/>
    <w:rsid w:val="001C1E47"/>
    <w:rsid w:val="001C2B11"/>
    <w:rsid w:val="001C3276"/>
    <w:rsid w:val="001C44E8"/>
    <w:rsid w:val="001C560E"/>
    <w:rsid w:val="001C58C2"/>
    <w:rsid w:val="001C620B"/>
    <w:rsid w:val="001C694B"/>
    <w:rsid w:val="001D1819"/>
    <w:rsid w:val="001D1A16"/>
    <w:rsid w:val="001D6530"/>
    <w:rsid w:val="001D681F"/>
    <w:rsid w:val="001D6D59"/>
    <w:rsid w:val="001D7428"/>
    <w:rsid w:val="001D7613"/>
    <w:rsid w:val="001E0EFF"/>
    <w:rsid w:val="001E1B35"/>
    <w:rsid w:val="001E1C5D"/>
    <w:rsid w:val="001E1FD1"/>
    <w:rsid w:val="001E2D62"/>
    <w:rsid w:val="001E2FBB"/>
    <w:rsid w:val="001E4F8A"/>
    <w:rsid w:val="001E5ABD"/>
    <w:rsid w:val="001E5C43"/>
    <w:rsid w:val="001E5FE4"/>
    <w:rsid w:val="001E71BA"/>
    <w:rsid w:val="001F0B51"/>
    <w:rsid w:val="001F1D8A"/>
    <w:rsid w:val="001F359C"/>
    <w:rsid w:val="001F3750"/>
    <w:rsid w:val="001F40E1"/>
    <w:rsid w:val="001F473A"/>
    <w:rsid w:val="001F58B8"/>
    <w:rsid w:val="002008CB"/>
    <w:rsid w:val="00200D27"/>
    <w:rsid w:val="002011AC"/>
    <w:rsid w:val="00201EB9"/>
    <w:rsid w:val="00202BD7"/>
    <w:rsid w:val="002048CC"/>
    <w:rsid w:val="0020506D"/>
    <w:rsid w:val="00205391"/>
    <w:rsid w:val="00205A99"/>
    <w:rsid w:val="00205B95"/>
    <w:rsid w:val="0020733F"/>
    <w:rsid w:val="00207B94"/>
    <w:rsid w:val="00210E15"/>
    <w:rsid w:val="00211626"/>
    <w:rsid w:val="0021277A"/>
    <w:rsid w:val="00212BC7"/>
    <w:rsid w:val="0021380C"/>
    <w:rsid w:val="00213FCA"/>
    <w:rsid w:val="00216621"/>
    <w:rsid w:val="00216B0E"/>
    <w:rsid w:val="00217433"/>
    <w:rsid w:val="00217437"/>
    <w:rsid w:val="00222350"/>
    <w:rsid w:val="002231D3"/>
    <w:rsid w:val="002235F3"/>
    <w:rsid w:val="002247E7"/>
    <w:rsid w:val="0022537C"/>
    <w:rsid w:val="0022685E"/>
    <w:rsid w:val="00227868"/>
    <w:rsid w:val="00230915"/>
    <w:rsid w:val="00230D53"/>
    <w:rsid w:val="0023191B"/>
    <w:rsid w:val="002337B2"/>
    <w:rsid w:val="00233C64"/>
    <w:rsid w:val="0023570D"/>
    <w:rsid w:val="002404BA"/>
    <w:rsid w:val="00241D05"/>
    <w:rsid w:val="00241D8A"/>
    <w:rsid w:val="002427F7"/>
    <w:rsid w:val="00243015"/>
    <w:rsid w:val="0024338F"/>
    <w:rsid w:val="002511A8"/>
    <w:rsid w:val="002511E9"/>
    <w:rsid w:val="002512E8"/>
    <w:rsid w:val="00251FA2"/>
    <w:rsid w:val="002523FB"/>
    <w:rsid w:val="002529E8"/>
    <w:rsid w:val="00253249"/>
    <w:rsid w:val="002536CB"/>
    <w:rsid w:val="0025526A"/>
    <w:rsid w:val="00255EA4"/>
    <w:rsid w:val="002570F6"/>
    <w:rsid w:val="00257227"/>
    <w:rsid w:val="00260A89"/>
    <w:rsid w:val="00260C9F"/>
    <w:rsid w:val="00261A11"/>
    <w:rsid w:val="00262A51"/>
    <w:rsid w:val="00262DDC"/>
    <w:rsid w:val="002648FC"/>
    <w:rsid w:val="00265778"/>
    <w:rsid w:val="002658D0"/>
    <w:rsid w:val="002679E5"/>
    <w:rsid w:val="00270695"/>
    <w:rsid w:val="002707B8"/>
    <w:rsid w:val="0027084D"/>
    <w:rsid w:val="002725BC"/>
    <w:rsid w:val="002731DE"/>
    <w:rsid w:val="002735F9"/>
    <w:rsid w:val="00273CD1"/>
    <w:rsid w:val="00274463"/>
    <w:rsid w:val="0027502F"/>
    <w:rsid w:val="00277C24"/>
    <w:rsid w:val="0028166F"/>
    <w:rsid w:val="00281733"/>
    <w:rsid w:val="0028174D"/>
    <w:rsid w:val="00281A30"/>
    <w:rsid w:val="002823D9"/>
    <w:rsid w:val="002831C6"/>
    <w:rsid w:val="00283FF9"/>
    <w:rsid w:val="00290B29"/>
    <w:rsid w:val="00292313"/>
    <w:rsid w:val="00294168"/>
    <w:rsid w:val="00294245"/>
    <w:rsid w:val="002948AE"/>
    <w:rsid w:val="00294FD0"/>
    <w:rsid w:val="002954DC"/>
    <w:rsid w:val="0029647F"/>
    <w:rsid w:val="00296B1E"/>
    <w:rsid w:val="00296ED7"/>
    <w:rsid w:val="00297ABC"/>
    <w:rsid w:val="002A2421"/>
    <w:rsid w:val="002A40A1"/>
    <w:rsid w:val="002A4594"/>
    <w:rsid w:val="002A4934"/>
    <w:rsid w:val="002A4AE7"/>
    <w:rsid w:val="002A50A7"/>
    <w:rsid w:val="002A65C4"/>
    <w:rsid w:val="002A6CAA"/>
    <w:rsid w:val="002A6EA8"/>
    <w:rsid w:val="002B020A"/>
    <w:rsid w:val="002B334F"/>
    <w:rsid w:val="002B3E37"/>
    <w:rsid w:val="002B4100"/>
    <w:rsid w:val="002B4250"/>
    <w:rsid w:val="002B429D"/>
    <w:rsid w:val="002B43F3"/>
    <w:rsid w:val="002B4830"/>
    <w:rsid w:val="002B4F49"/>
    <w:rsid w:val="002B63FA"/>
    <w:rsid w:val="002B6B4D"/>
    <w:rsid w:val="002B7D36"/>
    <w:rsid w:val="002C1E78"/>
    <w:rsid w:val="002C21A1"/>
    <w:rsid w:val="002C4E8C"/>
    <w:rsid w:val="002C65D1"/>
    <w:rsid w:val="002D0261"/>
    <w:rsid w:val="002D1D1E"/>
    <w:rsid w:val="002D473A"/>
    <w:rsid w:val="002D4F37"/>
    <w:rsid w:val="002D54B7"/>
    <w:rsid w:val="002D61CE"/>
    <w:rsid w:val="002D6E03"/>
    <w:rsid w:val="002E030B"/>
    <w:rsid w:val="002E211F"/>
    <w:rsid w:val="002E2A65"/>
    <w:rsid w:val="002E397D"/>
    <w:rsid w:val="002E43B7"/>
    <w:rsid w:val="002E4405"/>
    <w:rsid w:val="002E463F"/>
    <w:rsid w:val="002E4FDC"/>
    <w:rsid w:val="002E50F9"/>
    <w:rsid w:val="002E516E"/>
    <w:rsid w:val="002E5F0C"/>
    <w:rsid w:val="002E6386"/>
    <w:rsid w:val="002E6E73"/>
    <w:rsid w:val="002E799C"/>
    <w:rsid w:val="002F0293"/>
    <w:rsid w:val="002F140C"/>
    <w:rsid w:val="002F313C"/>
    <w:rsid w:val="002F4FA0"/>
    <w:rsid w:val="002F5F07"/>
    <w:rsid w:val="002F78C9"/>
    <w:rsid w:val="002F7F47"/>
    <w:rsid w:val="0030105C"/>
    <w:rsid w:val="00304846"/>
    <w:rsid w:val="00304930"/>
    <w:rsid w:val="0030523E"/>
    <w:rsid w:val="00306137"/>
    <w:rsid w:val="00310A34"/>
    <w:rsid w:val="00312D97"/>
    <w:rsid w:val="00312FDE"/>
    <w:rsid w:val="0031325B"/>
    <w:rsid w:val="0031493F"/>
    <w:rsid w:val="00315E58"/>
    <w:rsid w:val="00320A32"/>
    <w:rsid w:val="00322518"/>
    <w:rsid w:val="00322C51"/>
    <w:rsid w:val="003235C8"/>
    <w:rsid w:val="00324738"/>
    <w:rsid w:val="003249AC"/>
    <w:rsid w:val="0032597C"/>
    <w:rsid w:val="00327926"/>
    <w:rsid w:val="00327E12"/>
    <w:rsid w:val="003306BF"/>
    <w:rsid w:val="00331F49"/>
    <w:rsid w:val="00334155"/>
    <w:rsid w:val="00336613"/>
    <w:rsid w:val="00336FF6"/>
    <w:rsid w:val="0033715B"/>
    <w:rsid w:val="003400CE"/>
    <w:rsid w:val="00340ED2"/>
    <w:rsid w:val="00341DD1"/>
    <w:rsid w:val="0034265F"/>
    <w:rsid w:val="00343604"/>
    <w:rsid w:val="00344186"/>
    <w:rsid w:val="00344D3F"/>
    <w:rsid w:val="0034504D"/>
    <w:rsid w:val="00345174"/>
    <w:rsid w:val="0034562A"/>
    <w:rsid w:val="003478A8"/>
    <w:rsid w:val="00351ABE"/>
    <w:rsid w:val="00351DAD"/>
    <w:rsid w:val="0035483B"/>
    <w:rsid w:val="0035620E"/>
    <w:rsid w:val="0035765D"/>
    <w:rsid w:val="00360CDE"/>
    <w:rsid w:val="003625AF"/>
    <w:rsid w:val="00362DC0"/>
    <w:rsid w:val="00363176"/>
    <w:rsid w:val="00363AF6"/>
    <w:rsid w:val="0036420B"/>
    <w:rsid w:val="00366FCA"/>
    <w:rsid w:val="003675BA"/>
    <w:rsid w:val="00371330"/>
    <w:rsid w:val="00373067"/>
    <w:rsid w:val="00373624"/>
    <w:rsid w:val="00374643"/>
    <w:rsid w:val="00374E61"/>
    <w:rsid w:val="0037554E"/>
    <w:rsid w:val="003759CE"/>
    <w:rsid w:val="00375AFE"/>
    <w:rsid w:val="00377B78"/>
    <w:rsid w:val="00380246"/>
    <w:rsid w:val="0038038C"/>
    <w:rsid w:val="00380DBE"/>
    <w:rsid w:val="003810F0"/>
    <w:rsid w:val="003822A8"/>
    <w:rsid w:val="00382632"/>
    <w:rsid w:val="00383151"/>
    <w:rsid w:val="00383223"/>
    <w:rsid w:val="00384D3F"/>
    <w:rsid w:val="003861AB"/>
    <w:rsid w:val="0038622A"/>
    <w:rsid w:val="00386900"/>
    <w:rsid w:val="00386A92"/>
    <w:rsid w:val="00387B03"/>
    <w:rsid w:val="00387C8A"/>
    <w:rsid w:val="0039036E"/>
    <w:rsid w:val="00391D6F"/>
    <w:rsid w:val="00392C0A"/>
    <w:rsid w:val="0039497C"/>
    <w:rsid w:val="00395A18"/>
    <w:rsid w:val="0039632A"/>
    <w:rsid w:val="00396CFB"/>
    <w:rsid w:val="003A15AE"/>
    <w:rsid w:val="003A1E5E"/>
    <w:rsid w:val="003A1F58"/>
    <w:rsid w:val="003A20DA"/>
    <w:rsid w:val="003A2119"/>
    <w:rsid w:val="003A2485"/>
    <w:rsid w:val="003A4F3E"/>
    <w:rsid w:val="003A53CD"/>
    <w:rsid w:val="003A66E8"/>
    <w:rsid w:val="003A6DB0"/>
    <w:rsid w:val="003A79DB"/>
    <w:rsid w:val="003B2977"/>
    <w:rsid w:val="003B3314"/>
    <w:rsid w:val="003B3D85"/>
    <w:rsid w:val="003B3DD0"/>
    <w:rsid w:val="003B572B"/>
    <w:rsid w:val="003B5B99"/>
    <w:rsid w:val="003B7931"/>
    <w:rsid w:val="003B7AF5"/>
    <w:rsid w:val="003B7CA7"/>
    <w:rsid w:val="003C24E4"/>
    <w:rsid w:val="003C25AC"/>
    <w:rsid w:val="003C45C1"/>
    <w:rsid w:val="003C4845"/>
    <w:rsid w:val="003C553A"/>
    <w:rsid w:val="003C5C8B"/>
    <w:rsid w:val="003C664A"/>
    <w:rsid w:val="003C70C3"/>
    <w:rsid w:val="003D0C21"/>
    <w:rsid w:val="003D248B"/>
    <w:rsid w:val="003D2F9B"/>
    <w:rsid w:val="003D4ED4"/>
    <w:rsid w:val="003D53B8"/>
    <w:rsid w:val="003D5D7B"/>
    <w:rsid w:val="003D6D33"/>
    <w:rsid w:val="003D750D"/>
    <w:rsid w:val="003E01A1"/>
    <w:rsid w:val="003E1251"/>
    <w:rsid w:val="003E2170"/>
    <w:rsid w:val="003E375A"/>
    <w:rsid w:val="003E4294"/>
    <w:rsid w:val="003E4B5E"/>
    <w:rsid w:val="003E6165"/>
    <w:rsid w:val="003E6A8F"/>
    <w:rsid w:val="003E6E8B"/>
    <w:rsid w:val="003E7A6E"/>
    <w:rsid w:val="003E7AEA"/>
    <w:rsid w:val="003F0994"/>
    <w:rsid w:val="003F0FB1"/>
    <w:rsid w:val="003F2C9D"/>
    <w:rsid w:val="003F2E2D"/>
    <w:rsid w:val="003F46FA"/>
    <w:rsid w:val="003F67EB"/>
    <w:rsid w:val="003F6C61"/>
    <w:rsid w:val="003F7844"/>
    <w:rsid w:val="003F78C1"/>
    <w:rsid w:val="003F7A1E"/>
    <w:rsid w:val="004007AC"/>
    <w:rsid w:val="00401DF0"/>
    <w:rsid w:val="0040227E"/>
    <w:rsid w:val="00403973"/>
    <w:rsid w:val="00403ADC"/>
    <w:rsid w:val="0040424A"/>
    <w:rsid w:val="004103CD"/>
    <w:rsid w:val="00410A18"/>
    <w:rsid w:val="00410CBE"/>
    <w:rsid w:val="004119E8"/>
    <w:rsid w:val="00411E44"/>
    <w:rsid w:val="004134D7"/>
    <w:rsid w:val="004138A5"/>
    <w:rsid w:val="00414885"/>
    <w:rsid w:val="004148C0"/>
    <w:rsid w:val="00414F98"/>
    <w:rsid w:val="0041560D"/>
    <w:rsid w:val="00416112"/>
    <w:rsid w:val="00420003"/>
    <w:rsid w:val="004202C7"/>
    <w:rsid w:val="00422070"/>
    <w:rsid w:val="0042395F"/>
    <w:rsid w:val="0042568D"/>
    <w:rsid w:val="00425EE1"/>
    <w:rsid w:val="00426918"/>
    <w:rsid w:val="0042694A"/>
    <w:rsid w:val="00430741"/>
    <w:rsid w:val="00431115"/>
    <w:rsid w:val="00431F6C"/>
    <w:rsid w:val="004330DC"/>
    <w:rsid w:val="00434939"/>
    <w:rsid w:val="00435253"/>
    <w:rsid w:val="004359BB"/>
    <w:rsid w:val="004367CC"/>
    <w:rsid w:val="00440DF1"/>
    <w:rsid w:val="004419F6"/>
    <w:rsid w:val="00443054"/>
    <w:rsid w:val="00443D46"/>
    <w:rsid w:val="00446455"/>
    <w:rsid w:val="0045049B"/>
    <w:rsid w:val="00451D3D"/>
    <w:rsid w:val="00451DA6"/>
    <w:rsid w:val="00454277"/>
    <w:rsid w:val="00454FE1"/>
    <w:rsid w:val="00456A58"/>
    <w:rsid w:val="00456AB3"/>
    <w:rsid w:val="00456C45"/>
    <w:rsid w:val="00457149"/>
    <w:rsid w:val="0046047E"/>
    <w:rsid w:val="00464590"/>
    <w:rsid w:val="00464C75"/>
    <w:rsid w:val="004658D1"/>
    <w:rsid w:val="00466B8D"/>
    <w:rsid w:val="00470794"/>
    <w:rsid w:val="004716CE"/>
    <w:rsid w:val="00471DCC"/>
    <w:rsid w:val="004729E0"/>
    <w:rsid w:val="00473850"/>
    <w:rsid w:val="00473A4D"/>
    <w:rsid w:val="00473DD7"/>
    <w:rsid w:val="00473E98"/>
    <w:rsid w:val="004740E8"/>
    <w:rsid w:val="004745DA"/>
    <w:rsid w:val="00474896"/>
    <w:rsid w:val="00475E79"/>
    <w:rsid w:val="00476C08"/>
    <w:rsid w:val="00476CDA"/>
    <w:rsid w:val="0047789A"/>
    <w:rsid w:val="00480BEA"/>
    <w:rsid w:val="004811CE"/>
    <w:rsid w:val="00483334"/>
    <w:rsid w:val="004834B7"/>
    <w:rsid w:val="00483779"/>
    <w:rsid w:val="0048380E"/>
    <w:rsid w:val="00486665"/>
    <w:rsid w:val="0048668C"/>
    <w:rsid w:val="00486971"/>
    <w:rsid w:val="00486BE3"/>
    <w:rsid w:val="00487D91"/>
    <w:rsid w:val="00490395"/>
    <w:rsid w:val="0049137F"/>
    <w:rsid w:val="00491ECF"/>
    <w:rsid w:val="00492379"/>
    <w:rsid w:val="004923EB"/>
    <w:rsid w:val="0049240B"/>
    <w:rsid w:val="0049342D"/>
    <w:rsid w:val="0049420B"/>
    <w:rsid w:val="0049474F"/>
    <w:rsid w:val="00494C41"/>
    <w:rsid w:val="00495288"/>
    <w:rsid w:val="004954D4"/>
    <w:rsid w:val="00497316"/>
    <w:rsid w:val="00497C0D"/>
    <w:rsid w:val="00497CF7"/>
    <w:rsid w:val="004A17E0"/>
    <w:rsid w:val="004A57F6"/>
    <w:rsid w:val="004A5A2F"/>
    <w:rsid w:val="004A5D8B"/>
    <w:rsid w:val="004A613F"/>
    <w:rsid w:val="004B0D97"/>
    <w:rsid w:val="004B106A"/>
    <w:rsid w:val="004B31ED"/>
    <w:rsid w:val="004B394F"/>
    <w:rsid w:val="004B3D81"/>
    <w:rsid w:val="004C1432"/>
    <w:rsid w:val="004C3ECD"/>
    <w:rsid w:val="004C4576"/>
    <w:rsid w:val="004C5E86"/>
    <w:rsid w:val="004C641B"/>
    <w:rsid w:val="004C7EFC"/>
    <w:rsid w:val="004D0505"/>
    <w:rsid w:val="004D05C8"/>
    <w:rsid w:val="004D0B18"/>
    <w:rsid w:val="004D0DD0"/>
    <w:rsid w:val="004D194A"/>
    <w:rsid w:val="004D4A2C"/>
    <w:rsid w:val="004D7611"/>
    <w:rsid w:val="004E11D8"/>
    <w:rsid w:val="004E22AA"/>
    <w:rsid w:val="004E3225"/>
    <w:rsid w:val="004E40FD"/>
    <w:rsid w:val="004E4C79"/>
    <w:rsid w:val="004E505A"/>
    <w:rsid w:val="004E58BC"/>
    <w:rsid w:val="004E6043"/>
    <w:rsid w:val="004E72DE"/>
    <w:rsid w:val="004E7417"/>
    <w:rsid w:val="004E7689"/>
    <w:rsid w:val="004E7B85"/>
    <w:rsid w:val="004F2ADC"/>
    <w:rsid w:val="004F4B9A"/>
    <w:rsid w:val="004F4D6A"/>
    <w:rsid w:val="004F5900"/>
    <w:rsid w:val="004F5FF4"/>
    <w:rsid w:val="004F706D"/>
    <w:rsid w:val="004F7483"/>
    <w:rsid w:val="004F7758"/>
    <w:rsid w:val="0050077F"/>
    <w:rsid w:val="00500DEF"/>
    <w:rsid w:val="00501A12"/>
    <w:rsid w:val="00501CB0"/>
    <w:rsid w:val="00502D50"/>
    <w:rsid w:val="0050515F"/>
    <w:rsid w:val="0051107A"/>
    <w:rsid w:val="00511BBB"/>
    <w:rsid w:val="00512339"/>
    <w:rsid w:val="005128CD"/>
    <w:rsid w:val="005129C3"/>
    <w:rsid w:val="005133E4"/>
    <w:rsid w:val="00513906"/>
    <w:rsid w:val="00513BF3"/>
    <w:rsid w:val="0051489E"/>
    <w:rsid w:val="00514AFF"/>
    <w:rsid w:val="00516517"/>
    <w:rsid w:val="005175EF"/>
    <w:rsid w:val="005179A1"/>
    <w:rsid w:val="00521191"/>
    <w:rsid w:val="005218C3"/>
    <w:rsid w:val="00522159"/>
    <w:rsid w:val="0052483D"/>
    <w:rsid w:val="00525623"/>
    <w:rsid w:val="0052604A"/>
    <w:rsid w:val="00531978"/>
    <w:rsid w:val="00531F2E"/>
    <w:rsid w:val="005353EA"/>
    <w:rsid w:val="005367D5"/>
    <w:rsid w:val="00536FF5"/>
    <w:rsid w:val="00537E35"/>
    <w:rsid w:val="00540A1E"/>
    <w:rsid w:val="00540D4C"/>
    <w:rsid w:val="00541BE6"/>
    <w:rsid w:val="00542FFC"/>
    <w:rsid w:val="00543D20"/>
    <w:rsid w:val="00543F37"/>
    <w:rsid w:val="00545AD4"/>
    <w:rsid w:val="005461C0"/>
    <w:rsid w:val="005473AB"/>
    <w:rsid w:val="00547B1C"/>
    <w:rsid w:val="005504BC"/>
    <w:rsid w:val="00551791"/>
    <w:rsid w:val="00552EB3"/>
    <w:rsid w:val="00553AA5"/>
    <w:rsid w:val="005543E0"/>
    <w:rsid w:val="00555259"/>
    <w:rsid w:val="005556B2"/>
    <w:rsid w:val="00556AB0"/>
    <w:rsid w:val="00560678"/>
    <w:rsid w:val="00561459"/>
    <w:rsid w:val="00561B12"/>
    <w:rsid w:val="0056204C"/>
    <w:rsid w:val="00562433"/>
    <w:rsid w:val="00562F0E"/>
    <w:rsid w:val="005647C8"/>
    <w:rsid w:val="00565D72"/>
    <w:rsid w:val="00565F80"/>
    <w:rsid w:val="005660FD"/>
    <w:rsid w:val="005672B5"/>
    <w:rsid w:val="005700FC"/>
    <w:rsid w:val="00571660"/>
    <w:rsid w:val="0057283B"/>
    <w:rsid w:val="00575B51"/>
    <w:rsid w:val="00576178"/>
    <w:rsid w:val="0057789C"/>
    <w:rsid w:val="005819C5"/>
    <w:rsid w:val="005824E9"/>
    <w:rsid w:val="005837BD"/>
    <w:rsid w:val="0058464C"/>
    <w:rsid w:val="00584756"/>
    <w:rsid w:val="005860FD"/>
    <w:rsid w:val="00587EE4"/>
    <w:rsid w:val="00590091"/>
    <w:rsid w:val="0059072C"/>
    <w:rsid w:val="005915D6"/>
    <w:rsid w:val="00591A40"/>
    <w:rsid w:val="00591F96"/>
    <w:rsid w:val="00593BB2"/>
    <w:rsid w:val="00594F37"/>
    <w:rsid w:val="00597441"/>
    <w:rsid w:val="005A0888"/>
    <w:rsid w:val="005A1AFE"/>
    <w:rsid w:val="005A2F63"/>
    <w:rsid w:val="005A2F6F"/>
    <w:rsid w:val="005A573D"/>
    <w:rsid w:val="005A59F4"/>
    <w:rsid w:val="005A5B9A"/>
    <w:rsid w:val="005A5C27"/>
    <w:rsid w:val="005A5EEE"/>
    <w:rsid w:val="005A6B9B"/>
    <w:rsid w:val="005A7708"/>
    <w:rsid w:val="005B0F17"/>
    <w:rsid w:val="005B368D"/>
    <w:rsid w:val="005B3E85"/>
    <w:rsid w:val="005B50B8"/>
    <w:rsid w:val="005B5B2D"/>
    <w:rsid w:val="005B5BFC"/>
    <w:rsid w:val="005B7598"/>
    <w:rsid w:val="005B7C09"/>
    <w:rsid w:val="005C138B"/>
    <w:rsid w:val="005C1BFC"/>
    <w:rsid w:val="005C3F96"/>
    <w:rsid w:val="005C489D"/>
    <w:rsid w:val="005C59CE"/>
    <w:rsid w:val="005C5F99"/>
    <w:rsid w:val="005C6529"/>
    <w:rsid w:val="005D027D"/>
    <w:rsid w:val="005D053F"/>
    <w:rsid w:val="005D1B1B"/>
    <w:rsid w:val="005D1F76"/>
    <w:rsid w:val="005D1FFE"/>
    <w:rsid w:val="005D25EC"/>
    <w:rsid w:val="005D2ABC"/>
    <w:rsid w:val="005D2D13"/>
    <w:rsid w:val="005D5383"/>
    <w:rsid w:val="005D54CA"/>
    <w:rsid w:val="005D5717"/>
    <w:rsid w:val="005D5CD7"/>
    <w:rsid w:val="005D6827"/>
    <w:rsid w:val="005D7D4E"/>
    <w:rsid w:val="005D7FB3"/>
    <w:rsid w:val="005E038B"/>
    <w:rsid w:val="005E1543"/>
    <w:rsid w:val="005E18EB"/>
    <w:rsid w:val="005E1D1F"/>
    <w:rsid w:val="005E20BF"/>
    <w:rsid w:val="005E2179"/>
    <w:rsid w:val="005E2647"/>
    <w:rsid w:val="005E28CB"/>
    <w:rsid w:val="005E3EFB"/>
    <w:rsid w:val="005E56E6"/>
    <w:rsid w:val="005E61ED"/>
    <w:rsid w:val="005F128A"/>
    <w:rsid w:val="005F1373"/>
    <w:rsid w:val="005F1E90"/>
    <w:rsid w:val="005F4085"/>
    <w:rsid w:val="005F5CD7"/>
    <w:rsid w:val="005F70AA"/>
    <w:rsid w:val="00600B02"/>
    <w:rsid w:val="00600D22"/>
    <w:rsid w:val="00601444"/>
    <w:rsid w:val="006025A4"/>
    <w:rsid w:val="00602EF3"/>
    <w:rsid w:val="006036FD"/>
    <w:rsid w:val="006049B0"/>
    <w:rsid w:val="006109F6"/>
    <w:rsid w:val="0061177B"/>
    <w:rsid w:val="006124DB"/>
    <w:rsid w:val="0061276B"/>
    <w:rsid w:val="0061362E"/>
    <w:rsid w:val="00615341"/>
    <w:rsid w:val="0061616D"/>
    <w:rsid w:val="006163AE"/>
    <w:rsid w:val="00616ADA"/>
    <w:rsid w:val="006175A7"/>
    <w:rsid w:val="00617BCC"/>
    <w:rsid w:val="00621368"/>
    <w:rsid w:val="006220FA"/>
    <w:rsid w:val="006239C7"/>
    <w:rsid w:val="00623BE6"/>
    <w:rsid w:val="0062454B"/>
    <w:rsid w:val="006252C6"/>
    <w:rsid w:val="0062576C"/>
    <w:rsid w:val="00626033"/>
    <w:rsid w:val="0062765E"/>
    <w:rsid w:val="00630505"/>
    <w:rsid w:val="00630922"/>
    <w:rsid w:val="00630E11"/>
    <w:rsid w:val="00631143"/>
    <w:rsid w:val="00631459"/>
    <w:rsid w:val="00631C17"/>
    <w:rsid w:val="0063248E"/>
    <w:rsid w:val="006324CB"/>
    <w:rsid w:val="00632571"/>
    <w:rsid w:val="00632CF0"/>
    <w:rsid w:val="00632E7D"/>
    <w:rsid w:val="006331B0"/>
    <w:rsid w:val="0063415D"/>
    <w:rsid w:val="00634539"/>
    <w:rsid w:val="006345B2"/>
    <w:rsid w:val="006360DB"/>
    <w:rsid w:val="00636B85"/>
    <w:rsid w:val="006375CA"/>
    <w:rsid w:val="00643DC9"/>
    <w:rsid w:val="00644FFC"/>
    <w:rsid w:val="006460B8"/>
    <w:rsid w:val="0064646B"/>
    <w:rsid w:val="006479EF"/>
    <w:rsid w:val="006514A3"/>
    <w:rsid w:val="006529AA"/>
    <w:rsid w:val="00654707"/>
    <w:rsid w:val="0066010E"/>
    <w:rsid w:val="00660D00"/>
    <w:rsid w:val="00664D23"/>
    <w:rsid w:val="0066658E"/>
    <w:rsid w:val="006668D8"/>
    <w:rsid w:val="00666D5A"/>
    <w:rsid w:val="006672E3"/>
    <w:rsid w:val="00667656"/>
    <w:rsid w:val="00670051"/>
    <w:rsid w:val="00670523"/>
    <w:rsid w:val="00670587"/>
    <w:rsid w:val="00672D7A"/>
    <w:rsid w:val="0067419C"/>
    <w:rsid w:val="00675794"/>
    <w:rsid w:val="006765F9"/>
    <w:rsid w:val="00680333"/>
    <w:rsid w:val="00680E08"/>
    <w:rsid w:val="00681DA9"/>
    <w:rsid w:val="00683C7D"/>
    <w:rsid w:val="006856D8"/>
    <w:rsid w:val="00686D1E"/>
    <w:rsid w:val="00686E4E"/>
    <w:rsid w:val="00687F36"/>
    <w:rsid w:val="00690C0D"/>
    <w:rsid w:val="006915C5"/>
    <w:rsid w:val="00692151"/>
    <w:rsid w:val="00692678"/>
    <w:rsid w:val="00692B5D"/>
    <w:rsid w:val="00693E90"/>
    <w:rsid w:val="00694365"/>
    <w:rsid w:val="0069437A"/>
    <w:rsid w:val="00695011"/>
    <w:rsid w:val="00696E76"/>
    <w:rsid w:val="00697198"/>
    <w:rsid w:val="00697AE2"/>
    <w:rsid w:val="006A01D7"/>
    <w:rsid w:val="006A424B"/>
    <w:rsid w:val="006A6EF2"/>
    <w:rsid w:val="006A7B6C"/>
    <w:rsid w:val="006B16CD"/>
    <w:rsid w:val="006B22CB"/>
    <w:rsid w:val="006B2C36"/>
    <w:rsid w:val="006B4C20"/>
    <w:rsid w:val="006B5FC7"/>
    <w:rsid w:val="006B664F"/>
    <w:rsid w:val="006B72DC"/>
    <w:rsid w:val="006C0489"/>
    <w:rsid w:val="006C0DF1"/>
    <w:rsid w:val="006C19FF"/>
    <w:rsid w:val="006C4152"/>
    <w:rsid w:val="006C4B0D"/>
    <w:rsid w:val="006C5C95"/>
    <w:rsid w:val="006C5F38"/>
    <w:rsid w:val="006C70ED"/>
    <w:rsid w:val="006D045D"/>
    <w:rsid w:val="006D05F8"/>
    <w:rsid w:val="006D219A"/>
    <w:rsid w:val="006D2FCF"/>
    <w:rsid w:val="006D3126"/>
    <w:rsid w:val="006D3407"/>
    <w:rsid w:val="006D34ED"/>
    <w:rsid w:val="006D44D3"/>
    <w:rsid w:val="006D48AF"/>
    <w:rsid w:val="006D49F8"/>
    <w:rsid w:val="006D526E"/>
    <w:rsid w:val="006D52C6"/>
    <w:rsid w:val="006D593E"/>
    <w:rsid w:val="006D64A8"/>
    <w:rsid w:val="006D68FE"/>
    <w:rsid w:val="006D6F0C"/>
    <w:rsid w:val="006E02C8"/>
    <w:rsid w:val="006E0832"/>
    <w:rsid w:val="006E11C5"/>
    <w:rsid w:val="006E2139"/>
    <w:rsid w:val="006E2E96"/>
    <w:rsid w:val="006E31DC"/>
    <w:rsid w:val="006E4ADC"/>
    <w:rsid w:val="006E5B1C"/>
    <w:rsid w:val="006E6CC3"/>
    <w:rsid w:val="006F01DD"/>
    <w:rsid w:val="006F10FB"/>
    <w:rsid w:val="006F1799"/>
    <w:rsid w:val="006F1912"/>
    <w:rsid w:val="006F22ED"/>
    <w:rsid w:val="006F2309"/>
    <w:rsid w:val="006F4D78"/>
    <w:rsid w:val="006F511E"/>
    <w:rsid w:val="006F5CBA"/>
    <w:rsid w:val="006F5D72"/>
    <w:rsid w:val="006F7C87"/>
    <w:rsid w:val="00700807"/>
    <w:rsid w:val="00702538"/>
    <w:rsid w:val="007025D9"/>
    <w:rsid w:val="0070369D"/>
    <w:rsid w:val="00704431"/>
    <w:rsid w:val="007052B7"/>
    <w:rsid w:val="00705A09"/>
    <w:rsid w:val="00710360"/>
    <w:rsid w:val="0071221A"/>
    <w:rsid w:val="00714CC3"/>
    <w:rsid w:val="00716505"/>
    <w:rsid w:val="0072002A"/>
    <w:rsid w:val="0072015A"/>
    <w:rsid w:val="00720230"/>
    <w:rsid w:val="00720865"/>
    <w:rsid w:val="00723121"/>
    <w:rsid w:val="007232E0"/>
    <w:rsid w:val="007249B2"/>
    <w:rsid w:val="00724A9A"/>
    <w:rsid w:val="00725BBB"/>
    <w:rsid w:val="007270F4"/>
    <w:rsid w:val="0073123B"/>
    <w:rsid w:val="00731276"/>
    <w:rsid w:val="00733729"/>
    <w:rsid w:val="00733D36"/>
    <w:rsid w:val="007340FB"/>
    <w:rsid w:val="00737B21"/>
    <w:rsid w:val="007408CB"/>
    <w:rsid w:val="00740F2A"/>
    <w:rsid w:val="0074312B"/>
    <w:rsid w:val="007443F6"/>
    <w:rsid w:val="007453B6"/>
    <w:rsid w:val="007458FA"/>
    <w:rsid w:val="007467DE"/>
    <w:rsid w:val="00747710"/>
    <w:rsid w:val="00747E84"/>
    <w:rsid w:val="00750ADF"/>
    <w:rsid w:val="00753357"/>
    <w:rsid w:val="00755256"/>
    <w:rsid w:val="007552CC"/>
    <w:rsid w:val="00755907"/>
    <w:rsid w:val="007562DA"/>
    <w:rsid w:val="007565DC"/>
    <w:rsid w:val="0075756B"/>
    <w:rsid w:val="00757C70"/>
    <w:rsid w:val="0076059A"/>
    <w:rsid w:val="007627D2"/>
    <w:rsid w:val="00762C7C"/>
    <w:rsid w:val="00762FBE"/>
    <w:rsid w:val="007634A9"/>
    <w:rsid w:val="0076356B"/>
    <w:rsid w:val="007651EA"/>
    <w:rsid w:val="007664E4"/>
    <w:rsid w:val="00766A7A"/>
    <w:rsid w:val="00771BAB"/>
    <w:rsid w:val="00771C54"/>
    <w:rsid w:val="007740BD"/>
    <w:rsid w:val="007747BE"/>
    <w:rsid w:val="00775886"/>
    <w:rsid w:val="007768DF"/>
    <w:rsid w:val="007768FB"/>
    <w:rsid w:val="00776F99"/>
    <w:rsid w:val="00777C67"/>
    <w:rsid w:val="007802AD"/>
    <w:rsid w:val="0078047F"/>
    <w:rsid w:val="00780E29"/>
    <w:rsid w:val="00781203"/>
    <w:rsid w:val="00781312"/>
    <w:rsid w:val="00781F73"/>
    <w:rsid w:val="00782FF3"/>
    <w:rsid w:val="00783189"/>
    <w:rsid w:val="007845E1"/>
    <w:rsid w:val="00784ACA"/>
    <w:rsid w:val="00784C55"/>
    <w:rsid w:val="00785927"/>
    <w:rsid w:val="00785982"/>
    <w:rsid w:val="00785B2E"/>
    <w:rsid w:val="00787686"/>
    <w:rsid w:val="00787E50"/>
    <w:rsid w:val="0079063F"/>
    <w:rsid w:val="00793D9F"/>
    <w:rsid w:val="00795EF2"/>
    <w:rsid w:val="007968B8"/>
    <w:rsid w:val="00796B1B"/>
    <w:rsid w:val="007A0B2C"/>
    <w:rsid w:val="007A0FEC"/>
    <w:rsid w:val="007A12C9"/>
    <w:rsid w:val="007A17BB"/>
    <w:rsid w:val="007A272C"/>
    <w:rsid w:val="007A2B3E"/>
    <w:rsid w:val="007A2EE6"/>
    <w:rsid w:val="007A584C"/>
    <w:rsid w:val="007A6EEF"/>
    <w:rsid w:val="007A71AC"/>
    <w:rsid w:val="007A7AF1"/>
    <w:rsid w:val="007B18D0"/>
    <w:rsid w:val="007B1F3E"/>
    <w:rsid w:val="007B21AB"/>
    <w:rsid w:val="007B2E9D"/>
    <w:rsid w:val="007B38AD"/>
    <w:rsid w:val="007B5E8E"/>
    <w:rsid w:val="007B67AF"/>
    <w:rsid w:val="007B6843"/>
    <w:rsid w:val="007C0A36"/>
    <w:rsid w:val="007C0B6B"/>
    <w:rsid w:val="007C0D75"/>
    <w:rsid w:val="007C126B"/>
    <w:rsid w:val="007C13B8"/>
    <w:rsid w:val="007C2617"/>
    <w:rsid w:val="007C2FE3"/>
    <w:rsid w:val="007C3072"/>
    <w:rsid w:val="007C38C6"/>
    <w:rsid w:val="007C4D6B"/>
    <w:rsid w:val="007C4FEE"/>
    <w:rsid w:val="007C68B5"/>
    <w:rsid w:val="007C79A2"/>
    <w:rsid w:val="007D1457"/>
    <w:rsid w:val="007D1D5D"/>
    <w:rsid w:val="007D2511"/>
    <w:rsid w:val="007D354A"/>
    <w:rsid w:val="007D41D8"/>
    <w:rsid w:val="007D4FDA"/>
    <w:rsid w:val="007D5AD8"/>
    <w:rsid w:val="007D6269"/>
    <w:rsid w:val="007D62F3"/>
    <w:rsid w:val="007D6425"/>
    <w:rsid w:val="007D7696"/>
    <w:rsid w:val="007D78CE"/>
    <w:rsid w:val="007D7FFD"/>
    <w:rsid w:val="007E01D5"/>
    <w:rsid w:val="007E120E"/>
    <w:rsid w:val="007E48CF"/>
    <w:rsid w:val="007F00FF"/>
    <w:rsid w:val="007F035B"/>
    <w:rsid w:val="007F1946"/>
    <w:rsid w:val="007F2C05"/>
    <w:rsid w:val="007F2D88"/>
    <w:rsid w:val="007F31B2"/>
    <w:rsid w:val="007F34B6"/>
    <w:rsid w:val="007F352D"/>
    <w:rsid w:val="007F446E"/>
    <w:rsid w:val="007F497E"/>
    <w:rsid w:val="007F549E"/>
    <w:rsid w:val="007F607A"/>
    <w:rsid w:val="007F6FB1"/>
    <w:rsid w:val="007F71DF"/>
    <w:rsid w:val="0080076A"/>
    <w:rsid w:val="00801EB3"/>
    <w:rsid w:val="00803052"/>
    <w:rsid w:val="008033C2"/>
    <w:rsid w:val="0080342B"/>
    <w:rsid w:val="00803AF3"/>
    <w:rsid w:val="00803DB8"/>
    <w:rsid w:val="00804AA4"/>
    <w:rsid w:val="00805FBE"/>
    <w:rsid w:val="00806A19"/>
    <w:rsid w:val="00806A3A"/>
    <w:rsid w:val="00810570"/>
    <w:rsid w:val="00810BD0"/>
    <w:rsid w:val="00812232"/>
    <w:rsid w:val="00812AA1"/>
    <w:rsid w:val="008131FA"/>
    <w:rsid w:val="008133C0"/>
    <w:rsid w:val="00814A3A"/>
    <w:rsid w:val="00815A3E"/>
    <w:rsid w:val="008164E8"/>
    <w:rsid w:val="008177EE"/>
    <w:rsid w:val="00820BED"/>
    <w:rsid w:val="00821692"/>
    <w:rsid w:val="00821B54"/>
    <w:rsid w:val="00822091"/>
    <w:rsid w:val="00822230"/>
    <w:rsid w:val="00822725"/>
    <w:rsid w:val="00822A6D"/>
    <w:rsid w:val="00823311"/>
    <w:rsid w:val="00823C69"/>
    <w:rsid w:val="008246E3"/>
    <w:rsid w:val="008259CF"/>
    <w:rsid w:val="00825E35"/>
    <w:rsid w:val="00827686"/>
    <w:rsid w:val="0082787F"/>
    <w:rsid w:val="00827EC4"/>
    <w:rsid w:val="00830CC4"/>
    <w:rsid w:val="0083168B"/>
    <w:rsid w:val="00831D33"/>
    <w:rsid w:val="00832082"/>
    <w:rsid w:val="00832D88"/>
    <w:rsid w:val="00832F6E"/>
    <w:rsid w:val="0083338D"/>
    <w:rsid w:val="00833722"/>
    <w:rsid w:val="00833FB6"/>
    <w:rsid w:val="00834BC3"/>
    <w:rsid w:val="0084021E"/>
    <w:rsid w:val="00842FE7"/>
    <w:rsid w:val="00844277"/>
    <w:rsid w:val="00844434"/>
    <w:rsid w:val="00844F3B"/>
    <w:rsid w:val="008455EF"/>
    <w:rsid w:val="00845891"/>
    <w:rsid w:val="00845DFA"/>
    <w:rsid w:val="0084695A"/>
    <w:rsid w:val="00850E16"/>
    <w:rsid w:val="00851A22"/>
    <w:rsid w:val="00852018"/>
    <w:rsid w:val="008543E8"/>
    <w:rsid w:val="00856121"/>
    <w:rsid w:val="00860AF0"/>
    <w:rsid w:val="008618B2"/>
    <w:rsid w:val="008626CE"/>
    <w:rsid w:val="00862760"/>
    <w:rsid w:val="00865B2F"/>
    <w:rsid w:val="00867A25"/>
    <w:rsid w:val="008700BA"/>
    <w:rsid w:val="00873666"/>
    <w:rsid w:val="00873C4C"/>
    <w:rsid w:val="0087426E"/>
    <w:rsid w:val="00874736"/>
    <w:rsid w:val="008748B4"/>
    <w:rsid w:val="008751F6"/>
    <w:rsid w:val="00875CD5"/>
    <w:rsid w:val="00876854"/>
    <w:rsid w:val="00876986"/>
    <w:rsid w:val="008769F5"/>
    <w:rsid w:val="008804BC"/>
    <w:rsid w:val="00880D1A"/>
    <w:rsid w:val="00880D91"/>
    <w:rsid w:val="00881D81"/>
    <w:rsid w:val="00881E2C"/>
    <w:rsid w:val="00882F2B"/>
    <w:rsid w:val="00883566"/>
    <w:rsid w:val="008849FF"/>
    <w:rsid w:val="00884ED9"/>
    <w:rsid w:val="008859AC"/>
    <w:rsid w:val="008869C8"/>
    <w:rsid w:val="00886AC3"/>
    <w:rsid w:val="008961BD"/>
    <w:rsid w:val="00896574"/>
    <w:rsid w:val="008979C1"/>
    <w:rsid w:val="008A0025"/>
    <w:rsid w:val="008A2094"/>
    <w:rsid w:val="008A2249"/>
    <w:rsid w:val="008A337D"/>
    <w:rsid w:val="008A338C"/>
    <w:rsid w:val="008A37BA"/>
    <w:rsid w:val="008A4178"/>
    <w:rsid w:val="008A4E18"/>
    <w:rsid w:val="008A5250"/>
    <w:rsid w:val="008A571F"/>
    <w:rsid w:val="008A64F4"/>
    <w:rsid w:val="008A674D"/>
    <w:rsid w:val="008A78EC"/>
    <w:rsid w:val="008A7991"/>
    <w:rsid w:val="008A7C07"/>
    <w:rsid w:val="008B0E67"/>
    <w:rsid w:val="008B11C9"/>
    <w:rsid w:val="008B155F"/>
    <w:rsid w:val="008B1863"/>
    <w:rsid w:val="008B1BC6"/>
    <w:rsid w:val="008B6246"/>
    <w:rsid w:val="008B6B71"/>
    <w:rsid w:val="008C0158"/>
    <w:rsid w:val="008C174F"/>
    <w:rsid w:val="008C3F3A"/>
    <w:rsid w:val="008C4902"/>
    <w:rsid w:val="008C5042"/>
    <w:rsid w:val="008C544B"/>
    <w:rsid w:val="008C7855"/>
    <w:rsid w:val="008D1581"/>
    <w:rsid w:val="008D1BAD"/>
    <w:rsid w:val="008D1C55"/>
    <w:rsid w:val="008D33E2"/>
    <w:rsid w:val="008D4019"/>
    <w:rsid w:val="008D4A39"/>
    <w:rsid w:val="008D51F3"/>
    <w:rsid w:val="008E051D"/>
    <w:rsid w:val="008E0F34"/>
    <w:rsid w:val="008E1E03"/>
    <w:rsid w:val="008E2B3B"/>
    <w:rsid w:val="008E4A0D"/>
    <w:rsid w:val="008E7142"/>
    <w:rsid w:val="008F093F"/>
    <w:rsid w:val="008F1B64"/>
    <w:rsid w:val="008F2A12"/>
    <w:rsid w:val="008F431C"/>
    <w:rsid w:val="008F43B7"/>
    <w:rsid w:val="008F4901"/>
    <w:rsid w:val="008F5289"/>
    <w:rsid w:val="008F5430"/>
    <w:rsid w:val="008F6AD8"/>
    <w:rsid w:val="008F79E8"/>
    <w:rsid w:val="0090108A"/>
    <w:rsid w:val="00901219"/>
    <w:rsid w:val="00901BA6"/>
    <w:rsid w:val="009042CC"/>
    <w:rsid w:val="00904571"/>
    <w:rsid w:val="00906134"/>
    <w:rsid w:val="00907160"/>
    <w:rsid w:val="009076A8"/>
    <w:rsid w:val="00907EF2"/>
    <w:rsid w:val="00910D95"/>
    <w:rsid w:val="009127A4"/>
    <w:rsid w:val="00912AE9"/>
    <w:rsid w:val="00913D5F"/>
    <w:rsid w:val="00914A3B"/>
    <w:rsid w:val="009159B2"/>
    <w:rsid w:val="0091695C"/>
    <w:rsid w:val="00916A3B"/>
    <w:rsid w:val="009179D3"/>
    <w:rsid w:val="00917B96"/>
    <w:rsid w:val="00920BBD"/>
    <w:rsid w:val="00921D13"/>
    <w:rsid w:val="00925876"/>
    <w:rsid w:val="00925CC9"/>
    <w:rsid w:val="0092646E"/>
    <w:rsid w:val="009265B5"/>
    <w:rsid w:val="009310B5"/>
    <w:rsid w:val="00931611"/>
    <w:rsid w:val="009329AE"/>
    <w:rsid w:val="00933C53"/>
    <w:rsid w:val="00934C83"/>
    <w:rsid w:val="009369AE"/>
    <w:rsid w:val="00937AE9"/>
    <w:rsid w:val="0094439D"/>
    <w:rsid w:val="00944AFA"/>
    <w:rsid w:val="00945650"/>
    <w:rsid w:val="00945FE2"/>
    <w:rsid w:val="0094621D"/>
    <w:rsid w:val="00950727"/>
    <w:rsid w:val="009508E4"/>
    <w:rsid w:val="00951FDB"/>
    <w:rsid w:val="009522DA"/>
    <w:rsid w:val="00953E02"/>
    <w:rsid w:val="00954323"/>
    <w:rsid w:val="00954BC2"/>
    <w:rsid w:val="009567B8"/>
    <w:rsid w:val="00957E7E"/>
    <w:rsid w:val="00960D34"/>
    <w:rsid w:val="009611D2"/>
    <w:rsid w:val="009621A0"/>
    <w:rsid w:val="00962BC2"/>
    <w:rsid w:val="00964224"/>
    <w:rsid w:val="0096696A"/>
    <w:rsid w:val="00967201"/>
    <w:rsid w:val="00967846"/>
    <w:rsid w:val="00967C74"/>
    <w:rsid w:val="00971FDA"/>
    <w:rsid w:val="009722A8"/>
    <w:rsid w:val="00972548"/>
    <w:rsid w:val="0097287C"/>
    <w:rsid w:val="009728FF"/>
    <w:rsid w:val="00974888"/>
    <w:rsid w:val="00974B47"/>
    <w:rsid w:val="00974D53"/>
    <w:rsid w:val="00974D5D"/>
    <w:rsid w:val="009760C4"/>
    <w:rsid w:val="00976E27"/>
    <w:rsid w:val="009772A5"/>
    <w:rsid w:val="00977550"/>
    <w:rsid w:val="00980B5D"/>
    <w:rsid w:val="00981173"/>
    <w:rsid w:val="00981A75"/>
    <w:rsid w:val="00981F83"/>
    <w:rsid w:val="00983DEE"/>
    <w:rsid w:val="009841A8"/>
    <w:rsid w:val="009868BE"/>
    <w:rsid w:val="00986B64"/>
    <w:rsid w:val="00986EFA"/>
    <w:rsid w:val="009876A4"/>
    <w:rsid w:val="009917E9"/>
    <w:rsid w:val="00992416"/>
    <w:rsid w:val="00993789"/>
    <w:rsid w:val="00994B4C"/>
    <w:rsid w:val="00994F61"/>
    <w:rsid w:val="009951A9"/>
    <w:rsid w:val="00996057"/>
    <w:rsid w:val="00996394"/>
    <w:rsid w:val="00996C89"/>
    <w:rsid w:val="009979B9"/>
    <w:rsid w:val="009A03C7"/>
    <w:rsid w:val="009A0703"/>
    <w:rsid w:val="009A11A6"/>
    <w:rsid w:val="009A1399"/>
    <w:rsid w:val="009A22FD"/>
    <w:rsid w:val="009A2ED6"/>
    <w:rsid w:val="009A31E7"/>
    <w:rsid w:val="009A546A"/>
    <w:rsid w:val="009A621C"/>
    <w:rsid w:val="009A6677"/>
    <w:rsid w:val="009A6C66"/>
    <w:rsid w:val="009A6EF9"/>
    <w:rsid w:val="009A7BBC"/>
    <w:rsid w:val="009B2A11"/>
    <w:rsid w:val="009B5581"/>
    <w:rsid w:val="009B5940"/>
    <w:rsid w:val="009B63ED"/>
    <w:rsid w:val="009B710D"/>
    <w:rsid w:val="009C22CF"/>
    <w:rsid w:val="009C3862"/>
    <w:rsid w:val="009C3CD2"/>
    <w:rsid w:val="009C4171"/>
    <w:rsid w:val="009C475C"/>
    <w:rsid w:val="009C57CA"/>
    <w:rsid w:val="009C5878"/>
    <w:rsid w:val="009C60A5"/>
    <w:rsid w:val="009C75C9"/>
    <w:rsid w:val="009D1492"/>
    <w:rsid w:val="009D169E"/>
    <w:rsid w:val="009D17E7"/>
    <w:rsid w:val="009D2602"/>
    <w:rsid w:val="009D2667"/>
    <w:rsid w:val="009D3234"/>
    <w:rsid w:val="009D3976"/>
    <w:rsid w:val="009D41B7"/>
    <w:rsid w:val="009D5CA7"/>
    <w:rsid w:val="009D65CD"/>
    <w:rsid w:val="009D6E2E"/>
    <w:rsid w:val="009D7298"/>
    <w:rsid w:val="009E03C7"/>
    <w:rsid w:val="009E12B5"/>
    <w:rsid w:val="009E3C1C"/>
    <w:rsid w:val="009E3F6F"/>
    <w:rsid w:val="009E6ACB"/>
    <w:rsid w:val="009F0B0F"/>
    <w:rsid w:val="009F1043"/>
    <w:rsid w:val="009F2D78"/>
    <w:rsid w:val="009F36CA"/>
    <w:rsid w:val="009F4FE2"/>
    <w:rsid w:val="009F58F9"/>
    <w:rsid w:val="009F6167"/>
    <w:rsid w:val="009F752A"/>
    <w:rsid w:val="00A003BE"/>
    <w:rsid w:val="00A00EE1"/>
    <w:rsid w:val="00A022AB"/>
    <w:rsid w:val="00A02B33"/>
    <w:rsid w:val="00A03435"/>
    <w:rsid w:val="00A03567"/>
    <w:rsid w:val="00A0385F"/>
    <w:rsid w:val="00A04A8B"/>
    <w:rsid w:val="00A06C2D"/>
    <w:rsid w:val="00A07883"/>
    <w:rsid w:val="00A079D0"/>
    <w:rsid w:val="00A11132"/>
    <w:rsid w:val="00A11756"/>
    <w:rsid w:val="00A11969"/>
    <w:rsid w:val="00A157B9"/>
    <w:rsid w:val="00A158FB"/>
    <w:rsid w:val="00A1712E"/>
    <w:rsid w:val="00A17F2D"/>
    <w:rsid w:val="00A20667"/>
    <w:rsid w:val="00A22348"/>
    <w:rsid w:val="00A243D6"/>
    <w:rsid w:val="00A24C62"/>
    <w:rsid w:val="00A25006"/>
    <w:rsid w:val="00A254EC"/>
    <w:rsid w:val="00A25F51"/>
    <w:rsid w:val="00A26182"/>
    <w:rsid w:val="00A30382"/>
    <w:rsid w:val="00A30CEC"/>
    <w:rsid w:val="00A32604"/>
    <w:rsid w:val="00A32EF3"/>
    <w:rsid w:val="00A33959"/>
    <w:rsid w:val="00A35312"/>
    <w:rsid w:val="00A354C8"/>
    <w:rsid w:val="00A407E6"/>
    <w:rsid w:val="00A417AE"/>
    <w:rsid w:val="00A43345"/>
    <w:rsid w:val="00A447E6"/>
    <w:rsid w:val="00A463E3"/>
    <w:rsid w:val="00A468EC"/>
    <w:rsid w:val="00A46AC2"/>
    <w:rsid w:val="00A50AD6"/>
    <w:rsid w:val="00A50D0F"/>
    <w:rsid w:val="00A50E2B"/>
    <w:rsid w:val="00A51495"/>
    <w:rsid w:val="00A534BD"/>
    <w:rsid w:val="00A54097"/>
    <w:rsid w:val="00A57661"/>
    <w:rsid w:val="00A60E34"/>
    <w:rsid w:val="00A61B95"/>
    <w:rsid w:val="00A62074"/>
    <w:rsid w:val="00A62606"/>
    <w:rsid w:val="00A62EA7"/>
    <w:rsid w:val="00A6459E"/>
    <w:rsid w:val="00A64686"/>
    <w:rsid w:val="00A64CAE"/>
    <w:rsid w:val="00A6578C"/>
    <w:rsid w:val="00A71A0A"/>
    <w:rsid w:val="00A72227"/>
    <w:rsid w:val="00A72CC1"/>
    <w:rsid w:val="00A73E12"/>
    <w:rsid w:val="00A748F2"/>
    <w:rsid w:val="00A74939"/>
    <w:rsid w:val="00A76AED"/>
    <w:rsid w:val="00A77B52"/>
    <w:rsid w:val="00A77BE7"/>
    <w:rsid w:val="00A80044"/>
    <w:rsid w:val="00A81845"/>
    <w:rsid w:val="00A8271D"/>
    <w:rsid w:val="00A82AAE"/>
    <w:rsid w:val="00A82B34"/>
    <w:rsid w:val="00A83611"/>
    <w:rsid w:val="00A84B21"/>
    <w:rsid w:val="00A84F5C"/>
    <w:rsid w:val="00A8580C"/>
    <w:rsid w:val="00A85A45"/>
    <w:rsid w:val="00A85F3E"/>
    <w:rsid w:val="00A86A92"/>
    <w:rsid w:val="00A86CEB"/>
    <w:rsid w:val="00A90AA5"/>
    <w:rsid w:val="00A912BA"/>
    <w:rsid w:val="00A924F3"/>
    <w:rsid w:val="00A92AF0"/>
    <w:rsid w:val="00A94369"/>
    <w:rsid w:val="00A97923"/>
    <w:rsid w:val="00AA0E31"/>
    <w:rsid w:val="00AA1803"/>
    <w:rsid w:val="00AA20EA"/>
    <w:rsid w:val="00AA446F"/>
    <w:rsid w:val="00AA51B6"/>
    <w:rsid w:val="00AA59A6"/>
    <w:rsid w:val="00AA739B"/>
    <w:rsid w:val="00AB0D80"/>
    <w:rsid w:val="00AB13C6"/>
    <w:rsid w:val="00AB16D9"/>
    <w:rsid w:val="00AB1C49"/>
    <w:rsid w:val="00AB1FC8"/>
    <w:rsid w:val="00AB284D"/>
    <w:rsid w:val="00AB2F02"/>
    <w:rsid w:val="00AB304E"/>
    <w:rsid w:val="00AB4684"/>
    <w:rsid w:val="00AB6C17"/>
    <w:rsid w:val="00AC03C0"/>
    <w:rsid w:val="00AC0A9D"/>
    <w:rsid w:val="00AC0C9E"/>
    <w:rsid w:val="00AC16FC"/>
    <w:rsid w:val="00AC1E87"/>
    <w:rsid w:val="00AC20C0"/>
    <w:rsid w:val="00AC2876"/>
    <w:rsid w:val="00AC3349"/>
    <w:rsid w:val="00AC33C8"/>
    <w:rsid w:val="00AC449A"/>
    <w:rsid w:val="00AC4C13"/>
    <w:rsid w:val="00AC4C74"/>
    <w:rsid w:val="00AC4CD2"/>
    <w:rsid w:val="00AC5D5B"/>
    <w:rsid w:val="00AC7BE1"/>
    <w:rsid w:val="00AD059B"/>
    <w:rsid w:val="00AD102A"/>
    <w:rsid w:val="00AD1502"/>
    <w:rsid w:val="00AD1796"/>
    <w:rsid w:val="00AD1974"/>
    <w:rsid w:val="00AD2353"/>
    <w:rsid w:val="00AD239A"/>
    <w:rsid w:val="00AD26D4"/>
    <w:rsid w:val="00AD3102"/>
    <w:rsid w:val="00AD3EDC"/>
    <w:rsid w:val="00AD4BF1"/>
    <w:rsid w:val="00AD505E"/>
    <w:rsid w:val="00AD5CCC"/>
    <w:rsid w:val="00AD6CC5"/>
    <w:rsid w:val="00AD713A"/>
    <w:rsid w:val="00AD7E0B"/>
    <w:rsid w:val="00AE0E58"/>
    <w:rsid w:val="00AE594A"/>
    <w:rsid w:val="00AF0189"/>
    <w:rsid w:val="00AF061D"/>
    <w:rsid w:val="00AF12CE"/>
    <w:rsid w:val="00AF3CC4"/>
    <w:rsid w:val="00AF3FE0"/>
    <w:rsid w:val="00AF45EB"/>
    <w:rsid w:val="00AF4794"/>
    <w:rsid w:val="00AF695E"/>
    <w:rsid w:val="00AF7191"/>
    <w:rsid w:val="00AF7C74"/>
    <w:rsid w:val="00B001EB"/>
    <w:rsid w:val="00B004D7"/>
    <w:rsid w:val="00B00586"/>
    <w:rsid w:val="00B00972"/>
    <w:rsid w:val="00B0098B"/>
    <w:rsid w:val="00B00FB6"/>
    <w:rsid w:val="00B0271B"/>
    <w:rsid w:val="00B041BF"/>
    <w:rsid w:val="00B06B70"/>
    <w:rsid w:val="00B16A33"/>
    <w:rsid w:val="00B173AB"/>
    <w:rsid w:val="00B17AC0"/>
    <w:rsid w:val="00B17B7B"/>
    <w:rsid w:val="00B17D41"/>
    <w:rsid w:val="00B21333"/>
    <w:rsid w:val="00B24AD9"/>
    <w:rsid w:val="00B25959"/>
    <w:rsid w:val="00B267CA"/>
    <w:rsid w:val="00B32A7C"/>
    <w:rsid w:val="00B3572E"/>
    <w:rsid w:val="00B35F1B"/>
    <w:rsid w:val="00B40734"/>
    <w:rsid w:val="00B40C90"/>
    <w:rsid w:val="00B41FAA"/>
    <w:rsid w:val="00B44EFF"/>
    <w:rsid w:val="00B46F12"/>
    <w:rsid w:val="00B5134D"/>
    <w:rsid w:val="00B516F5"/>
    <w:rsid w:val="00B5208B"/>
    <w:rsid w:val="00B52C79"/>
    <w:rsid w:val="00B5413B"/>
    <w:rsid w:val="00B54341"/>
    <w:rsid w:val="00B54E46"/>
    <w:rsid w:val="00B559F2"/>
    <w:rsid w:val="00B57130"/>
    <w:rsid w:val="00B57816"/>
    <w:rsid w:val="00B57D82"/>
    <w:rsid w:val="00B6087C"/>
    <w:rsid w:val="00B60E4E"/>
    <w:rsid w:val="00B61973"/>
    <w:rsid w:val="00B61ED6"/>
    <w:rsid w:val="00B62E41"/>
    <w:rsid w:val="00B62EB7"/>
    <w:rsid w:val="00B6403E"/>
    <w:rsid w:val="00B65E5A"/>
    <w:rsid w:val="00B66C2A"/>
    <w:rsid w:val="00B6741C"/>
    <w:rsid w:val="00B70AD6"/>
    <w:rsid w:val="00B710C6"/>
    <w:rsid w:val="00B71940"/>
    <w:rsid w:val="00B72D36"/>
    <w:rsid w:val="00B735E5"/>
    <w:rsid w:val="00B743E8"/>
    <w:rsid w:val="00B75FEC"/>
    <w:rsid w:val="00B76239"/>
    <w:rsid w:val="00B775F5"/>
    <w:rsid w:val="00B808E4"/>
    <w:rsid w:val="00B810C9"/>
    <w:rsid w:val="00B81A7D"/>
    <w:rsid w:val="00B823A3"/>
    <w:rsid w:val="00B83729"/>
    <w:rsid w:val="00B839FB"/>
    <w:rsid w:val="00B83DFF"/>
    <w:rsid w:val="00B84A9F"/>
    <w:rsid w:val="00B85C12"/>
    <w:rsid w:val="00B8620B"/>
    <w:rsid w:val="00B909F2"/>
    <w:rsid w:val="00B928DE"/>
    <w:rsid w:val="00B92912"/>
    <w:rsid w:val="00B92BEA"/>
    <w:rsid w:val="00B95605"/>
    <w:rsid w:val="00B968AA"/>
    <w:rsid w:val="00B96B6A"/>
    <w:rsid w:val="00BA0943"/>
    <w:rsid w:val="00BA0C81"/>
    <w:rsid w:val="00BA1F04"/>
    <w:rsid w:val="00BA21E1"/>
    <w:rsid w:val="00BA23ED"/>
    <w:rsid w:val="00BA423F"/>
    <w:rsid w:val="00BA64E8"/>
    <w:rsid w:val="00BA6512"/>
    <w:rsid w:val="00BA75BB"/>
    <w:rsid w:val="00BA7CD8"/>
    <w:rsid w:val="00BB0343"/>
    <w:rsid w:val="00BB09F8"/>
    <w:rsid w:val="00BB0DDB"/>
    <w:rsid w:val="00BB235B"/>
    <w:rsid w:val="00BB27EB"/>
    <w:rsid w:val="00BB344E"/>
    <w:rsid w:val="00BB3CBD"/>
    <w:rsid w:val="00BB458D"/>
    <w:rsid w:val="00BB5CDE"/>
    <w:rsid w:val="00BB6000"/>
    <w:rsid w:val="00BB600D"/>
    <w:rsid w:val="00BB72F4"/>
    <w:rsid w:val="00BB7869"/>
    <w:rsid w:val="00BB7D5B"/>
    <w:rsid w:val="00BC0BB3"/>
    <w:rsid w:val="00BC0E8D"/>
    <w:rsid w:val="00BC10BC"/>
    <w:rsid w:val="00BC17C3"/>
    <w:rsid w:val="00BC23FB"/>
    <w:rsid w:val="00BC2458"/>
    <w:rsid w:val="00BC6254"/>
    <w:rsid w:val="00BD05FC"/>
    <w:rsid w:val="00BD2B8D"/>
    <w:rsid w:val="00BD3393"/>
    <w:rsid w:val="00BD3834"/>
    <w:rsid w:val="00BD5923"/>
    <w:rsid w:val="00BD6750"/>
    <w:rsid w:val="00BD7018"/>
    <w:rsid w:val="00BD7A6B"/>
    <w:rsid w:val="00BD7D58"/>
    <w:rsid w:val="00BD7DD0"/>
    <w:rsid w:val="00BE0493"/>
    <w:rsid w:val="00BE05DB"/>
    <w:rsid w:val="00BE1829"/>
    <w:rsid w:val="00BF4442"/>
    <w:rsid w:val="00BF487A"/>
    <w:rsid w:val="00BF5642"/>
    <w:rsid w:val="00BF640F"/>
    <w:rsid w:val="00BF7129"/>
    <w:rsid w:val="00C033E7"/>
    <w:rsid w:val="00C04166"/>
    <w:rsid w:val="00C07DF4"/>
    <w:rsid w:val="00C10836"/>
    <w:rsid w:val="00C11FD0"/>
    <w:rsid w:val="00C122BA"/>
    <w:rsid w:val="00C12D78"/>
    <w:rsid w:val="00C144E7"/>
    <w:rsid w:val="00C14885"/>
    <w:rsid w:val="00C15234"/>
    <w:rsid w:val="00C15A52"/>
    <w:rsid w:val="00C15E83"/>
    <w:rsid w:val="00C1632D"/>
    <w:rsid w:val="00C170C0"/>
    <w:rsid w:val="00C17DE9"/>
    <w:rsid w:val="00C204A6"/>
    <w:rsid w:val="00C2197D"/>
    <w:rsid w:val="00C22DAC"/>
    <w:rsid w:val="00C2352A"/>
    <w:rsid w:val="00C23BD1"/>
    <w:rsid w:val="00C300E4"/>
    <w:rsid w:val="00C303A9"/>
    <w:rsid w:val="00C303F0"/>
    <w:rsid w:val="00C306A7"/>
    <w:rsid w:val="00C30CD3"/>
    <w:rsid w:val="00C310C0"/>
    <w:rsid w:val="00C31569"/>
    <w:rsid w:val="00C31905"/>
    <w:rsid w:val="00C31AF7"/>
    <w:rsid w:val="00C33CFA"/>
    <w:rsid w:val="00C344E9"/>
    <w:rsid w:val="00C35257"/>
    <w:rsid w:val="00C35F90"/>
    <w:rsid w:val="00C36BFD"/>
    <w:rsid w:val="00C37C60"/>
    <w:rsid w:val="00C42588"/>
    <w:rsid w:val="00C443EA"/>
    <w:rsid w:val="00C449C8"/>
    <w:rsid w:val="00C451D8"/>
    <w:rsid w:val="00C4636A"/>
    <w:rsid w:val="00C4663F"/>
    <w:rsid w:val="00C51EEC"/>
    <w:rsid w:val="00C5303D"/>
    <w:rsid w:val="00C53328"/>
    <w:rsid w:val="00C53BC4"/>
    <w:rsid w:val="00C54E57"/>
    <w:rsid w:val="00C55A51"/>
    <w:rsid w:val="00C55A71"/>
    <w:rsid w:val="00C608B8"/>
    <w:rsid w:val="00C610FD"/>
    <w:rsid w:val="00C632AD"/>
    <w:rsid w:val="00C6348B"/>
    <w:rsid w:val="00C63620"/>
    <w:rsid w:val="00C63C10"/>
    <w:rsid w:val="00C66BC5"/>
    <w:rsid w:val="00C67434"/>
    <w:rsid w:val="00C70077"/>
    <w:rsid w:val="00C704AA"/>
    <w:rsid w:val="00C70B03"/>
    <w:rsid w:val="00C71652"/>
    <w:rsid w:val="00C7184D"/>
    <w:rsid w:val="00C72DC0"/>
    <w:rsid w:val="00C74CEE"/>
    <w:rsid w:val="00C76AC4"/>
    <w:rsid w:val="00C779B2"/>
    <w:rsid w:val="00C77F54"/>
    <w:rsid w:val="00C80798"/>
    <w:rsid w:val="00C818BD"/>
    <w:rsid w:val="00C81B55"/>
    <w:rsid w:val="00C822E1"/>
    <w:rsid w:val="00C82687"/>
    <w:rsid w:val="00C82A5B"/>
    <w:rsid w:val="00C84DE1"/>
    <w:rsid w:val="00C8517B"/>
    <w:rsid w:val="00C85CAB"/>
    <w:rsid w:val="00C85F05"/>
    <w:rsid w:val="00C865A9"/>
    <w:rsid w:val="00C872A0"/>
    <w:rsid w:val="00C90EE5"/>
    <w:rsid w:val="00C91F1C"/>
    <w:rsid w:val="00C93677"/>
    <w:rsid w:val="00C93F60"/>
    <w:rsid w:val="00C94FA3"/>
    <w:rsid w:val="00C9589E"/>
    <w:rsid w:val="00C95F1F"/>
    <w:rsid w:val="00C95FC8"/>
    <w:rsid w:val="00C97809"/>
    <w:rsid w:val="00C97DDC"/>
    <w:rsid w:val="00CA1905"/>
    <w:rsid w:val="00CA2A70"/>
    <w:rsid w:val="00CA2E36"/>
    <w:rsid w:val="00CA396C"/>
    <w:rsid w:val="00CA3D17"/>
    <w:rsid w:val="00CA5380"/>
    <w:rsid w:val="00CB04A3"/>
    <w:rsid w:val="00CB0B25"/>
    <w:rsid w:val="00CB1B3B"/>
    <w:rsid w:val="00CB28CD"/>
    <w:rsid w:val="00CB5257"/>
    <w:rsid w:val="00CB52E3"/>
    <w:rsid w:val="00CB540B"/>
    <w:rsid w:val="00CB56DB"/>
    <w:rsid w:val="00CC014E"/>
    <w:rsid w:val="00CC1054"/>
    <w:rsid w:val="00CC22A8"/>
    <w:rsid w:val="00CC4104"/>
    <w:rsid w:val="00CC665E"/>
    <w:rsid w:val="00CC6E87"/>
    <w:rsid w:val="00CC79E0"/>
    <w:rsid w:val="00CD058C"/>
    <w:rsid w:val="00CD059B"/>
    <w:rsid w:val="00CD1664"/>
    <w:rsid w:val="00CD1748"/>
    <w:rsid w:val="00CD251B"/>
    <w:rsid w:val="00CD25B8"/>
    <w:rsid w:val="00CD5E06"/>
    <w:rsid w:val="00CD670F"/>
    <w:rsid w:val="00CE0290"/>
    <w:rsid w:val="00CE0BF0"/>
    <w:rsid w:val="00CE0EF4"/>
    <w:rsid w:val="00CE0FA9"/>
    <w:rsid w:val="00CE1258"/>
    <w:rsid w:val="00CE2BEB"/>
    <w:rsid w:val="00CE3842"/>
    <w:rsid w:val="00CE4800"/>
    <w:rsid w:val="00CE51EE"/>
    <w:rsid w:val="00CE57AA"/>
    <w:rsid w:val="00CE7F54"/>
    <w:rsid w:val="00CF04E8"/>
    <w:rsid w:val="00CF0BB6"/>
    <w:rsid w:val="00CF291A"/>
    <w:rsid w:val="00CF2BA3"/>
    <w:rsid w:val="00CF3423"/>
    <w:rsid w:val="00CF4C38"/>
    <w:rsid w:val="00D00330"/>
    <w:rsid w:val="00D0089D"/>
    <w:rsid w:val="00D00FD6"/>
    <w:rsid w:val="00D012B0"/>
    <w:rsid w:val="00D027E6"/>
    <w:rsid w:val="00D02E83"/>
    <w:rsid w:val="00D03079"/>
    <w:rsid w:val="00D03616"/>
    <w:rsid w:val="00D03F7E"/>
    <w:rsid w:val="00D05841"/>
    <w:rsid w:val="00D05C27"/>
    <w:rsid w:val="00D05D30"/>
    <w:rsid w:val="00D05F8E"/>
    <w:rsid w:val="00D07734"/>
    <w:rsid w:val="00D07BB7"/>
    <w:rsid w:val="00D10BDF"/>
    <w:rsid w:val="00D110CF"/>
    <w:rsid w:val="00D1186B"/>
    <w:rsid w:val="00D11C10"/>
    <w:rsid w:val="00D12DCB"/>
    <w:rsid w:val="00D132FA"/>
    <w:rsid w:val="00D144D9"/>
    <w:rsid w:val="00D1582D"/>
    <w:rsid w:val="00D15D33"/>
    <w:rsid w:val="00D1749C"/>
    <w:rsid w:val="00D202A1"/>
    <w:rsid w:val="00D20CE3"/>
    <w:rsid w:val="00D214C1"/>
    <w:rsid w:val="00D228CE"/>
    <w:rsid w:val="00D23477"/>
    <w:rsid w:val="00D23754"/>
    <w:rsid w:val="00D24728"/>
    <w:rsid w:val="00D25027"/>
    <w:rsid w:val="00D254BA"/>
    <w:rsid w:val="00D256CC"/>
    <w:rsid w:val="00D2585B"/>
    <w:rsid w:val="00D305E7"/>
    <w:rsid w:val="00D31519"/>
    <w:rsid w:val="00D31E7C"/>
    <w:rsid w:val="00D32C28"/>
    <w:rsid w:val="00D33B70"/>
    <w:rsid w:val="00D3428F"/>
    <w:rsid w:val="00D3493F"/>
    <w:rsid w:val="00D34D18"/>
    <w:rsid w:val="00D35071"/>
    <w:rsid w:val="00D35BBF"/>
    <w:rsid w:val="00D37B8F"/>
    <w:rsid w:val="00D37D8A"/>
    <w:rsid w:val="00D40574"/>
    <w:rsid w:val="00D41A52"/>
    <w:rsid w:val="00D44789"/>
    <w:rsid w:val="00D46800"/>
    <w:rsid w:val="00D46C7E"/>
    <w:rsid w:val="00D46D6E"/>
    <w:rsid w:val="00D4786B"/>
    <w:rsid w:val="00D50B41"/>
    <w:rsid w:val="00D50E0E"/>
    <w:rsid w:val="00D51662"/>
    <w:rsid w:val="00D519B7"/>
    <w:rsid w:val="00D51D7E"/>
    <w:rsid w:val="00D54C49"/>
    <w:rsid w:val="00D55598"/>
    <w:rsid w:val="00D557BF"/>
    <w:rsid w:val="00D56517"/>
    <w:rsid w:val="00D571B4"/>
    <w:rsid w:val="00D60C9C"/>
    <w:rsid w:val="00D6289E"/>
    <w:rsid w:val="00D6337A"/>
    <w:rsid w:val="00D63C8B"/>
    <w:rsid w:val="00D63CFD"/>
    <w:rsid w:val="00D641D6"/>
    <w:rsid w:val="00D65888"/>
    <w:rsid w:val="00D66301"/>
    <w:rsid w:val="00D701DD"/>
    <w:rsid w:val="00D70B1F"/>
    <w:rsid w:val="00D717AD"/>
    <w:rsid w:val="00D72659"/>
    <w:rsid w:val="00D72758"/>
    <w:rsid w:val="00D72C6E"/>
    <w:rsid w:val="00D72DDD"/>
    <w:rsid w:val="00D7419B"/>
    <w:rsid w:val="00D742B5"/>
    <w:rsid w:val="00D7654E"/>
    <w:rsid w:val="00D80209"/>
    <w:rsid w:val="00D8047B"/>
    <w:rsid w:val="00D81445"/>
    <w:rsid w:val="00D82509"/>
    <w:rsid w:val="00D825EA"/>
    <w:rsid w:val="00D82A17"/>
    <w:rsid w:val="00D82A33"/>
    <w:rsid w:val="00D83995"/>
    <w:rsid w:val="00D83CC0"/>
    <w:rsid w:val="00D83D8F"/>
    <w:rsid w:val="00D84607"/>
    <w:rsid w:val="00D84901"/>
    <w:rsid w:val="00D86250"/>
    <w:rsid w:val="00D8651C"/>
    <w:rsid w:val="00D86879"/>
    <w:rsid w:val="00D87EFC"/>
    <w:rsid w:val="00D91654"/>
    <w:rsid w:val="00D93CB3"/>
    <w:rsid w:val="00D95665"/>
    <w:rsid w:val="00D96D6A"/>
    <w:rsid w:val="00D96F97"/>
    <w:rsid w:val="00D97421"/>
    <w:rsid w:val="00D97481"/>
    <w:rsid w:val="00D97C66"/>
    <w:rsid w:val="00DA10A4"/>
    <w:rsid w:val="00DA1B90"/>
    <w:rsid w:val="00DA42B5"/>
    <w:rsid w:val="00DA5B20"/>
    <w:rsid w:val="00DA627F"/>
    <w:rsid w:val="00DA70B4"/>
    <w:rsid w:val="00DA78F5"/>
    <w:rsid w:val="00DB0CC6"/>
    <w:rsid w:val="00DB2FD3"/>
    <w:rsid w:val="00DB32BF"/>
    <w:rsid w:val="00DB3ABE"/>
    <w:rsid w:val="00DB5B03"/>
    <w:rsid w:val="00DB6078"/>
    <w:rsid w:val="00DB63A4"/>
    <w:rsid w:val="00DB76D9"/>
    <w:rsid w:val="00DB7A60"/>
    <w:rsid w:val="00DC0E99"/>
    <w:rsid w:val="00DC162F"/>
    <w:rsid w:val="00DC2E09"/>
    <w:rsid w:val="00DC330A"/>
    <w:rsid w:val="00DC4A62"/>
    <w:rsid w:val="00DC6559"/>
    <w:rsid w:val="00DC6563"/>
    <w:rsid w:val="00DC6A5E"/>
    <w:rsid w:val="00DC7221"/>
    <w:rsid w:val="00DD0F62"/>
    <w:rsid w:val="00DD20B7"/>
    <w:rsid w:val="00DD233A"/>
    <w:rsid w:val="00DD254F"/>
    <w:rsid w:val="00DD2820"/>
    <w:rsid w:val="00DD54CA"/>
    <w:rsid w:val="00DD57EB"/>
    <w:rsid w:val="00DD5DE3"/>
    <w:rsid w:val="00DD5F50"/>
    <w:rsid w:val="00DD7206"/>
    <w:rsid w:val="00DD7D54"/>
    <w:rsid w:val="00DE04F8"/>
    <w:rsid w:val="00DE069B"/>
    <w:rsid w:val="00DE096C"/>
    <w:rsid w:val="00DE1FFC"/>
    <w:rsid w:val="00DE2D03"/>
    <w:rsid w:val="00DE368D"/>
    <w:rsid w:val="00DE38DF"/>
    <w:rsid w:val="00DE3B47"/>
    <w:rsid w:val="00DE3D20"/>
    <w:rsid w:val="00DE4028"/>
    <w:rsid w:val="00DE43D9"/>
    <w:rsid w:val="00DE6CFB"/>
    <w:rsid w:val="00DE7017"/>
    <w:rsid w:val="00DE76B9"/>
    <w:rsid w:val="00DF0540"/>
    <w:rsid w:val="00DF1356"/>
    <w:rsid w:val="00DF505B"/>
    <w:rsid w:val="00DF631B"/>
    <w:rsid w:val="00DF78FB"/>
    <w:rsid w:val="00E005BB"/>
    <w:rsid w:val="00E006CC"/>
    <w:rsid w:val="00E00849"/>
    <w:rsid w:val="00E019D5"/>
    <w:rsid w:val="00E02095"/>
    <w:rsid w:val="00E05350"/>
    <w:rsid w:val="00E05851"/>
    <w:rsid w:val="00E05AD0"/>
    <w:rsid w:val="00E07C0E"/>
    <w:rsid w:val="00E11F9C"/>
    <w:rsid w:val="00E125C6"/>
    <w:rsid w:val="00E162B6"/>
    <w:rsid w:val="00E1739F"/>
    <w:rsid w:val="00E1762B"/>
    <w:rsid w:val="00E179DC"/>
    <w:rsid w:val="00E20610"/>
    <w:rsid w:val="00E24AAC"/>
    <w:rsid w:val="00E258BC"/>
    <w:rsid w:val="00E25EE0"/>
    <w:rsid w:val="00E25FA3"/>
    <w:rsid w:val="00E30C19"/>
    <w:rsid w:val="00E3116D"/>
    <w:rsid w:val="00E343CF"/>
    <w:rsid w:val="00E37663"/>
    <w:rsid w:val="00E3787C"/>
    <w:rsid w:val="00E37E61"/>
    <w:rsid w:val="00E4108D"/>
    <w:rsid w:val="00E43E68"/>
    <w:rsid w:val="00E44556"/>
    <w:rsid w:val="00E44D46"/>
    <w:rsid w:val="00E454E2"/>
    <w:rsid w:val="00E458FF"/>
    <w:rsid w:val="00E46472"/>
    <w:rsid w:val="00E46890"/>
    <w:rsid w:val="00E46E66"/>
    <w:rsid w:val="00E4787F"/>
    <w:rsid w:val="00E50592"/>
    <w:rsid w:val="00E50A96"/>
    <w:rsid w:val="00E50ECC"/>
    <w:rsid w:val="00E523AE"/>
    <w:rsid w:val="00E52E82"/>
    <w:rsid w:val="00E52F76"/>
    <w:rsid w:val="00E5345D"/>
    <w:rsid w:val="00E537FF"/>
    <w:rsid w:val="00E556FA"/>
    <w:rsid w:val="00E557C1"/>
    <w:rsid w:val="00E565FB"/>
    <w:rsid w:val="00E56885"/>
    <w:rsid w:val="00E56AC9"/>
    <w:rsid w:val="00E57227"/>
    <w:rsid w:val="00E577BF"/>
    <w:rsid w:val="00E60DC6"/>
    <w:rsid w:val="00E61319"/>
    <w:rsid w:val="00E65DDE"/>
    <w:rsid w:val="00E669C4"/>
    <w:rsid w:val="00E66EAD"/>
    <w:rsid w:val="00E6740C"/>
    <w:rsid w:val="00E7030A"/>
    <w:rsid w:val="00E70DF0"/>
    <w:rsid w:val="00E70E21"/>
    <w:rsid w:val="00E70FCB"/>
    <w:rsid w:val="00E71027"/>
    <w:rsid w:val="00E71691"/>
    <w:rsid w:val="00E71D99"/>
    <w:rsid w:val="00E71FB7"/>
    <w:rsid w:val="00E72466"/>
    <w:rsid w:val="00E725B6"/>
    <w:rsid w:val="00E72ED0"/>
    <w:rsid w:val="00E759AB"/>
    <w:rsid w:val="00E75ACD"/>
    <w:rsid w:val="00E76ADF"/>
    <w:rsid w:val="00E81AA1"/>
    <w:rsid w:val="00E821BF"/>
    <w:rsid w:val="00E835E9"/>
    <w:rsid w:val="00E83DC0"/>
    <w:rsid w:val="00E840AA"/>
    <w:rsid w:val="00E85252"/>
    <w:rsid w:val="00E85665"/>
    <w:rsid w:val="00E858C0"/>
    <w:rsid w:val="00E8692D"/>
    <w:rsid w:val="00E87299"/>
    <w:rsid w:val="00E909DF"/>
    <w:rsid w:val="00E90EE0"/>
    <w:rsid w:val="00E92647"/>
    <w:rsid w:val="00E940B0"/>
    <w:rsid w:val="00E950BC"/>
    <w:rsid w:val="00E95510"/>
    <w:rsid w:val="00E95FC7"/>
    <w:rsid w:val="00E95FF6"/>
    <w:rsid w:val="00EA120A"/>
    <w:rsid w:val="00EA1480"/>
    <w:rsid w:val="00EA2ABA"/>
    <w:rsid w:val="00EA2E7A"/>
    <w:rsid w:val="00EA3BAC"/>
    <w:rsid w:val="00EA4B05"/>
    <w:rsid w:val="00EA5046"/>
    <w:rsid w:val="00EA546C"/>
    <w:rsid w:val="00EA5653"/>
    <w:rsid w:val="00EA5B26"/>
    <w:rsid w:val="00EA5B42"/>
    <w:rsid w:val="00EA70FF"/>
    <w:rsid w:val="00EA7911"/>
    <w:rsid w:val="00EA7C36"/>
    <w:rsid w:val="00EB1EB7"/>
    <w:rsid w:val="00EB264B"/>
    <w:rsid w:val="00EB30C9"/>
    <w:rsid w:val="00EB31F4"/>
    <w:rsid w:val="00EB37BB"/>
    <w:rsid w:val="00EB4370"/>
    <w:rsid w:val="00EB5A71"/>
    <w:rsid w:val="00EB6A76"/>
    <w:rsid w:val="00EB6D36"/>
    <w:rsid w:val="00EC26B0"/>
    <w:rsid w:val="00EC3228"/>
    <w:rsid w:val="00EC3897"/>
    <w:rsid w:val="00EC3E42"/>
    <w:rsid w:val="00EC3E4C"/>
    <w:rsid w:val="00EC4745"/>
    <w:rsid w:val="00EC4FED"/>
    <w:rsid w:val="00EC5751"/>
    <w:rsid w:val="00EC5A36"/>
    <w:rsid w:val="00EC6B24"/>
    <w:rsid w:val="00EC7073"/>
    <w:rsid w:val="00EC7600"/>
    <w:rsid w:val="00ED3388"/>
    <w:rsid w:val="00ED440C"/>
    <w:rsid w:val="00EE15CE"/>
    <w:rsid w:val="00EE1C69"/>
    <w:rsid w:val="00EE2BC4"/>
    <w:rsid w:val="00EE3379"/>
    <w:rsid w:val="00EE52D6"/>
    <w:rsid w:val="00EE6C9E"/>
    <w:rsid w:val="00EE77F7"/>
    <w:rsid w:val="00EE7DB4"/>
    <w:rsid w:val="00EF0435"/>
    <w:rsid w:val="00EF11AE"/>
    <w:rsid w:val="00EF1969"/>
    <w:rsid w:val="00EF2589"/>
    <w:rsid w:val="00EF25EC"/>
    <w:rsid w:val="00EF34B9"/>
    <w:rsid w:val="00EF383F"/>
    <w:rsid w:val="00EF5378"/>
    <w:rsid w:val="00EF573C"/>
    <w:rsid w:val="00EF6541"/>
    <w:rsid w:val="00EF6550"/>
    <w:rsid w:val="00F02B7B"/>
    <w:rsid w:val="00F0678A"/>
    <w:rsid w:val="00F074BF"/>
    <w:rsid w:val="00F077A8"/>
    <w:rsid w:val="00F07B5E"/>
    <w:rsid w:val="00F102CD"/>
    <w:rsid w:val="00F1048B"/>
    <w:rsid w:val="00F10951"/>
    <w:rsid w:val="00F10B61"/>
    <w:rsid w:val="00F10CB4"/>
    <w:rsid w:val="00F132A8"/>
    <w:rsid w:val="00F1394D"/>
    <w:rsid w:val="00F142FD"/>
    <w:rsid w:val="00F15947"/>
    <w:rsid w:val="00F177C2"/>
    <w:rsid w:val="00F201B9"/>
    <w:rsid w:val="00F218B7"/>
    <w:rsid w:val="00F21A48"/>
    <w:rsid w:val="00F24E6F"/>
    <w:rsid w:val="00F25BBC"/>
    <w:rsid w:val="00F26294"/>
    <w:rsid w:val="00F31BDD"/>
    <w:rsid w:val="00F33550"/>
    <w:rsid w:val="00F338E7"/>
    <w:rsid w:val="00F33973"/>
    <w:rsid w:val="00F35F68"/>
    <w:rsid w:val="00F3765A"/>
    <w:rsid w:val="00F40413"/>
    <w:rsid w:val="00F40E31"/>
    <w:rsid w:val="00F42E3D"/>
    <w:rsid w:val="00F43B23"/>
    <w:rsid w:val="00F5030C"/>
    <w:rsid w:val="00F52C95"/>
    <w:rsid w:val="00F5367B"/>
    <w:rsid w:val="00F5387B"/>
    <w:rsid w:val="00F5467E"/>
    <w:rsid w:val="00F547DC"/>
    <w:rsid w:val="00F54BA5"/>
    <w:rsid w:val="00F54BE0"/>
    <w:rsid w:val="00F54FF0"/>
    <w:rsid w:val="00F57BC1"/>
    <w:rsid w:val="00F57CFE"/>
    <w:rsid w:val="00F60A49"/>
    <w:rsid w:val="00F60F45"/>
    <w:rsid w:val="00F63864"/>
    <w:rsid w:val="00F6407E"/>
    <w:rsid w:val="00F66D2D"/>
    <w:rsid w:val="00F71596"/>
    <w:rsid w:val="00F7399D"/>
    <w:rsid w:val="00F73E5E"/>
    <w:rsid w:val="00F74C40"/>
    <w:rsid w:val="00F76033"/>
    <w:rsid w:val="00F7618B"/>
    <w:rsid w:val="00F7699A"/>
    <w:rsid w:val="00F8252F"/>
    <w:rsid w:val="00F8391F"/>
    <w:rsid w:val="00F83B13"/>
    <w:rsid w:val="00F84339"/>
    <w:rsid w:val="00F846A9"/>
    <w:rsid w:val="00F8554C"/>
    <w:rsid w:val="00F856E9"/>
    <w:rsid w:val="00F85F2D"/>
    <w:rsid w:val="00F862D0"/>
    <w:rsid w:val="00F86355"/>
    <w:rsid w:val="00F869A4"/>
    <w:rsid w:val="00F86D4B"/>
    <w:rsid w:val="00F90909"/>
    <w:rsid w:val="00F93B5C"/>
    <w:rsid w:val="00F94116"/>
    <w:rsid w:val="00F95126"/>
    <w:rsid w:val="00F95B7B"/>
    <w:rsid w:val="00F95D6A"/>
    <w:rsid w:val="00F962F3"/>
    <w:rsid w:val="00F96371"/>
    <w:rsid w:val="00F96718"/>
    <w:rsid w:val="00FA04AD"/>
    <w:rsid w:val="00FA19CC"/>
    <w:rsid w:val="00FA1B27"/>
    <w:rsid w:val="00FA1DC6"/>
    <w:rsid w:val="00FA2035"/>
    <w:rsid w:val="00FA296B"/>
    <w:rsid w:val="00FA2C37"/>
    <w:rsid w:val="00FA41CF"/>
    <w:rsid w:val="00FA467D"/>
    <w:rsid w:val="00FA69A5"/>
    <w:rsid w:val="00FA6B86"/>
    <w:rsid w:val="00FA759D"/>
    <w:rsid w:val="00FB2C32"/>
    <w:rsid w:val="00FB37FF"/>
    <w:rsid w:val="00FB5436"/>
    <w:rsid w:val="00FB57A6"/>
    <w:rsid w:val="00FB5905"/>
    <w:rsid w:val="00FC0D89"/>
    <w:rsid w:val="00FC0FA3"/>
    <w:rsid w:val="00FC1E77"/>
    <w:rsid w:val="00FC306F"/>
    <w:rsid w:val="00FC41C1"/>
    <w:rsid w:val="00FC4360"/>
    <w:rsid w:val="00FC6328"/>
    <w:rsid w:val="00FC6FB3"/>
    <w:rsid w:val="00FC7227"/>
    <w:rsid w:val="00FD0B7B"/>
    <w:rsid w:val="00FD1787"/>
    <w:rsid w:val="00FD20F9"/>
    <w:rsid w:val="00FD2772"/>
    <w:rsid w:val="00FD31FF"/>
    <w:rsid w:val="00FE00B5"/>
    <w:rsid w:val="00FE027F"/>
    <w:rsid w:val="00FE2EE5"/>
    <w:rsid w:val="00FE32C0"/>
    <w:rsid w:val="00FE6F63"/>
    <w:rsid w:val="00FE71B9"/>
    <w:rsid w:val="00FE76F1"/>
    <w:rsid w:val="00FF01BC"/>
    <w:rsid w:val="00FF15AD"/>
    <w:rsid w:val="00FF1BB7"/>
    <w:rsid w:val="00FF2778"/>
    <w:rsid w:val="00FF2BC5"/>
    <w:rsid w:val="00FF3188"/>
    <w:rsid w:val="00FF4AE2"/>
    <w:rsid w:val="00FF50FC"/>
    <w:rsid w:val="00FF6828"/>
    <w:rsid w:val="00FF7058"/>
    <w:rsid w:val="00FF738C"/>
    <w:rsid w:val="00FF7B28"/>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A92907F9-3C28-471A-9C73-7A757ADC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9C3CD2"/>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476C08"/>
    <w:pPr>
      <w:keepNext/>
      <w:keepLines/>
      <w:numPr>
        <w:numId w:val="12"/>
      </w:numPr>
      <w:spacing w:before="12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1362E"/>
    <w:pPr>
      <w:keepNext/>
      <w:keepLines/>
      <w:numPr>
        <w:numId w:val="9"/>
      </w:numPr>
      <w:spacing w:before="120"/>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E44D46"/>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3CD2"/>
    <w:rPr>
      <w:b/>
      <w:bCs/>
      <w:sz w:val="28"/>
      <w:szCs w:val="28"/>
    </w:rPr>
  </w:style>
  <w:style w:type="character" w:customStyle="1" w:styleId="Heading2Char">
    <w:name w:val="Heading 2 Char"/>
    <w:basedOn w:val="DefaultParagraphFont"/>
    <w:link w:val="Heading2"/>
    <w:uiPriority w:val="99"/>
    <w:locked/>
    <w:rsid w:val="00476C08"/>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1362E"/>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F43B23"/>
    <w:pPr>
      <w:spacing w:before="24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43B23"/>
    <w:pPr>
      <w:ind w:left="24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E44D46"/>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F43B23"/>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 w:id="206375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7.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3B0D-8D02-461B-AD51-358F7422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5958</Words>
  <Characters>32893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dgibbs</dc:creator>
  <cp:lastModifiedBy>Gibbs, Danielle - OSHA</cp:lastModifiedBy>
  <cp:revision>7</cp:revision>
  <cp:lastPrinted>2023-03-28T20:21:00Z</cp:lastPrinted>
  <dcterms:created xsi:type="dcterms:W3CDTF">2023-06-02T20:46:00Z</dcterms:created>
  <dcterms:modified xsi:type="dcterms:W3CDTF">2023-06-12T15:40:00Z</dcterms:modified>
</cp:coreProperties>
</file>