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1C1E47" w:rsidRDefault="002511E9" w:rsidP="000A20EB">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556">
      <w:pPr>
        <w:widowControl/>
        <w:autoSpaceDE/>
        <w:autoSpaceDN/>
        <w:adjustRightInd/>
        <w:jc w:val="center"/>
        <w:rPr>
          <w:rFonts w:cs="Calibri"/>
          <w:bCs/>
          <w:iCs/>
        </w:rPr>
      </w:pPr>
    </w:p>
    <w:p w14:paraId="6899E9B6" w14:textId="2381350A" w:rsidR="00611556" w:rsidRDefault="00611556" w:rsidP="00611556">
      <w:pPr>
        <w:tabs>
          <w:tab w:val="center" w:pos="4680"/>
        </w:tabs>
        <w:jc w:val="center"/>
        <w:rPr>
          <w:b/>
          <w:bCs/>
        </w:rPr>
      </w:pPr>
      <w:r>
        <w:rPr>
          <w:b/>
          <w:bCs/>
        </w:rPr>
        <w:t>NORTH CAROLINA DEPARTMENT OF LABOR OCCUPATIONAL SAFETY AND HEALTH DIVISION</w:t>
      </w:r>
    </w:p>
    <w:p w14:paraId="73A7E9AB" w14:textId="77777777" w:rsidR="00611556" w:rsidRPr="00DF1E7A" w:rsidRDefault="00611556" w:rsidP="00611556">
      <w:pPr>
        <w:jc w:val="center"/>
        <w:rPr>
          <w:bCs/>
        </w:rPr>
      </w:pPr>
    </w:p>
    <w:p w14:paraId="0BBC3D4F" w14:textId="77777777" w:rsidR="00611556" w:rsidRPr="00DF1E7A" w:rsidRDefault="00611556" w:rsidP="00611556">
      <w:pPr>
        <w:jc w:val="center"/>
        <w:rPr>
          <w:bCs/>
        </w:rPr>
      </w:pPr>
    </w:p>
    <w:p w14:paraId="4F88C0A9" w14:textId="77777777" w:rsidR="00611556" w:rsidRPr="00DF1E7A" w:rsidRDefault="00611556" w:rsidP="00611556">
      <w:pPr>
        <w:jc w:val="center"/>
        <w:rPr>
          <w:bCs/>
        </w:rPr>
      </w:pPr>
      <w:r>
        <w:rPr>
          <w:noProof/>
        </w:rPr>
        <w:drawing>
          <wp:inline distT="0" distB="0" distL="0" distR="0" wp14:anchorId="4C53FFBE" wp14:editId="4D86E886">
            <wp:extent cx="3533775" cy="1553210"/>
            <wp:effectExtent l="0" t="0" r="9525" b="8890"/>
            <wp:docPr id="2" name="Picture 2" descr="ncdol_logo"/>
            <wp:cNvGraphicFramePr/>
            <a:graphic xmlns:a="http://schemas.openxmlformats.org/drawingml/2006/main">
              <a:graphicData uri="http://schemas.openxmlformats.org/drawingml/2006/picture">
                <pic:pic xmlns:pic="http://schemas.openxmlformats.org/drawingml/2006/picture">
                  <pic:nvPicPr>
                    <pic:cNvPr id="3" name="Picture 3" descr="ncdol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553210"/>
                    </a:xfrm>
                    <a:prstGeom prst="rect">
                      <a:avLst/>
                    </a:prstGeom>
                    <a:noFill/>
                    <a:ln>
                      <a:noFill/>
                    </a:ln>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0D236182" w14:textId="77777777" w:rsidR="00611556" w:rsidRDefault="00611556" w:rsidP="00611556">
      <w:pPr>
        <w:widowControl/>
        <w:tabs>
          <w:tab w:val="left" w:pos="720"/>
          <w:tab w:val="left" w:pos="1440"/>
          <w:tab w:val="left" w:pos="2160"/>
        </w:tabs>
        <w:autoSpaceDE/>
        <w:autoSpaceDN/>
        <w:adjustRightInd/>
        <w:jc w:val="center"/>
        <w:rPr>
          <w:rFonts w:eastAsia="Batang" w:cs="Calibri"/>
          <w:b/>
          <w:sz w:val="28"/>
          <w:szCs w:val="28"/>
        </w:rPr>
      </w:pPr>
    </w:p>
    <w:p w14:paraId="6CB8AD27" w14:textId="1C01D3B4" w:rsidR="000A134A" w:rsidRPr="001C1E47" w:rsidRDefault="000A134A" w:rsidP="00611556">
      <w:pPr>
        <w:widowControl/>
        <w:tabs>
          <w:tab w:val="left" w:pos="720"/>
          <w:tab w:val="left" w:pos="1440"/>
          <w:tab w:val="left" w:pos="2160"/>
        </w:tabs>
        <w:autoSpaceDE/>
        <w:autoSpaceDN/>
        <w:adjustRightInd/>
        <w:jc w:val="center"/>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7A71AC">
      <w:pPr>
        <w:widowControl/>
        <w:autoSpaceDE/>
        <w:autoSpaceDN/>
        <w:adjustRightInd/>
        <w:jc w:val="center"/>
        <w:rPr>
          <w:rFonts w:cs="Calibri"/>
        </w:rPr>
      </w:pPr>
    </w:p>
    <w:p w14:paraId="221B5785" w14:textId="6C930F96" w:rsidR="000A134A"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60C9E1C8" w14:textId="77777777" w:rsidR="00611556" w:rsidRPr="001C1E47" w:rsidRDefault="00611556"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3CABAE7F" w14:textId="77777777" w:rsidR="00611556" w:rsidRDefault="00611556" w:rsidP="00611556">
      <w:pPr>
        <w:tabs>
          <w:tab w:val="center" w:pos="4680"/>
        </w:tabs>
        <w:jc w:val="center"/>
        <w:rPr>
          <w:b/>
          <w:bCs/>
        </w:rPr>
      </w:pPr>
      <w:r>
        <w:rPr>
          <w:rFonts w:eastAsia="Batang"/>
          <w:b/>
        </w:rPr>
        <w:t>Initial Approval Date:  January 26, 1973</w:t>
      </w:r>
    </w:p>
    <w:p w14:paraId="21520758" w14:textId="77777777" w:rsidR="00611556" w:rsidRDefault="00611556" w:rsidP="00611556">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rFonts w:eastAsia="Batang"/>
          <w:b/>
        </w:rPr>
        <w:t xml:space="preserve"> Program Certification Date:  October 5, 1976</w:t>
      </w:r>
    </w:p>
    <w:p w14:paraId="62F08033" w14:textId="77777777" w:rsidR="00611556" w:rsidRDefault="00611556" w:rsidP="00611556">
      <w:pPr>
        <w:tabs>
          <w:tab w:val="center" w:pos="4680"/>
        </w:tabs>
        <w:jc w:val="center"/>
        <w:rPr>
          <w:b/>
          <w:bCs/>
        </w:rPr>
      </w:pPr>
      <w:r>
        <w:rPr>
          <w:rFonts w:eastAsia="Batang"/>
          <w:b/>
        </w:rPr>
        <w:t xml:space="preserve">Final Approval Date:  </w:t>
      </w:r>
      <w:r>
        <w:rPr>
          <w:b/>
          <w:bCs/>
        </w:rPr>
        <w:t>December 10, 1996</w:t>
      </w:r>
    </w:p>
    <w:p w14:paraId="3F731E70" w14:textId="77777777" w:rsidR="00611556" w:rsidRPr="00E25FA3" w:rsidRDefault="00611556" w:rsidP="00611556">
      <w:pPr>
        <w:jc w:val="center"/>
        <w:rPr>
          <w:b/>
          <w:bCs/>
        </w:rPr>
      </w:pPr>
    </w:p>
    <w:p w14:paraId="3E637678" w14:textId="77777777" w:rsidR="00611556" w:rsidRPr="00E25FA3" w:rsidRDefault="00611556" w:rsidP="00611556">
      <w:pPr>
        <w:spacing w:line="19" w:lineRule="exact"/>
        <w:jc w:val="center"/>
      </w:pPr>
    </w:p>
    <w:p w14:paraId="08C4B3E3" w14:textId="77777777" w:rsidR="00611556" w:rsidRPr="00E25FA3" w:rsidRDefault="00611556" w:rsidP="00611556">
      <w:pPr>
        <w:tabs>
          <w:tab w:val="right" w:pos="9720"/>
        </w:tabs>
        <w:jc w:val="center"/>
        <w:rPr>
          <w:b/>
          <w:bCs/>
        </w:rPr>
      </w:pPr>
    </w:p>
    <w:p w14:paraId="7D35BA37" w14:textId="77777777" w:rsidR="00611556" w:rsidRPr="00E25FA3" w:rsidRDefault="00611556" w:rsidP="00611556">
      <w:pPr>
        <w:jc w:val="center"/>
        <w:rPr>
          <w:i/>
        </w:rPr>
      </w:pPr>
    </w:p>
    <w:p w14:paraId="1135DD60" w14:textId="77777777" w:rsidR="00611556" w:rsidRPr="00AF0587" w:rsidRDefault="00611556" w:rsidP="00611556">
      <w:pPr>
        <w:jc w:val="center"/>
        <w:rPr>
          <w:b/>
        </w:rPr>
      </w:pPr>
      <w:r w:rsidRPr="00AF0587">
        <w:rPr>
          <w:b/>
        </w:rPr>
        <w:t>Prepared by:</w:t>
      </w:r>
    </w:p>
    <w:p w14:paraId="5A7A560F" w14:textId="77777777" w:rsidR="00611556" w:rsidRPr="00AF0587" w:rsidRDefault="00611556" w:rsidP="00611556">
      <w:pPr>
        <w:jc w:val="center"/>
        <w:rPr>
          <w:b/>
        </w:rPr>
      </w:pPr>
      <w:r w:rsidRPr="00AF0587">
        <w:rPr>
          <w:b/>
        </w:rPr>
        <w:t xml:space="preserve">U. S. Department of Labor </w:t>
      </w:r>
    </w:p>
    <w:p w14:paraId="22446168" w14:textId="77777777" w:rsidR="00611556" w:rsidRPr="00AF0587" w:rsidRDefault="00611556" w:rsidP="00611556">
      <w:pPr>
        <w:jc w:val="center"/>
        <w:rPr>
          <w:b/>
        </w:rPr>
      </w:pPr>
      <w:r w:rsidRPr="00AF0587">
        <w:rPr>
          <w:b/>
        </w:rPr>
        <w:t>Occupational Safety and Health Administration</w:t>
      </w:r>
    </w:p>
    <w:p w14:paraId="34599219" w14:textId="77777777" w:rsidR="00611556" w:rsidRDefault="00611556" w:rsidP="00611556">
      <w:pPr>
        <w:jc w:val="center"/>
        <w:rPr>
          <w:b/>
        </w:rPr>
      </w:pPr>
      <w:r>
        <w:rPr>
          <w:b/>
        </w:rPr>
        <w:t>Region IV</w:t>
      </w:r>
    </w:p>
    <w:p w14:paraId="6B468F36" w14:textId="77777777" w:rsidR="00611556" w:rsidRDefault="00611556" w:rsidP="00611556">
      <w:pPr>
        <w:ind w:left="360"/>
        <w:jc w:val="center"/>
      </w:pPr>
      <w:r>
        <w:rPr>
          <w:b/>
        </w:rPr>
        <w:t>Atlanta, Georgia</w:t>
      </w:r>
    </w:p>
    <w:p w14:paraId="18164B2D"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77777777" w:rsidR="00F43B23" w:rsidRDefault="00F43B23">
      <w:pPr>
        <w:widowControl/>
        <w:autoSpaceDE/>
        <w:autoSpaceDN/>
        <w:adjustRightInd/>
        <w:rPr>
          <w:rFonts w:cs="Calibri"/>
          <w:b/>
          <w:sz w:val="40"/>
          <w:szCs w:val="40"/>
        </w:rPr>
      </w:pPr>
      <w:r>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35F1BB15"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Pr>
            <w:noProof/>
            <w:webHidden/>
          </w:rPr>
          <w:t>3</w:t>
        </w:r>
        <w:r>
          <w:rPr>
            <w:noProof/>
            <w:webHidden/>
          </w:rPr>
          <w:fldChar w:fldCharType="end"/>
        </w:r>
      </w:hyperlink>
    </w:p>
    <w:p w14:paraId="3BD91ACD" w14:textId="79E701F0" w:rsidR="000F63C1" w:rsidRDefault="00707C50">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0F63C1">
          <w:rPr>
            <w:noProof/>
            <w:webHidden/>
          </w:rPr>
          <w:fldChar w:fldCharType="begin"/>
        </w:r>
        <w:r w:rsidR="000F63C1">
          <w:rPr>
            <w:noProof/>
            <w:webHidden/>
          </w:rPr>
          <w:instrText xml:space="preserve"> PAGEREF _Toc119418664 \h </w:instrText>
        </w:r>
        <w:r w:rsidR="000F63C1">
          <w:rPr>
            <w:noProof/>
            <w:webHidden/>
          </w:rPr>
        </w:r>
        <w:r w:rsidR="000F63C1">
          <w:rPr>
            <w:noProof/>
            <w:webHidden/>
          </w:rPr>
          <w:fldChar w:fldCharType="separate"/>
        </w:r>
        <w:r w:rsidR="000F63C1">
          <w:rPr>
            <w:noProof/>
            <w:webHidden/>
          </w:rPr>
          <w:t>4</w:t>
        </w:r>
        <w:r w:rsidR="000F63C1">
          <w:rPr>
            <w:noProof/>
            <w:webHidden/>
          </w:rPr>
          <w:fldChar w:fldCharType="end"/>
        </w:r>
      </w:hyperlink>
    </w:p>
    <w:p w14:paraId="12E60A29" w14:textId="291004F8" w:rsidR="000F63C1" w:rsidRDefault="00707C50">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hyperlink>
      <w:r w:rsidR="006666A4">
        <w:rPr>
          <w:noProof/>
        </w:rPr>
        <w:t>5</w:t>
      </w:r>
    </w:p>
    <w:p w14:paraId="1E2078A6" w14:textId="63C7CE31" w:rsidR="000F63C1" w:rsidRDefault="00707C50">
      <w:pPr>
        <w:pStyle w:val="TOC3"/>
        <w:tabs>
          <w:tab w:val="left" w:pos="720"/>
          <w:tab w:val="right" w:leader="dot" w:pos="9530"/>
        </w:tabs>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hyperlink>
      <w:r w:rsidR="00290AF1">
        <w:rPr>
          <w:noProof/>
        </w:rPr>
        <w:t>5</w:t>
      </w:r>
    </w:p>
    <w:p w14:paraId="5EC14328" w14:textId="35E5CD39" w:rsidR="000F63C1" w:rsidRDefault="00707C50">
      <w:pPr>
        <w:pStyle w:val="TOC3"/>
        <w:tabs>
          <w:tab w:val="left" w:pos="720"/>
          <w:tab w:val="right" w:leader="dot" w:pos="9530"/>
        </w:tabs>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0F63C1">
          <w:rPr>
            <w:noProof/>
            <w:webHidden/>
          </w:rPr>
          <w:fldChar w:fldCharType="begin"/>
        </w:r>
        <w:r w:rsidR="000F63C1">
          <w:rPr>
            <w:noProof/>
            <w:webHidden/>
          </w:rPr>
          <w:instrText xml:space="preserve"> PAGEREF _Toc119418667 \h </w:instrText>
        </w:r>
        <w:r w:rsidR="000F63C1">
          <w:rPr>
            <w:noProof/>
            <w:webHidden/>
          </w:rPr>
        </w:r>
        <w:r w:rsidR="000F63C1">
          <w:rPr>
            <w:noProof/>
            <w:webHidden/>
          </w:rPr>
          <w:fldChar w:fldCharType="separate"/>
        </w:r>
        <w:r w:rsidR="000F63C1">
          <w:rPr>
            <w:noProof/>
            <w:webHidden/>
          </w:rPr>
          <w:t>6</w:t>
        </w:r>
        <w:r w:rsidR="000F63C1">
          <w:rPr>
            <w:noProof/>
            <w:webHidden/>
          </w:rPr>
          <w:fldChar w:fldCharType="end"/>
        </w:r>
      </w:hyperlink>
    </w:p>
    <w:p w14:paraId="373A40FB" w14:textId="7FDCF78C" w:rsidR="000F63C1" w:rsidRDefault="00707C50">
      <w:pPr>
        <w:pStyle w:val="TOC3"/>
        <w:tabs>
          <w:tab w:val="left" w:pos="720"/>
          <w:tab w:val="right" w:leader="dot" w:pos="9530"/>
        </w:tabs>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hyperlink>
      <w:r w:rsidR="00290AF1">
        <w:rPr>
          <w:noProof/>
        </w:rPr>
        <w:t>6</w:t>
      </w:r>
    </w:p>
    <w:p w14:paraId="50DBA2CB" w14:textId="02321DC1" w:rsidR="000F63C1" w:rsidRDefault="00707C50">
      <w:pPr>
        <w:pStyle w:val="TOC3"/>
        <w:tabs>
          <w:tab w:val="right" w:leader="dot" w:pos="9530"/>
        </w:tabs>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290AF1">
          <w:rPr>
            <w:noProof/>
            <w:webHidden/>
          </w:rPr>
          <w:t>.8</w:t>
        </w:r>
      </w:hyperlink>
    </w:p>
    <w:p w14:paraId="150115C6" w14:textId="257180FA" w:rsidR="000F63C1" w:rsidRDefault="00707C50">
      <w:pPr>
        <w:pStyle w:val="TOC3"/>
        <w:tabs>
          <w:tab w:val="right" w:leader="dot" w:pos="9530"/>
        </w:tabs>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hyperlink>
      <w:r w:rsidR="00290AF1">
        <w:rPr>
          <w:noProof/>
        </w:rPr>
        <w:t>.9</w:t>
      </w:r>
    </w:p>
    <w:p w14:paraId="65AD001B" w14:textId="232905A6" w:rsidR="000F63C1" w:rsidRDefault="00707C50">
      <w:pPr>
        <w:pStyle w:val="TOC3"/>
        <w:tabs>
          <w:tab w:val="right" w:leader="dot" w:pos="9530"/>
        </w:tabs>
        <w:rPr>
          <w:rFonts w:eastAsiaTheme="minorEastAsia" w:cstheme="minorBidi"/>
          <w:noProof/>
          <w:sz w:val="22"/>
          <w:szCs w:val="22"/>
        </w:rPr>
      </w:pPr>
      <w:hyperlink w:anchor="_Toc119418671" w:history="1">
        <w:r w:rsidR="000F63C1" w:rsidRPr="00B5463F">
          <w:rPr>
            <w:rStyle w:val="Hyperlink"/>
            <w:noProof/>
          </w:rPr>
          <w:t>Appendix C - Status of FY 20</w:t>
        </w:r>
        <w:r w:rsidR="00044F7D">
          <w:rPr>
            <w:rStyle w:val="Hyperlink"/>
            <w:noProof/>
          </w:rPr>
          <w:t>21</w:t>
        </w:r>
        <w:r w:rsidR="000F63C1" w:rsidRPr="00B5463F">
          <w:rPr>
            <w:rStyle w:val="Hyperlink"/>
            <w:noProof/>
          </w:rPr>
          <w:t xml:space="preserve"> Findings and Recommendations</w:t>
        </w:r>
        <w:r w:rsidR="000F63C1">
          <w:rPr>
            <w:noProof/>
            <w:webHidden/>
          </w:rPr>
          <w:tab/>
        </w:r>
      </w:hyperlink>
      <w:r w:rsidR="00290AF1">
        <w:rPr>
          <w:noProof/>
        </w:rPr>
        <w:t>10</w:t>
      </w:r>
    </w:p>
    <w:p w14:paraId="38E9E7F9" w14:textId="2EE46C27" w:rsidR="000F63C1" w:rsidRDefault="00707C50">
      <w:pPr>
        <w:pStyle w:val="TOC3"/>
        <w:tabs>
          <w:tab w:val="right" w:leader="dot" w:pos="9530"/>
        </w:tabs>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r w:rsidR="000F63C1">
          <w:rPr>
            <w:noProof/>
            <w:webHidden/>
          </w:rPr>
          <w:fldChar w:fldCharType="begin"/>
        </w:r>
        <w:r w:rsidR="000F63C1">
          <w:rPr>
            <w:noProof/>
            <w:webHidden/>
          </w:rPr>
          <w:instrText xml:space="preserve"> PAGEREF _Toc119418672 \h </w:instrText>
        </w:r>
        <w:r w:rsidR="000F63C1">
          <w:rPr>
            <w:noProof/>
            <w:webHidden/>
          </w:rPr>
        </w:r>
        <w:r w:rsidR="000F63C1">
          <w:rPr>
            <w:noProof/>
            <w:webHidden/>
          </w:rPr>
          <w:fldChar w:fldCharType="separate"/>
        </w:r>
        <w:r w:rsidR="000F63C1">
          <w:rPr>
            <w:noProof/>
            <w:webHidden/>
          </w:rPr>
          <w:t>1</w:t>
        </w:r>
        <w:r w:rsidR="000F63C1">
          <w:rPr>
            <w:noProof/>
            <w:webHidden/>
          </w:rPr>
          <w:fldChar w:fldCharType="end"/>
        </w:r>
      </w:hyperlink>
      <w:r w:rsidR="00290AF1">
        <w:rPr>
          <w:noProof/>
        </w:rPr>
        <w:t>1</w:t>
      </w:r>
    </w:p>
    <w:p w14:paraId="2A952C03" w14:textId="0074FEF9" w:rsidR="00B823A3" w:rsidRDefault="000F63C1" w:rsidP="000F63C1">
      <w:r>
        <w:fldChar w:fldCharType="end"/>
      </w:r>
      <w:r w:rsidR="00B823A3">
        <w:br w:type="page"/>
      </w:r>
    </w:p>
    <w:p w14:paraId="57C8B837" w14:textId="77777777" w:rsidR="000A134A" w:rsidRPr="001C1E47" w:rsidRDefault="000A134A" w:rsidP="000A20EB">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0A20EB">
      <w:pPr>
        <w:widowControl/>
        <w:autoSpaceDE/>
        <w:autoSpaceDN/>
        <w:adjustRightInd/>
        <w:rPr>
          <w:rFonts w:cs="Calibri"/>
          <w:b/>
        </w:rPr>
      </w:pPr>
    </w:p>
    <w:p w14:paraId="119352F0" w14:textId="37E44D4A" w:rsidR="00350E7F" w:rsidRPr="00350E7F" w:rsidRDefault="00050FEB" w:rsidP="000A20EB">
      <w:pPr>
        <w:pStyle w:val="block1"/>
        <w:spacing w:before="0" w:beforeAutospacing="0" w:after="0" w:afterAutospacing="0"/>
        <w:rPr>
          <w:rFonts w:asciiTheme="minorHAnsi" w:hAnsiTheme="minorHAnsi" w:cstheme="minorHAnsi"/>
          <w:sz w:val="24"/>
          <w:szCs w:val="24"/>
        </w:rPr>
      </w:pPr>
      <w:r w:rsidRPr="00B06FCF">
        <w:rPr>
          <w:rFonts w:asciiTheme="minorHAnsi" w:hAnsiTheme="minorHAnsi" w:cstheme="minorHAnsi"/>
          <w:sz w:val="24"/>
          <w:szCs w:val="24"/>
        </w:rPr>
        <w:t xml:space="preserve">The </w:t>
      </w:r>
      <w:r w:rsidR="00F85F2D" w:rsidRPr="00B06FCF">
        <w:rPr>
          <w:rFonts w:asciiTheme="minorHAnsi" w:hAnsiTheme="minorHAnsi" w:cstheme="minorHAnsi"/>
          <w:sz w:val="24"/>
          <w:szCs w:val="24"/>
        </w:rPr>
        <w:t xml:space="preserve">primary </w:t>
      </w:r>
      <w:r w:rsidRPr="00B06FCF">
        <w:rPr>
          <w:rFonts w:asciiTheme="minorHAnsi" w:hAnsiTheme="minorHAnsi" w:cstheme="minorHAnsi"/>
          <w:sz w:val="24"/>
          <w:szCs w:val="24"/>
        </w:rPr>
        <w:t xml:space="preserve">purpose of this report is to assess the State Plan’s </w:t>
      </w:r>
      <w:r w:rsidR="00F85F2D" w:rsidRPr="00B06FCF">
        <w:rPr>
          <w:rFonts w:asciiTheme="minorHAnsi" w:hAnsiTheme="minorHAnsi" w:cstheme="minorHAnsi"/>
          <w:sz w:val="24"/>
          <w:szCs w:val="24"/>
        </w:rPr>
        <w:t>progress in</w:t>
      </w:r>
      <w:r w:rsidRPr="00B06FCF">
        <w:rPr>
          <w:rFonts w:asciiTheme="minorHAnsi" w:hAnsiTheme="minorHAnsi" w:cstheme="minorHAnsi"/>
          <w:sz w:val="24"/>
          <w:szCs w:val="24"/>
        </w:rPr>
        <w:t xml:space="preserve"> Fiscal Year (FY) 20</w:t>
      </w:r>
      <w:r w:rsidR="00185C7D" w:rsidRPr="00B06FCF">
        <w:rPr>
          <w:rFonts w:asciiTheme="minorHAnsi" w:hAnsiTheme="minorHAnsi" w:cstheme="minorHAnsi"/>
          <w:sz w:val="24"/>
          <w:szCs w:val="24"/>
        </w:rPr>
        <w:t>22</w:t>
      </w:r>
      <w:r w:rsidRPr="00B06FCF">
        <w:rPr>
          <w:rFonts w:asciiTheme="minorHAnsi" w:hAnsiTheme="minorHAnsi" w:cstheme="minorHAnsi"/>
          <w:sz w:val="24"/>
          <w:szCs w:val="24"/>
        </w:rPr>
        <w:t xml:space="preserve">, in resolving outstanding findings from </w:t>
      </w:r>
      <w:r w:rsidR="005837BD" w:rsidRPr="00B06FCF">
        <w:rPr>
          <w:rFonts w:asciiTheme="minorHAnsi" w:hAnsiTheme="minorHAnsi" w:cstheme="minorHAnsi"/>
          <w:sz w:val="24"/>
          <w:szCs w:val="24"/>
        </w:rPr>
        <w:t xml:space="preserve">the </w:t>
      </w:r>
      <w:r w:rsidRPr="00B06FCF">
        <w:rPr>
          <w:rFonts w:asciiTheme="minorHAnsi" w:hAnsiTheme="minorHAnsi" w:cstheme="minorHAnsi"/>
          <w:sz w:val="24"/>
          <w:szCs w:val="24"/>
        </w:rPr>
        <w:t>previous FY 20</w:t>
      </w:r>
      <w:r w:rsidR="00185C7D" w:rsidRPr="00B06FCF">
        <w:rPr>
          <w:rFonts w:asciiTheme="minorHAnsi" w:hAnsiTheme="minorHAnsi" w:cstheme="minorHAnsi"/>
          <w:sz w:val="24"/>
          <w:szCs w:val="24"/>
        </w:rPr>
        <w:t>21</w:t>
      </w:r>
      <w:r w:rsidRPr="00B06FCF">
        <w:rPr>
          <w:rFonts w:asciiTheme="minorHAnsi" w:hAnsiTheme="minorHAnsi" w:cstheme="minorHAnsi"/>
          <w:sz w:val="24"/>
          <w:szCs w:val="24"/>
        </w:rPr>
        <w:t xml:space="preserve"> Comprehensive F</w:t>
      </w:r>
      <w:r w:rsidR="00626033" w:rsidRPr="00B06FCF">
        <w:rPr>
          <w:rFonts w:asciiTheme="minorHAnsi" w:hAnsiTheme="minorHAnsi" w:cstheme="minorHAnsi"/>
          <w:sz w:val="24"/>
          <w:szCs w:val="24"/>
        </w:rPr>
        <w:t>ederal Annual Monitoring Evaluation (F</w:t>
      </w:r>
      <w:r w:rsidRPr="00B06FCF">
        <w:rPr>
          <w:rFonts w:asciiTheme="minorHAnsi" w:hAnsiTheme="minorHAnsi" w:cstheme="minorHAnsi"/>
          <w:sz w:val="24"/>
          <w:szCs w:val="24"/>
        </w:rPr>
        <w:t>AME</w:t>
      </w:r>
      <w:r w:rsidR="00626033" w:rsidRPr="00B06FCF">
        <w:rPr>
          <w:rFonts w:asciiTheme="minorHAnsi" w:hAnsiTheme="minorHAnsi" w:cstheme="minorHAnsi"/>
          <w:sz w:val="24"/>
          <w:szCs w:val="24"/>
        </w:rPr>
        <w:t>)</w:t>
      </w:r>
      <w:r w:rsidRPr="00B06FCF">
        <w:rPr>
          <w:rFonts w:asciiTheme="minorHAnsi" w:hAnsiTheme="minorHAnsi" w:cstheme="minorHAnsi"/>
          <w:sz w:val="24"/>
          <w:szCs w:val="24"/>
        </w:rPr>
        <w:t xml:space="preserve"> Report</w:t>
      </w:r>
      <w:r w:rsidR="00A61250" w:rsidRPr="00B06FCF">
        <w:rPr>
          <w:rFonts w:asciiTheme="minorHAnsi" w:hAnsiTheme="minorHAnsi" w:cstheme="minorHAnsi"/>
          <w:sz w:val="24"/>
          <w:szCs w:val="24"/>
        </w:rPr>
        <w:t xml:space="preserve"> by the </w:t>
      </w:r>
      <w:r w:rsidR="00A61250" w:rsidRPr="00B06FCF">
        <w:rPr>
          <w:rFonts w:asciiTheme="minorHAnsi" w:eastAsia="Calibri" w:hAnsiTheme="minorHAnsi" w:cstheme="minorHAnsi"/>
          <w:sz w:val="24"/>
          <w:szCs w:val="24"/>
        </w:rPr>
        <w:t>North Carolina Department of Labor, Occupational Safety and Health</w:t>
      </w:r>
      <w:r w:rsidR="00E157CC">
        <w:rPr>
          <w:rFonts w:asciiTheme="minorHAnsi" w:eastAsia="Calibri" w:hAnsiTheme="minorHAnsi" w:cstheme="minorHAnsi"/>
          <w:sz w:val="24"/>
          <w:szCs w:val="24"/>
        </w:rPr>
        <w:t xml:space="preserve"> (</w:t>
      </w:r>
      <w:r w:rsidR="00F44825">
        <w:rPr>
          <w:rFonts w:asciiTheme="minorHAnsi" w:eastAsia="Calibri" w:hAnsiTheme="minorHAnsi" w:cstheme="minorHAnsi"/>
          <w:sz w:val="24"/>
          <w:szCs w:val="24"/>
        </w:rPr>
        <w:t>OSHNC</w:t>
      </w:r>
      <w:r w:rsidR="00E157CC">
        <w:rPr>
          <w:rFonts w:asciiTheme="minorHAnsi" w:eastAsia="Calibri" w:hAnsiTheme="minorHAnsi" w:cstheme="minorHAnsi"/>
          <w:sz w:val="24"/>
          <w:szCs w:val="24"/>
        </w:rPr>
        <w:t>)</w:t>
      </w:r>
      <w:r w:rsidR="00A61250" w:rsidRPr="00B06FCF">
        <w:rPr>
          <w:rFonts w:asciiTheme="minorHAnsi" w:eastAsia="Calibri" w:hAnsiTheme="minorHAnsi" w:cstheme="minorHAnsi"/>
          <w:sz w:val="24"/>
          <w:szCs w:val="24"/>
        </w:rPr>
        <w:t xml:space="preserve"> Division 23(g) program.</w:t>
      </w:r>
      <w:r w:rsidR="009A5D1C">
        <w:rPr>
          <w:rFonts w:asciiTheme="minorHAnsi" w:hAnsiTheme="minorHAnsi" w:cstheme="minorHAnsi"/>
          <w:sz w:val="24"/>
          <w:szCs w:val="24"/>
        </w:rPr>
        <w:t xml:space="preserve"> T</w:t>
      </w:r>
      <w:r w:rsidR="00A61250" w:rsidRPr="00B06FCF">
        <w:rPr>
          <w:rFonts w:asciiTheme="minorHAnsi" w:hAnsiTheme="minorHAnsi" w:cstheme="minorHAnsi"/>
          <w:sz w:val="24"/>
          <w:szCs w:val="24"/>
        </w:rPr>
        <w:t xml:space="preserve">his report is also based on the results of quarterly monitoring visits, the State OSHA Annual Report (SOAR) and the </w:t>
      </w:r>
      <w:r w:rsidR="00A61250" w:rsidRPr="00B06FCF">
        <w:rPr>
          <w:rFonts w:asciiTheme="minorHAnsi" w:hAnsiTheme="minorHAnsi" w:cstheme="minorHAnsi"/>
          <w:bCs/>
          <w:sz w:val="24"/>
          <w:szCs w:val="24"/>
        </w:rPr>
        <w:t>State Activity Mandated Measures (SAMM)</w:t>
      </w:r>
      <w:r w:rsidR="00A61250" w:rsidRPr="00B06FCF">
        <w:rPr>
          <w:rFonts w:asciiTheme="minorHAnsi" w:hAnsiTheme="minorHAnsi" w:cstheme="minorHAnsi"/>
          <w:sz w:val="24"/>
          <w:szCs w:val="24"/>
        </w:rPr>
        <w:t xml:space="preserve">. A review of the SAMM data for FY 2022 indicated </w:t>
      </w:r>
      <w:r w:rsidR="00A340C2">
        <w:rPr>
          <w:rFonts w:asciiTheme="minorHAnsi" w:hAnsiTheme="minorHAnsi" w:cstheme="minorHAnsi"/>
          <w:sz w:val="24"/>
          <w:szCs w:val="24"/>
        </w:rPr>
        <w:t xml:space="preserve">that </w:t>
      </w:r>
      <w:r w:rsidR="00A61250" w:rsidRPr="00B06FCF">
        <w:rPr>
          <w:rFonts w:asciiTheme="minorHAnsi" w:hAnsiTheme="minorHAnsi" w:cstheme="minorHAnsi"/>
          <w:sz w:val="24"/>
          <w:szCs w:val="24"/>
        </w:rPr>
        <w:t xml:space="preserve">OSH </w:t>
      </w:r>
      <w:r w:rsidR="002D657B">
        <w:rPr>
          <w:rFonts w:asciiTheme="minorHAnsi" w:hAnsiTheme="minorHAnsi" w:cstheme="minorHAnsi"/>
          <w:sz w:val="24"/>
          <w:szCs w:val="24"/>
        </w:rPr>
        <w:t xml:space="preserve">generally </w:t>
      </w:r>
      <w:r w:rsidR="00A61250" w:rsidRPr="00B06FCF">
        <w:rPr>
          <w:rFonts w:asciiTheme="minorHAnsi" w:hAnsiTheme="minorHAnsi" w:cstheme="minorHAnsi"/>
          <w:sz w:val="24"/>
          <w:szCs w:val="24"/>
        </w:rPr>
        <w:t>met or exceeded federal activity results.</w:t>
      </w:r>
      <w:r w:rsidR="00350E7F">
        <w:rPr>
          <w:rFonts w:asciiTheme="minorHAnsi" w:hAnsiTheme="minorHAnsi" w:cstheme="minorHAnsi"/>
          <w:sz w:val="24"/>
          <w:szCs w:val="24"/>
        </w:rPr>
        <w:t xml:space="preserve">  </w:t>
      </w:r>
      <w:r w:rsidR="00A61250" w:rsidRPr="00B83D61">
        <w:rPr>
          <w:rFonts w:asciiTheme="minorHAnsi" w:hAnsiTheme="minorHAnsi" w:cstheme="minorHAnsi"/>
          <w:color w:val="000000" w:themeColor="text1"/>
          <w:sz w:val="24"/>
          <w:szCs w:val="24"/>
        </w:rPr>
        <w:t>The State has taken corrective action to effectively complete and close the FY 2021 finding.  No new findings or observations were identified in FY 202</w:t>
      </w:r>
      <w:r w:rsidR="00E157CC">
        <w:rPr>
          <w:rFonts w:asciiTheme="minorHAnsi" w:hAnsiTheme="minorHAnsi" w:cstheme="minorHAnsi"/>
          <w:color w:val="000000" w:themeColor="text1"/>
          <w:sz w:val="24"/>
          <w:szCs w:val="24"/>
        </w:rPr>
        <w:t>2</w:t>
      </w:r>
      <w:r w:rsidR="000A146B" w:rsidRPr="00B83D61">
        <w:rPr>
          <w:rFonts w:asciiTheme="minorHAnsi" w:hAnsiTheme="minorHAnsi" w:cstheme="minorHAnsi"/>
          <w:color w:val="000000" w:themeColor="text1"/>
          <w:sz w:val="24"/>
          <w:szCs w:val="24"/>
        </w:rPr>
        <w:t xml:space="preserve">. </w:t>
      </w:r>
    </w:p>
    <w:p w14:paraId="73BB4A20" w14:textId="77777777" w:rsidR="00350E7F" w:rsidRDefault="00350E7F" w:rsidP="000A20EB">
      <w:pPr>
        <w:pStyle w:val="block1"/>
        <w:spacing w:before="0" w:beforeAutospacing="0" w:after="0" w:afterAutospacing="0"/>
        <w:rPr>
          <w:rFonts w:asciiTheme="minorHAnsi" w:hAnsiTheme="minorHAnsi" w:cstheme="minorHAnsi"/>
          <w:color w:val="000000" w:themeColor="text1"/>
          <w:sz w:val="24"/>
          <w:szCs w:val="24"/>
        </w:rPr>
      </w:pPr>
    </w:p>
    <w:p w14:paraId="2432F2DB" w14:textId="150C609B" w:rsidR="00A61250" w:rsidRPr="00B83D61" w:rsidRDefault="00B83D61" w:rsidP="000A20EB">
      <w:pPr>
        <w:pStyle w:val="block1"/>
        <w:spacing w:before="0" w:beforeAutospacing="0" w:after="0" w:afterAutospacing="0"/>
        <w:rPr>
          <w:rFonts w:asciiTheme="minorHAnsi" w:hAnsiTheme="minorHAnsi" w:cstheme="minorHAnsi"/>
          <w:sz w:val="24"/>
          <w:szCs w:val="24"/>
        </w:rPr>
      </w:pPr>
      <w:r w:rsidRPr="00B83D61">
        <w:rPr>
          <w:rFonts w:asciiTheme="minorHAnsi" w:hAnsiTheme="minorHAnsi" w:cstheme="minorHAnsi"/>
          <w:sz w:val="24"/>
          <w:szCs w:val="24"/>
        </w:rPr>
        <w:t>The</w:t>
      </w:r>
      <w:r w:rsidR="002D657B">
        <w:rPr>
          <w:rFonts w:asciiTheme="minorHAnsi" w:hAnsiTheme="minorHAnsi" w:cstheme="minorHAnsi"/>
          <w:sz w:val="24"/>
          <w:szCs w:val="24"/>
        </w:rPr>
        <w:t xml:space="preserve"> </w:t>
      </w:r>
      <w:r w:rsidR="00F44825">
        <w:rPr>
          <w:rFonts w:asciiTheme="minorHAnsi" w:hAnsiTheme="minorHAnsi" w:cstheme="minorHAnsi"/>
          <w:sz w:val="24"/>
          <w:szCs w:val="24"/>
        </w:rPr>
        <w:t>OSHNC</w:t>
      </w:r>
      <w:r w:rsidRPr="00B83D61">
        <w:rPr>
          <w:rFonts w:asciiTheme="minorHAnsi" w:hAnsiTheme="minorHAnsi" w:cstheme="minorHAnsi"/>
          <w:sz w:val="24"/>
          <w:szCs w:val="24"/>
        </w:rPr>
        <w:t xml:space="preserve"> has established two outcome goals as part of the Five-Year Strategic Management Plan. Goal One is to reduce</w:t>
      </w:r>
      <w:r w:rsidR="00327C25">
        <w:rPr>
          <w:rFonts w:asciiTheme="minorHAnsi" w:hAnsiTheme="minorHAnsi" w:cstheme="minorHAnsi"/>
          <w:sz w:val="24"/>
          <w:szCs w:val="24"/>
        </w:rPr>
        <w:t>,</w:t>
      </w:r>
      <w:r w:rsidRPr="00B83D61">
        <w:rPr>
          <w:rFonts w:asciiTheme="minorHAnsi" w:hAnsiTheme="minorHAnsi" w:cstheme="minorHAnsi"/>
          <w:sz w:val="24"/>
          <w:szCs w:val="24"/>
        </w:rPr>
        <w:t xml:space="preserve"> by the end of FY 2023</w:t>
      </w:r>
      <w:r w:rsidR="00327C25">
        <w:rPr>
          <w:rFonts w:asciiTheme="minorHAnsi" w:hAnsiTheme="minorHAnsi" w:cstheme="minorHAnsi"/>
          <w:sz w:val="24"/>
          <w:szCs w:val="24"/>
        </w:rPr>
        <w:t>,</w:t>
      </w:r>
      <w:r w:rsidRPr="00B83D61">
        <w:rPr>
          <w:rFonts w:asciiTheme="minorHAnsi" w:hAnsiTheme="minorHAnsi" w:cstheme="minorHAnsi"/>
          <w:sz w:val="24"/>
          <w:szCs w:val="24"/>
        </w:rPr>
        <w:t xml:space="preserve"> the rate of workplace fatalities by </w:t>
      </w:r>
      <w:r w:rsidR="00305510">
        <w:rPr>
          <w:rFonts w:asciiTheme="minorHAnsi" w:hAnsiTheme="minorHAnsi" w:cstheme="minorHAnsi"/>
          <w:sz w:val="24"/>
          <w:szCs w:val="24"/>
        </w:rPr>
        <w:t>2%</w:t>
      </w:r>
      <w:r w:rsidRPr="00B83D61">
        <w:rPr>
          <w:rFonts w:asciiTheme="minorHAnsi" w:hAnsiTheme="minorHAnsi" w:cstheme="minorHAnsi"/>
          <w:sz w:val="24"/>
          <w:szCs w:val="24"/>
        </w:rPr>
        <w:t>. Goal Two is to reduce by the end of FY 2023</w:t>
      </w:r>
      <w:r w:rsidR="00327C25">
        <w:rPr>
          <w:rFonts w:asciiTheme="minorHAnsi" w:hAnsiTheme="minorHAnsi" w:cstheme="minorHAnsi"/>
          <w:sz w:val="24"/>
          <w:szCs w:val="24"/>
        </w:rPr>
        <w:t>,</w:t>
      </w:r>
      <w:r w:rsidRPr="00B83D61">
        <w:rPr>
          <w:rFonts w:asciiTheme="minorHAnsi" w:hAnsiTheme="minorHAnsi" w:cstheme="minorHAnsi"/>
          <w:sz w:val="24"/>
          <w:szCs w:val="24"/>
        </w:rPr>
        <w:t xml:space="preserve"> the rate of workplace injuries and illnesses by 5%. The primary strategy for reducing the overall injury and illness rate and fatality rate </w:t>
      </w:r>
      <w:r w:rsidR="00290AF1">
        <w:rPr>
          <w:rFonts w:asciiTheme="minorHAnsi" w:hAnsiTheme="minorHAnsi" w:cstheme="minorHAnsi"/>
          <w:sz w:val="24"/>
          <w:szCs w:val="24"/>
        </w:rPr>
        <w:t xml:space="preserve">entails </w:t>
      </w:r>
      <w:r w:rsidR="00290AF1" w:rsidRPr="00B83D61">
        <w:rPr>
          <w:rFonts w:asciiTheme="minorHAnsi" w:hAnsiTheme="minorHAnsi" w:cstheme="minorHAnsi"/>
          <w:sz w:val="24"/>
          <w:szCs w:val="24"/>
        </w:rPr>
        <w:t>designating</w:t>
      </w:r>
      <w:r w:rsidRPr="00B83D61">
        <w:rPr>
          <w:rFonts w:asciiTheme="minorHAnsi" w:hAnsiTheme="minorHAnsi" w:cstheme="minorHAnsi"/>
          <w:sz w:val="24"/>
          <w:szCs w:val="24"/>
        </w:rPr>
        <w:t xml:space="preserve"> </w:t>
      </w:r>
      <w:r w:rsidR="00AA1B2D">
        <w:rPr>
          <w:rFonts w:asciiTheme="minorHAnsi" w:hAnsiTheme="minorHAnsi" w:cstheme="minorHAnsi"/>
          <w:sz w:val="24"/>
          <w:szCs w:val="24"/>
        </w:rPr>
        <w:t xml:space="preserve">and implementing </w:t>
      </w:r>
      <w:r w:rsidRPr="00B83D61">
        <w:rPr>
          <w:rFonts w:asciiTheme="minorHAnsi" w:hAnsiTheme="minorHAnsi" w:cstheme="minorHAnsi"/>
          <w:sz w:val="24"/>
          <w:szCs w:val="24"/>
        </w:rPr>
        <w:t xml:space="preserve">performance goals affecting specific industry groups and workplace health hazards. </w:t>
      </w:r>
    </w:p>
    <w:p w14:paraId="376D42AE" w14:textId="75A3EC71" w:rsidR="00044F7D" w:rsidRPr="00B06FCF" w:rsidRDefault="00044F7D" w:rsidP="000A20EB">
      <w:pPr>
        <w:widowControl/>
        <w:autoSpaceDE/>
        <w:autoSpaceDN/>
        <w:adjustRightInd/>
        <w:rPr>
          <w:rFonts w:asciiTheme="minorHAnsi" w:hAnsiTheme="minorHAnsi" w:cstheme="minorHAnsi"/>
          <w:iCs/>
          <w:color w:val="0070C0"/>
        </w:rPr>
      </w:pPr>
    </w:p>
    <w:p w14:paraId="644EC00C" w14:textId="26E64E24" w:rsidR="002536E7" w:rsidRPr="00B06FCF" w:rsidRDefault="00327C25" w:rsidP="000A20EB">
      <w:pPr>
        <w:widowControl/>
        <w:autoSpaceDE/>
        <w:autoSpaceDN/>
        <w:adjustRightInd/>
        <w:spacing w:after="240"/>
        <w:rPr>
          <w:rFonts w:asciiTheme="minorHAnsi" w:eastAsia="Calibri" w:hAnsiTheme="minorHAnsi" w:cstheme="minorHAnsi"/>
        </w:rPr>
      </w:pPr>
      <w:bookmarkStart w:id="6" w:name="_Hlk120867734"/>
      <w:r>
        <w:rPr>
          <w:rFonts w:asciiTheme="minorHAnsi" w:eastAsia="Calibri" w:hAnsiTheme="minorHAnsi" w:cstheme="minorHAnsi"/>
        </w:rPr>
        <w:t>Based on the most current available data</w:t>
      </w:r>
      <w:r w:rsidR="00A340C2">
        <w:rPr>
          <w:rFonts w:asciiTheme="minorHAnsi" w:eastAsia="Calibri" w:hAnsiTheme="minorHAnsi" w:cstheme="minorHAnsi"/>
        </w:rPr>
        <w:t>,</w:t>
      </w:r>
      <w:r>
        <w:rPr>
          <w:rFonts w:asciiTheme="minorHAnsi" w:eastAsia="Calibri" w:hAnsiTheme="minorHAnsi" w:cstheme="minorHAnsi"/>
        </w:rPr>
        <w:t xml:space="preserve"> </w:t>
      </w:r>
      <w:r w:rsidR="002536E7" w:rsidRPr="00B06FCF">
        <w:rPr>
          <w:rFonts w:asciiTheme="minorHAnsi" w:eastAsia="Calibri" w:hAnsiTheme="minorHAnsi" w:cstheme="minorHAnsi"/>
        </w:rPr>
        <w:t>N</w:t>
      </w:r>
      <w:r w:rsidR="003E020E">
        <w:rPr>
          <w:rFonts w:asciiTheme="minorHAnsi" w:eastAsia="Calibri" w:hAnsiTheme="minorHAnsi" w:cstheme="minorHAnsi"/>
        </w:rPr>
        <w:t>orth Carolina’</w:t>
      </w:r>
      <w:r w:rsidR="003E020E" w:rsidRPr="00B06FCF">
        <w:rPr>
          <w:rFonts w:asciiTheme="minorHAnsi" w:eastAsia="Calibri" w:hAnsiTheme="minorHAnsi" w:cstheme="minorHAnsi"/>
        </w:rPr>
        <w:t>s</w:t>
      </w:r>
      <w:r w:rsidR="002536E7" w:rsidRPr="00B06FCF">
        <w:rPr>
          <w:rFonts w:asciiTheme="minorHAnsi" w:eastAsia="Calibri" w:hAnsiTheme="minorHAnsi" w:cstheme="minorHAnsi"/>
        </w:rPr>
        <w:t xml:space="preserve"> Total Recordable Case (TRC) rate for Calendar Year 2021 </w:t>
      </w:r>
      <w:r>
        <w:rPr>
          <w:rFonts w:asciiTheme="minorHAnsi" w:eastAsia="Calibri" w:hAnsiTheme="minorHAnsi" w:cstheme="minorHAnsi"/>
        </w:rPr>
        <w:t xml:space="preserve">remains </w:t>
      </w:r>
      <w:r w:rsidRPr="00B06FCF">
        <w:rPr>
          <w:rFonts w:asciiTheme="minorHAnsi" w:eastAsia="Calibri" w:hAnsiTheme="minorHAnsi" w:cstheme="minorHAnsi"/>
        </w:rPr>
        <w:t>historic</w:t>
      </w:r>
      <w:r>
        <w:rPr>
          <w:rFonts w:asciiTheme="minorHAnsi" w:eastAsia="Calibri" w:hAnsiTheme="minorHAnsi" w:cstheme="minorHAnsi"/>
        </w:rPr>
        <w:t xml:space="preserve">ally </w:t>
      </w:r>
      <w:r w:rsidRPr="00B06FCF">
        <w:rPr>
          <w:rFonts w:asciiTheme="minorHAnsi" w:eastAsia="Calibri" w:hAnsiTheme="minorHAnsi" w:cstheme="minorHAnsi"/>
        </w:rPr>
        <w:t>low</w:t>
      </w:r>
      <w:r>
        <w:rPr>
          <w:rFonts w:asciiTheme="minorHAnsi" w:eastAsia="Calibri" w:hAnsiTheme="minorHAnsi" w:cstheme="minorHAnsi"/>
        </w:rPr>
        <w:t>.</w:t>
      </w:r>
      <w:r w:rsidR="002536E7" w:rsidRPr="00B06FCF">
        <w:rPr>
          <w:rFonts w:asciiTheme="minorHAnsi" w:eastAsia="Calibri" w:hAnsiTheme="minorHAnsi" w:cstheme="minorHAnsi"/>
        </w:rPr>
        <w:t xml:space="preserve"> The private sector TRC rate was 2.2</w:t>
      </w:r>
      <w:r w:rsidR="00A340C2">
        <w:rPr>
          <w:rFonts w:asciiTheme="minorHAnsi" w:eastAsia="Calibri" w:hAnsiTheme="minorHAnsi" w:cstheme="minorHAnsi"/>
        </w:rPr>
        <w:t>,</w:t>
      </w:r>
      <w:r w:rsidR="002536E7" w:rsidRPr="00B06FCF">
        <w:rPr>
          <w:rFonts w:asciiTheme="minorHAnsi" w:eastAsia="Calibri" w:hAnsiTheme="minorHAnsi" w:cstheme="minorHAnsi"/>
        </w:rPr>
        <w:t xml:space="preserve"> and the Days Away, Restricted, or Transferred (DART) rate was 1.3. These rates are 19% lower and 21% lower, </w:t>
      </w:r>
      <w:r w:rsidR="00AA1B2D">
        <w:rPr>
          <w:rFonts w:asciiTheme="minorHAnsi" w:eastAsia="Calibri" w:hAnsiTheme="minorHAnsi" w:cstheme="minorHAnsi"/>
        </w:rPr>
        <w:t xml:space="preserve">respectively, </w:t>
      </w:r>
      <w:r w:rsidR="002536E7" w:rsidRPr="00B06FCF">
        <w:rPr>
          <w:rFonts w:asciiTheme="minorHAnsi" w:eastAsia="Calibri" w:hAnsiTheme="minorHAnsi" w:cstheme="minorHAnsi"/>
        </w:rPr>
        <w:t>than the national average</w:t>
      </w:r>
      <w:r w:rsidR="00AA1B2D">
        <w:rPr>
          <w:rFonts w:asciiTheme="minorHAnsi" w:eastAsia="Calibri" w:hAnsiTheme="minorHAnsi" w:cstheme="minorHAnsi"/>
        </w:rPr>
        <w:t>.</w:t>
      </w:r>
      <w:r w:rsidR="002536E7" w:rsidRPr="00B06FCF">
        <w:rPr>
          <w:rFonts w:asciiTheme="minorHAnsi" w:eastAsia="Calibri" w:hAnsiTheme="minorHAnsi" w:cstheme="minorHAnsi"/>
        </w:rPr>
        <w:t xml:space="preserve"> When the </w:t>
      </w:r>
      <w:r w:rsidR="00AA1B2D">
        <w:rPr>
          <w:rFonts w:asciiTheme="minorHAnsi" w:eastAsia="Calibri" w:hAnsiTheme="minorHAnsi" w:cstheme="minorHAnsi"/>
        </w:rPr>
        <w:t xml:space="preserve">state and local </w:t>
      </w:r>
      <w:r w:rsidR="00290AF1">
        <w:rPr>
          <w:rFonts w:asciiTheme="minorHAnsi" w:eastAsia="Calibri" w:hAnsiTheme="minorHAnsi" w:cstheme="minorHAnsi"/>
        </w:rPr>
        <w:t xml:space="preserve">government </w:t>
      </w:r>
      <w:r w:rsidR="00290AF1" w:rsidRPr="00B06FCF">
        <w:rPr>
          <w:rFonts w:asciiTheme="minorHAnsi" w:eastAsia="Calibri" w:hAnsiTheme="minorHAnsi" w:cstheme="minorHAnsi"/>
        </w:rPr>
        <w:t>sector</w:t>
      </w:r>
      <w:r w:rsidR="002536E7" w:rsidRPr="00B06FCF">
        <w:rPr>
          <w:rFonts w:asciiTheme="minorHAnsi" w:eastAsia="Calibri" w:hAnsiTheme="minorHAnsi" w:cstheme="minorHAnsi"/>
        </w:rPr>
        <w:t xml:space="preserve"> numbers are included, the overall TRC rate was 2.4 and the DART rate was 1.4. These rates are 17% and 22% lower, respectively, th</w:t>
      </w:r>
      <w:r w:rsidR="00E157CC">
        <w:rPr>
          <w:rFonts w:asciiTheme="minorHAnsi" w:eastAsia="Calibri" w:hAnsiTheme="minorHAnsi" w:cstheme="minorHAnsi"/>
        </w:rPr>
        <w:t>a</w:t>
      </w:r>
      <w:r w:rsidR="002536E7" w:rsidRPr="00B06FCF">
        <w:rPr>
          <w:rFonts w:asciiTheme="minorHAnsi" w:eastAsia="Calibri" w:hAnsiTheme="minorHAnsi" w:cstheme="minorHAnsi"/>
        </w:rPr>
        <w:t xml:space="preserve">n the national rates. </w:t>
      </w:r>
    </w:p>
    <w:p w14:paraId="03BE99D4" w14:textId="75BF38D5" w:rsidR="006A4678" w:rsidRPr="00B06FCF" w:rsidRDefault="00AF2A0B" w:rsidP="000A20EB">
      <w:pPr>
        <w:widowControl/>
        <w:autoSpaceDE/>
        <w:autoSpaceDN/>
        <w:adjustRightInd/>
        <w:rPr>
          <w:rFonts w:asciiTheme="minorHAnsi" w:hAnsiTheme="minorHAnsi" w:cstheme="minorHAnsi"/>
        </w:rPr>
      </w:pPr>
      <w:r w:rsidRPr="00B06FCF">
        <w:rPr>
          <w:rFonts w:asciiTheme="minorHAnsi" w:hAnsiTheme="minorHAnsi" w:cstheme="minorHAnsi"/>
        </w:rPr>
        <w:t xml:space="preserve">In FY 2022, </w:t>
      </w:r>
      <w:r w:rsidRPr="00B06FCF">
        <w:rPr>
          <w:rFonts w:asciiTheme="minorHAnsi" w:eastAsia="Calibri" w:hAnsiTheme="minorHAnsi" w:cstheme="minorHAnsi"/>
        </w:rPr>
        <w:t xml:space="preserve">52,591 publications were distributed to promote a safe and </w:t>
      </w:r>
      <w:r w:rsidR="00E157CC">
        <w:rPr>
          <w:rFonts w:asciiTheme="minorHAnsi" w:eastAsia="Calibri" w:hAnsiTheme="minorHAnsi" w:cstheme="minorHAnsi"/>
        </w:rPr>
        <w:t>healthy</w:t>
      </w:r>
      <w:r w:rsidRPr="00B06FCF">
        <w:rPr>
          <w:rFonts w:asciiTheme="minorHAnsi" w:eastAsia="Calibri" w:hAnsiTheme="minorHAnsi" w:cstheme="minorHAnsi"/>
        </w:rPr>
        <w:t xml:space="preserve"> work environment. </w:t>
      </w:r>
      <w:r w:rsidR="002D657B">
        <w:rPr>
          <w:rFonts w:asciiTheme="minorHAnsi" w:eastAsia="Calibri" w:hAnsiTheme="minorHAnsi" w:cstheme="minorHAnsi"/>
        </w:rPr>
        <w:t>T</w:t>
      </w:r>
      <w:r w:rsidR="00B06FCF">
        <w:t>he Bureau of</w:t>
      </w:r>
      <w:r w:rsidR="00B06FCF" w:rsidRPr="00B06FCF">
        <w:rPr>
          <w:b/>
          <w:bCs/>
        </w:rPr>
        <w:t xml:space="preserve"> </w:t>
      </w:r>
      <w:r w:rsidR="00B06FCF" w:rsidRPr="00B06FCF">
        <w:rPr>
          <w:rStyle w:val="Strong"/>
          <w:b w:val="0"/>
          <w:bCs w:val="0"/>
          <w:lang w:val="en"/>
        </w:rPr>
        <w:t>Education, Training and Technical Assistance (</w:t>
      </w:r>
      <w:r w:rsidR="00B06FCF" w:rsidRPr="00B06FCF">
        <w:t>ETTA)</w:t>
      </w:r>
      <w:r w:rsidR="00B06FCF">
        <w:t xml:space="preserve"> P</w:t>
      </w:r>
      <w:r w:rsidRPr="00B06FCF">
        <w:rPr>
          <w:rFonts w:asciiTheme="minorHAnsi" w:eastAsia="Calibri" w:hAnsiTheme="minorHAnsi" w:cstheme="minorHAnsi"/>
        </w:rPr>
        <w:t xml:space="preserve">ublications </w:t>
      </w:r>
      <w:r w:rsidR="00B06FCF">
        <w:rPr>
          <w:rFonts w:asciiTheme="minorHAnsi" w:eastAsia="Calibri" w:hAnsiTheme="minorHAnsi" w:cstheme="minorHAnsi"/>
        </w:rPr>
        <w:t>D</w:t>
      </w:r>
      <w:r w:rsidRPr="00B06FCF">
        <w:rPr>
          <w:rFonts w:asciiTheme="minorHAnsi" w:eastAsia="Calibri" w:hAnsiTheme="minorHAnsi" w:cstheme="minorHAnsi"/>
        </w:rPr>
        <w:t>esk served 2,425 customers</w:t>
      </w:r>
      <w:r w:rsidR="002D657B">
        <w:rPr>
          <w:rFonts w:asciiTheme="minorHAnsi" w:eastAsia="Calibri" w:hAnsiTheme="minorHAnsi" w:cstheme="minorHAnsi"/>
        </w:rPr>
        <w:t xml:space="preserve"> and </w:t>
      </w:r>
      <w:r w:rsidR="006A4678" w:rsidRPr="00B06FCF">
        <w:rPr>
          <w:rFonts w:asciiTheme="minorHAnsi" w:eastAsia="Calibri" w:hAnsiTheme="minorHAnsi" w:cstheme="minorHAnsi"/>
        </w:rPr>
        <w:t>participated in 190 events</w:t>
      </w:r>
      <w:r w:rsidR="00957977">
        <w:rPr>
          <w:rFonts w:asciiTheme="minorHAnsi" w:eastAsia="Calibri" w:hAnsiTheme="minorHAnsi" w:cstheme="minorHAnsi"/>
        </w:rPr>
        <w:t>, such as</w:t>
      </w:r>
      <w:r w:rsidR="00327C25">
        <w:rPr>
          <w:rFonts w:asciiTheme="minorHAnsi" w:eastAsia="Calibri" w:hAnsiTheme="minorHAnsi" w:cstheme="minorHAnsi"/>
        </w:rPr>
        <w:t xml:space="preserve"> </w:t>
      </w:r>
      <w:r w:rsidR="006A4678" w:rsidRPr="00B06FCF">
        <w:rPr>
          <w:rFonts w:asciiTheme="minorHAnsi" w:eastAsia="Calibri" w:hAnsiTheme="minorHAnsi" w:cstheme="minorHAnsi"/>
        </w:rPr>
        <w:t>10-and 30- hour courses, construction forums, webinars</w:t>
      </w:r>
      <w:r w:rsidR="002D657B">
        <w:rPr>
          <w:rFonts w:asciiTheme="minorHAnsi" w:eastAsia="Calibri" w:hAnsiTheme="minorHAnsi" w:cstheme="minorHAnsi"/>
        </w:rPr>
        <w:t>,</w:t>
      </w:r>
      <w:r w:rsidR="006A4678" w:rsidRPr="00B06FCF">
        <w:rPr>
          <w:rFonts w:asciiTheme="minorHAnsi" w:eastAsia="Calibri" w:hAnsiTheme="minorHAnsi" w:cstheme="minorHAnsi"/>
        </w:rPr>
        <w:t xml:space="preserve"> outreach fairs and conferences</w:t>
      </w:r>
      <w:r w:rsidR="00290AF1" w:rsidRPr="00B06FCF">
        <w:rPr>
          <w:rFonts w:asciiTheme="minorHAnsi" w:eastAsia="Calibri" w:hAnsiTheme="minorHAnsi" w:cstheme="minorHAnsi"/>
        </w:rPr>
        <w:t xml:space="preserve">. </w:t>
      </w:r>
      <w:r w:rsidR="00327C25">
        <w:rPr>
          <w:rFonts w:asciiTheme="minorHAnsi" w:eastAsia="Calibri" w:hAnsiTheme="minorHAnsi" w:cstheme="minorHAnsi"/>
        </w:rPr>
        <w:t>Most notably</w:t>
      </w:r>
      <w:r w:rsidR="00C67F82">
        <w:rPr>
          <w:rFonts w:asciiTheme="minorHAnsi" w:eastAsia="Calibri" w:hAnsiTheme="minorHAnsi" w:cstheme="minorHAnsi"/>
        </w:rPr>
        <w:t>, ETTA</w:t>
      </w:r>
      <w:r w:rsidR="006A4678" w:rsidRPr="00B06FCF">
        <w:rPr>
          <w:rFonts w:asciiTheme="minorHAnsi" w:eastAsia="Calibri" w:hAnsiTheme="minorHAnsi" w:cstheme="minorHAnsi"/>
        </w:rPr>
        <w:t xml:space="preserve"> participated </w:t>
      </w:r>
      <w:r w:rsidR="00290AF1" w:rsidRPr="00B06FCF">
        <w:rPr>
          <w:rFonts w:asciiTheme="minorHAnsi" w:eastAsia="Calibri" w:hAnsiTheme="minorHAnsi" w:cstheme="minorHAnsi"/>
        </w:rPr>
        <w:t>with OSHA</w:t>
      </w:r>
      <w:r w:rsidR="006A4678" w:rsidRPr="00B06FCF">
        <w:rPr>
          <w:rFonts w:asciiTheme="minorHAnsi" w:eastAsia="Calibri" w:hAnsiTheme="minorHAnsi" w:cstheme="minorHAnsi"/>
        </w:rPr>
        <w:t xml:space="preserve"> in the National Stand Down to Prevent Falls in Construction</w:t>
      </w:r>
      <w:r w:rsidR="00305510">
        <w:rPr>
          <w:rFonts w:asciiTheme="minorHAnsi" w:eastAsia="Calibri" w:hAnsiTheme="minorHAnsi" w:cstheme="minorHAnsi"/>
        </w:rPr>
        <w:t xml:space="preserve"> and d</w:t>
      </w:r>
      <w:r w:rsidR="006A4678" w:rsidRPr="00B06FCF">
        <w:rPr>
          <w:rFonts w:asciiTheme="minorHAnsi" w:hAnsiTheme="minorHAnsi" w:cstheme="minorHAnsi"/>
        </w:rPr>
        <w:t>uring Safe + Sound Week, they hosted two webinars</w:t>
      </w:r>
      <w:r w:rsidR="00CE6B9B" w:rsidRPr="00B06FCF">
        <w:rPr>
          <w:rFonts w:asciiTheme="minorHAnsi" w:hAnsiTheme="minorHAnsi" w:cstheme="minorHAnsi"/>
        </w:rPr>
        <w:t xml:space="preserve">. </w:t>
      </w:r>
      <w:r w:rsidR="006A4678" w:rsidRPr="00B06FCF">
        <w:rPr>
          <w:rFonts w:asciiTheme="minorHAnsi" w:eastAsia="Calibri" w:hAnsiTheme="minorHAnsi" w:cstheme="minorHAnsi"/>
        </w:rPr>
        <w:t xml:space="preserve">To raise awareness across NC, </w:t>
      </w:r>
      <w:r w:rsidR="00B06FCF">
        <w:rPr>
          <w:rFonts w:asciiTheme="minorHAnsi" w:eastAsia="Calibri" w:hAnsiTheme="minorHAnsi" w:cstheme="minorHAnsi"/>
        </w:rPr>
        <w:t>ETTA</w:t>
      </w:r>
      <w:r w:rsidR="006A4678" w:rsidRPr="00B06FCF">
        <w:rPr>
          <w:rFonts w:asciiTheme="minorHAnsi" w:eastAsia="Calibri" w:hAnsiTheme="minorHAnsi" w:cstheme="minorHAnsi"/>
        </w:rPr>
        <w:t xml:space="preserve"> contributed to the designs of five billboards: Grain Safety, Fall Prevention, Heat Stress, Trenching Safety and the Safe </w:t>
      </w:r>
      <w:r w:rsidR="006A4678" w:rsidRPr="00B06FCF">
        <w:rPr>
          <w:rFonts w:asciiTheme="minorHAnsi" w:hAnsiTheme="minorHAnsi" w:cstheme="minorHAnsi"/>
        </w:rPr>
        <w:t>+</w:t>
      </w:r>
      <w:r w:rsidR="006A4678" w:rsidRPr="00B06FCF">
        <w:rPr>
          <w:rFonts w:asciiTheme="minorHAnsi" w:eastAsia="Calibri" w:hAnsiTheme="minorHAnsi" w:cstheme="minorHAnsi"/>
        </w:rPr>
        <w:t xml:space="preserve"> Sound Initiative.</w:t>
      </w:r>
      <w:bookmarkEnd w:id="6"/>
    </w:p>
    <w:p w14:paraId="60AA23DA" w14:textId="77777777" w:rsidR="006A4678" w:rsidRPr="00B06FCF" w:rsidRDefault="006A4678" w:rsidP="000A20EB">
      <w:pPr>
        <w:widowControl/>
        <w:autoSpaceDE/>
        <w:autoSpaceDN/>
        <w:adjustRightInd/>
        <w:rPr>
          <w:rFonts w:asciiTheme="minorHAnsi" w:hAnsiTheme="minorHAnsi" w:cstheme="minorHAnsi"/>
        </w:rPr>
      </w:pPr>
    </w:p>
    <w:p w14:paraId="26F2D707" w14:textId="3E3227E0" w:rsidR="00044F7D" w:rsidRDefault="00B06FCF" w:rsidP="000A20EB">
      <w:pPr>
        <w:widowControl/>
        <w:adjustRightInd/>
        <w:spacing w:after="120"/>
        <w:rPr>
          <w:rFonts w:cs="Calibri"/>
          <w:iCs/>
          <w:color w:val="0070C0"/>
        </w:rPr>
      </w:pPr>
      <w:r w:rsidRPr="00C67F82">
        <w:rPr>
          <w:rFonts w:asciiTheme="minorHAnsi" w:hAnsiTheme="minorHAnsi" w:cstheme="minorHAnsi"/>
          <w:bCs/>
        </w:rPr>
        <w:t>The Agricultur</w:t>
      </w:r>
      <w:r w:rsidR="00E157CC">
        <w:rPr>
          <w:rFonts w:asciiTheme="minorHAnsi" w:hAnsiTheme="minorHAnsi" w:cstheme="minorHAnsi"/>
          <w:bCs/>
        </w:rPr>
        <w:t>al</w:t>
      </w:r>
      <w:r w:rsidRPr="00C67F82">
        <w:rPr>
          <w:rFonts w:asciiTheme="minorHAnsi" w:hAnsiTheme="minorHAnsi" w:cstheme="minorHAnsi"/>
          <w:bCs/>
        </w:rPr>
        <w:t xml:space="preserve"> Safety and Health (ASH) Bureau</w:t>
      </w:r>
      <w:r w:rsidR="006A4678" w:rsidRPr="00C67F82">
        <w:rPr>
          <w:rFonts w:asciiTheme="minorHAnsi" w:hAnsiTheme="minorHAnsi" w:cstheme="minorHAnsi"/>
        </w:rPr>
        <w:t xml:space="preserve"> continues to strengthen partnerships with groups, such as:</w:t>
      </w:r>
      <w:r w:rsidR="0018472F">
        <w:rPr>
          <w:rFonts w:asciiTheme="minorHAnsi" w:hAnsiTheme="minorHAnsi" w:cstheme="minorHAnsi"/>
        </w:rPr>
        <w:t xml:space="preserve"> </w:t>
      </w:r>
      <w:r w:rsidR="00327C25">
        <w:rPr>
          <w:rFonts w:asciiTheme="minorHAnsi" w:hAnsiTheme="minorHAnsi" w:cstheme="minorHAnsi"/>
        </w:rPr>
        <w:t>NC</w:t>
      </w:r>
      <w:r w:rsidR="00C67F82" w:rsidRPr="00C67F82">
        <w:rPr>
          <w:rFonts w:asciiTheme="minorHAnsi" w:hAnsiTheme="minorHAnsi" w:cstheme="minorHAnsi"/>
        </w:rPr>
        <w:t xml:space="preserve"> State University</w:t>
      </w:r>
      <w:r w:rsidR="006A4678" w:rsidRPr="00C67F82">
        <w:rPr>
          <w:rFonts w:asciiTheme="minorHAnsi" w:hAnsiTheme="minorHAnsi" w:cstheme="minorHAnsi"/>
        </w:rPr>
        <w:t xml:space="preserve"> cooperative extension,</w:t>
      </w:r>
      <w:r w:rsidR="0018472F">
        <w:rPr>
          <w:rFonts w:asciiTheme="minorHAnsi" w:hAnsiTheme="minorHAnsi" w:cstheme="minorHAnsi"/>
        </w:rPr>
        <w:t xml:space="preserve"> NC </w:t>
      </w:r>
      <w:proofErr w:type="spellStart"/>
      <w:r w:rsidR="006A4678" w:rsidRPr="00C67F82">
        <w:rPr>
          <w:rFonts w:asciiTheme="minorHAnsi" w:hAnsiTheme="minorHAnsi" w:cstheme="minorHAnsi"/>
        </w:rPr>
        <w:t>Agromedicine</w:t>
      </w:r>
      <w:proofErr w:type="spellEnd"/>
      <w:r w:rsidR="006A4678" w:rsidRPr="00C67F82">
        <w:rPr>
          <w:rFonts w:asciiTheme="minorHAnsi" w:hAnsiTheme="minorHAnsi" w:cstheme="minorHAnsi"/>
        </w:rPr>
        <w:t xml:space="preserve"> Institute, NCDHHS, NC Farmworker Health Program, NC Dept</w:t>
      </w:r>
      <w:r w:rsidR="003E020E">
        <w:rPr>
          <w:rFonts w:asciiTheme="minorHAnsi" w:hAnsiTheme="minorHAnsi" w:cstheme="minorHAnsi"/>
        </w:rPr>
        <w:t>.</w:t>
      </w:r>
      <w:r w:rsidR="006A4678" w:rsidRPr="00C67F82">
        <w:rPr>
          <w:rFonts w:asciiTheme="minorHAnsi" w:hAnsiTheme="minorHAnsi" w:cstheme="minorHAnsi"/>
        </w:rPr>
        <w:t xml:space="preserve"> of Commerce, NC Community Health Center Association, NC Farm Bureau, NC Agribusiness Council, and the N</w:t>
      </w:r>
      <w:r w:rsidR="00327C25">
        <w:rPr>
          <w:rFonts w:asciiTheme="minorHAnsi" w:hAnsiTheme="minorHAnsi" w:cstheme="minorHAnsi"/>
        </w:rPr>
        <w:t>C</w:t>
      </w:r>
      <w:r w:rsidR="006A4678" w:rsidRPr="00C67F82">
        <w:rPr>
          <w:rFonts w:asciiTheme="minorHAnsi" w:hAnsiTheme="minorHAnsi" w:cstheme="minorHAnsi"/>
        </w:rPr>
        <w:t xml:space="preserve"> Growers Association</w:t>
      </w:r>
      <w:r w:rsidR="00290AF1" w:rsidRPr="00C67F82">
        <w:rPr>
          <w:rFonts w:asciiTheme="minorHAnsi" w:hAnsiTheme="minorHAnsi" w:cstheme="minorHAnsi"/>
        </w:rPr>
        <w:t xml:space="preserve">. </w:t>
      </w:r>
      <w:r w:rsidRPr="00C67F82">
        <w:rPr>
          <w:rFonts w:asciiTheme="minorHAnsi" w:hAnsiTheme="minorHAnsi" w:cstheme="minorHAnsi"/>
        </w:rPr>
        <w:t xml:space="preserve">In </w:t>
      </w:r>
      <w:r w:rsidR="00305510">
        <w:rPr>
          <w:rFonts w:asciiTheme="minorHAnsi" w:hAnsiTheme="minorHAnsi" w:cstheme="minorHAnsi"/>
        </w:rPr>
        <w:t xml:space="preserve">FY 2022, </w:t>
      </w:r>
      <w:r w:rsidRPr="00C67F82">
        <w:rPr>
          <w:rFonts w:asciiTheme="minorHAnsi" w:hAnsiTheme="minorHAnsi" w:cstheme="minorHAnsi"/>
        </w:rPr>
        <w:t>ASH completed 2,034 preoccupancy</w:t>
      </w:r>
      <w:r w:rsidR="003E020E" w:rsidRPr="003E020E">
        <w:rPr>
          <w:rFonts w:asciiTheme="minorHAnsi" w:hAnsiTheme="minorHAnsi" w:cstheme="minorHAnsi"/>
        </w:rPr>
        <w:t xml:space="preserve"> </w:t>
      </w:r>
      <w:r w:rsidR="003E020E" w:rsidRPr="00C67F82">
        <w:rPr>
          <w:rFonts w:asciiTheme="minorHAnsi" w:hAnsiTheme="minorHAnsi" w:cstheme="minorHAnsi"/>
        </w:rPr>
        <w:t>migrant farmworker</w:t>
      </w:r>
      <w:r w:rsidRPr="00C67F82">
        <w:rPr>
          <w:rFonts w:asciiTheme="minorHAnsi" w:hAnsiTheme="minorHAnsi" w:cstheme="minorHAnsi"/>
        </w:rPr>
        <w:t xml:space="preserve"> housing inspections and 52 compliance inspections. </w:t>
      </w:r>
      <w:r w:rsidR="00C67F82" w:rsidRPr="00C67F82">
        <w:rPr>
          <w:rFonts w:asciiTheme="minorHAnsi" w:hAnsiTheme="minorHAnsi" w:cstheme="minorHAnsi"/>
        </w:rPr>
        <w:t xml:space="preserve">ASH </w:t>
      </w:r>
      <w:r w:rsidR="00305510">
        <w:rPr>
          <w:rFonts w:asciiTheme="minorHAnsi" w:hAnsiTheme="minorHAnsi" w:cstheme="minorHAnsi"/>
        </w:rPr>
        <w:t xml:space="preserve">also </w:t>
      </w:r>
      <w:r w:rsidR="00C67F82" w:rsidRPr="00C67F82">
        <w:rPr>
          <w:rFonts w:asciiTheme="minorHAnsi" w:hAnsiTheme="minorHAnsi" w:cstheme="minorHAnsi"/>
        </w:rPr>
        <w:t xml:space="preserve">distributed 6,752 safety </w:t>
      </w:r>
      <w:r w:rsidR="003E020E">
        <w:rPr>
          <w:rFonts w:asciiTheme="minorHAnsi" w:hAnsiTheme="minorHAnsi" w:cstheme="minorHAnsi"/>
        </w:rPr>
        <w:t>&amp;</w:t>
      </w:r>
      <w:r w:rsidR="00C67F82" w:rsidRPr="00C67F82">
        <w:rPr>
          <w:rFonts w:asciiTheme="minorHAnsi" w:hAnsiTheme="minorHAnsi" w:cstheme="minorHAnsi"/>
        </w:rPr>
        <w:t xml:space="preserve"> health publications to farmers and farmworkers</w:t>
      </w:r>
      <w:r w:rsidR="00305510">
        <w:rPr>
          <w:rFonts w:asciiTheme="minorHAnsi" w:hAnsiTheme="minorHAnsi" w:cstheme="minorHAnsi"/>
        </w:rPr>
        <w:t xml:space="preserve"> and </w:t>
      </w:r>
      <w:r w:rsidR="00C67F82" w:rsidRPr="00C67F82">
        <w:rPr>
          <w:rFonts w:asciiTheme="minorHAnsi" w:hAnsiTheme="minorHAnsi" w:cstheme="minorHAnsi"/>
        </w:rPr>
        <w:t>participated in multiple safety</w:t>
      </w:r>
      <w:r w:rsidR="00E157CC">
        <w:rPr>
          <w:rFonts w:asciiTheme="minorHAnsi" w:hAnsiTheme="minorHAnsi" w:cstheme="minorHAnsi"/>
        </w:rPr>
        <w:t>-</w:t>
      </w:r>
      <w:r w:rsidR="00C67F82" w:rsidRPr="00C67F82">
        <w:rPr>
          <w:rFonts w:asciiTheme="minorHAnsi" w:hAnsiTheme="minorHAnsi" w:cstheme="minorHAnsi"/>
        </w:rPr>
        <w:t>at</w:t>
      </w:r>
      <w:r w:rsidR="00E157CC">
        <w:rPr>
          <w:rFonts w:asciiTheme="minorHAnsi" w:hAnsiTheme="minorHAnsi" w:cstheme="minorHAnsi"/>
        </w:rPr>
        <w:t>-</w:t>
      </w:r>
      <w:r w:rsidR="00C67F82" w:rsidRPr="00C67F82">
        <w:rPr>
          <w:rFonts w:asciiTheme="minorHAnsi" w:hAnsiTheme="minorHAnsi" w:cstheme="minorHAnsi"/>
        </w:rPr>
        <w:t xml:space="preserve">work forums to </w:t>
      </w:r>
      <w:r w:rsidR="002D657B">
        <w:rPr>
          <w:rFonts w:asciiTheme="minorHAnsi" w:hAnsiTheme="minorHAnsi" w:cstheme="minorHAnsi"/>
        </w:rPr>
        <w:t>r</w:t>
      </w:r>
      <w:r w:rsidR="00C67F82" w:rsidRPr="00C67F82">
        <w:rPr>
          <w:rFonts w:asciiTheme="minorHAnsi" w:hAnsiTheme="minorHAnsi" w:cstheme="minorHAnsi"/>
        </w:rPr>
        <w:t xml:space="preserve">aise awareness in the Hispanic </w:t>
      </w:r>
      <w:r w:rsidR="000A20EB" w:rsidRPr="00C67F82">
        <w:rPr>
          <w:rFonts w:asciiTheme="minorHAnsi" w:hAnsiTheme="minorHAnsi" w:cstheme="minorHAnsi"/>
        </w:rPr>
        <w:t xml:space="preserve">community </w:t>
      </w:r>
      <w:r w:rsidR="000A20EB">
        <w:rPr>
          <w:rFonts w:asciiTheme="minorHAnsi" w:hAnsiTheme="minorHAnsi" w:cstheme="minorHAnsi"/>
        </w:rPr>
        <w:t>on</w:t>
      </w:r>
      <w:r w:rsidR="00C67F82" w:rsidRPr="00C67F82">
        <w:rPr>
          <w:rFonts w:asciiTheme="minorHAnsi" w:hAnsiTheme="minorHAnsi" w:cstheme="minorHAnsi"/>
        </w:rPr>
        <w:t xml:space="preserve"> workplace hazards and how workers can report unsafe working conditions.</w:t>
      </w:r>
      <w:r w:rsidR="00C67F82">
        <w:rPr>
          <w:rFonts w:asciiTheme="minorHAnsi" w:hAnsiTheme="minorHAnsi" w:cstheme="minorHAnsi"/>
        </w:rPr>
        <w:t xml:space="preserve"> </w:t>
      </w:r>
    </w:p>
    <w:p w14:paraId="67E95E6F" w14:textId="6755D6C3" w:rsidR="000A134A" w:rsidRPr="001C1E47" w:rsidRDefault="001E71BA" w:rsidP="000A20EB">
      <w:pPr>
        <w:pStyle w:val="Heading2"/>
      </w:pPr>
      <w:bookmarkStart w:id="7" w:name="_Toc118900171"/>
      <w:bookmarkStart w:id="8" w:name="_Toc118905010"/>
      <w:bookmarkStart w:id="9" w:name="_Toc119418664"/>
      <w:r w:rsidRPr="001C1E47">
        <w:lastRenderedPageBreak/>
        <w:t>State Plan Background</w:t>
      </w:r>
      <w:bookmarkEnd w:id="7"/>
      <w:bookmarkEnd w:id="8"/>
      <w:bookmarkEnd w:id="9"/>
    </w:p>
    <w:p w14:paraId="7ED8AA2D" w14:textId="77777777" w:rsidR="000A134A" w:rsidRPr="001C1E47" w:rsidRDefault="000A134A" w:rsidP="000A20EB">
      <w:pPr>
        <w:widowControl/>
        <w:autoSpaceDE/>
        <w:autoSpaceDN/>
        <w:adjustRightInd/>
        <w:rPr>
          <w:rFonts w:cs="Calibri"/>
          <w:i/>
        </w:rPr>
      </w:pPr>
    </w:p>
    <w:p w14:paraId="4F5D94C3" w14:textId="19900131" w:rsidR="00BF227A" w:rsidRPr="00BF227A" w:rsidRDefault="00BF227A" w:rsidP="000A20EB">
      <w:pPr>
        <w:ind w:left="90"/>
      </w:pPr>
      <w:r w:rsidRPr="00BF227A">
        <w:rPr>
          <w:rFonts w:asciiTheme="minorHAnsi" w:hAnsiTheme="minorHAnsi" w:cstheme="minorHAnsi"/>
        </w:rPr>
        <w:t xml:space="preserve">The North Carolina Occupational Safety and Health State Plan received final approval under Section 18(e) of the OSH Act on December 10, 1996.  The official designated as responsible for administering the program under the Occupational Safety and Health Act of North Carolina is the Commissioner of Labor.  The Commissioner of Labor is a constitutional </w:t>
      </w:r>
      <w:r w:rsidR="000A20EB" w:rsidRPr="00BF227A">
        <w:rPr>
          <w:rFonts w:asciiTheme="minorHAnsi" w:hAnsiTheme="minorHAnsi" w:cstheme="minorHAnsi"/>
        </w:rPr>
        <w:t>officer selected</w:t>
      </w:r>
      <w:r w:rsidRPr="00BF227A">
        <w:rPr>
          <w:rFonts w:asciiTheme="minorHAnsi" w:hAnsiTheme="minorHAnsi" w:cstheme="minorHAnsi"/>
        </w:rPr>
        <w:t xml:space="preserve"> through a statewide election.  The current Commissioner of Labor is </w:t>
      </w:r>
      <w:r w:rsidRPr="00BF227A">
        <w:rPr>
          <w:rFonts w:asciiTheme="minorHAnsi" w:hAnsiTheme="minorHAnsi" w:cstheme="minorHAnsi"/>
          <w:bCs/>
        </w:rPr>
        <w:t>Josh Dobson</w:t>
      </w:r>
      <w:r w:rsidRPr="00BF227A">
        <w:rPr>
          <w:rFonts w:asciiTheme="minorHAnsi" w:hAnsiTheme="minorHAnsi" w:cstheme="minorHAnsi"/>
        </w:rPr>
        <w:t>.  Within the NC Department of Labor, the O</w:t>
      </w:r>
      <w:r w:rsidR="002D4DBB">
        <w:rPr>
          <w:rFonts w:asciiTheme="minorHAnsi" w:hAnsiTheme="minorHAnsi" w:cstheme="minorHAnsi"/>
        </w:rPr>
        <w:t>SH</w:t>
      </w:r>
      <w:r w:rsidRPr="00BF227A">
        <w:rPr>
          <w:rFonts w:asciiTheme="minorHAnsi" w:hAnsiTheme="minorHAnsi" w:cstheme="minorHAnsi"/>
        </w:rPr>
        <w:t xml:space="preserve"> Division </w:t>
      </w:r>
      <w:r w:rsidR="00302EA2">
        <w:rPr>
          <w:rFonts w:asciiTheme="minorHAnsi" w:hAnsiTheme="minorHAnsi" w:cstheme="minorHAnsi"/>
        </w:rPr>
        <w:t xml:space="preserve">is </w:t>
      </w:r>
      <w:r w:rsidR="000A20EB">
        <w:rPr>
          <w:rFonts w:asciiTheme="minorHAnsi" w:hAnsiTheme="minorHAnsi" w:cstheme="minorHAnsi"/>
        </w:rPr>
        <w:t xml:space="preserve">responsible </w:t>
      </w:r>
      <w:r w:rsidR="000A20EB" w:rsidRPr="00BF227A">
        <w:rPr>
          <w:rFonts w:asciiTheme="minorHAnsi" w:hAnsiTheme="minorHAnsi" w:cstheme="minorHAnsi"/>
        </w:rPr>
        <w:t>for</w:t>
      </w:r>
      <w:r w:rsidRPr="00BF227A">
        <w:rPr>
          <w:rFonts w:asciiTheme="minorHAnsi" w:hAnsiTheme="minorHAnsi" w:cstheme="minorHAnsi"/>
        </w:rPr>
        <w:t xml:space="preserve"> carrying out the requirements of the State Plan</w:t>
      </w:r>
      <w:r>
        <w:rPr>
          <w:rFonts w:asciiTheme="minorHAnsi" w:hAnsiTheme="minorHAnsi" w:cstheme="minorHAnsi"/>
        </w:rPr>
        <w:t xml:space="preserve">.  </w:t>
      </w:r>
      <w:r w:rsidRPr="00BF227A">
        <w:rPr>
          <w:rFonts w:asciiTheme="minorHAnsi" w:hAnsiTheme="minorHAnsi" w:cstheme="minorHAnsi"/>
          <w:bCs/>
        </w:rPr>
        <w:t xml:space="preserve">In June 2022, the Commissioner of Labor announced </w:t>
      </w:r>
      <w:r w:rsidR="00327C25">
        <w:rPr>
          <w:rFonts w:asciiTheme="minorHAnsi" w:hAnsiTheme="minorHAnsi" w:cstheme="minorHAnsi"/>
          <w:bCs/>
        </w:rPr>
        <w:t xml:space="preserve">several </w:t>
      </w:r>
      <w:r w:rsidR="00327C25" w:rsidRPr="00BF227A">
        <w:rPr>
          <w:rFonts w:asciiTheme="minorHAnsi" w:hAnsiTheme="minorHAnsi" w:cstheme="minorHAnsi"/>
          <w:bCs/>
        </w:rPr>
        <w:t xml:space="preserve">changes </w:t>
      </w:r>
      <w:r w:rsidR="00327C25">
        <w:rPr>
          <w:rFonts w:asciiTheme="minorHAnsi" w:hAnsiTheme="minorHAnsi" w:cstheme="minorHAnsi"/>
          <w:bCs/>
        </w:rPr>
        <w:t xml:space="preserve">impacting the </w:t>
      </w:r>
      <w:r w:rsidRPr="00BF227A">
        <w:rPr>
          <w:rFonts w:asciiTheme="minorHAnsi" w:hAnsiTheme="minorHAnsi" w:cstheme="minorHAnsi"/>
          <w:bCs/>
        </w:rPr>
        <w:t>NCDOL senior staff</w:t>
      </w:r>
      <w:r w:rsidR="00327C25">
        <w:rPr>
          <w:rFonts w:asciiTheme="minorHAnsi" w:hAnsiTheme="minorHAnsi" w:cstheme="minorHAnsi"/>
          <w:bCs/>
        </w:rPr>
        <w:t xml:space="preserve">. </w:t>
      </w:r>
      <w:r w:rsidRPr="00BF227A">
        <w:rPr>
          <w:rFonts w:asciiTheme="minorHAnsi" w:hAnsiTheme="minorHAnsi" w:cstheme="minorHAnsi"/>
          <w:bCs/>
        </w:rPr>
        <w:t xml:space="preserve">Kevin </w:t>
      </w:r>
      <w:r w:rsidR="000A20EB" w:rsidRPr="00BF227A">
        <w:rPr>
          <w:rFonts w:asciiTheme="minorHAnsi" w:hAnsiTheme="minorHAnsi" w:cstheme="minorHAnsi"/>
          <w:bCs/>
        </w:rPr>
        <w:t>Beauregard, Deputy</w:t>
      </w:r>
      <w:r w:rsidRPr="00BF227A">
        <w:rPr>
          <w:rFonts w:asciiTheme="minorHAnsi" w:hAnsiTheme="minorHAnsi" w:cstheme="minorHAnsi"/>
          <w:bCs/>
        </w:rPr>
        <w:t xml:space="preserve"> Commissioner/OSH Director of the OSH Division, announced his retirement effective October 1, </w:t>
      </w:r>
      <w:r w:rsidR="003F7BA6" w:rsidRPr="00BF227A">
        <w:rPr>
          <w:rFonts w:asciiTheme="minorHAnsi" w:hAnsiTheme="minorHAnsi" w:cstheme="minorHAnsi"/>
          <w:bCs/>
        </w:rPr>
        <w:t>2022,</w:t>
      </w:r>
      <w:r w:rsidRPr="00BF227A">
        <w:rPr>
          <w:rFonts w:asciiTheme="minorHAnsi" w:hAnsiTheme="minorHAnsi" w:cstheme="minorHAnsi"/>
          <w:bCs/>
        </w:rPr>
        <w:t xml:space="preserve"> </w:t>
      </w:r>
      <w:r w:rsidR="000A20EB" w:rsidRPr="00BF227A">
        <w:rPr>
          <w:rFonts w:asciiTheme="minorHAnsi" w:hAnsiTheme="minorHAnsi" w:cstheme="minorHAnsi"/>
          <w:bCs/>
        </w:rPr>
        <w:t>and Jennifer</w:t>
      </w:r>
      <w:r w:rsidRPr="00BF227A">
        <w:rPr>
          <w:rFonts w:asciiTheme="minorHAnsi" w:hAnsiTheme="minorHAnsi" w:cstheme="minorHAnsi"/>
          <w:bCs/>
        </w:rPr>
        <w:t xml:space="preserve"> Haigwood, NCDOL Director of Communications, was promoted into the OSH Director position. To ease the transition, Jennifer began working alongside Kevin in August 2022. In addition, the Commissioner announced that Scott </w:t>
      </w:r>
      <w:r w:rsidR="000A20EB" w:rsidRPr="00BF227A">
        <w:rPr>
          <w:rFonts w:asciiTheme="minorHAnsi" w:hAnsiTheme="minorHAnsi" w:cstheme="minorHAnsi"/>
          <w:bCs/>
        </w:rPr>
        <w:t>Mabry, Assistant</w:t>
      </w:r>
      <w:r w:rsidRPr="00BF227A">
        <w:rPr>
          <w:rFonts w:asciiTheme="minorHAnsi" w:hAnsiTheme="minorHAnsi" w:cstheme="minorHAnsi"/>
          <w:bCs/>
        </w:rPr>
        <w:t xml:space="preserve"> Director of the OSH Division</w:t>
      </w:r>
      <w:r w:rsidR="00676F16">
        <w:rPr>
          <w:rFonts w:asciiTheme="minorHAnsi" w:hAnsiTheme="minorHAnsi" w:cstheme="minorHAnsi"/>
          <w:bCs/>
        </w:rPr>
        <w:t>,</w:t>
      </w:r>
      <w:r w:rsidRPr="00BF227A">
        <w:rPr>
          <w:rFonts w:asciiTheme="minorHAnsi" w:hAnsiTheme="minorHAnsi" w:cstheme="minorHAnsi"/>
          <w:bCs/>
        </w:rPr>
        <w:t xml:space="preserve"> was being promoted to Chief of Staff effective August 1, </w:t>
      </w:r>
      <w:r w:rsidR="001B3033" w:rsidRPr="00BF227A">
        <w:rPr>
          <w:rFonts w:asciiTheme="minorHAnsi" w:hAnsiTheme="minorHAnsi" w:cstheme="minorHAnsi"/>
          <w:bCs/>
        </w:rPr>
        <w:t>2022,</w:t>
      </w:r>
      <w:r w:rsidRPr="00BF227A">
        <w:rPr>
          <w:rFonts w:asciiTheme="minorHAnsi" w:hAnsiTheme="minorHAnsi" w:cstheme="minorHAnsi"/>
          <w:bCs/>
        </w:rPr>
        <w:t xml:space="preserve"> due to the retirement of Art Britt. Further, Paul Sullivan, NCDOL West Compliance Bureau Chief, was promoted to the OSH Assistant Director position.</w:t>
      </w:r>
    </w:p>
    <w:p w14:paraId="0B515D74" w14:textId="77777777" w:rsidR="00BF227A" w:rsidRDefault="00BF227A" w:rsidP="000A20EB">
      <w:pPr>
        <w:ind w:left="90"/>
      </w:pPr>
    </w:p>
    <w:p w14:paraId="40666213" w14:textId="5C82C954" w:rsidR="00BF227A" w:rsidRDefault="00C63608" w:rsidP="000A20EB">
      <w:pPr>
        <w:ind w:left="90"/>
      </w:pPr>
      <w:r w:rsidRPr="00EC12BC">
        <w:t xml:space="preserve">The Occupational Safety and Health Division is organized into the following operating units: East and West Compliance Bureaus; Bureau of Education, Training, and Technical Assistance (ETTA); Bureau of Consultative Services; Bureau of Planning, </w:t>
      </w:r>
      <w:r w:rsidR="001B3033" w:rsidRPr="00EC12BC">
        <w:t>Statistics,</w:t>
      </w:r>
      <w:r w:rsidRPr="00EC12BC">
        <w:t xml:space="preserve"> and Information Management (PSIM), and the Agricultural Safety and Health </w:t>
      </w:r>
      <w:r>
        <w:t xml:space="preserve">(ASH) </w:t>
      </w:r>
      <w:r w:rsidRPr="00EC12BC">
        <w:t>Bureau.  The main</w:t>
      </w:r>
      <w:r w:rsidR="00290AF1">
        <w:t xml:space="preserve"> </w:t>
      </w:r>
      <w:r w:rsidRPr="00EC12BC">
        <w:t xml:space="preserve">office and a district office </w:t>
      </w:r>
      <w:r w:rsidR="00C934DC" w:rsidRPr="00EC12BC">
        <w:t>are in</w:t>
      </w:r>
      <w:r w:rsidRPr="00EC12BC">
        <w:t xml:space="preserve"> Raleigh, with four additional offices located</w:t>
      </w:r>
      <w:r>
        <w:t xml:space="preserve"> throughout the State: </w:t>
      </w:r>
      <w:r w:rsidRPr="00EC12BC">
        <w:t>Asheville</w:t>
      </w:r>
      <w:r>
        <w:t>;</w:t>
      </w:r>
      <w:r w:rsidRPr="00EC12BC">
        <w:t xml:space="preserve"> Charlotte</w:t>
      </w:r>
      <w:r>
        <w:t>;</w:t>
      </w:r>
      <w:r w:rsidRPr="00EC12BC">
        <w:t xml:space="preserve"> Winston-Salem</w:t>
      </w:r>
      <w:r>
        <w:t>;</w:t>
      </w:r>
      <w:r w:rsidRPr="00EC12BC">
        <w:t xml:space="preserve"> and Wilmington</w:t>
      </w:r>
      <w:r w:rsidRPr="004A6F52">
        <w:t xml:space="preserve">. </w:t>
      </w:r>
      <w:r>
        <w:t xml:space="preserve"> Currently, t</w:t>
      </w:r>
      <w:r w:rsidRPr="00366BB0">
        <w:t>here are 196.8 positions funded under the 23(g) grant</w:t>
      </w:r>
      <w:r>
        <w:t>, including 1</w:t>
      </w:r>
      <w:r w:rsidRPr="00366BB0">
        <w:t>02 positions</w:t>
      </w:r>
      <w:r>
        <w:t>, which are 1</w:t>
      </w:r>
      <w:r w:rsidRPr="00366BB0">
        <w:t xml:space="preserve">00% </w:t>
      </w:r>
      <w:r w:rsidR="00761CBD">
        <w:t>s</w:t>
      </w:r>
      <w:r w:rsidR="00761CBD" w:rsidRPr="00366BB0">
        <w:t>tate</w:t>
      </w:r>
      <w:r w:rsidR="00761CBD">
        <w:t xml:space="preserve"> funded</w:t>
      </w:r>
      <w:r w:rsidRPr="00366BB0">
        <w:t>.  These positions include 64 safety compliance officers and 45 health compliance officers assigned to district offices</w:t>
      </w:r>
      <w:r w:rsidR="00676F16">
        <w:t>,</w:t>
      </w:r>
      <w:r w:rsidRPr="00366BB0">
        <w:t xml:space="preserve"> throughout the State.  Additional safety and health professionals work in ETTA with responsibilities related to training, development of outreach materials</w:t>
      </w:r>
      <w:r>
        <w:t xml:space="preserve">, </w:t>
      </w:r>
      <w:r w:rsidRPr="00366BB0">
        <w:t>standards, and the Carolina Star Program (Voluntary Protection Program)</w:t>
      </w:r>
      <w:r w:rsidR="00CE6B9B" w:rsidRPr="00366BB0">
        <w:t>.</w:t>
      </w:r>
      <w:r w:rsidR="00CE6B9B">
        <w:t xml:space="preserve"> </w:t>
      </w:r>
      <w:r w:rsidRPr="00366BB0">
        <w:t xml:space="preserve">The worker population in North Carolina consists of approximately </w:t>
      </w:r>
      <w:r>
        <w:t xml:space="preserve">4,436,892 </w:t>
      </w:r>
      <w:r w:rsidRPr="00366BB0">
        <w:t xml:space="preserve">workers, and </w:t>
      </w:r>
      <w:r w:rsidR="000A20EB" w:rsidRPr="00366BB0">
        <w:t>282,534</w:t>
      </w:r>
      <w:r>
        <w:t xml:space="preserve"> </w:t>
      </w:r>
      <w:r w:rsidRPr="00366BB0">
        <w:t>establishments.</w:t>
      </w:r>
    </w:p>
    <w:p w14:paraId="61D2D116" w14:textId="77777777" w:rsidR="00C63608" w:rsidRDefault="00C63608" w:rsidP="000A20EB">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pPr>
    </w:p>
    <w:p w14:paraId="6FAC35E5" w14:textId="323E60DD" w:rsidR="00C63608" w:rsidRDefault="00C63608" w:rsidP="000A20EB">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pPr>
      <w:r>
        <w:t>Employee protection from retaliation related to occupational safety and health is administered by the Employment Discrimination Bureau</w:t>
      </w:r>
      <w:r w:rsidR="00C934DC">
        <w:t xml:space="preserve"> (EDB)</w:t>
      </w:r>
      <w:r>
        <w:t>, which falls under the Deputy Commissioner for Standards and Inspections, in the North Carolina Department of Labor</w:t>
      </w:r>
      <w:r w:rsidR="00290AF1">
        <w:t xml:space="preserve">. </w:t>
      </w:r>
      <w:r>
        <w:t xml:space="preserve">This Bureau covers several types of employment-related retaliation, in addition to whistleblower protection that falls under the jurisdiction of the State Plan.  </w:t>
      </w:r>
    </w:p>
    <w:p w14:paraId="3C9C8A87" w14:textId="77777777" w:rsidR="00C63608" w:rsidRDefault="00C63608" w:rsidP="000A20EB">
      <w:pPr>
        <w:pStyle w:val="ListParagraph"/>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50"/>
      </w:pPr>
      <w:r>
        <w:t xml:space="preserve"> </w:t>
      </w:r>
    </w:p>
    <w:p w14:paraId="5C7B2C17" w14:textId="418C3CC5" w:rsidR="00C63608" w:rsidRDefault="00C63608" w:rsidP="000A20EB">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pPr>
      <w:r>
        <w:t>The North Carolina Department of Labor provides private sector onsite consultative services through a 21(d) Grant</w:t>
      </w:r>
      <w:r w:rsidR="00CE6B9B">
        <w:t xml:space="preserve">. </w:t>
      </w:r>
      <w:r w:rsidRPr="00366BB0">
        <w:t>There are 20.1 positions funded under the 21(d) grant, including consultants, administrative staff, and managerial employees</w:t>
      </w:r>
      <w:r w:rsidR="000A146B" w:rsidRPr="00366BB0">
        <w:t xml:space="preserve">. </w:t>
      </w:r>
      <w:r w:rsidRPr="00366BB0">
        <w:t>Four of the 21(d) p</w:t>
      </w:r>
      <w:r>
        <w:t xml:space="preserve">ositions </w:t>
      </w:r>
      <w:r w:rsidRPr="00366BB0">
        <w:t xml:space="preserve">are 100% </w:t>
      </w:r>
      <w:r w:rsidR="00761CBD">
        <w:t>st</w:t>
      </w:r>
      <w:r w:rsidR="00761CBD" w:rsidRPr="00366BB0">
        <w:t>ate</w:t>
      </w:r>
      <w:r w:rsidR="00761CBD">
        <w:t xml:space="preserve"> funded</w:t>
      </w:r>
      <w:r w:rsidRPr="00366BB0">
        <w:t xml:space="preserve">. </w:t>
      </w:r>
      <w:r>
        <w:t xml:space="preserve"> </w:t>
      </w:r>
      <w:r w:rsidR="00676F16">
        <w:t>State and local government</w:t>
      </w:r>
      <w:r w:rsidR="00676F16" w:rsidRPr="00366BB0">
        <w:t xml:space="preserve"> </w:t>
      </w:r>
      <w:r w:rsidR="00676F16">
        <w:t xml:space="preserve">agencies’ </w:t>
      </w:r>
      <w:r w:rsidR="00676F16" w:rsidRPr="00366BB0">
        <w:t>23(g) grant consultative services, enforcement, and compliance assistance activities</w:t>
      </w:r>
      <w:r w:rsidRPr="00366BB0">
        <w:t xml:space="preserve"> are accomplished by the same staff, </w:t>
      </w:r>
      <w:r>
        <w:t xml:space="preserve">in accordance with </w:t>
      </w:r>
      <w:r w:rsidRPr="00366BB0">
        <w:t xml:space="preserve">consultation procedures </w:t>
      </w:r>
      <w:r>
        <w:t xml:space="preserve">established for the </w:t>
      </w:r>
      <w:r w:rsidRPr="00366BB0">
        <w:t>private sector</w:t>
      </w:r>
      <w:r w:rsidR="000A20EB" w:rsidRPr="00366BB0">
        <w:t>.</w:t>
      </w:r>
      <w:r w:rsidR="000A20EB">
        <w:t xml:space="preserve"> </w:t>
      </w:r>
      <w:r>
        <w:t xml:space="preserve">North Carolina’s Star Program organizationally falls within </w:t>
      </w:r>
      <w:r w:rsidR="00AF2D28">
        <w:t>ETTA</w:t>
      </w:r>
      <w:r>
        <w:t>.</w:t>
      </w:r>
    </w:p>
    <w:p w14:paraId="7C576065" w14:textId="77777777" w:rsidR="00C63608" w:rsidRDefault="00C63608" w:rsidP="000A20EB">
      <w:pPr>
        <w:ind w:firstLine="420"/>
      </w:pPr>
    </w:p>
    <w:p w14:paraId="73ED7CB5" w14:textId="3BA04DFD" w:rsidR="002F1CE2" w:rsidRDefault="002F1CE2" w:rsidP="000A20EB">
      <w:pPr>
        <w:ind w:firstLine="420"/>
      </w:pPr>
      <w:r>
        <w:lastRenderedPageBreak/>
        <w:t xml:space="preserve">The table below shows </w:t>
      </w:r>
      <w:r w:rsidR="00AF2D28">
        <w:t xml:space="preserve">the </w:t>
      </w:r>
      <w:r w:rsidR="00F44825">
        <w:t>OSHNC</w:t>
      </w:r>
      <w:r w:rsidR="00770F49">
        <w:t>’s</w:t>
      </w:r>
      <w:r>
        <w:t xml:space="preserve"> funding levels from FY 2018 through FY 2022.</w:t>
      </w:r>
    </w:p>
    <w:p w14:paraId="2D0169C5" w14:textId="77777777" w:rsidR="002F3602" w:rsidRDefault="002F3602" w:rsidP="000A20EB">
      <w:pPr>
        <w:ind w:firstLine="420"/>
        <w:rPr>
          <w:rFonts w:ascii="Times New Roman" w:eastAsiaTheme="minorHAnsi" w:hAnsi="Times New Roman"/>
        </w:rPr>
      </w:pPr>
    </w:p>
    <w:p w14:paraId="78D6170C" w14:textId="27992B47" w:rsidR="002F1CE2" w:rsidRDefault="002F3602" w:rsidP="000A20EB">
      <w:pPr>
        <w:rPr>
          <w:color w:val="FFFFFF"/>
        </w:rPr>
      </w:pPr>
      <w:r w:rsidRPr="002F3602">
        <w:rPr>
          <w:b/>
          <w:bCs/>
        </w:rPr>
        <w:t>FY 2018-2022 Funding History</w:t>
      </w:r>
    </w:p>
    <w:tbl>
      <w:tblPr>
        <w:tblStyle w:val="TableGrid1"/>
        <w:tblpPr w:leftFromText="195" w:rightFromText="195" w:vertAnchor="text"/>
        <w:tblW w:w="9620" w:type="dxa"/>
        <w:tblLook w:val="04A0" w:firstRow="1" w:lastRow="0" w:firstColumn="1" w:lastColumn="0" w:noHBand="0" w:noVBand="1"/>
      </w:tblPr>
      <w:tblGrid>
        <w:gridCol w:w="980"/>
        <w:gridCol w:w="1288"/>
        <w:gridCol w:w="1322"/>
        <w:gridCol w:w="2345"/>
        <w:gridCol w:w="1975"/>
        <w:gridCol w:w="1710"/>
      </w:tblGrid>
      <w:tr w:rsidR="002F1CE2" w14:paraId="30A09A32" w14:textId="77777777" w:rsidTr="002F3602">
        <w:trPr>
          <w:trHeight w:val="430"/>
        </w:trPr>
        <w:tc>
          <w:tcPr>
            <w:tcW w:w="980" w:type="dxa"/>
            <w:hideMark/>
          </w:tcPr>
          <w:p w14:paraId="2379F6B0" w14:textId="77777777" w:rsidR="002F1CE2" w:rsidRDefault="002F1CE2" w:rsidP="000A20EB">
            <w:pPr>
              <w:rPr>
                <w:rFonts w:cs="Calibri"/>
                <w:b/>
                <w:bCs/>
              </w:rPr>
            </w:pPr>
            <w:r>
              <w:rPr>
                <w:b/>
                <w:bCs/>
              </w:rPr>
              <w:t>Fiscal Year</w:t>
            </w:r>
          </w:p>
        </w:tc>
        <w:tc>
          <w:tcPr>
            <w:tcW w:w="1288" w:type="dxa"/>
            <w:hideMark/>
          </w:tcPr>
          <w:p w14:paraId="18F976A9" w14:textId="77777777" w:rsidR="002F1CE2" w:rsidRDefault="002F1CE2" w:rsidP="000A20EB">
            <w:pPr>
              <w:rPr>
                <w:rFonts w:cs="Calibri"/>
                <w:b/>
                <w:bCs/>
              </w:rPr>
            </w:pPr>
            <w:r>
              <w:rPr>
                <w:b/>
                <w:bCs/>
              </w:rPr>
              <w:t>Federal Award ($)</w:t>
            </w:r>
          </w:p>
        </w:tc>
        <w:tc>
          <w:tcPr>
            <w:tcW w:w="1322" w:type="dxa"/>
            <w:hideMark/>
          </w:tcPr>
          <w:p w14:paraId="3549F821" w14:textId="77777777" w:rsidR="002F1CE2" w:rsidRDefault="002F1CE2" w:rsidP="000A20EB">
            <w:pPr>
              <w:rPr>
                <w:rFonts w:cs="Calibri"/>
                <w:b/>
                <w:bCs/>
              </w:rPr>
            </w:pPr>
            <w:r>
              <w:rPr>
                <w:b/>
                <w:bCs/>
              </w:rPr>
              <w:t>State Plan Match ($)</w:t>
            </w:r>
          </w:p>
        </w:tc>
        <w:tc>
          <w:tcPr>
            <w:tcW w:w="2345" w:type="dxa"/>
            <w:hideMark/>
          </w:tcPr>
          <w:p w14:paraId="71C0CF72" w14:textId="77777777" w:rsidR="002F1CE2" w:rsidRDefault="002F1CE2" w:rsidP="000A20EB">
            <w:pPr>
              <w:rPr>
                <w:rFonts w:cs="Calibri"/>
                <w:b/>
                <w:bCs/>
              </w:rPr>
            </w:pPr>
            <w:r>
              <w:rPr>
                <w:b/>
                <w:bCs/>
              </w:rPr>
              <w:t>100% State Funds ($)</w:t>
            </w:r>
          </w:p>
        </w:tc>
        <w:tc>
          <w:tcPr>
            <w:tcW w:w="1975" w:type="dxa"/>
          </w:tcPr>
          <w:p w14:paraId="02D67038" w14:textId="77777777" w:rsidR="002F1CE2" w:rsidRDefault="002F1CE2" w:rsidP="000A20EB">
            <w:pPr>
              <w:rPr>
                <w:rFonts w:cs="Calibri"/>
                <w:b/>
                <w:bCs/>
              </w:rPr>
            </w:pPr>
            <w:r>
              <w:rPr>
                <w:b/>
                <w:bCs/>
              </w:rPr>
              <w:t>Total Funding ($)</w:t>
            </w:r>
          </w:p>
        </w:tc>
        <w:tc>
          <w:tcPr>
            <w:tcW w:w="1710" w:type="dxa"/>
            <w:hideMark/>
          </w:tcPr>
          <w:p w14:paraId="779BD754" w14:textId="77777777" w:rsidR="002F1CE2" w:rsidRDefault="002F1CE2" w:rsidP="000A20EB">
            <w:pPr>
              <w:rPr>
                <w:rFonts w:cs="Calibri"/>
                <w:b/>
                <w:bCs/>
              </w:rPr>
            </w:pPr>
            <w:r>
              <w:rPr>
                <w:b/>
                <w:bCs/>
              </w:rPr>
              <w:t>% of State Plan Contribution</w:t>
            </w:r>
          </w:p>
        </w:tc>
      </w:tr>
      <w:tr w:rsidR="002F1CE2" w14:paraId="4A9EDF10" w14:textId="77777777" w:rsidTr="002F3602">
        <w:trPr>
          <w:trHeight w:val="177"/>
        </w:trPr>
        <w:tc>
          <w:tcPr>
            <w:tcW w:w="980" w:type="dxa"/>
            <w:hideMark/>
          </w:tcPr>
          <w:p w14:paraId="1C483121" w14:textId="77777777" w:rsidR="002F1CE2" w:rsidRDefault="002F1CE2" w:rsidP="000A20EB">
            <w:pPr>
              <w:rPr>
                <w:rFonts w:ascii="Times New Roman" w:hAnsi="Times New Roman"/>
                <w:b/>
                <w:bCs/>
              </w:rPr>
            </w:pPr>
            <w:r>
              <w:rPr>
                <w:b/>
                <w:bCs/>
              </w:rPr>
              <w:t>2022</w:t>
            </w:r>
          </w:p>
        </w:tc>
        <w:tc>
          <w:tcPr>
            <w:tcW w:w="1288" w:type="dxa"/>
            <w:hideMark/>
          </w:tcPr>
          <w:p w14:paraId="189184F9" w14:textId="77777777" w:rsidR="002F1CE2" w:rsidRDefault="002F1CE2" w:rsidP="000A20EB">
            <w:r>
              <w:t>6,029,800</w:t>
            </w:r>
          </w:p>
        </w:tc>
        <w:tc>
          <w:tcPr>
            <w:tcW w:w="1322" w:type="dxa"/>
            <w:hideMark/>
          </w:tcPr>
          <w:p w14:paraId="21A710F6" w14:textId="77777777" w:rsidR="002F1CE2" w:rsidRDefault="002F1CE2" w:rsidP="000A20EB">
            <w:r>
              <w:t>6,029,800</w:t>
            </w:r>
          </w:p>
        </w:tc>
        <w:tc>
          <w:tcPr>
            <w:tcW w:w="2345" w:type="dxa"/>
            <w:hideMark/>
          </w:tcPr>
          <w:p w14:paraId="2142724E" w14:textId="77777777" w:rsidR="002F1CE2" w:rsidRDefault="002F1CE2" w:rsidP="000A20EB">
            <w:r>
              <w:t>8,535,199</w:t>
            </w:r>
          </w:p>
        </w:tc>
        <w:tc>
          <w:tcPr>
            <w:tcW w:w="1975" w:type="dxa"/>
            <w:hideMark/>
          </w:tcPr>
          <w:p w14:paraId="0D27D203" w14:textId="77777777" w:rsidR="002F1CE2" w:rsidRDefault="002F1CE2" w:rsidP="000A20EB">
            <w:r>
              <w:t>20,594,799</w:t>
            </w:r>
          </w:p>
        </w:tc>
        <w:tc>
          <w:tcPr>
            <w:tcW w:w="1710" w:type="dxa"/>
            <w:hideMark/>
          </w:tcPr>
          <w:p w14:paraId="4BB06EFE" w14:textId="77777777" w:rsidR="002F1CE2" w:rsidRDefault="002F1CE2" w:rsidP="000A20EB">
            <w:r>
              <w:t>70.72</w:t>
            </w:r>
          </w:p>
        </w:tc>
      </w:tr>
      <w:tr w:rsidR="002F1CE2" w14:paraId="1F5EAE45" w14:textId="77777777" w:rsidTr="002F3602">
        <w:trPr>
          <w:trHeight w:val="177"/>
        </w:trPr>
        <w:tc>
          <w:tcPr>
            <w:tcW w:w="980" w:type="dxa"/>
            <w:hideMark/>
          </w:tcPr>
          <w:p w14:paraId="4BE04C04" w14:textId="77777777" w:rsidR="002F1CE2" w:rsidRDefault="002F1CE2" w:rsidP="000A20EB">
            <w:pPr>
              <w:rPr>
                <w:b/>
                <w:bCs/>
              </w:rPr>
            </w:pPr>
            <w:r>
              <w:rPr>
                <w:b/>
                <w:bCs/>
              </w:rPr>
              <w:t>2021</w:t>
            </w:r>
          </w:p>
        </w:tc>
        <w:tc>
          <w:tcPr>
            <w:tcW w:w="1288" w:type="dxa"/>
            <w:hideMark/>
          </w:tcPr>
          <w:p w14:paraId="76D1222C" w14:textId="77777777" w:rsidR="002F1CE2" w:rsidRDefault="002F1CE2" w:rsidP="000A20EB">
            <w:r>
              <w:t>5,900,200</w:t>
            </w:r>
          </w:p>
        </w:tc>
        <w:tc>
          <w:tcPr>
            <w:tcW w:w="1322" w:type="dxa"/>
            <w:hideMark/>
          </w:tcPr>
          <w:p w14:paraId="5018E154" w14:textId="77777777" w:rsidR="002F1CE2" w:rsidRDefault="002F1CE2" w:rsidP="000A20EB">
            <w:r>
              <w:t>5,900,200</w:t>
            </w:r>
          </w:p>
        </w:tc>
        <w:tc>
          <w:tcPr>
            <w:tcW w:w="2345" w:type="dxa"/>
            <w:hideMark/>
          </w:tcPr>
          <w:p w14:paraId="65892A5B" w14:textId="77777777" w:rsidR="002F1CE2" w:rsidRDefault="002F1CE2" w:rsidP="000A20EB">
            <w:r>
              <w:t>7,788,501</w:t>
            </w:r>
          </w:p>
        </w:tc>
        <w:tc>
          <w:tcPr>
            <w:tcW w:w="1975" w:type="dxa"/>
            <w:hideMark/>
          </w:tcPr>
          <w:p w14:paraId="5A2AD2E7" w14:textId="77777777" w:rsidR="002F1CE2" w:rsidRDefault="002F1CE2" w:rsidP="000A20EB">
            <w:r>
              <w:t>19,588,901</w:t>
            </w:r>
          </w:p>
        </w:tc>
        <w:tc>
          <w:tcPr>
            <w:tcW w:w="1710" w:type="dxa"/>
            <w:hideMark/>
          </w:tcPr>
          <w:p w14:paraId="37E9CCB3" w14:textId="77777777" w:rsidR="002F1CE2" w:rsidRDefault="002F1CE2" w:rsidP="000A20EB">
            <w:r>
              <w:t>69.88</w:t>
            </w:r>
          </w:p>
        </w:tc>
      </w:tr>
      <w:tr w:rsidR="002F1CE2" w14:paraId="12F65DEC" w14:textId="77777777" w:rsidTr="002F3602">
        <w:trPr>
          <w:trHeight w:val="177"/>
        </w:trPr>
        <w:tc>
          <w:tcPr>
            <w:tcW w:w="980" w:type="dxa"/>
            <w:hideMark/>
          </w:tcPr>
          <w:p w14:paraId="0E504C3C" w14:textId="77777777" w:rsidR="002F1CE2" w:rsidRDefault="002F1CE2" w:rsidP="000A20EB">
            <w:pPr>
              <w:rPr>
                <w:b/>
                <w:bCs/>
              </w:rPr>
            </w:pPr>
            <w:r>
              <w:rPr>
                <w:b/>
                <w:bCs/>
              </w:rPr>
              <w:t>2020</w:t>
            </w:r>
          </w:p>
        </w:tc>
        <w:tc>
          <w:tcPr>
            <w:tcW w:w="1288" w:type="dxa"/>
            <w:hideMark/>
          </w:tcPr>
          <w:p w14:paraId="398951FE" w14:textId="77777777" w:rsidR="002F1CE2" w:rsidRDefault="002F1CE2" w:rsidP="000A20EB">
            <w:r>
              <w:t>5,810,300</w:t>
            </w:r>
          </w:p>
        </w:tc>
        <w:tc>
          <w:tcPr>
            <w:tcW w:w="1322" w:type="dxa"/>
            <w:hideMark/>
          </w:tcPr>
          <w:p w14:paraId="641B5FF4" w14:textId="77777777" w:rsidR="002F1CE2" w:rsidRDefault="002F1CE2" w:rsidP="000A20EB">
            <w:r>
              <w:t>5,810,300</w:t>
            </w:r>
          </w:p>
        </w:tc>
        <w:tc>
          <w:tcPr>
            <w:tcW w:w="2345" w:type="dxa"/>
            <w:hideMark/>
          </w:tcPr>
          <w:p w14:paraId="093CF5F3" w14:textId="77777777" w:rsidR="002F1CE2" w:rsidRDefault="002F1CE2" w:rsidP="000A20EB">
            <w:r>
              <w:t>7,782,005</w:t>
            </w:r>
          </w:p>
        </w:tc>
        <w:tc>
          <w:tcPr>
            <w:tcW w:w="1975" w:type="dxa"/>
            <w:hideMark/>
          </w:tcPr>
          <w:p w14:paraId="02B42ABF" w14:textId="77777777" w:rsidR="002F1CE2" w:rsidRDefault="002F1CE2" w:rsidP="000A20EB">
            <w:r>
              <w:t>19,402,605</w:t>
            </w:r>
          </w:p>
        </w:tc>
        <w:tc>
          <w:tcPr>
            <w:tcW w:w="1710" w:type="dxa"/>
            <w:hideMark/>
          </w:tcPr>
          <w:p w14:paraId="54D88F18" w14:textId="77777777" w:rsidR="002F1CE2" w:rsidRDefault="002F1CE2" w:rsidP="000A20EB">
            <w:r>
              <w:t>70.05</w:t>
            </w:r>
          </w:p>
        </w:tc>
      </w:tr>
      <w:tr w:rsidR="002F1CE2" w14:paraId="51A40C45" w14:textId="77777777" w:rsidTr="002F3602">
        <w:trPr>
          <w:trHeight w:val="177"/>
        </w:trPr>
        <w:tc>
          <w:tcPr>
            <w:tcW w:w="980" w:type="dxa"/>
            <w:hideMark/>
          </w:tcPr>
          <w:p w14:paraId="107DD4D2" w14:textId="77777777" w:rsidR="002F1CE2" w:rsidRDefault="002F1CE2" w:rsidP="000A20EB">
            <w:pPr>
              <w:rPr>
                <w:rFonts w:cs="Calibri"/>
                <w:b/>
                <w:bCs/>
              </w:rPr>
            </w:pPr>
            <w:r>
              <w:rPr>
                <w:b/>
                <w:bCs/>
              </w:rPr>
              <w:t>2019</w:t>
            </w:r>
          </w:p>
        </w:tc>
        <w:tc>
          <w:tcPr>
            <w:tcW w:w="1288" w:type="dxa"/>
            <w:hideMark/>
          </w:tcPr>
          <w:p w14:paraId="465A249A" w14:textId="77777777" w:rsidR="002F1CE2" w:rsidRDefault="002F1CE2" w:rsidP="000A20EB">
            <w:pPr>
              <w:rPr>
                <w:rFonts w:cs="Calibri"/>
              </w:rPr>
            </w:pPr>
            <w:r>
              <w:t>5,431,200</w:t>
            </w:r>
          </w:p>
        </w:tc>
        <w:tc>
          <w:tcPr>
            <w:tcW w:w="1322" w:type="dxa"/>
            <w:hideMark/>
          </w:tcPr>
          <w:p w14:paraId="0B3AF726" w14:textId="77777777" w:rsidR="002F1CE2" w:rsidRDefault="002F1CE2" w:rsidP="000A20EB">
            <w:pPr>
              <w:rPr>
                <w:rFonts w:cs="Calibri"/>
              </w:rPr>
            </w:pPr>
            <w:r>
              <w:t>5,431,200</w:t>
            </w:r>
          </w:p>
        </w:tc>
        <w:tc>
          <w:tcPr>
            <w:tcW w:w="2345" w:type="dxa"/>
            <w:hideMark/>
          </w:tcPr>
          <w:p w14:paraId="7028200E" w14:textId="77777777" w:rsidR="002F1CE2" w:rsidRDefault="002F1CE2" w:rsidP="000A20EB">
            <w:pPr>
              <w:rPr>
                <w:rFonts w:cs="Calibri"/>
              </w:rPr>
            </w:pPr>
            <w:r>
              <w:t>7,716,338</w:t>
            </w:r>
          </w:p>
        </w:tc>
        <w:tc>
          <w:tcPr>
            <w:tcW w:w="1975" w:type="dxa"/>
            <w:hideMark/>
          </w:tcPr>
          <w:p w14:paraId="4E629C37" w14:textId="77777777" w:rsidR="002F1CE2" w:rsidRDefault="002F1CE2" w:rsidP="000A20EB">
            <w:pPr>
              <w:rPr>
                <w:rFonts w:cs="Calibri"/>
              </w:rPr>
            </w:pPr>
            <w:r>
              <w:t>18,578,738</w:t>
            </w:r>
          </w:p>
        </w:tc>
        <w:tc>
          <w:tcPr>
            <w:tcW w:w="1710" w:type="dxa"/>
            <w:hideMark/>
          </w:tcPr>
          <w:p w14:paraId="380FCFCF" w14:textId="77777777" w:rsidR="002F1CE2" w:rsidRDefault="002F1CE2" w:rsidP="000A20EB">
            <w:pPr>
              <w:rPr>
                <w:rFonts w:cs="Calibri"/>
              </w:rPr>
            </w:pPr>
            <w:r>
              <w:t>71.33</w:t>
            </w:r>
          </w:p>
        </w:tc>
      </w:tr>
      <w:tr w:rsidR="002F1CE2" w14:paraId="15CCA602" w14:textId="77777777" w:rsidTr="002F3602">
        <w:trPr>
          <w:trHeight w:val="177"/>
        </w:trPr>
        <w:tc>
          <w:tcPr>
            <w:tcW w:w="980" w:type="dxa"/>
            <w:hideMark/>
          </w:tcPr>
          <w:p w14:paraId="1D778544" w14:textId="77777777" w:rsidR="002F1CE2" w:rsidRDefault="002F1CE2" w:rsidP="000A20EB">
            <w:pPr>
              <w:rPr>
                <w:rFonts w:cs="Calibri"/>
                <w:b/>
                <w:bCs/>
              </w:rPr>
            </w:pPr>
            <w:r>
              <w:rPr>
                <w:b/>
                <w:bCs/>
              </w:rPr>
              <w:t>2018</w:t>
            </w:r>
          </w:p>
        </w:tc>
        <w:tc>
          <w:tcPr>
            <w:tcW w:w="1288" w:type="dxa"/>
            <w:hideMark/>
          </w:tcPr>
          <w:p w14:paraId="0D403F26" w14:textId="77777777" w:rsidR="002F1CE2" w:rsidRDefault="002F1CE2" w:rsidP="000A20EB">
            <w:pPr>
              <w:rPr>
                <w:rFonts w:cs="Calibri"/>
              </w:rPr>
            </w:pPr>
            <w:r>
              <w:t>5,326,000</w:t>
            </w:r>
          </w:p>
        </w:tc>
        <w:tc>
          <w:tcPr>
            <w:tcW w:w="1322" w:type="dxa"/>
            <w:hideMark/>
          </w:tcPr>
          <w:p w14:paraId="74C3462E" w14:textId="77777777" w:rsidR="002F1CE2" w:rsidRDefault="002F1CE2" w:rsidP="000A20EB">
            <w:pPr>
              <w:rPr>
                <w:rFonts w:cs="Calibri"/>
              </w:rPr>
            </w:pPr>
            <w:r>
              <w:t>5,326,000</w:t>
            </w:r>
          </w:p>
        </w:tc>
        <w:tc>
          <w:tcPr>
            <w:tcW w:w="2345" w:type="dxa"/>
            <w:hideMark/>
          </w:tcPr>
          <w:p w14:paraId="02684774" w14:textId="77777777" w:rsidR="002F1CE2" w:rsidRDefault="002F1CE2" w:rsidP="000A20EB">
            <w:pPr>
              <w:rPr>
                <w:rFonts w:cs="Calibri"/>
              </w:rPr>
            </w:pPr>
            <w:r>
              <w:t>7,578,359</w:t>
            </w:r>
          </w:p>
        </w:tc>
        <w:tc>
          <w:tcPr>
            <w:tcW w:w="1975" w:type="dxa"/>
            <w:hideMark/>
          </w:tcPr>
          <w:p w14:paraId="7589E09D" w14:textId="77777777" w:rsidR="002F1CE2" w:rsidRDefault="002F1CE2" w:rsidP="000A20EB">
            <w:pPr>
              <w:rPr>
                <w:rFonts w:cs="Calibri"/>
              </w:rPr>
            </w:pPr>
            <w:r>
              <w:t>18,230,359</w:t>
            </w:r>
          </w:p>
        </w:tc>
        <w:tc>
          <w:tcPr>
            <w:tcW w:w="1710" w:type="dxa"/>
            <w:hideMark/>
          </w:tcPr>
          <w:p w14:paraId="457ADF13" w14:textId="77777777" w:rsidR="002F1CE2" w:rsidRDefault="002F1CE2" w:rsidP="000A20EB">
            <w:pPr>
              <w:rPr>
                <w:rFonts w:cs="Calibri"/>
              </w:rPr>
            </w:pPr>
            <w:r>
              <w:t>70.78</w:t>
            </w:r>
          </w:p>
        </w:tc>
      </w:tr>
    </w:tbl>
    <w:p w14:paraId="03AA15B7" w14:textId="77777777" w:rsidR="00761CBD" w:rsidRDefault="00761CBD" w:rsidP="000A20EB">
      <w:pPr>
        <w:widowControl/>
        <w:autoSpaceDE/>
        <w:autoSpaceDN/>
        <w:adjustRightInd/>
        <w:contextualSpacing/>
        <w:rPr>
          <w:rFonts w:cs="Calibri"/>
          <w:b/>
        </w:rPr>
      </w:pPr>
    </w:p>
    <w:p w14:paraId="68FBAFD2" w14:textId="07CAA1B3" w:rsidR="00781312" w:rsidRPr="001C1E47" w:rsidRDefault="00781312" w:rsidP="000A20EB">
      <w:pPr>
        <w:widowControl/>
        <w:autoSpaceDE/>
        <w:autoSpaceDN/>
        <w:adjustRightInd/>
        <w:contextualSpacing/>
        <w:rPr>
          <w:rFonts w:cs="Calibri"/>
          <w:b/>
        </w:rPr>
      </w:pPr>
      <w:r w:rsidRPr="001C1E47">
        <w:rPr>
          <w:rFonts w:cs="Calibri"/>
          <w:b/>
        </w:rPr>
        <w:t>New Issues</w:t>
      </w:r>
    </w:p>
    <w:p w14:paraId="694E9C2F" w14:textId="77777777" w:rsidR="00761CBD" w:rsidRDefault="00761CBD" w:rsidP="000A20EB">
      <w:pPr>
        <w:widowControl/>
        <w:autoSpaceDE/>
        <w:autoSpaceDN/>
        <w:adjustRightInd/>
        <w:contextualSpacing/>
        <w:rPr>
          <w:rFonts w:asciiTheme="minorHAnsi" w:hAnsiTheme="minorHAnsi" w:cstheme="minorHAnsi"/>
          <w:shd w:val="clear" w:color="auto" w:fill="FFFFFF"/>
        </w:rPr>
      </w:pPr>
    </w:p>
    <w:p w14:paraId="44181504" w14:textId="51ECC8FF" w:rsidR="002B66AB" w:rsidRPr="00DD2B20" w:rsidRDefault="002B66AB" w:rsidP="000A20EB">
      <w:pPr>
        <w:widowControl/>
        <w:autoSpaceDE/>
        <w:autoSpaceDN/>
        <w:adjustRightInd/>
        <w:contextualSpacing/>
        <w:rPr>
          <w:rFonts w:ascii="Times New Roman" w:hAnsi="Times New Roman"/>
        </w:rPr>
      </w:pPr>
      <w:r w:rsidRPr="002B66AB">
        <w:rPr>
          <w:rFonts w:asciiTheme="minorHAnsi" w:hAnsiTheme="minorHAnsi" w:cstheme="minorHAnsi"/>
          <w:shd w:val="clear" w:color="auto" w:fill="FFFFFF"/>
        </w:rPr>
        <w:t xml:space="preserve">Effective October 1, 2022, </w:t>
      </w:r>
      <w:r w:rsidR="00676F16">
        <w:rPr>
          <w:rFonts w:asciiTheme="minorHAnsi" w:hAnsiTheme="minorHAnsi" w:cstheme="minorHAnsi"/>
          <w:shd w:val="clear" w:color="auto" w:fill="FFFFFF"/>
        </w:rPr>
        <w:t xml:space="preserve">the </w:t>
      </w:r>
      <w:r w:rsidRPr="002B66AB">
        <w:rPr>
          <w:rFonts w:asciiTheme="minorHAnsi" w:hAnsiTheme="minorHAnsi" w:cstheme="minorHAnsi"/>
          <w:shd w:val="clear" w:color="auto" w:fill="FFFFFF"/>
        </w:rPr>
        <w:t>North Carolina</w:t>
      </w:r>
      <w:r w:rsidR="00676F16">
        <w:rPr>
          <w:rFonts w:asciiTheme="minorHAnsi" w:hAnsiTheme="minorHAnsi" w:cstheme="minorHAnsi"/>
          <w:shd w:val="clear" w:color="auto" w:fill="FFFFFF"/>
        </w:rPr>
        <w:t xml:space="preserve"> State Plan’s</w:t>
      </w:r>
      <w:r w:rsidRPr="002B66AB">
        <w:rPr>
          <w:rFonts w:asciiTheme="minorHAnsi" w:hAnsiTheme="minorHAnsi" w:cstheme="minorHAnsi"/>
          <w:shd w:val="clear" w:color="auto" w:fill="FFFFFF"/>
        </w:rPr>
        <w:t xml:space="preserve"> minimum and maximum civil penalties associated with occupational safety and health standard</w:t>
      </w:r>
      <w:r w:rsidR="001105AB">
        <w:rPr>
          <w:rFonts w:asciiTheme="minorHAnsi" w:hAnsiTheme="minorHAnsi" w:cstheme="minorHAnsi"/>
          <w:shd w:val="clear" w:color="auto" w:fill="FFFFFF"/>
        </w:rPr>
        <w:t>s’</w:t>
      </w:r>
      <w:r w:rsidRPr="002B66AB">
        <w:rPr>
          <w:rFonts w:asciiTheme="minorHAnsi" w:hAnsiTheme="minorHAnsi" w:cstheme="minorHAnsi"/>
          <w:shd w:val="clear" w:color="auto" w:fill="FFFFFF"/>
        </w:rPr>
        <w:t xml:space="preserve"> violations increased</w:t>
      </w:r>
      <w:r w:rsidR="00CE6B9B" w:rsidRPr="002B66AB">
        <w:rPr>
          <w:rFonts w:asciiTheme="minorHAnsi" w:hAnsiTheme="minorHAnsi" w:cstheme="minorHAnsi"/>
          <w:shd w:val="clear" w:color="auto" w:fill="FFFFFF"/>
        </w:rPr>
        <w:t xml:space="preserve">. </w:t>
      </w:r>
      <w:r w:rsidRPr="002B66AB">
        <w:rPr>
          <w:rFonts w:asciiTheme="minorHAnsi" w:hAnsiTheme="minorHAnsi" w:cstheme="minorHAnsi"/>
          <w:shd w:val="clear" w:color="auto" w:fill="FFFFFF"/>
        </w:rPr>
        <w:t>Subsequent annual penalty adjustments shall be made</w:t>
      </w:r>
      <w:r w:rsidR="00761CBD">
        <w:rPr>
          <w:rFonts w:asciiTheme="minorHAnsi" w:hAnsiTheme="minorHAnsi" w:cstheme="minorHAnsi"/>
          <w:shd w:val="clear" w:color="auto" w:fill="FFFFFF"/>
        </w:rPr>
        <w:t>,</w:t>
      </w:r>
      <w:r w:rsidRPr="002B66AB">
        <w:rPr>
          <w:rFonts w:asciiTheme="minorHAnsi" w:hAnsiTheme="minorHAnsi" w:cstheme="minorHAnsi"/>
          <w:shd w:val="clear" w:color="auto" w:fill="FFFFFF"/>
        </w:rPr>
        <w:t xml:space="preserve"> in accordance with the United States Consumer Price Index published by the United States Department of Labor. These changes are reflected in </w:t>
      </w:r>
      <w:r w:rsidR="00302EA2">
        <w:rPr>
          <w:rFonts w:asciiTheme="minorHAnsi" w:hAnsiTheme="minorHAnsi" w:cstheme="minorHAnsi"/>
          <w:shd w:val="clear" w:color="auto" w:fill="FFFFFF"/>
        </w:rPr>
        <w:t xml:space="preserve">the </w:t>
      </w:r>
      <w:r w:rsidRPr="002B66AB">
        <w:rPr>
          <w:rFonts w:asciiTheme="minorHAnsi" w:hAnsiTheme="minorHAnsi" w:cstheme="minorHAnsi"/>
          <w:shd w:val="clear" w:color="auto" w:fill="FFFFFF"/>
        </w:rPr>
        <w:t>North Carolina General Statute §95-138(a)</w:t>
      </w:r>
      <w:r w:rsidR="00761CBD">
        <w:rPr>
          <w:rFonts w:asciiTheme="minorHAnsi" w:hAnsiTheme="minorHAnsi" w:cstheme="minorHAnsi"/>
          <w:shd w:val="clear" w:color="auto" w:fill="FFFFFF"/>
        </w:rPr>
        <w:t>,</w:t>
      </w:r>
      <w:r w:rsidRPr="002B66AB">
        <w:rPr>
          <w:rFonts w:asciiTheme="minorHAnsi" w:hAnsiTheme="minorHAnsi" w:cstheme="minorHAnsi"/>
          <w:shd w:val="clear" w:color="auto" w:fill="FFFFFF"/>
        </w:rPr>
        <w:t> in accordance with </w:t>
      </w:r>
      <w:r w:rsidR="00302EA2">
        <w:rPr>
          <w:rFonts w:asciiTheme="minorHAnsi" w:hAnsiTheme="minorHAnsi" w:cstheme="minorHAnsi"/>
          <w:shd w:val="clear" w:color="auto" w:fill="FFFFFF"/>
        </w:rPr>
        <w:t xml:space="preserve">the </w:t>
      </w:r>
      <w:r w:rsidRPr="002B66AB">
        <w:rPr>
          <w:rFonts w:asciiTheme="minorHAnsi" w:hAnsiTheme="minorHAnsi" w:cstheme="minorHAnsi"/>
          <w:shd w:val="clear" w:color="auto" w:fill="FFFFFF"/>
        </w:rPr>
        <w:t>13 North Carolina Administrative Code 07A.0301 and 29 CFR 1903</w:t>
      </w:r>
      <w:r w:rsidRPr="00DD2B20">
        <w:rPr>
          <w:rFonts w:ascii="Times New Roman" w:hAnsi="Times New Roman"/>
          <w:shd w:val="clear" w:color="auto" w:fill="FFFFFF"/>
        </w:rPr>
        <w:t>.</w:t>
      </w:r>
    </w:p>
    <w:p w14:paraId="4D45CF2E" w14:textId="77777777" w:rsidR="00780E29" w:rsidRPr="00AB16D9" w:rsidRDefault="00780E29" w:rsidP="000A20EB">
      <w:pPr>
        <w:widowControl/>
        <w:autoSpaceDE/>
        <w:autoSpaceDN/>
        <w:adjustRightInd/>
        <w:rPr>
          <w:rFonts w:cs="Calibri"/>
          <w:iCs/>
        </w:rPr>
      </w:pPr>
    </w:p>
    <w:p w14:paraId="0A29FCDE" w14:textId="40051B71" w:rsidR="00054900" w:rsidRPr="00476C08" w:rsidRDefault="00054900" w:rsidP="000A20EB">
      <w:pPr>
        <w:pStyle w:val="Heading2"/>
        <w:spacing w:before="0"/>
      </w:pPr>
      <w:bookmarkStart w:id="10" w:name="_Toc118900172"/>
      <w:bookmarkStart w:id="11" w:name="_Toc118905011"/>
      <w:bookmarkStart w:id="12" w:name="_Toc119418665"/>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0A20EB">
      <w:pPr>
        <w:widowControl/>
        <w:autoSpaceDE/>
        <w:autoSpaceDN/>
        <w:adjustRightInd/>
        <w:rPr>
          <w:rFonts w:cs="Calibri"/>
        </w:rPr>
      </w:pPr>
    </w:p>
    <w:p w14:paraId="4CD3C312" w14:textId="77777777" w:rsidR="000A134A" w:rsidRPr="00C53328" w:rsidRDefault="000A134A" w:rsidP="000A20EB">
      <w:pPr>
        <w:pStyle w:val="Heading3"/>
        <w:spacing w:before="0"/>
      </w:pPr>
      <w:bookmarkStart w:id="13" w:name="_Toc118900173"/>
      <w:bookmarkStart w:id="14" w:name="_Toc118905012"/>
      <w:bookmarkStart w:id="15" w:name="_Toc119418666"/>
      <w:r w:rsidRPr="00C53328">
        <w:t>Data and Methodology</w:t>
      </w:r>
      <w:bookmarkEnd w:id="13"/>
      <w:bookmarkEnd w:id="14"/>
      <w:bookmarkEnd w:id="15"/>
    </w:p>
    <w:p w14:paraId="72EF69F8" w14:textId="77777777" w:rsidR="000A134A" w:rsidRPr="001C1E47" w:rsidRDefault="000A134A" w:rsidP="000A20EB">
      <w:pPr>
        <w:widowControl/>
        <w:autoSpaceDE/>
        <w:autoSpaceDN/>
        <w:adjustRightInd/>
        <w:ind w:left="1440"/>
        <w:rPr>
          <w:rFonts w:cs="Calibri"/>
          <w:bCs/>
        </w:rPr>
      </w:pPr>
    </w:p>
    <w:p w14:paraId="3EEE3A69" w14:textId="74CB48BE" w:rsidR="005504BC" w:rsidRPr="001C1E47" w:rsidRDefault="000A134A" w:rsidP="000A20EB">
      <w:pPr>
        <w:widowControl/>
        <w:autoSpaceDE/>
        <w:autoSpaceDN/>
        <w:adjustRightInd/>
        <w:rPr>
          <w:rFonts w:cs="Calibri"/>
          <w:bCs/>
        </w:rPr>
      </w:pPr>
      <w:r w:rsidRPr="001C1E47">
        <w:rPr>
          <w:rFonts w:cs="Calibri"/>
          <w:bCs/>
        </w:rPr>
        <w:t>OSHA has established a two-year cycle for the FAME process</w:t>
      </w:r>
      <w:r w:rsidR="00CE6B9B" w:rsidRPr="001C1E47">
        <w:rPr>
          <w:rFonts w:cs="Calibri"/>
          <w:bCs/>
        </w:rPr>
        <w:t xml:space="preserve">. </w:t>
      </w:r>
      <w:r w:rsidRPr="001C1E47">
        <w:rPr>
          <w:rFonts w:cs="Calibri"/>
          <w:bCs/>
        </w:rPr>
        <w:t xml:space="preserve">This is </w:t>
      </w:r>
      <w:r w:rsidR="000A20EB">
        <w:rPr>
          <w:rFonts w:cs="Calibri"/>
          <w:bCs/>
        </w:rPr>
        <w:t xml:space="preserve">a </w:t>
      </w:r>
      <w:r w:rsidR="000A20EB" w:rsidRPr="001C1E47">
        <w:rPr>
          <w:rFonts w:cs="Calibri"/>
          <w:bCs/>
        </w:rPr>
        <w:t>follow</w:t>
      </w:r>
      <w:r w:rsidRPr="001C1E47">
        <w:rPr>
          <w:rFonts w:cs="Calibri"/>
          <w:bCs/>
        </w:rPr>
        <w:t>-up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w:t>
      </w:r>
      <w:r w:rsidR="00290AF1" w:rsidRPr="001C1E47">
        <w:rPr>
          <w:rFonts w:cs="Calibri"/>
          <w:bCs/>
        </w:rPr>
        <w:t xml:space="preserve">. </w:t>
      </w:r>
      <w:r w:rsidRPr="001C1E47">
        <w:rPr>
          <w:rFonts w:cs="Calibri"/>
          <w:bCs/>
        </w:rPr>
        <w:t>This strategy allows the State Plan to focus on correcting deficiencies identified in the most recent comprehensive FAME</w:t>
      </w:r>
      <w:r w:rsidR="00290AF1"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0A20EB">
      <w:pPr>
        <w:widowControl/>
        <w:autoSpaceDE/>
        <w:autoSpaceDN/>
        <w:adjustRightInd/>
        <w:rPr>
          <w:rFonts w:cs="Calibri"/>
          <w:bCs/>
        </w:rPr>
      </w:pPr>
    </w:p>
    <w:p w14:paraId="409C16B9" w14:textId="62BEE527" w:rsidR="005504BC" w:rsidRPr="001C1E47" w:rsidRDefault="005504BC" w:rsidP="000A20EB">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0A20EB">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0A20EB">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0A20EB">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0A20EB">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0A20EB">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375576CF" w:rsidR="00FF4AE2" w:rsidRPr="009928A0" w:rsidRDefault="00FF4AE2" w:rsidP="000A20EB">
      <w:pPr>
        <w:pStyle w:val="ListParagraph"/>
        <w:numPr>
          <w:ilvl w:val="0"/>
          <w:numId w:val="7"/>
        </w:numPr>
        <w:spacing w:after="0" w:line="240" w:lineRule="auto"/>
        <w:rPr>
          <w:bCs/>
        </w:rPr>
      </w:pPr>
      <w:r w:rsidRPr="001C1E47">
        <w:rPr>
          <w:bCs/>
          <w:sz w:val="24"/>
          <w:szCs w:val="24"/>
        </w:rPr>
        <w:t>Quarterly monitoring meetings between OSHA and the State Plan</w:t>
      </w:r>
    </w:p>
    <w:p w14:paraId="64BBAB34" w14:textId="4CA7F976" w:rsidR="009928A0" w:rsidRDefault="009928A0" w:rsidP="009928A0">
      <w:pPr>
        <w:rPr>
          <w:bCs/>
        </w:rPr>
      </w:pPr>
    </w:p>
    <w:p w14:paraId="631A0187" w14:textId="77B973D4" w:rsidR="009928A0" w:rsidRDefault="009928A0" w:rsidP="009928A0">
      <w:pPr>
        <w:rPr>
          <w:bCs/>
        </w:rPr>
      </w:pPr>
    </w:p>
    <w:p w14:paraId="209D796A" w14:textId="77777777" w:rsidR="009928A0" w:rsidRPr="009928A0" w:rsidRDefault="009928A0" w:rsidP="009928A0">
      <w:pPr>
        <w:rPr>
          <w:bCs/>
        </w:rPr>
      </w:pPr>
    </w:p>
    <w:p w14:paraId="2F2FFA48" w14:textId="77777777" w:rsidR="001105AB" w:rsidRDefault="001105AB" w:rsidP="000A20EB">
      <w:pPr>
        <w:widowControl/>
        <w:autoSpaceDE/>
        <w:autoSpaceDN/>
        <w:adjustRightInd/>
        <w:rPr>
          <w:rFonts w:cs="Calibri"/>
          <w:bCs/>
          <w:iCs/>
          <w:color w:val="0070C0"/>
        </w:rPr>
      </w:pPr>
    </w:p>
    <w:p w14:paraId="5E67DDEC" w14:textId="77777777" w:rsidR="000A134A" w:rsidRPr="001C1E47" w:rsidRDefault="000A134A" w:rsidP="000A20EB">
      <w:pPr>
        <w:pStyle w:val="Heading3"/>
        <w:spacing w:before="0"/>
      </w:pPr>
      <w:bookmarkStart w:id="16" w:name="_Toc118900174"/>
      <w:bookmarkStart w:id="17" w:name="_Toc118905013"/>
      <w:bookmarkStart w:id="18" w:name="_Toc119418667"/>
      <w:r w:rsidRPr="001C1E47">
        <w:lastRenderedPageBreak/>
        <w:t>Findings and Observations</w:t>
      </w:r>
      <w:bookmarkEnd w:id="16"/>
      <w:bookmarkEnd w:id="17"/>
      <w:bookmarkEnd w:id="18"/>
    </w:p>
    <w:p w14:paraId="5A952A6F" w14:textId="77777777" w:rsidR="001E2FBB" w:rsidRPr="001C1E47" w:rsidRDefault="001E2FBB" w:rsidP="000A20EB">
      <w:pPr>
        <w:widowControl/>
        <w:autoSpaceDE/>
        <w:autoSpaceDN/>
        <w:adjustRightInd/>
        <w:rPr>
          <w:rFonts w:cs="Calibri"/>
          <w:i/>
          <w:highlight w:val="cyan"/>
        </w:rPr>
      </w:pPr>
    </w:p>
    <w:p w14:paraId="2789CCA0" w14:textId="349F187C" w:rsidR="00E71FB7" w:rsidRPr="001C1E47" w:rsidRDefault="00E71FB7" w:rsidP="000A20EB">
      <w:pPr>
        <w:pStyle w:val="Heading4"/>
        <w:spacing w:before="0"/>
        <w:rPr>
          <w:b w:val="0"/>
          <w:highlight w:val="yellow"/>
        </w:rPr>
      </w:pPr>
      <w:bookmarkStart w:id="19" w:name="_Toc118900175"/>
      <w:bookmarkStart w:id="20" w:name="_Toc118905014"/>
      <w:r w:rsidRPr="001C1E47">
        <w:t>Findings</w:t>
      </w:r>
      <w:r w:rsidR="00443054" w:rsidRPr="001C1E47">
        <w:t xml:space="preserve"> (Status of Previous</w:t>
      </w:r>
      <w:r w:rsidR="00EE738E">
        <w:t xml:space="preserve"> </w:t>
      </w:r>
      <w:r w:rsidR="00443054" w:rsidRPr="001C1E47">
        <w:t>Items)</w:t>
      </w:r>
      <w:bookmarkEnd w:id="19"/>
      <w:bookmarkEnd w:id="20"/>
    </w:p>
    <w:p w14:paraId="6C7BE9F8" w14:textId="03E7B269" w:rsidR="00E71FB7" w:rsidRDefault="00E71FB7" w:rsidP="000A20EB">
      <w:pPr>
        <w:widowControl/>
        <w:autoSpaceDE/>
        <w:autoSpaceDN/>
        <w:adjustRightInd/>
        <w:rPr>
          <w:rFonts w:cs="Calibri"/>
          <w:highlight w:val="yellow"/>
          <w:u w:val="single"/>
        </w:rPr>
      </w:pPr>
    </w:p>
    <w:p w14:paraId="68CBB2BF" w14:textId="3AB87772" w:rsidR="004E505A" w:rsidRPr="001C1E47" w:rsidRDefault="00456C45" w:rsidP="000A20EB">
      <w:pPr>
        <w:widowControl/>
        <w:autoSpaceDE/>
        <w:autoSpaceDN/>
        <w:adjustRightInd/>
        <w:rPr>
          <w:rFonts w:cs="Calibri"/>
        </w:rPr>
      </w:pPr>
      <w:r w:rsidRPr="001C1E47">
        <w:rPr>
          <w:rFonts w:cs="Calibri"/>
        </w:rPr>
        <w:t>The State Plan</w:t>
      </w:r>
      <w:r w:rsidR="005D5383" w:rsidRPr="001C1E47">
        <w:rPr>
          <w:rFonts w:cs="Calibri"/>
        </w:rPr>
        <w:t xml:space="preserve"> </w:t>
      </w:r>
      <w:r w:rsidR="00317453">
        <w:rPr>
          <w:rFonts w:cs="Calibri"/>
        </w:rPr>
        <w:t>completed the</w:t>
      </w:r>
      <w:r w:rsidRPr="001C1E47">
        <w:rPr>
          <w:rFonts w:cs="Calibri"/>
        </w:rPr>
        <w:t xml:space="preserve"> previous </w:t>
      </w:r>
      <w:r w:rsidR="004E505A" w:rsidRPr="001C1E47">
        <w:rPr>
          <w:rFonts w:cs="Calibri"/>
        </w:rPr>
        <w:t>finding</w:t>
      </w:r>
      <w:r w:rsidRPr="001C1E47">
        <w:rPr>
          <w:rFonts w:cs="Calibri"/>
        </w:rPr>
        <w:t xml:space="preserve"> from the FY </w:t>
      </w:r>
      <w:r w:rsidR="00512339" w:rsidRPr="001C1E47">
        <w:rPr>
          <w:rFonts w:cs="Calibri"/>
        </w:rPr>
        <w:t>20</w:t>
      </w:r>
      <w:r w:rsidR="00185C7D" w:rsidRPr="001C1E47">
        <w:rPr>
          <w:rFonts w:cs="Calibri"/>
        </w:rPr>
        <w:t>21</w:t>
      </w:r>
      <w:r w:rsidR="000003C7" w:rsidRPr="001C1E47">
        <w:rPr>
          <w:rFonts w:cs="Calibri"/>
        </w:rPr>
        <w:t xml:space="preserve"> </w:t>
      </w:r>
      <w:r w:rsidRPr="001C1E47">
        <w:rPr>
          <w:rFonts w:cs="Calibri"/>
        </w:rPr>
        <w:t>Comprehensive FAME R</w:t>
      </w:r>
      <w:r w:rsidR="004E505A" w:rsidRPr="001C1E47">
        <w:rPr>
          <w:rFonts w:cs="Calibri"/>
        </w:rPr>
        <w:t>eport</w:t>
      </w:r>
      <w:r w:rsidR="00290AF1" w:rsidRPr="001C1E47">
        <w:rPr>
          <w:rFonts w:cs="Calibri"/>
        </w:rPr>
        <w:t xml:space="preserve">. </w:t>
      </w:r>
      <w:r w:rsidR="004E505A" w:rsidRPr="001C1E47">
        <w:rPr>
          <w:rFonts w:cs="Calibri"/>
        </w:rPr>
        <w:t>Appendix C describes the status of each FY 20</w:t>
      </w:r>
      <w:r w:rsidR="00B66C2A" w:rsidRPr="001C1E47">
        <w:rPr>
          <w:rFonts w:cs="Calibri"/>
        </w:rPr>
        <w:t>21</w:t>
      </w:r>
      <w:r w:rsidR="004E505A" w:rsidRPr="001C1E47">
        <w:rPr>
          <w:rFonts w:cs="Calibri"/>
        </w:rPr>
        <w:t xml:space="preserve"> </w:t>
      </w:r>
      <w:r w:rsidR="00B66C2A" w:rsidRPr="001C1E47">
        <w:rPr>
          <w:rFonts w:cs="Calibri"/>
        </w:rPr>
        <w:t xml:space="preserve">finding and </w:t>
      </w:r>
      <w:r w:rsidR="004E505A" w:rsidRPr="001C1E47">
        <w:rPr>
          <w:rFonts w:cs="Calibri"/>
        </w:rPr>
        <w:t>recommendation in detail.</w:t>
      </w:r>
    </w:p>
    <w:p w14:paraId="66D5E8EB" w14:textId="77777777" w:rsidR="009928A0" w:rsidRDefault="009928A0" w:rsidP="000A20EB">
      <w:pPr>
        <w:widowControl/>
        <w:autoSpaceDE/>
        <w:autoSpaceDN/>
        <w:adjustRightInd/>
        <w:rPr>
          <w:rFonts w:cs="Calibri"/>
          <w:b/>
          <w:bCs/>
        </w:rPr>
      </w:pPr>
    </w:p>
    <w:p w14:paraId="1CD392F2" w14:textId="109608A2" w:rsidR="005C1BFC" w:rsidRPr="0061362E" w:rsidRDefault="00733D36" w:rsidP="000A20EB">
      <w:pPr>
        <w:widowControl/>
        <w:autoSpaceDE/>
        <w:autoSpaceDN/>
        <w:adjustRightInd/>
        <w:rPr>
          <w:rFonts w:cs="Calibri"/>
          <w:b/>
          <w:bCs/>
        </w:rPr>
      </w:pPr>
      <w:r w:rsidRPr="0061362E">
        <w:rPr>
          <w:rFonts w:cs="Calibri"/>
          <w:b/>
          <w:bCs/>
        </w:rPr>
        <w:t xml:space="preserve">Completed </w:t>
      </w:r>
      <w:r w:rsidR="007C0A36" w:rsidRPr="0061362E">
        <w:rPr>
          <w:rFonts w:cs="Calibri"/>
          <w:b/>
          <w:bCs/>
        </w:rPr>
        <w:t>Finding</w:t>
      </w:r>
    </w:p>
    <w:p w14:paraId="7BB91E9C" w14:textId="77777777" w:rsidR="007C0A36" w:rsidRPr="001C1E47" w:rsidRDefault="007C0A36" w:rsidP="000A20EB">
      <w:pPr>
        <w:widowControl/>
        <w:autoSpaceDE/>
        <w:autoSpaceDN/>
        <w:adjustRightInd/>
        <w:rPr>
          <w:rFonts w:cs="Calibri"/>
          <w:highlight w:val="yellow"/>
          <w:u w:val="single"/>
        </w:rPr>
      </w:pPr>
    </w:p>
    <w:p w14:paraId="0CFEC9C0" w14:textId="7115B783" w:rsidR="00733D36" w:rsidRDefault="00553EF0" w:rsidP="000A20EB">
      <w:pPr>
        <w:widowControl/>
        <w:autoSpaceDE/>
        <w:autoSpaceDN/>
        <w:adjustRightInd/>
      </w:pPr>
      <w:r>
        <w:rPr>
          <w:b/>
          <w:bCs/>
        </w:rPr>
        <w:t xml:space="preserve">Finding </w:t>
      </w:r>
      <w:r w:rsidR="00CC5D6C" w:rsidRPr="00367742">
        <w:rPr>
          <w:b/>
          <w:bCs/>
        </w:rPr>
        <w:t>FY-2021-01</w:t>
      </w:r>
      <w:r w:rsidR="00367742" w:rsidRPr="00367742">
        <w:rPr>
          <w:b/>
          <w:bCs/>
        </w:rPr>
        <w:t>:</w:t>
      </w:r>
      <w:r w:rsidR="00367742">
        <w:t xml:space="preserve"> </w:t>
      </w:r>
      <w:r w:rsidR="00CC5D6C" w:rsidRPr="001C1E47">
        <w:rPr>
          <w:rFonts w:eastAsia="PMingLiU" w:cs="Calibri"/>
          <w:b/>
          <w:bCs/>
          <w:sz w:val="22"/>
          <w:szCs w:val="22"/>
        </w:rPr>
        <w:t> </w:t>
      </w:r>
      <w:r w:rsidR="00F44825">
        <w:t>OSHNC</w:t>
      </w:r>
      <w:r w:rsidR="00CC5D6C">
        <w:t xml:space="preserve"> has failed to adopt OSHA’s initial FY 2016 maximum and minimum penalty increase and subsequent annual penalty amount increases</w:t>
      </w:r>
      <w:r w:rsidR="00FD3784">
        <w:t>.</w:t>
      </w:r>
    </w:p>
    <w:p w14:paraId="15137841" w14:textId="77777777" w:rsidR="00FD3784" w:rsidRPr="001C1E47" w:rsidRDefault="00FD3784" w:rsidP="000A20EB">
      <w:pPr>
        <w:widowControl/>
        <w:autoSpaceDE/>
        <w:autoSpaceDN/>
        <w:adjustRightInd/>
        <w:rPr>
          <w:rFonts w:cs="Calibri"/>
        </w:rPr>
      </w:pPr>
    </w:p>
    <w:p w14:paraId="258E91A2" w14:textId="7A5D6021" w:rsidR="00733D36" w:rsidRPr="001C1E47" w:rsidRDefault="007C0A36" w:rsidP="000A20EB">
      <w:pPr>
        <w:rPr>
          <w:rFonts w:cs="Calibri"/>
        </w:rPr>
      </w:pPr>
      <w:r w:rsidRPr="001C1E47">
        <w:rPr>
          <w:rFonts w:cs="Calibri"/>
          <w:b/>
        </w:rPr>
        <w:t>Status</w:t>
      </w:r>
      <w:r w:rsidR="00733D36" w:rsidRPr="001C1E47">
        <w:rPr>
          <w:rFonts w:cs="Calibri"/>
          <w:b/>
        </w:rPr>
        <w:t>:</w:t>
      </w:r>
      <w:r w:rsidR="00733D36" w:rsidRPr="001C1E47">
        <w:rPr>
          <w:rFonts w:cs="Calibri"/>
        </w:rPr>
        <w:t xml:space="preserve"> </w:t>
      </w:r>
      <w:r w:rsidR="00F44825">
        <w:t>OSHNC</w:t>
      </w:r>
      <w:r w:rsidR="00770F49">
        <w:t>’s</w:t>
      </w:r>
      <w:r w:rsidR="00676F16">
        <w:t xml:space="preserve"> </w:t>
      </w:r>
      <w:r w:rsidR="005113A9">
        <w:t>FY</w:t>
      </w:r>
      <w:r w:rsidR="00676F16">
        <w:t xml:space="preserve"> 20</w:t>
      </w:r>
      <w:r w:rsidR="005113A9">
        <w:t>23 Budget was approved by the Legislature on 7/1/22 and was signed into law by NC Governor Roy Cooper on 7/11/22. The new language in section 95-138(a)(1) adopts the current federal OSHA penalties, as depicted in 29 CFR 1903.15(d), effective 10/1/22</w:t>
      </w:r>
      <w:r w:rsidR="00290AF1">
        <w:t xml:space="preserve">. </w:t>
      </w:r>
      <w:r w:rsidR="005113A9">
        <w:t>Penal</w:t>
      </w:r>
      <w:r w:rsidR="00302EA2">
        <w:t>t</w:t>
      </w:r>
      <w:r w:rsidR="005113A9">
        <w:t>y adjustments by OSHA that are associated with the Consumer Price Index (CPI) for Urban Areas will be adopted by the NC Department of Labor (NCDOL)</w:t>
      </w:r>
      <w:r w:rsidR="00676F16">
        <w:t>,</w:t>
      </w:r>
      <w:r w:rsidR="005113A9">
        <w:t xml:space="preserve"> per the North Carolina Administrative Code (NCAC), within 60 days of OSHA</w:t>
      </w:r>
      <w:r w:rsidR="00676F16">
        <w:t>’s</w:t>
      </w:r>
      <w:r w:rsidR="005113A9">
        <w:t xml:space="preserve"> posting notice in the Federal Register.  </w:t>
      </w:r>
      <w:r w:rsidR="00DE069B" w:rsidRPr="001C1E47">
        <w:rPr>
          <w:rFonts w:cs="Calibri"/>
        </w:rPr>
        <w:t>This item is completed.</w:t>
      </w:r>
      <w:r w:rsidR="00733D36" w:rsidRPr="001C1E47">
        <w:rPr>
          <w:rFonts w:cs="Calibri"/>
        </w:rPr>
        <w:t xml:space="preserve">  </w:t>
      </w:r>
    </w:p>
    <w:p w14:paraId="6975C73F" w14:textId="77777777" w:rsidR="00733729" w:rsidRPr="001C1E47" w:rsidRDefault="00733729" w:rsidP="000A20EB">
      <w:pPr>
        <w:widowControl/>
        <w:autoSpaceDE/>
        <w:autoSpaceDN/>
        <w:adjustRightInd/>
        <w:rPr>
          <w:rFonts w:cs="Calibri"/>
          <w:u w:val="single"/>
        </w:rPr>
      </w:pPr>
    </w:p>
    <w:p w14:paraId="3B828F9D" w14:textId="6C45BA5D" w:rsidR="00F132A8" w:rsidRPr="0061362E" w:rsidRDefault="00F132A8" w:rsidP="000A20EB">
      <w:pPr>
        <w:pStyle w:val="Heading3"/>
        <w:spacing w:before="0"/>
      </w:pPr>
      <w:bookmarkStart w:id="21" w:name="_Toc118900177"/>
      <w:bookmarkStart w:id="22" w:name="_Toc118905016"/>
      <w:bookmarkStart w:id="23" w:name="_Toc119418668"/>
      <w:r w:rsidRPr="0061362E">
        <w:t>State Activity Mandated Measures (SAMM)</w:t>
      </w:r>
      <w:r w:rsidR="00A243D6" w:rsidRPr="0061362E">
        <w:t xml:space="preserve"> Highlights</w:t>
      </w:r>
      <w:bookmarkEnd w:id="21"/>
      <w:bookmarkEnd w:id="22"/>
      <w:bookmarkEnd w:id="23"/>
    </w:p>
    <w:p w14:paraId="1ACC4DE2" w14:textId="77777777" w:rsidR="00F132A8" w:rsidRPr="001C1E47" w:rsidRDefault="00F132A8" w:rsidP="000A20EB">
      <w:pPr>
        <w:widowControl/>
        <w:autoSpaceDE/>
        <w:autoSpaceDN/>
        <w:adjustRightInd/>
        <w:ind w:left="720"/>
        <w:contextualSpacing/>
        <w:rPr>
          <w:rFonts w:cs="Calibri"/>
          <w:sz w:val="28"/>
          <w:szCs w:val="28"/>
        </w:rPr>
      </w:pPr>
    </w:p>
    <w:p w14:paraId="77B519F6" w14:textId="23928B28" w:rsidR="00DA28F8" w:rsidRDefault="00EC7600" w:rsidP="000A20EB">
      <w:pPr>
        <w:widowControl/>
        <w:autoSpaceDE/>
        <w:adjustRightInd/>
        <w:rPr>
          <w:rFonts w:cs="Calibri"/>
        </w:rPr>
      </w:pPr>
      <w:r w:rsidRPr="001C1E47">
        <w:rPr>
          <w:rFonts w:cs="Calibri"/>
        </w:rPr>
        <w:t xml:space="preserve">Each SAMM has an agreed upon </w:t>
      </w:r>
      <w:r w:rsidR="00D7654E" w:rsidRPr="001C1E47">
        <w:rPr>
          <w:rFonts w:cs="Calibri"/>
        </w:rPr>
        <w:t>FRL</w:t>
      </w:r>
      <w:r w:rsidR="00676F16">
        <w:rPr>
          <w:rFonts w:cs="Calibri"/>
        </w:rPr>
        <w:t>,</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w:t>
      </w:r>
      <w:r w:rsidR="00676F16">
        <w:rPr>
          <w:rFonts w:cs="Calibri"/>
        </w:rPr>
        <w:t xml:space="preserve">three-year </w:t>
      </w:r>
      <w:r w:rsidRPr="001C1E47">
        <w:rPr>
          <w:rFonts w:cs="Calibri"/>
        </w:rPr>
        <w:t>national average.  State Plan SAMM data that falls outside</w:t>
      </w:r>
      <w:r w:rsidR="00676F16">
        <w:rPr>
          <w:rFonts w:cs="Calibri"/>
        </w:rPr>
        <w:t xml:space="preserve"> of </w:t>
      </w:r>
      <w:r w:rsidRPr="001C1E47">
        <w:rPr>
          <w:rFonts w:cs="Calibri"/>
        </w:rPr>
        <w:t xml:space="preserve">the FRL 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State Activity Mandated Measures (SAMM) Report and includes the FRLs for each measure. </w:t>
      </w:r>
    </w:p>
    <w:p w14:paraId="37AE5FA6" w14:textId="5C50D1EE" w:rsidR="00DA28F8" w:rsidRDefault="00DA28F8" w:rsidP="000A20EB">
      <w:pPr>
        <w:widowControl/>
        <w:autoSpaceDE/>
        <w:adjustRightInd/>
        <w:rPr>
          <w:rFonts w:cs="Calibri"/>
        </w:rPr>
      </w:pPr>
    </w:p>
    <w:p w14:paraId="23926F47" w14:textId="70DC3034" w:rsidR="00DA28F8" w:rsidRDefault="00DA28F8" w:rsidP="000A20EB">
      <w:pPr>
        <w:widowControl/>
        <w:autoSpaceDE/>
        <w:adjustRightInd/>
        <w:rPr>
          <w:rFonts w:cs="Calibri"/>
        </w:rPr>
      </w:pPr>
      <w:r>
        <w:rPr>
          <w:rFonts w:cs="Calibri"/>
        </w:rPr>
        <w:t xml:space="preserve">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w:t>
      </w:r>
      <w:r w:rsidR="00676F16">
        <w:rPr>
          <w:rFonts w:cs="Calibri"/>
        </w:rPr>
        <w:t xml:space="preserve">in </w:t>
      </w:r>
      <w:r>
        <w:rPr>
          <w:rFonts w:cs="Calibri"/>
        </w:rPr>
        <w:t>OITSS, and a portion was captured in OIS.   OSHA encountered challenges in combining the report that generates SAMM 14, 15, and 16 from both systems.  As such, OSHA will not be relying on SAMMs 14, 15, or 16 in their evaluation of the State Plan</w:t>
      </w:r>
      <w:r w:rsidR="00676F16">
        <w:rPr>
          <w:rFonts w:cs="Calibri"/>
        </w:rPr>
        <w:t>’</w:t>
      </w:r>
      <w:r>
        <w:rPr>
          <w:rFonts w:cs="Calibri"/>
        </w:rPr>
        <w:t>s whistleblower programs for FY 2022.</w:t>
      </w:r>
    </w:p>
    <w:p w14:paraId="67DE758F" w14:textId="77777777" w:rsidR="00DA28F8" w:rsidRDefault="00DA28F8" w:rsidP="000A20EB">
      <w:pPr>
        <w:widowControl/>
        <w:autoSpaceDE/>
        <w:adjustRightInd/>
        <w:rPr>
          <w:rFonts w:cs="Calibri"/>
        </w:rPr>
      </w:pPr>
    </w:p>
    <w:p w14:paraId="75AF2501" w14:textId="50C4D175" w:rsidR="00EC7600" w:rsidRPr="001C1E47" w:rsidRDefault="00EC7600" w:rsidP="000A20EB">
      <w:pPr>
        <w:widowControl/>
        <w:autoSpaceDE/>
        <w:adjustRightInd/>
        <w:rPr>
          <w:rFonts w:cs="Calibri"/>
        </w:rPr>
      </w:pPr>
      <w:r w:rsidRPr="001C1E47">
        <w:rPr>
          <w:rFonts w:cs="Calibri"/>
        </w:rPr>
        <w:t xml:space="preserve">The State Plan was outside </w:t>
      </w:r>
      <w:r w:rsidR="00676F16">
        <w:rPr>
          <w:rFonts w:cs="Calibri"/>
        </w:rPr>
        <w:t xml:space="preserve">of </w:t>
      </w:r>
      <w:r w:rsidRPr="001C1E47">
        <w:rPr>
          <w:rFonts w:cs="Calibri"/>
        </w:rPr>
        <w:t>the FRL on the following SAMMs:</w:t>
      </w:r>
    </w:p>
    <w:p w14:paraId="24096F6F" w14:textId="77777777" w:rsidR="00CE6B9B" w:rsidRDefault="00CE6B9B" w:rsidP="000A20EB">
      <w:pPr>
        <w:widowControl/>
        <w:autoSpaceDE/>
        <w:autoSpaceDN/>
        <w:adjustRightInd/>
        <w:rPr>
          <w:b/>
          <w:bCs/>
        </w:rPr>
      </w:pPr>
    </w:p>
    <w:p w14:paraId="7E723645" w14:textId="2A47EADA" w:rsidR="00B36609" w:rsidRPr="003B201E" w:rsidRDefault="004D07B0" w:rsidP="000A20EB">
      <w:pPr>
        <w:widowControl/>
        <w:autoSpaceDE/>
        <w:autoSpaceDN/>
        <w:adjustRightInd/>
        <w:rPr>
          <w:b/>
          <w:bCs/>
        </w:rPr>
      </w:pPr>
      <w:r w:rsidRPr="003B201E">
        <w:rPr>
          <w:b/>
          <w:bCs/>
        </w:rPr>
        <w:t xml:space="preserve">SAMM 7 – Planned v. Actual Inspections </w:t>
      </w:r>
    </w:p>
    <w:p w14:paraId="4D81C454" w14:textId="77777777" w:rsidR="00B36609" w:rsidRPr="003B201E" w:rsidRDefault="00B36609" w:rsidP="000A20EB">
      <w:pPr>
        <w:widowControl/>
        <w:autoSpaceDE/>
        <w:autoSpaceDN/>
        <w:adjustRightInd/>
      </w:pPr>
    </w:p>
    <w:p w14:paraId="33505975" w14:textId="60EFA007" w:rsidR="00397C14" w:rsidRPr="003B201E" w:rsidRDefault="0049366D" w:rsidP="000A20EB">
      <w:pPr>
        <w:widowControl/>
        <w:autoSpaceDE/>
        <w:autoSpaceDN/>
        <w:adjustRightInd/>
      </w:pPr>
      <w:r w:rsidRPr="003B201E">
        <w:rPr>
          <w:rFonts w:cs="Calibri"/>
          <w:b/>
          <w:bCs/>
        </w:rPr>
        <w:t xml:space="preserve">Discussion of State Plan Data and </w:t>
      </w:r>
      <w:r w:rsidR="00C934DC">
        <w:rPr>
          <w:rFonts w:cs="Calibri"/>
          <w:b/>
          <w:bCs/>
        </w:rPr>
        <w:t>Further Review Level (</w:t>
      </w:r>
      <w:r w:rsidRPr="003B201E">
        <w:rPr>
          <w:rFonts w:cs="Calibri"/>
          <w:b/>
          <w:bCs/>
        </w:rPr>
        <w:t>FRL</w:t>
      </w:r>
      <w:r w:rsidR="00C934DC">
        <w:rPr>
          <w:rFonts w:cs="Calibri"/>
          <w:b/>
          <w:bCs/>
        </w:rPr>
        <w:t>)</w:t>
      </w:r>
      <w:r w:rsidRPr="003B201E">
        <w:rPr>
          <w:rFonts w:cs="Calibri"/>
        </w:rPr>
        <w:t xml:space="preserve">: </w:t>
      </w:r>
      <w:r w:rsidR="004D07B0" w:rsidRPr="003B201E">
        <w:t>Actual safety and health inspections declined in FY 20</w:t>
      </w:r>
      <w:r w:rsidRPr="003B201E">
        <w:t>22</w:t>
      </w:r>
      <w:r w:rsidR="004D07B0" w:rsidRPr="003B201E">
        <w:t xml:space="preserve">. </w:t>
      </w:r>
      <w:r w:rsidR="00757A3D">
        <w:t>The OSH Division</w:t>
      </w:r>
      <w:r w:rsidR="004D07B0" w:rsidRPr="003B201E">
        <w:t xml:space="preserve"> conducted </w:t>
      </w:r>
      <w:r w:rsidR="00BB0BA7" w:rsidRPr="003B201E">
        <w:t>1,954</w:t>
      </w:r>
      <w:r w:rsidR="004D07B0" w:rsidRPr="003B201E">
        <w:t xml:space="preserve"> inspections (</w:t>
      </w:r>
      <w:r w:rsidR="00BB0BA7" w:rsidRPr="003B201E">
        <w:t>1,172</w:t>
      </w:r>
      <w:r w:rsidR="004D07B0" w:rsidRPr="003B201E">
        <w:t xml:space="preserve"> safety and </w:t>
      </w:r>
      <w:r w:rsidR="00562690" w:rsidRPr="003B201E">
        <w:t>782</w:t>
      </w:r>
      <w:r w:rsidR="004D07B0" w:rsidRPr="003B201E">
        <w:t xml:space="preserve"> health), </w:t>
      </w:r>
      <w:r w:rsidR="00096416" w:rsidRPr="003B201E">
        <w:t>75</w:t>
      </w:r>
      <w:r w:rsidR="004D07B0" w:rsidRPr="003B201E">
        <w:t xml:space="preserve">% of the planned number of </w:t>
      </w:r>
      <w:r w:rsidR="00096416" w:rsidRPr="003B201E">
        <w:t>2,597</w:t>
      </w:r>
      <w:r w:rsidR="004D07B0" w:rsidRPr="003B201E">
        <w:t xml:space="preserve"> inspections. </w:t>
      </w:r>
    </w:p>
    <w:p w14:paraId="1F76212A" w14:textId="001F6FA7" w:rsidR="000A134A" w:rsidRPr="003B201E" w:rsidRDefault="004D07B0" w:rsidP="009928A0">
      <w:r w:rsidRPr="003B201E">
        <w:rPr>
          <w:b/>
          <w:bCs/>
        </w:rPr>
        <w:t>Explanation:</w:t>
      </w:r>
      <w:r w:rsidRPr="003B201E">
        <w:t xml:space="preserve"> </w:t>
      </w:r>
      <w:r w:rsidR="00AD6B51" w:rsidRPr="003B201E">
        <w:t xml:space="preserve">The </w:t>
      </w:r>
      <w:r w:rsidR="00671773">
        <w:t xml:space="preserve">emergence of the Delta and Omicron variants of the coronavirus in early Fall </w:t>
      </w:r>
      <w:r w:rsidR="00671773">
        <w:lastRenderedPageBreak/>
        <w:t>and Winter</w:t>
      </w:r>
      <w:r w:rsidR="009217D7">
        <w:t xml:space="preserve"> </w:t>
      </w:r>
      <w:r w:rsidR="00C934DC">
        <w:t xml:space="preserve">of </w:t>
      </w:r>
      <w:r w:rsidR="009217D7">
        <w:t>FY 2022</w:t>
      </w:r>
      <w:r w:rsidR="00676F16">
        <w:t>,</w:t>
      </w:r>
      <w:r w:rsidR="00671773">
        <w:t xml:space="preserve"> once again significantly impacted the </w:t>
      </w:r>
      <w:r w:rsidR="00757A3D">
        <w:t>OSH Division’s</w:t>
      </w:r>
      <w:r w:rsidR="00671773">
        <w:t xml:space="preserve"> resources</w:t>
      </w:r>
      <w:r w:rsidR="00290AF1">
        <w:t xml:space="preserve">. </w:t>
      </w:r>
      <w:r w:rsidR="00C934DC">
        <w:t xml:space="preserve">During the </w:t>
      </w:r>
      <w:r w:rsidR="00483363">
        <w:t>first quarter of FY</w:t>
      </w:r>
      <w:r w:rsidR="00676F16">
        <w:t xml:space="preserve"> 20</w:t>
      </w:r>
      <w:r w:rsidR="00483363">
        <w:t>22</w:t>
      </w:r>
      <w:r w:rsidR="00714642">
        <w:t>,</w:t>
      </w:r>
      <w:r w:rsidR="00483363">
        <w:t xml:space="preserve"> OSH </w:t>
      </w:r>
      <w:r w:rsidR="00C934DC">
        <w:t xml:space="preserve">was impacted by </w:t>
      </w:r>
      <w:r w:rsidR="00483363">
        <w:t>COVID-19</w:t>
      </w:r>
      <w:r w:rsidR="00C934DC">
        <w:t xml:space="preserve"> in the following ma</w:t>
      </w:r>
      <w:r w:rsidR="00757A3D">
        <w:t>nn</w:t>
      </w:r>
      <w:r w:rsidR="00C934DC">
        <w:t>er</w:t>
      </w:r>
      <w:r w:rsidR="00483363">
        <w:t>: 907 emails/phone inquiries, 540 complaints, 23 referrals, 16 inspections and numerous other activities.  The</w:t>
      </w:r>
      <w:r w:rsidR="00C934DC">
        <w:t>se</w:t>
      </w:r>
      <w:r w:rsidR="00483363">
        <w:t xml:space="preserve"> COVID-19 related activities had the most </w:t>
      </w:r>
      <w:r w:rsidR="00C934DC">
        <w:t xml:space="preserve">significant </w:t>
      </w:r>
      <w:r w:rsidR="00483363">
        <w:t>impact on the compliance staff</w:t>
      </w:r>
      <w:r w:rsidR="006F3613">
        <w:t>.</w:t>
      </w:r>
      <w:r w:rsidR="00483363">
        <w:t xml:space="preserve"> </w:t>
      </w:r>
      <w:r w:rsidR="002F33A5">
        <w:t xml:space="preserve"> Through the first four months of FY</w:t>
      </w:r>
      <w:r w:rsidR="00676F16">
        <w:t xml:space="preserve"> 20</w:t>
      </w:r>
      <w:r w:rsidR="002F33A5">
        <w:t>22</w:t>
      </w:r>
      <w:r w:rsidR="00676F16">
        <w:t>,</w:t>
      </w:r>
      <w:r w:rsidR="002F33A5">
        <w:t xml:space="preserve"> it bec</w:t>
      </w:r>
      <w:r w:rsidR="00851D86">
        <w:t>a</w:t>
      </w:r>
      <w:r w:rsidR="002F33A5">
        <w:t xml:space="preserve">me clear that </w:t>
      </w:r>
      <w:r w:rsidR="00757A3D">
        <w:t>the OSH Division</w:t>
      </w:r>
      <w:r w:rsidR="002F33A5">
        <w:t xml:space="preserve"> </w:t>
      </w:r>
      <w:r w:rsidR="00851D86">
        <w:t>would</w:t>
      </w:r>
      <w:r w:rsidR="002F33A5">
        <w:t xml:space="preserve"> not be able to meet some previously established compliance activity goals, due to the pandemic impact and staffing challenges</w:t>
      </w:r>
      <w:r w:rsidR="00ED4EBD">
        <w:t>.</w:t>
      </w:r>
      <w:r w:rsidR="005D5B96">
        <w:t xml:space="preserve"> </w:t>
      </w:r>
      <w:r w:rsidRPr="003B201E">
        <w:t>Due to the circumstances, OSH submitted a revised FY 20</w:t>
      </w:r>
      <w:r w:rsidR="00B91C63" w:rsidRPr="003B201E">
        <w:t>22</w:t>
      </w:r>
      <w:r w:rsidRPr="003B201E">
        <w:t xml:space="preserve"> safety and health inspection goal in </w:t>
      </w:r>
      <w:r w:rsidR="00B91C63" w:rsidRPr="003B201E">
        <w:t>February</w:t>
      </w:r>
      <w:r w:rsidRPr="003B201E">
        <w:t xml:space="preserve"> 202</w:t>
      </w:r>
      <w:r w:rsidR="00B91C63" w:rsidRPr="003B201E">
        <w:t>2</w:t>
      </w:r>
      <w:r w:rsidRPr="003B201E">
        <w:t xml:space="preserve">. The revised goal submitted for safety was </w:t>
      </w:r>
      <w:r w:rsidR="00844147" w:rsidRPr="003B201E">
        <w:t>1</w:t>
      </w:r>
      <w:r w:rsidR="00E32F26" w:rsidRPr="003B201E">
        <w:t>,</w:t>
      </w:r>
      <w:r w:rsidR="00844147" w:rsidRPr="003B201E">
        <w:t>195</w:t>
      </w:r>
      <w:r w:rsidRPr="003B201E">
        <w:t xml:space="preserve"> inspections and OSHNC conducted </w:t>
      </w:r>
      <w:r w:rsidR="00BF1680" w:rsidRPr="003B201E">
        <w:t>1,172</w:t>
      </w:r>
      <w:r w:rsidRPr="003B201E">
        <w:t xml:space="preserve"> inspections (</w:t>
      </w:r>
      <w:r w:rsidR="00431605" w:rsidRPr="003B201E">
        <w:t>98</w:t>
      </w:r>
      <w:r w:rsidRPr="003B201E">
        <w:t>%). The revised FY</w:t>
      </w:r>
      <w:r w:rsidR="00844147" w:rsidRPr="003B201E">
        <w:t xml:space="preserve"> </w:t>
      </w:r>
      <w:r w:rsidRPr="003B201E">
        <w:t>20</w:t>
      </w:r>
      <w:r w:rsidR="00844147" w:rsidRPr="003B201E">
        <w:t>22</w:t>
      </w:r>
      <w:r w:rsidRPr="003B201E">
        <w:t xml:space="preserve"> health inspection goal was 7</w:t>
      </w:r>
      <w:r w:rsidR="00BF1680" w:rsidRPr="003B201E">
        <w:t>55</w:t>
      </w:r>
      <w:r w:rsidRPr="003B201E">
        <w:t xml:space="preserve"> inspections and OSHNC conducted </w:t>
      </w:r>
      <w:r w:rsidR="00BF1680" w:rsidRPr="003B201E">
        <w:t>782</w:t>
      </w:r>
      <w:r w:rsidRPr="003B201E">
        <w:t xml:space="preserve"> inspections (</w:t>
      </w:r>
      <w:r w:rsidR="00B85FC6" w:rsidRPr="003B201E">
        <w:t>103.5</w:t>
      </w:r>
      <w:r w:rsidRPr="003B201E">
        <w:t xml:space="preserve">%). </w:t>
      </w:r>
      <w:r w:rsidR="00770F49">
        <w:t>OSHNC was</w:t>
      </w:r>
      <w:r w:rsidR="00EB6CCF" w:rsidRPr="003B201E">
        <w:t xml:space="preserve"> </w:t>
      </w:r>
      <w:r w:rsidR="00626A00" w:rsidRPr="003B201E">
        <w:t xml:space="preserve">within +/- </w:t>
      </w:r>
      <w:r w:rsidR="006527C4" w:rsidRPr="003B201E">
        <w:t xml:space="preserve">5% </w:t>
      </w:r>
      <w:r w:rsidR="00626A00" w:rsidRPr="003B201E">
        <w:t>of the FRL</w:t>
      </w:r>
      <w:r w:rsidR="00770F49">
        <w:t xml:space="preserve"> for the revised inspection goals</w:t>
      </w:r>
      <w:r w:rsidR="00EB6CCF" w:rsidRPr="003B201E">
        <w:t>.</w:t>
      </w:r>
    </w:p>
    <w:p w14:paraId="38733223" w14:textId="5FB9F83C" w:rsidR="00C117DF" w:rsidRDefault="00C117DF" w:rsidP="000A20EB">
      <w:pPr>
        <w:widowControl/>
        <w:autoSpaceDE/>
        <w:autoSpaceDN/>
        <w:adjustRightInd/>
        <w:rPr>
          <w:highlight w:val="yellow"/>
        </w:rPr>
      </w:pPr>
    </w:p>
    <w:p w14:paraId="54E2466C" w14:textId="776073BA" w:rsidR="00D51BBF" w:rsidRDefault="00C117DF" w:rsidP="000A20EB">
      <w:pPr>
        <w:widowControl/>
        <w:autoSpaceDE/>
        <w:autoSpaceDN/>
        <w:adjustRightInd/>
        <w:rPr>
          <w:b/>
          <w:bCs/>
        </w:rPr>
      </w:pPr>
      <w:r w:rsidRPr="003B201E">
        <w:rPr>
          <w:b/>
          <w:bCs/>
        </w:rPr>
        <w:t xml:space="preserve">SAMM 8 – Average current serious penalty in private sector - total (1 to greater than 250 workers) </w:t>
      </w:r>
    </w:p>
    <w:p w14:paraId="4A44A4AD" w14:textId="77777777" w:rsidR="003B201E" w:rsidRPr="003B201E" w:rsidRDefault="003B201E" w:rsidP="000A20EB">
      <w:pPr>
        <w:widowControl/>
        <w:autoSpaceDE/>
        <w:autoSpaceDN/>
        <w:adjustRightInd/>
        <w:rPr>
          <w:b/>
          <w:bCs/>
        </w:rPr>
      </w:pPr>
    </w:p>
    <w:p w14:paraId="48FD0A14" w14:textId="77777777" w:rsidR="00DF59E4" w:rsidRPr="00DC2F03" w:rsidRDefault="00C117DF" w:rsidP="000A20EB">
      <w:pPr>
        <w:widowControl/>
        <w:autoSpaceDE/>
        <w:autoSpaceDN/>
        <w:adjustRightInd/>
        <w:rPr>
          <w:rFonts w:asciiTheme="minorHAnsi" w:hAnsiTheme="minorHAnsi" w:cstheme="minorHAnsi"/>
        </w:rPr>
      </w:pPr>
      <w:r w:rsidRPr="00DC2F03">
        <w:rPr>
          <w:rFonts w:asciiTheme="minorHAnsi" w:hAnsiTheme="minorHAnsi" w:cstheme="minorHAnsi"/>
          <w:b/>
          <w:bCs/>
        </w:rPr>
        <w:t xml:space="preserve">Discussion of State Plan data and FRL: </w:t>
      </w:r>
      <w:r w:rsidRPr="00DC2F03">
        <w:rPr>
          <w:rFonts w:asciiTheme="minorHAnsi" w:hAnsiTheme="minorHAnsi" w:cstheme="minorHAnsi"/>
        </w:rPr>
        <w:t>The FRL for SAMM 8, a total average current penalty per serious violation (1 to greater than 250 employees) is +/- 25% of the three-year national average of $</w:t>
      </w:r>
      <w:r w:rsidR="00A7591F" w:rsidRPr="00DC2F03">
        <w:rPr>
          <w:rFonts w:asciiTheme="minorHAnsi" w:hAnsiTheme="minorHAnsi" w:cstheme="minorHAnsi"/>
        </w:rPr>
        <w:t>3,259.35</w:t>
      </w:r>
      <w:r w:rsidRPr="00DC2F03">
        <w:rPr>
          <w:rFonts w:asciiTheme="minorHAnsi" w:hAnsiTheme="minorHAnsi" w:cstheme="minorHAnsi"/>
        </w:rPr>
        <w:t>, which equals a range of $2,</w:t>
      </w:r>
      <w:r w:rsidR="00970CA1" w:rsidRPr="00DC2F03">
        <w:rPr>
          <w:rFonts w:asciiTheme="minorHAnsi" w:hAnsiTheme="minorHAnsi" w:cstheme="minorHAnsi"/>
        </w:rPr>
        <w:t>444.51</w:t>
      </w:r>
      <w:r w:rsidRPr="00DC2F03">
        <w:rPr>
          <w:rFonts w:asciiTheme="minorHAnsi" w:hAnsiTheme="minorHAnsi" w:cstheme="minorHAnsi"/>
        </w:rPr>
        <w:t xml:space="preserve"> to $</w:t>
      </w:r>
      <w:r w:rsidR="00970CA1" w:rsidRPr="00DC2F03">
        <w:rPr>
          <w:rFonts w:asciiTheme="minorHAnsi" w:hAnsiTheme="minorHAnsi" w:cstheme="minorHAnsi"/>
        </w:rPr>
        <w:t>4,074.19</w:t>
      </w:r>
      <w:r w:rsidRPr="00DC2F03">
        <w:rPr>
          <w:rFonts w:asciiTheme="minorHAnsi" w:hAnsiTheme="minorHAnsi" w:cstheme="minorHAnsi"/>
        </w:rPr>
        <w:t>. The North Carolina State Plan’s total average current penalty per serious violation (1 to greater than 250 employees) was $1,</w:t>
      </w:r>
      <w:r w:rsidR="00D32A3D" w:rsidRPr="00DC2F03">
        <w:rPr>
          <w:rFonts w:asciiTheme="minorHAnsi" w:hAnsiTheme="minorHAnsi" w:cstheme="minorHAnsi"/>
        </w:rPr>
        <w:t>9</w:t>
      </w:r>
      <w:r w:rsidR="00A94499" w:rsidRPr="00DC2F03">
        <w:rPr>
          <w:rFonts w:asciiTheme="minorHAnsi" w:hAnsiTheme="minorHAnsi" w:cstheme="minorHAnsi"/>
        </w:rPr>
        <w:t>65.89.</w:t>
      </w:r>
      <w:r w:rsidR="00E36901" w:rsidRPr="00DC2F03">
        <w:rPr>
          <w:rFonts w:asciiTheme="minorHAnsi" w:hAnsiTheme="minorHAnsi" w:cstheme="minorHAnsi"/>
        </w:rPr>
        <w:t xml:space="preserve">  </w:t>
      </w:r>
    </w:p>
    <w:p w14:paraId="544573CA" w14:textId="495D8677" w:rsidR="00C40FEA" w:rsidRPr="00DC2F03" w:rsidRDefault="002A0050" w:rsidP="000A20EB">
      <w:pPr>
        <w:widowControl/>
        <w:autoSpaceDE/>
        <w:autoSpaceDN/>
        <w:adjustRightInd/>
        <w:rPr>
          <w:rFonts w:asciiTheme="minorHAnsi" w:hAnsiTheme="minorHAnsi" w:cstheme="minorHAnsi"/>
        </w:rPr>
      </w:pPr>
      <w:r w:rsidRPr="00DC2F03">
        <w:rPr>
          <w:rFonts w:asciiTheme="minorHAnsi" w:hAnsiTheme="minorHAnsi" w:cstheme="minorHAnsi"/>
          <w:b/>
          <w:bCs/>
        </w:rPr>
        <w:t>Explanation:</w:t>
      </w:r>
      <w:r w:rsidRPr="00DC2F03">
        <w:rPr>
          <w:rFonts w:asciiTheme="minorHAnsi" w:hAnsiTheme="minorHAnsi" w:cstheme="minorHAnsi"/>
        </w:rPr>
        <w:t xml:space="preserve">  </w:t>
      </w:r>
      <w:r w:rsidR="00E36901" w:rsidRPr="00DC2F03">
        <w:rPr>
          <w:rFonts w:asciiTheme="minorHAnsi" w:hAnsiTheme="minorHAnsi" w:cstheme="minorHAnsi"/>
        </w:rPr>
        <w:t xml:space="preserve">The </w:t>
      </w:r>
      <w:r w:rsidR="00781F55" w:rsidRPr="00DC2F03">
        <w:rPr>
          <w:rFonts w:asciiTheme="minorHAnsi" w:hAnsiTheme="minorHAnsi" w:cstheme="minorHAnsi"/>
        </w:rPr>
        <w:t xml:space="preserve">FY 2022 data reflects the penalties before </w:t>
      </w:r>
      <w:r w:rsidR="00302EA2">
        <w:rPr>
          <w:rFonts w:asciiTheme="minorHAnsi" w:hAnsiTheme="minorHAnsi" w:cstheme="minorHAnsi"/>
        </w:rPr>
        <w:t xml:space="preserve">the </w:t>
      </w:r>
      <w:r w:rsidR="006D775F" w:rsidRPr="00DC2F03">
        <w:rPr>
          <w:rFonts w:asciiTheme="minorHAnsi" w:hAnsiTheme="minorHAnsi" w:cstheme="minorHAnsi"/>
        </w:rPr>
        <w:t>adoption</w:t>
      </w:r>
      <w:r w:rsidR="00302EA2">
        <w:rPr>
          <w:rFonts w:asciiTheme="minorHAnsi" w:hAnsiTheme="minorHAnsi" w:cstheme="minorHAnsi"/>
        </w:rPr>
        <w:t xml:space="preserve"> of OSHA’s maximum penalties</w:t>
      </w:r>
      <w:r w:rsidR="00487DD4" w:rsidRPr="00DC2F03">
        <w:rPr>
          <w:rFonts w:asciiTheme="minorHAnsi" w:hAnsiTheme="minorHAnsi" w:cstheme="minorHAnsi"/>
        </w:rPr>
        <w:t>, which has</w:t>
      </w:r>
      <w:r w:rsidR="009422AB" w:rsidRPr="00DC2F03">
        <w:rPr>
          <w:rFonts w:asciiTheme="minorHAnsi" w:hAnsiTheme="minorHAnsi" w:cstheme="minorHAnsi"/>
        </w:rPr>
        <w:t xml:space="preserve"> impacted</w:t>
      </w:r>
      <w:r w:rsidR="00E36901" w:rsidRPr="00DC2F03">
        <w:rPr>
          <w:rFonts w:asciiTheme="minorHAnsi" w:hAnsiTheme="minorHAnsi" w:cstheme="minorHAnsi"/>
        </w:rPr>
        <w:t xml:space="preserve"> the State Plan’s performance on this SAMM</w:t>
      </w:r>
      <w:r w:rsidR="00290AF1" w:rsidRPr="00DC2F03">
        <w:rPr>
          <w:rFonts w:asciiTheme="minorHAnsi" w:hAnsiTheme="minorHAnsi" w:cstheme="minorHAnsi"/>
        </w:rPr>
        <w:t xml:space="preserve">. </w:t>
      </w:r>
      <w:r w:rsidR="009422AB" w:rsidRPr="00DC2F03">
        <w:rPr>
          <w:rFonts w:asciiTheme="minorHAnsi" w:hAnsiTheme="minorHAnsi" w:cstheme="minorHAnsi"/>
        </w:rPr>
        <w:t>However, a</w:t>
      </w:r>
      <w:r w:rsidR="00766E09" w:rsidRPr="00DC2F03">
        <w:rPr>
          <w:rFonts w:asciiTheme="minorHAnsi" w:hAnsiTheme="minorHAnsi" w:cstheme="minorHAnsi"/>
        </w:rPr>
        <w:t xml:space="preserve">s of October 1, 2022, </w:t>
      </w:r>
      <w:r w:rsidR="00F44825">
        <w:rPr>
          <w:rFonts w:asciiTheme="minorHAnsi" w:hAnsiTheme="minorHAnsi" w:cstheme="minorHAnsi"/>
        </w:rPr>
        <w:t>OSHNC</w:t>
      </w:r>
      <w:r w:rsidR="00770F49">
        <w:rPr>
          <w:rFonts w:asciiTheme="minorHAnsi" w:hAnsiTheme="minorHAnsi" w:cstheme="minorHAnsi"/>
        </w:rPr>
        <w:t xml:space="preserve"> </w:t>
      </w:r>
      <w:r w:rsidR="00766E09" w:rsidRPr="00DC2F03">
        <w:rPr>
          <w:rFonts w:asciiTheme="minorHAnsi" w:hAnsiTheme="minorHAnsi" w:cstheme="minorHAnsi"/>
        </w:rPr>
        <w:t>has adopted the increase in maximum penalties</w:t>
      </w:r>
      <w:r w:rsidR="00770F49">
        <w:rPr>
          <w:rFonts w:asciiTheme="minorHAnsi" w:hAnsiTheme="minorHAnsi" w:cstheme="minorHAnsi"/>
        </w:rPr>
        <w:t xml:space="preserve"> and as such, assessed penalty amounts are expected to increase </w:t>
      </w:r>
      <w:r w:rsidR="00766E09" w:rsidRPr="00DC2F03">
        <w:rPr>
          <w:rFonts w:asciiTheme="minorHAnsi" w:hAnsiTheme="minorHAnsi" w:cstheme="minorHAnsi"/>
        </w:rPr>
        <w:t>.</w:t>
      </w:r>
      <w:r w:rsidR="009422AB" w:rsidRPr="00DC2F03">
        <w:rPr>
          <w:rFonts w:asciiTheme="minorHAnsi" w:hAnsiTheme="minorHAnsi" w:cstheme="minorHAnsi"/>
        </w:rPr>
        <w:t xml:space="preserve"> </w:t>
      </w:r>
      <w:r w:rsidR="00766E09" w:rsidRPr="00DC2F03">
        <w:rPr>
          <w:rFonts w:asciiTheme="minorHAnsi" w:hAnsiTheme="minorHAnsi" w:cstheme="minorHAnsi"/>
        </w:rPr>
        <w:t xml:space="preserve"> </w:t>
      </w:r>
    </w:p>
    <w:p w14:paraId="6DDDB76E" w14:textId="77777777" w:rsidR="00C40FEA" w:rsidRPr="00DC2F03" w:rsidRDefault="00C40FEA" w:rsidP="000A20EB">
      <w:pPr>
        <w:widowControl/>
        <w:autoSpaceDE/>
        <w:autoSpaceDN/>
        <w:adjustRightInd/>
        <w:rPr>
          <w:rFonts w:asciiTheme="minorHAnsi" w:hAnsiTheme="minorHAnsi" w:cstheme="minorHAnsi"/>
          <w:highlight w:val="yellow"/>
        </w:rPr>
      </w:pPr>
    </w:p>
    <w:p w14:paraId="704068E1" w14:textId="3AEED1AE" w:rsidR="000209D3" w:rsidRPr="00DC2F03" w:rsidRDefault="000209D3" w:rsidP="000A20EB">
      <w:pPr>
        <w:widowControl/>
        <w:autoSpaceDE/>
        <w:adjustRightInd/>
        <w:rPr>
          <w:rFonts w:asciiTheme="minorHAnsi" w:hAnsiTheme="minorHAnsi" w:cstheme="minorHAnsi"/>
          <w:b/>
        </w:rPr>
      </w:pPr>
      <w:r w:rsidRPr="00DC2F03">
        <w:rPr>
          <w:rFonts w:asciiTheme="minorHAnsi" w:hAnsiTheme="minorHAnsi" w:cstheme="minorHAnsi"/>
          <w:b/>
        </w:rPr>
        <w:t>SAMM 9 – Percent in-compliance for safety inspections</w:t>
      </w:r>
    </w:p>
    <w:p w14:paraId="76EEE237" w14:textId="77777777" w:rsidR="003B201E" w:rsidRPr="00DC2F03" w:rsidRDefault="003B201E" w:rsidP="000A20EB">
      <w:pPr>
        <w:widowControl/>
        <w:autoSpaceDE/>
        <w:adjustRightInd/>
        <w:rPr>
          <w:rFonts w:asciiTheme="minorHAnsi" w:hAnsiTheme="minorHAnsi" w:cstheme="minorHAnsi"/>
          <w:b/>
        </w:rPr>
      </w:pPr>
    </w:p>
    <w:p w14:paraId="65EFC307" w14:textId="15649D68" w:rsidR="000209D3" w:rsidRPr="00DC2F03" w:rsidRDefault="000209D3" w:rsidP="000A20EB">
      <w:pPr>
        <w:widowControl/>
        <w:autoSpaceDE/>
        <w:adjustRightInd/>
        <w:rPr>
          <w:rFonts w:asciiTheme="minorHAnsi" w:hAnsiTheme="minorHAnsi" w:cstheme="minorHAnsi"/>
          <w:bCs/>
        </w:rPr>
      </w:pPr>
      <w:r w:rsidRPr="00DC2F03">
        <w:rPr>
          <w:rFonts w:asciiTheme="minorHAnsi" w:hAnsiTheme="minorHAnsi" w:cstheme="minorHAnsi"/>
          <w:b/>
        </w:rPr>
        <w:t>Discussion of State Plan data and FRL</w:t>
      </w:r>
      <w:r w:rsidRPr="00DC2F03">
        <w:rPr>
          <w:rFonts w:asciiTheme="minorHAnsi" w:hAnsiTheme="minorHAnsi" w:cstheme="minorHAnsi"/>
          <w:bCs/>
        </w:rPr>
        <w:t xml:space="preserve">: </w:t>
      </w:r>
      <w:r w:rsidR="00857905" w:rsidRPr="00DC2F03">
        <w:rPr>
          <w:rFonts w:asciiTheme="minorHAnsi" w:hAnsiTheme="minorHAnsi" w:cstheme="minorHAnsi"/>
        </w:rPr>
        <w:t xml:space="preserve">The FRL for percent in-compliance for safety inspections is +/- 20% of the </w:t>
      </w:r>
      <w:r w:rsidR="00676F16">
        <w:rPr>
          <w:rFonts w:asciiTheme="minorHAnsi" w:hAnsiTheme="minorHAnsi" w:cstheme="minorHAnsi"/>
        </w:rPr>
        <w:t>three</w:t>
      </w:r>
      <w:r w:rsidR="00857905" w:rsidRPr="00DC2F03">
        <w:rPr>
          <w:rFonts w:asciiTheme="minorHAnsi" w:hAnsiTheme="minorHAnsi" w:cstheme="minorHAnsi"/>
        </w:rPr>
        <w:t xml:space="preserve">-year national average of </w:t>
      </w:r>
      <w:r w:rsidR="000A4296" w:rsidRPr="00DC2F03">
        <w:rPr>
          <w:rFonts w:asciiTheme="minorHAnsi" w:hAnsiTheme="minorHAnsi" w:cstheme="minorHAnsi"/>
          <w:bCs/>
        </w:rPr>
        <w:t>32.25</w:t>
      </w:r>
      <w:r w:rsidRPr="00DC2F03">
        <w:rPr>
          <w:rFonts w:asciiTheme="minorHAnsi" w:hAnsiTheme="minorHAnsi" w:cstheme="minorHAnsi"/>
          <w:bCs/>
        </w:rPr>
        <w:t xml:space="preserve">% for </w:t>
      </w:r>
      <w:r w:rsidR="000F1378" w:rsidRPr="00DC2F03">
        <w:rPr>
          <w:rFonts w:asciiTheme="minorHAnsi" w:hAnsiTheme="minorHAnsi" w:cstheme="minorHAnsi"/>
          <w:bCs/>
        </w:rPr>
        <w:t>safety</w:t>
      </w:r>
      <w:r w:rsidRPr="00DC2F03">
        <w:rPr>
          <w:rFonts w:asciiTheme="minorHAnsi" w:hAnsiTheme="minorHAnsi" w:cstheme="minorHAnsi"/>
          <w:bCs/>
        </w:rPr>
        <w:t xml:space="preserve"> inspections. The range of acceptable data not requiring further review was from</w:t>
      </w:r>
      <w:r w:rsidR="008D5A1E" w:rsidRPr="00DC2F03">
        <w:rPr>
          <w:rFonts w:asciiTheme="minorHAnsi" w:hAnsiTheme="minorHAnsi" w:cstheme="minorHAnsi"/>
          <w:bCs/>
        </w:rPr>
        <w:t xml:space="preserve"> 25.80% to 38.70% for safety</w:t>
      </w:r>
      <w:r w:rsidRPr="00DC2F03">
        <w:rPr>
          <w:rFonts w:asciiTheme="minorHAnsi" w:hAnsiTheme="minorHAnsi" w:cstheme="minorHAnsi"/>
          <w:bCs/>
        </w:rPr>
        <w:t>.</w:t>
      </w:r>
      <w:r w:rsidR="00857905" w:rsidRPr="00DC2F03">
        <w:rPr>
          <w:rFonts w:asciiTheme="minorHAnsi" w:hAnsiTheme="minorHAnsi" w:cstheme="minorHAnsi"/>
          <w:bCs/>
        </w:rPr>
        <w:t xml:space="preserve">  OSHNC</w:t>
      </w:r>
      <w:r w:rsidRPr="00DC2F03">
        <w:rPr>
          <w:rFonts w:asciiTheme="minorHAnsi" w:hAnsiTheme="minorHAnsi" w:cstheme="minorHAnsi"/>
          <w:bCs/>
        </w:rPr>
        <w:t xml:space="preserve"> had </w:t>
      </w:r>
      <w:r w:rsidR="009E2762" w:rsidRPr="00DC2F03">
        <w:rPr>
          <w:rFonts w:asciiTheme="minorHAnsi" w:hAnsiTheme="minorHAnsi" w:cstheme="minorHAnsi"/>
          <w:bCs/>
        </w:rPr>
        <w:t>a safety</w:t>
      </w:r>
      <w:r w:rsidRPr="00DC2F03">
        <w:rPr>
          <w:rFonts w:asciiTheme="minorHAnsi" w:hAnsiTheme="minorHAnsi" w:cstheme="minorHAnsi"/>
          <w:bCs/>
        </w:rPr>
        <w:t xml:space="preserve"> in-compliance rate of </w:t>
      </w:r>
      <w:r w:rsidR="009E2762" w:rsidRPr="00DC2F03">
        <w:rPr>
          <w:rFonts w:asciiTheme="minorHAnsi" w:hAnsiTheme="minorHAnsi" w:cstheme="minorHAnsi"/>
          <w:bCs/>
        </w:rPr>
        <w:t>38.72</w:t>
      </w:r>
      <w:r w:rsidRPr="00DC2F03">
        <w:rPr>
          <w:rFonts w:asciiTheme="minorHAnsi" w:hAnsiTheme="minorHAnsi" w:cstheme="minorHAnsi"/>
          <w:bCs/>
        </w:rPr>
        <w:t>%.</w:t>
      </w:r>
    </w:p>
    <w:p w14:paraId="52DE7C47" w14:textId="1EFF40F3" w:rsidR="005B5B04" w:rsidRPr="00DC2F03" w:rsidRDefault="000209D3" w:rsidP="000A20EB">
      <w:pPr>
        <w:widowControl/>
        <w:autoSpaceDE/>
        <w:adjustRightInd/>
        <w:rPr>
          <w:rFonts w:asciiTheme="minorHAnsi" w:hAnsiTheme="minorHAnsi" w:cstheme="minorHAnsi"/>
          <w:bCs/>
        </w:rPr>
      </w:pPr>
      <w:r w:rsidRPr="00DC2F03">
        <w:rPr>
          <w:rFonts w:asciiTheme="minorHAnsi" w:hAnsiTheme="minorHAnsi" w:cstheme="minorHAnsi"/>
          <w:b/>
        </w:rPr>
        <w:t xml:space="preserve">Explanation: </w:t>
      </w:r>
      <w:r w:rsidR="00595F68" w:rsidRPr="00DC2F03">
        <w:rPr>
          <w:rFonts w:asciiTheme="minorHAnsi" w:hAnsiTheme="minorHAnsi" w:cstheme="minorHAnsi"/>
          <w:bCs/>
        </w:rPr>
        <w:t>O</w:t>
      </w:r>
      <w:r w:rsidR="00C934DC">
        <w:rPr>
          <w:rFonts w:asciiTheme="minorHAnsi" w:hAnsiTheme="minorHAnsi" w:cstheme="minorHAnsi"/>
          <w:bCs/>
        </w:rPr>
        <w:t>SH</w:t>
      </w:r>
      <w:r w:rsidRPr="00DC2F03">
        <w:rPr>
          <w:rFonts w:asciiTheme="minorHAnsi" w:hAnsiTheme="minorHAnsi" w:cstheme="minorHAnsi"/>
          <w:bCs/>
        </w:rPr>
        <w:t xml:space="preserve"> </w:t>
      </w:r>
      <w:r w:rsidR="00E45964" w:rsidRPr="00DC2F03">
        <w:rPr>
          <w:rFonts w:asciiTheme="minorHAnsi" w:hAnsiTheme="minorHAnsi" w:cstheme="minorHAnsi"/>
          <w:bCs/>
        </w:rPr>
        <w:t>was within</w:t>
      </w:r>
      <w:r w:rsidR="00676F16">
        <w:rPr>
          <w:rFonts w:asciiTheme="minorHAnsi" w:hAnsiTheme="minorHAnsi" w:cstheme="minorHAnsi"/>
          <w:bCs/>
        </w:rPr>
        <w:t xml:space="preserve"> the</w:t>
      </w:r>
      <w:r w:rsidR="00C55628" w:rsidRPr="00DC2F03">
        <w:rPr>
          <w:rFonts w:asciiTheme="minorHAnsi" w:hAnsiTheme="minorHAnsi" w:cstheme="minorHAnsi"/>
          <w:bCs/>
        </w:rPr>
        <w:t xml:space="preserve"> range of</w:t>
      </w:r>
      <w:r w:rsidRPr="00DC2F03">
        <w:rPr>
          <w:rFonts w:asciiTheme="minorHAnsi" w:hAnsiTheme="minorHAnsi" w:cstheme="minorHAnsi"/>
          <w:bCs/>
        </w:rPr>
        <w:t xml:space="preserve"> the </w:t>
      </w:r>
      <w:r w:rsidR="00C55628" w:rsidRPr="00DC2F03">
        <w:rPr>
          <w:rFonts w:asciiTheme="minorHAnsi" w:hAnsiTheme="minorHAnsi" w:cstheme="minorHAnsi"/>
          <w:bCs/>
        </w:rPr>
        <w:t xml:space="preserve">FRL </w:t>
      </w:r>
      <w:r w:rsidRPr="00DC2F03">
        <w:rPr>
          <w:rFonts w:asciiTheme="minorHAnsi" w:hAnsiTheme="minorHAnsi" w:cstheme="minorHAnsi"/>
          <w:bCs/>
        </w:rPr>
        <w:t xml:space="preserve">for </w:t>
      </w:r>
      <w:r w:rsidR="00276080" w:rsidRPr="00DC2F03">
        <w:rPr>
          <w:rFonts w:asciiTheme="minorHAnsi" w:hAnsiTheme="minorHAnsi" w:cstheme="minorHAnsi"/>
          <w:bCs/>
        </w:rPr>
        <w:t>healt</w:t>
      </w:r>
      <w:r w:rsidR="00E0479C" w:rsidRPr="00DC2F03">
        <w:rPr>
          <w:rFonts w:asciiTheme="minorHAnsi" w:hAnsiTheme="minorHAnsi" w:cstheme="minorHAnsi"/>
          <w:bCs/>
        </w:rPr>
        <w:t>h</w:t>
      </w:r>
      <w:r w:rsidR="00111062" w:rsidRPr="00DC2F03">
        <w:rPr>
          <w:rFonts w:asciiTheme="minorHAnsi" w:hAnsiTheme="minorHAnsi" w:cstheme="minorHAnsi"/>
          <w:bCs/>
        </w:rPr>
        <w:t xml:space="preserve"> </w:t>
      </w:r>
      <w:r w:rsidR="00DC2F03" w:rsidRPr="00DC2F03">
        <w:rPr>
          <w:rFonts w:asciiTheme="minorHAnsi" w:hAnsiTheme="minorHAnsi" w:cstheme="minorHAnsi"/>
          <w:bCs/>
        </w:rPr>
        <w:t>in</w:t>
      </w:r>
      <w:r w:rsidR="00302EA2">
        <w:rPr>
          <w:rFonts w:asciiTheme="minorHAnsi" w:hAnsiTheme="minorHAnsi" w:cstheme="minorHAnsi"/>
          <w:bCs/>
        </w:rPr>
        <w:t>-</w:t>
      </w:r>
      <w:r w:rsidR="00DC2F03" w:rsidRPr="00DC2F03">
        <w:rPr>
          <w:rFonts w:asciiTheme="minorHAnsi" w:hAnsiTheme="minorHAnsi" w:cstheme="minorHAnsi"/>
          <w:bCs/>
        </w:rPr>
        <w:t xml:space="preserve">compliance </w:t>
      </w:r>
      <w:r w:rsidR="00302EA2">
        <w:rPr>
          <w:rFonts w:asciiTheme="minorHAnsi" w:hAnsiTheme="minorHAnsi" w:cstheme="minorHAnsi"/>
          <w:bCs/>
        </w:rPr>
        <w:t xml:space="preserve">inspections </w:t>
      </w:r>
      <w:r w:rsidR="00DC2F03" w:rsidRPr="00DC2F03">
        <w:rPr>
          <w:rFonts w:asciiTheme="minorHAnsi" w:hAnsiTheme="minorHAnsi" w:cstheme="minorHAnsi"/>
          <w:bCs/>
        </w:rPr>
        <w:t>but</w:t>
      </w:r>
      <w:r w:rsidR="00E0479C" w:rsidRPr="00DC2F03">
        <w:rPr>
          <w:rFonts w:asciiTheme="minorHAnsi" w:hAnsiTheme="minorHAnsi" w:cstheme="minorHAnsi"/>
          <w:bCs/>
        </w:rPr>
        <w:t xml:space="preserve"> was </w:t>
      </w:r>
      <w:r w:rsidR="006B0407" w:rsidRPr="00DC2F03">
        <w:rPr>
          <w:rFonts w:asciiTheme="minorHAnsi" w:hAnsiTheme="minorHAnsi" w:cstheme="minorHAnsi"/>
          <w:bCs/>
        </w:rPr>
        <w:t xml:space="preserve">slightly (0.02%) </w:t>
      </w:r>
      <w:r w:rsidR="00941087" w:rsidRPr="00DC2F03">
        <w:rPr>
          <w:rFonts w:asciiTheme="minorHAnsi" w:hAnsiTheme="minorHAnsi" w:cstheme="minorHAnsi"/>
          <w:bCs/>
        </w:rPr>
        <w:t xml:space="preserve">outside </w:t>
      </w:r>
      <w:r w:rsidR="00676F16">
        <w:rPr>
          <w:rFonts w:asciiTheme="minorHAnsi" w:hAnsiTheme="minorHAnsi" w:cstheme="minorHAnsi"/>
          <w:bCs/>
        </w:rPr>
        <w:t xml:space="preserve">of </w:t>
      </w:r>
      <w:r w:rsidR="00DC2F03" w:rsidRPr="00DC2F03">
        <w:rPr>
          <w:rFonts w:asciiTheme="minorHAnsi" w:hAnsiTheme="minorHAnsi" w:cstheme="minorHAnsi"/>
          <w:bCs/>
        </w:rPr>
        <w:t>the FRL</w:t>
      </w:r>
      <w:r w:rsidRPr="00DC2F03">
        <w:rPr>
          <w:rFonts w:asciiTheme="minorHAnsi" w:hAnsiTheme="minorHAnsi" w:cstheme="minorHAnsi"/>
          <w:bCs/>
        </w:rPr>
        <w:t xml:space="preserve"> for </w:t>
      </w:r>
      <w:r w:rsidR="00941087" w:rsidRPr="00DC2F03">
        <w:rPr>
          <w:rFonts w:asciiTheme="minorHAnsi" w:hAnsiTheme="minorHAnsi" w:cstheme="minorHAnsi"/>
          <w:bCs/>
        </w:rPr>
        <w:t>safety</w:t>
      </w:r>
      <w:r w:rsidRPr="00DC2F03">
        <w:rPr>
          <w:rFonts w:asciiTheme="minorHAnsi" w:hAnsiTheme="minorHAnsi" w:cstheme="minorHAnsi"/>
          <w:bCs/>
        </w:rPr>
        <w:t xml:space="preserve">. </w:t>
      </w:r>
      <w:r w:rsidR="00676F16">
        <w:rPr>
          <w:rFonts w:asciiTheme="minorHAnsi" w:hAnsiTheme="minorHAnsi" w:cstheme="minorHAnsi"/>
          <w:bCs/>
        </w:rPr>
        <w:t xml:space="preserve">The </w:t>
      </w:r>
      <w:r w:rsidR="00BD1EDE" w:rsidRPr="00DC2F03">
        <w:rPr>
          <w:rFonts w:asciiTheme="minorHAnsi" w:hAnsiTheme="minorHAnsi" w:cstheme="minorHAnsi"/>
          <w:bCs/>
        </w:rPr>
        <w:t xml:space="preserve">State Plan’s slightly elevated in-compliance rate for safety </w:t>
      </w:r>
      <w:r w:rsidR="0014779B" w:rsidRPr="00DC2F03">
        <w:rPr>
          <w:rFonts w:asciiTheme="minorHAnsi" w:hAnsiTheme="minorHAnsi" w:cstheme="minorHAnsi"/>
          <w:bCs/>
        </w:rPr>
        <w:t>may be</w:t>
      </w:r>
      <w:r w:rsidR="00BD1EDE" w:rsidRPr="00DC2F03">
        <w:rPr>
          <w:rFonts w:asciiTheme="minorHAnsi" w:hAnsiTheme="minorHAnsi" w:cstheme="minorHAnsi"/>
          <w:bCs/>
        </w:rPr>
        <w:t xml:space="preserve"> attributed </w:t>
      </w:r>
      <w:r w:rsidR="00302EA2">
        <w:rPr>
          <w:rFonts w:asciiTheme="minorHAnsi" w:hAnsiTheme="minorHAnsi" w:cstheme="minorHAnsi"/>
          <w:bCs/>
        </w:rPr>
        <w:t xml:space="preserve">to </w:t>
      </w:r>
      <w:r w:rsidR="00BD1EDE" w:rsidRPr="00DC2F03">
        <w:rPr>
          <w:rFonts w:asciiTheme="minorHAnsi" w:hAnsiTheme="minorHAnsi" w:cstheme="minorHAnsi"/>
          <w:bCs/>
        </w:rPr>
        <w:t>staff turnover and a low</w:t>
      </w:r>
      <w:r w:rsidR="00DC2F03" w:rsidRPr="00DC2F03">
        <w:rPr>
          <w:rFonts w:asciiTheme="minorHAnsi" w:hAnsiTheme="minorHAnsi" w:cstheme="minorHAnsi"/>
          <w:bCs/>
        </w:rPr>
        <w:t>er</w:t>
      </w:r>
      <w:r w:rsidR="00BD1EDE" w:rsidRPr="00DC2F03">
        <w:rPr>
          <w:rFonts w:asciiTheme="minorHAnsi" w:hAnsiTheme="minorHAnsi" w:cstheme="minorHAnsi"/>
          <w:bCs/>
        </w:rPr>
        <w:t xml:space="preserve"> number of experienced staff</w:t>
      </w:r>
      <w:r w:rsidR="00DC2F03" w:rsidRPr="00DC2F03">
        <w:rPr>
          <w:rFonts w:asciiTheme="minorHAnsi" w:hAnsiTheme="minorHAnsi" w:cstheme="minorHAnsi"/>
          <w:bCs/>
        </w:rPr>
        <w:t>.</w:t>
      </w:r>
    </w:p>
    <w:p w14:paraId="4DD4CBB7" w14:textId="6DD2EE2B" w:rsidR="00C40FEA" w:rsidRPr="00DC2F03" w:rsidRDefault="00C40FEA" w:rsidP="000A20EB">
      <w:pPr>
        <w:widowControl/>
        <w:autoSpaceDE/>
        <w:autoSpaceDN/>
        <w:adjustRightInd/>
        <w:rPr>
          <w:rFonts w:asciiTheme="minorHAnsi" w:hAnsiTheme="minorHAnsi" w:cstheme="minorHAnsi"/>
        </w:rPr>
        <w:sectPr w:rsidR="00C40FEA" w:rsidRPr="00DC2F03"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A20EB">
      <w:pPr>
        <w:pStyle w:val="Heading3"/>
        <w:numPr>
          <w:ilvl w:val="0"/>
          <w:numId w:val="0"/>
        </w:numPr>
      </w:pPr>
      <w:bookmarkStart w:id="24" w:name="_Toc118905017"/>
      <w:bookmarkStart w:id="25" w:name="_Toc119418669"/>
      <w:r w:rsidRPr="0002572C">
        <w:lastRenderedPageBreak/>
        <w:t>Appendix A – New and Continued Findings and Recommendations</w:t>
      </w:r>
      <w:bookmarkEnd w:id="24"/>
      <w:bookmarkEnd w:id="25"/>
    </w:p>
    <w:p w14:paraId="670F195C" w14:textId="145B61D7" w:rsidR="00B6741C" w:rsidRDefault="00B6741C" w:rsidP="000A20EB">
      <w:r>
        <w:t>FY 2022</w:t>
      </w:r>
      <w:r w:rsidRPr="00611556">
        <w:t xml:space="preserve"> </w:t>
      </w:r>
      <w:r w:rsidR="00F44825">
        <w:t>OSHNC</w:t>
      </w:r>
      <w:r w:rsidR="00770F49" w:rsidRPr="00C53BB7">
        <w:t xml:space="preserve"> </w:t>
      </w:r>
      <w:r>
        <w:t>Follow-up FAME Report</w:t>
      </w:r>
    </w:p>
    <w:p w14:paraId="77980CE2" w14:textId="77777777" w:rsidR="000A134A" w:rsidRPr="001C1E47" w:rsidRDefault="000A134A" w:rsidP="000A20EB">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77777777" w:rsidR="000A134A" w:rsidRPr="001C1E47" w:rsidRDefault="000A134A" w:rsidP="000A20EB">
            <w:pPr>
              <w:widowControl/>
              <w:autoSpaceDE/>
              <w:autoSpaceDN/>
              <w:adjustRightInd/>
              <w:rPr>
                <w:rFonts w:cs="Calibri"/>
                <w:b/>
              </w:rPr>
            </w:pPr>
            <w:r w:rsidRPr="001C1E47">
              <w:rPr>
                <w:rFonts w:cs="Calibri"/>
                <w:b/>
              </w:rPr>
              <w:t xml:space="preserve">FY </w:t>
            </w:r>
            <w:r w:rsidR="00DC4A62" w:rsidRPr="001C1E47">
              <w:rPr>
                <w:rFonts w:cs="Calibri"/>
                <w:b/>
              </w:rPr>
              <w:t>20</w:t>
            </w:r>
            <w:r w:rsidRPr="001C1E47">
              <w:rPr>
                <w:rFonts w:cs="Calibri"/>
                <w:b/>
              </w:rPr>
              <w:t>XX-</w:t>
            </w:r>
            <w:r w:rsidR="00BB0343" w:rsidRPr="001C1E47">
              <w:rPr>
                <w:rFonts w:cs="Calibri"/>
                <w:b/>
              </w:rPr>
              <w:t>#</w:t>
            </w:r>
          </w:p>
        </w:tc>
        <w:tc>
          <w:tcPr>
            <w:tcW w:w="4721" w:type="dxa"/>
          </w:tcPr>
          <w:p w14:paraId="0C140B4B" w14:textId="77777777" w:rsidR="000A134A" w:rsidRPr="001C1E47" w:rsidRDefault="000A134A" w:rsidP="000A20EB">
            <w:pPr>
              <w:widowControl/>
              <w:autoSpaceDE/>
              <w:autoSpaceDN/>
              <w:adjustRightInd/>
              <w:rPr>
                <w:rFonts w:cs="Calibri"/>
                <w:b/>
              </w:rPr>
            </w:pPr>
            <w:r w:rsidRPr="001C1E47">
              <w:rPr>
                <w:rFonts w:cs="Calibri"/>
                <w:b/>
              </w:rPr>
              <w:t>Finding</w:t>
            </w:r>
          </w:p>
        </w:tc>
        <w:tc>
          <w:tcPr>
            <w:tcW w:w="4819" w:type="dxa"/>
          </w:tcPr>
          <w:p w14:paraId="7801EA8C" w14:textId="77777777" w:rsidR="000A134A" w:rsidRPr="001C1E47" w:rsidRDefault="000A134A" w:rsidP="000A20EB">
            <w:pPr>
              <w:widowControl/>
              <w:autoSpaceDE/>
              <w:autoSpaceDN/>
              <w:adjustRightInd/>
              <w:rPr>
                <w:rFonts w:cs="Calibri"/>
                <w:b/>
              </w:rPr>
            </w:pPr>
            <w:r w:rsidRPr="001C1E47">
              <w:rPr>
                <w:rFonts w:cs="Calibri"/>
                <w:b/>
              </w:rPr>
              <w:t>Recommendation</w:t>
            </w:r>
          </w:p>
        </w:tc>
        <w:tc>
          <w:tcPr>
            <w:tcW w:w="1890" w:type="dxa"/>
          </w:tcPr>
          <w:p w14:paraId="7C9006CD" w14:textId="77777777" w:rsidR="00BB0343" w:rsidRPr="001C1E47" w:rsidRDefault="00BB0343" w:rsidP="000A20EB">
            <w:pPr>
              <w:widowControl/>
              <w:autoSpaceDE/>
              <w:autoSpaceDN/>
              <w:adjustRightInd/>
              <w:rPr>
                <w:rFonts w:cs="Calibri"/>
                <w:b/>
              </w:rPr>
            </w:pPr>
            <w:r w:rsidRPr="001C1E47">
              <w:rPr>
                <w:rFonts w:cs="Calibri"/>
                <w:b/>
              </w:rPr>
              <w:t xml:space="preserve">FY </w:t>
            </w:r>
            <w:r w:rsidR="00DC4A62" w:rsidRPr="001C1E47">
              <w:rPr>
                <w:rFonts w:cs="Calibri"/>
                <w:b/>
              </w:rPr>
              <w:t>20</w:t>
            </w:r>
            <w:r w:rsidRPr="001C1E47">
              <w:rPr>
                <w:rFonts w:cs="Calibri"/>
                <w:b/>
              </w:rPr>
              <w:t xml:space="preserve">XX-# or </w:t>
            </w:r>
          </w:p>
          <w:p w14:paraId="3C61CFBF" w14:textId="77777777" w:rsidR="000A134A" w:rsidRPr="001C1E47" w:rsidRDefault="00BB0343" w:rsidP="000A20EB">
            <w:pPr>
              <w:widowControl/>
              <w:autoSpaceDE/>
              <w:autoSpaceDN/>
              <w:adjustRightInd/>
              <w:rPr>
                <w:rFonts w:cs="Calibri"/>
                <w:b/>
              </w:rPr>
            </w:pPr>
            <w:r w:rsidRPr="001C1E47">
              <w:rPr>
                <w:rFonts w:cs="Calibri"/>
                <w:b/>
              </w:rPr>
              <w:t xml:space="preserve">FY </w:t>
            </w:r>
            <w:r w:rsidR="00DC4A62" w:rsidRPr="001C1E47">
              <w:rPr>
                <w:rFonts w:cs="Calibri"/>
                <w:b/>
              </w:rPr>
              <w:t>20</w:t>
            </w:r>
            <w:r w:rsidRPr="001C1E47">
              <w:rPr>
                <w:rFonts w:cs="Calibri"/>
                <w:b/>
              </w:rPr>
              <w:t>XX-OB-#</w:t>
            </w:r>
          </w:p>
        </w:tc>
      </w:tr>
      <w:tr w:rsidR="000A134A" w:rsidRPr="001C1E47" w14:paraId="5368CE16" w14:textId="77777777" w:rsidTr="00185C7D">
        <w:tc>
          <w:tcPr>
            <w:tcW w:w="1440" w:type="dxa"/>
          </w:tcPr>
          <w:p w14:paraId="31EBB109" w14:textId="322B9260" w:rsidR="000A134A" w:rsidRPr="00676F16" w:rsidRDefault="00150A98" w:rsidP="000A20EB">
            <w:pPr>
              <w:widowControl/>
              <w:autoSpaceDE/>
              <w:autoSpaceDN/>
              <w:adjustRightInd/>
              <w:rPr>
                <w:rFonts w:cs="Calibri"/>
              </w:rPr>
            </w:pPr>
            <w:r w:rsidRPr="001C1E47">
              <w:rPr>
                <w:rFonts w:cs="Calibri"/>
              </w:rPr>
              <w:t xml:space="preserve">  </w:t>
            </w:r>
            <w:r w:rsidRPr="00676F16">
              <w:rPr>
                <w:rFonts w:cs="Calibri"/>
              </w:rPr>
              <w:t xml:space="preserve"> N</w:t>
            </w:r>
            <w:r w:rsidR="00676F16">
              <w:rPr>
                <w:rFonts w:cs="Calibri"/>
              </w:rPr>
              <w:t>/A</w:t>
            </w:r>
          </w:p>
          <w:p w14:paraId="39F370D3" w14:textId="77777777" w:rsidR="000A134A" w:rsidRPr="001C1E47" w:rsidRDefault="000A134A" w:rsidP="000A20EB">
            <w:pPr>
              <w:widowControl/>
              <w:autoSpaceDE/>
              <w:autoSpaceDN/>
              <w:adjustRightInd/>
              <w:rPr>
                <w:rFonts w:cs="Calibri"/>
              </w:rPr>
            </w:pPr>
          </w:p>
        </w:tc>
        <w:tc>
          <w:tcPr>
            <w:tcW w:w="4721" w:type="dxa"/>
          </w:tcPr>
          <w:p w14:paraId="4B3C1E3A" w14:textId="7666EF16" w:rsidR="000A134A" w:rsidRPr="00D76870" w:rsidRDefault="000A134A" w:rsidP="000A20EB">
            <w:pPr>
              <w:widowControl/>
              <w:autoSpaceDE/>
              <w:autoSpaceDN/>
              <w:adjustRightInd/>
              <w:rPr>
                <w:rFonts w:cs="Calibri"/>
                <w:b/>
                <w:bCs/>
              </w:rPr>
            </w:pPr>
          </w:p>
        </w:tc>
        <w:tc>
          <w:tcPr>
            <w:tcW w:w="4819" w:type="dxa"/>
          </w:tcPr>
          <w:p w14:paraId="5C606D29" w14:textId="77777777" w:rsidR="000A134A" w:rsidRPr="001C1E47" w:rsidRDefault="000A134A" w:rsidP="000A20EB">
            <w:pPr>
              <w:widowControl/>
              <w:autoSpaceDE/>
              <w:autoSpaceDN/>
              <w:adjustRightInd/>
              <w:rPr>
                <w:rFonts w:cs="Calibri"/>
              </w:rPr>
            </w:pPr>
            <w:r w:rsidRPr="001C1E47">
              <w:rPr>
                <w:rFonts w:cs="Calibri"/>
              </w:rPr>
              <w:t xml:space="preserve"> </w:t>
            </w:r>
          </w:p>
          <w:p w14:paraId="7A48B2C8" w14:textId="77777777" w:rsidR="000A134A" w:rsidRPr="001C1E47" w:rsidRDefault="000A134A" w:rsidP="000A20EB">
            <w:pPr>
              <w:widowControl/>
              <w:autoSpaceDE/>
              <w:autoSpaceDN/>
              <w:adjustRightInd/>
              <w:rPr>
                <w:rFonts w:cs="Calibri"/>
              </w:rPr>
            </w:pPr>
          </w:p>
        </w:tc>
        <w:tc>
          <w:tcPr>
            <w:tcW w:w="1890" w:type="dxa"/>
          </w:tcPr>
          <w:p w14:paraId="51FF8A48" w14:textId="77777777" w:rsidR="000A134A" w:rsidRPr="001C1E47" w:rsidRDefault="000A134A" w:rsidP="000A20EB">
            <w:pPr>
              <w:widowControl/>
              <w:autoSpaceDE/>
              <w:autoSpaceDN/>
              <w:adjustRightInd/>
              <w:rPr>
                <w:rFonts w:cs="Calibri"/>
              </w:rPr>
            </w:pPr>
            <w:r w:rsidRPr="001C1E47">
              <w:rPr>
                <w:rFonts w:cs="Calibri"/>
              </w:rPr>
              <w:t xml:space="preserve"> </w:t>
            </w:r>
          </w:p>
        </w:tc>
      </w:tr>
      <w:tr w:rsidR="000A134A" w:rsidRPr="001C1E47" w14:paraId="103CA6F2" w14:textId="77777777" w:rsidTr="00185C7D">
        <w:tc>
          <w:tcPr>
            <w:tcW w:w="1440" w:type="dxa"/>
          </w:tcPr>
          <w:p w14:paraId="76B70B57" w14:textId="77777777" w:rsidR="000A134A" w:rsidRPr="001C1E47" w:rsidRDefault="000A134A" w:rsidP="000A20EB">
            <w:pPr>
              <w:widowControl/>
              <w:autoSpaceDE/>
              <w:autoSpaceDN/>
              <w:adjustRightInd/>
              <w:rPr>
                <w:rFonts w:cs="Calibri"/>
              </w:rPr>
            </w:pPr>
            <w:r w:rsidRPr="001C1E47">
              <w:rPr>
                <w:rFonts w:cs="Calibri"/>
              </w:rPr>
              <w:t xml:space="preserve"> </w:t>
            </w:r>
          </w:p>
          <w:p w14:paraId="673AF147" w14:textId="77777777" w:rsidR="000A134A" w:rsidRPr="001C1E47" w:rsidRDefault="000A134A" w:rsidP="000A20EB">
            <w:pPr>
              <w:widowControl/>
              <w:autoSpaceDE/>
              <w:autoSpaceDN/>
              <w:adjustRightInd/>
              <w:rPr>
                <w:rFonts w:cs="Calibri"/>
              </w:rPr>
            </w:pPr>
          </w:p>
        </w:tc>
        <w:tc>
          <w:tcPr>
            <w:tcW w:w="4721" w:type="dxa"/>
          </w:tcPr>
          <w:p w14:paraId="5B47278E" w14:textId="77777777" w:rsidR="000A134A" w:rsidRPr="001C1E47" w:rsidRDefault="000A134A" w:rsidP="000A20EB">
            <w:pPr>
              <w:widowControl/>
              <w:autoSpaceDE/>
              <w:autoSpaceDN/>
              <w:adjustRightInd/>
              <w:rPr>
                <w:rFonts w:cs="Calibri"/>
              </w:rPr>
            </w:pPr>
            <w:r w:rsidRPr="001C1E47">
              <w:rPr>
                <w:rFonts w:cs="Calibri"/>
              </w:rPr>
              <w:t xml:space="preserve"> </w:t>
            </w:r>
          </w:p>
          <w:p w14:paraId="53C5489A" w14:textId="77777777" w:rsidR="000A134A" w:rsidRPr="001C1E47" w:rsidRDefault="000A134A" w:rsidP="000A20EB">
            <w:pPr>
              <w:widowControl/>
              <w:autoSpaceDE/>
              <w:autoSpaceDN/>
              <w:adjustRightInd/>
              <w:rPr>
                <w:rFonts w:cs="Calibri"/>
              </w:rPr>
            </w:pPr>
          </w:p>
        </w:tc>
        <w:tc>
          <w:tcPr>
            <w:tcW w:w="4819" w:type="dxa"/>
          </w:tcPr>
          <w:p w14:paraId="527F29DD" w14:textId="77777777" w:rsidR="000A134A" w:rsidRPr="001C1E47" w:rsidRDefault="000A134A" w:rsidP="000A20EB">
            <w:pPr>
              <w:widowControl/>
              <w:autoSpaceDE/>
              <w:autoSpaceDN/>
              <w:adjustRightInd/>
              <w:rPr>
                <w:rFonts w:cs="Calibri"/>
              </w:rPr>
            </w:pPr>
            <w:r w:rsidRPr="001C1E47">
              <w:rPr>
                <w:rFonts w:cs="Calibri"/>
              </w:rPr>
              <w:t xml:space="preserve"> </w:t>
            </w:r>
          </w:p>
          <w:p w14:paraId="7375EF07" w14:textId="77777777" w:rsidR="000A134A" w:rsidRPr="001C1E47" w:rsidRDefault="000A134A" w:rsidP="000A20EB">
            <w:pPr>
              <w:widowControl/>
              <w:autoSpaceDE/>
              <w:autoSpaceDN/>
              <w:adjustRightInd/>
              <w:rPr>
                <w:rFonts w:cs="Calibri"/>
              </w:rPr>
            </w:pPr>
          </w:p>
        </w:tc>
        <w:tc>
          <w:tcPr>
            <w:tcW w:w="1890" w:type="dxa"/>
          </w:tcPr>
          <w:p w14:paraId="0E5FE764" w14:textId="77777777" w:rsidR="000A134A" w:rsidRPr="001C1E47" w:rsidRDefault="000A134A" w:rsidP="000A20EB">
            <w:pPr>
              <w:widowControl/>
              <w:autoSpaceDE/>
              <w:autoSpaceDN/>
              <w:adjustRightInd/>
              <w:rPr>
                <w:rFonts w:cs="Calibri"/>
              </w:rPr>
            </w:pPr>
            <w:r w:rsidRPr="001C1E47">
              <w:rPr>
                <w:rFonts w:cs="Calibri"/>
              </w:rPr>
              <w:t xml:space="preserve"> </w:t>
            </w:r>
          </w:p>
        </w:tc>
      </w:tr>
      <w:tr w:rsidR="000A134A" w:rsidRPr="001C1E47" w14:paraId="361E1BD2" w14:textId="77777777" w:rsidTr="00185C7D">
        <w:tc>
          <w:tcPr>
            <w:tcW w:w="1440" w:type="dxa"/>
          </w:tcPr>
          <w:p w14:paraId="01DD4D90" w14:textId="77777777" w:rsidR="000A134A" w:rsidRPr="001C1E47" w:rsidRDefault="000A134A" w:rsidP="000A20EB">
            <w:pPr>
              <w:widowControl/>
              <w:autoSpaceDE/>
              <w:autoSpaceDN/>
              <w:adjustRightInd/>
              <w:rPr>
                <w:rFonts w:cs="Calibri"/>
              </w:rPr>
            </w:pPr>
            <w:r w:rsidRPr="001C1E47">
              <w:rPr>
                <w:rFonts w:cs="Calibri"/>
              </w:rPr>
              <w:t xml:space="preserve"> </w:t>
            </w:r>
          </w:p>
        </w:tc>
        <w:tc>
          <w:tcPr>
            <w:tcW w:w="4721" w:type="dxa"/>
          </w:tcPr>
          <w:p w14:paraId="21F530E8" w14:textId="77777777" w:rsidR="000A134A" w:rsidRPr="001C1E47" w:rsidRDefault="000A134A" w:rsidP="000A20EB">
            <w:pPr>
              <w:widowControl/>
              <w:autoSpaceDE/>
              <w:autoSpaceDN/>
              <w:adjustRightInd/>
              <w:rPr>
                <w:rFonts w:cs="Calibri"/>
              </w:rPr>
            </w:pPr>
            <w:r w:rsidRPr="001C1E47">
              <w:rPr>
                <w:rFonts w:cs="Calibri"/>
              </w:rPr>
              <w:t xml:space="preserve"> </w:t>
            </w:r>
          </w:p>
        </w:tc>
        <w:tc>
          <w:tcPr>
            <w:tcW w:w="4819" w:type="dxa"/>
          </w:tcPr>
          <w:p w14:paraId="5661F279" w14:textId="77777777" w:rsidR="000A134A" w:rsidRPr="001C1E47" w:rsidRDefault="000A134A" w:rsidP="000A20EB">
            <w:pPr>
              <w:widowControl/>
              <w:autoSpaceDE/>
              <w:autoSpaceDN/>
              <w:adjustRightInd/>
              <w:rPr>
                <w:rFonts w:cs="Calibri"/>
              </w:rPr>
            </w:pPr>
            <w:r w:rsidRPr="001C1E47">
              <w:rPr>
                <w:rFonts w:cs="Calibri"/>
              </w:rPr>
              <w:t xml:space="preserve"> </w:t>
            </w:r>
          </w:p>
          <w:p w14:paraId="069FF3A9" w14:textId="77777777" w:rsidR="000A134A" w:rsidRPr="001C1E47" w:rsidRDefault="000A134A" w:rsidP="000A20EB">
            <w:pPr>
              <w:widowControl/>
              <w:autoSpaceDE/>
              <w:autoSpaceDN/>
              <w:adjustRightInd/>
              <w:rPr>
                <w:rFonts w:cs="Calibri"/>
              </w:rPr>
            </w:pPr>
          </w:p>
        </w:tc>
        <w:tc>
          <w:tcPr>
            <w:tcW w:w="1890" w:type="dxa"/>
          </w:tcPr>
          <w:p w14:paraId="41535CDB" w14:textId="77777777" w:rsidR="000A134A" w:rsidRPr="001C1E47" w:rsidRDefault="000A134A" w:rsidP="000A20EB">
            <w:pPr>
              <w:widowControl/>
              <w:autoSpaceDE/>
              <w:autoSpaceDN/>
              <w:adjustRightInd/>
              <w:rPr>
                <w:rFonts w:cs="Calibri"/>
              </w:rPr>
            </w:pPr>
            <w:r w:rsidRPr="001C1E47">
              <w:rPr>
                <w:rFonts w:cs="Calibri"/>
              </w:rPr>
              <w:t xml:space="preserve"> </w:t>
            </w:r>
          </w:p>
        </w:tc>
      </w:tr>
    </w:tbl>
    <w:p w14:paraId="3C1E0E19" w14:textId="77777777" w:rsidR="000A134A" w:rsidRPr="001C1E47" w:rsidRDefault="000A134A" w:rsidP="000A20EB">
      <w:pPr>
        <w:widowControl/>
        <w:autoSpaceDE/>
        <w:autoSpaceDN/>
        <w:adjustRightInd/>
        <w:rPr>
          <w:rFonts w:cs="Calibri"/>
        </w:rPr>
      </w:pPr>
    </w:p>
    <w:p w14:paraId="7C19C4AE" w14:textId="488E6927" w:rsidR="00D86879" w:rsidRDefault="00D86879" w:rsidP="000A20EB">
      <w:pPr>
        <w:widowControl/>
        <w:autoSpaceDE/>
        <w:autoSpaceDN/>
        <w:adjustRightInd/>
        <w:rPr>
          <w:rFonts w:cs="Calibri"/>
          <w:i/>
        </w:rPr>
      </w:pPr>
    </w:p>
    <w:p w14:paraId="1A64CC98" w14:textId="2809AB60" w:rsidR="00D77118" w:rsidRDefault="00D77118" w:rsidP="000A20EB">
      <w:pPr>
        <w:widowControl/>
        <w:autoSpaceDE/>
        <w:autoSpaceDN/>
        <w:adjustRightInd/>
        <w:rPr>
          <w:rFonts w:cs="Calibri"/>
          <w:i/>
        </w:rPr>
      </w:pPr>
    </w:p>
    <w:p w14:paraId="160058A5" w14:textId="26557275" w:rsidR="00D77118" w:rsidRDefault="00D77118" w:rsidP="000A20EB">
      <w:pPr>
        <w:widowControl/>
        <w:autoSpaceDE/>
        <w:autoSpaceDN/>
        <w:adjustRightInd/>
        <w:rPr>
          <w:rFonts w:cs="Calibri"/>
          <w:i/>
        </w:rPr>
      </w:pPr>
    </w:p>
    <w:p w14:paraId="3714B50B" w14:textId="307225DD" w:rsidR="00D77118" w:rsidRDefault="00D77118" w:rsidP="000A20EB">
      <w:pPr>
        <w:widowControl/>
        <w:autoSpaceDE/>
        <w:autoSpaceDN/>
        <w:adjustRightInd/>
        <w:rPr>
          <w:rFonts w:cs="Calibri"/>
          <w:i/>
        </w:rPr>
      </w:pPr>
    </w:p>
    <w:p w14:paraId="262351F9" w14:textId="340C8A42" w:rsidR="00D77118" w:rsidRDefault="00D77118" w:rsidP="000A20EB">
      <w:pPr>
        <w:widowControl/>
        <w:autoSpaceDE/>
        <w:autoSpaceDN/>
        <w:adjustRightInd/>
        <w:rPr>
          <w:rFonts w:cs="Calibri"/>
          <w:i/>
        </w:rPr>
      </w:pPr>
    </w:p>
    <w:p w14:paraId="6020E6C8" w14:textId="69427A91" w:rsidR="00D77118" w:rsidRDefault="00D77118" w:rsidP="000A20EB">
      <w:pPr>
        <w:widowControl/>
        <w:autoSpaceDE/>
        <w:autoSpaceDN/>
        <w:adjustRightInd/>
        <w:rPr>
          <w:rFonts w:cs="Calibri"/>
          <w:i/>
        </w:rPr>
      </w:pPr>
    </w:p>
    <w:p w14:paraId="36650CCE" w14:textId="5DA9058A" w:rsidR="00D77118" w:rsidRDefault="00D77118" w:rsidP="000A20EB">
      <w:pPr>
        <w:widowControl/>
        <w:autoSpaceDE/>
        <w:autoSpaceDN/>
        <w:adjustRightInd/>
        <w:rPr>
          <w:rFonts w:cs="Calibri"/>
          <w:i/>
        </w:rPr>
      </w:pPr>
    </w:p>
    <w:p w14:paraId="38465CA5" w14:textId="7E5CF3CA" w:rsidR="00D77118" w:rsidRDefault="00D77118" w:rsidP="000A20EB">
      <w:pPr>
        <w:widowControl/>
        <w:autoSpaceDE/>
        <w:autoSpaceDN/>
        <w:adjustRightInd/>
        <w:rPr>
          <w:rFonts w:cs="Calibri"/>
          <w:i/>
        </w:rPr>
      </w:pPr>
    </w:p>
    <w:p w14:paraId="4F018205" w14:textId="07E5DA8D" w:rsidR="00D77118" w:rsidRDefault="00D77118" w:rsidP="000A20EB">
      <w:pPr>
        <w:widowControl/>
        <w:autoSpaceDE/>
        <w:autoSpaceDN/>
        <w:adjustRightInd/>
        <w:rPr>
          <w:rFonts w:cs="Calibri"/>
          <w:i/>
        </w:rPr>
      </w:pPr>
    </w:p>
    <w:p w14:paraId="17FE19CF" w14:textId="0A30D1BA" w:rsidR="00D77118" w:rsidRDefault="00D77118" w:rsidP="000A20EB">
      <w:pPr>
        <w:widowControl/>
        <w:autoSpaceDE/>
        <w:autoSpaceDN/>
        <w:adjustRightInd/>
        <w:rPr>
          <w:rFonts w:cs="Calibri"/>
          <w:i/>
        </w:rPr>
      </w:pPr>
    </w:p>
    <w:p w14:paraId="0DEA708A" w14:textId="75EC18CC" w:rsidR="00D77118" w:rsidRDefault="00D77118" w:rsidP="000A20EB">
      <w:pPr>
        <w:widowControl/>
        <w:autoSpaceDE/>
        <w:autoSpaceDN/>
        <w:adjustRightInd/>
        <w:rPr>
          <w:rFonts w:cs="Calibri"/>
          <w:i/>
        </w:rPr>
      </w:pPr>
    </w:p>
    <w:p w14:paraId="7D8052ED" w14:textId="3EFA4203" w:rsidR="00D77118" w:rsidRDefault="00D77118" w:rsidP="000A20EB">
      <w:pPr>
        <w:widowControl/>
        <w:autoSpaceDE/>
        <w:autoSpaceDN/>
        <w:adjustRightInd/>
        <w:rPr>
          <w:rFonts w:cs="Calibri"/>
          <w:i/>
        </w:rPr>
      </w:pPr>
    </w:p>
    <w:p w14:paraId="21C346EE" w14:textId="5B84EA22" w:rsidR="00D77118" w:rsidRDefault="00D77118" w:rsidP="000A20EB">
      <w:pPr>
        <w:widowControl/>
        <w:autoSpaceDE/>
        <w:autoSpaceDN/>
        <w:adjustRightInd/>
        <w:rPr>
          <w:rFonts w:cs="Calibri"/>
          <w:i/>
        </w:rPr>
      </w:pPr>
    </w:p>
    <w:p w14:paraId="1516F3BE" w14:textId="77777777" w:rsidR="00D77118" w:rsidRPr="001C1E47" w:rsidRDefault="00D77118" w:rsidP="000A20EB">
      <w:pPr>
        <w:widowControl/>
        <w:autoSpaceDE/>
        <w:autoSpaceDN/>
        <w:adjustRightInd/>
        <w:rPr>
          <w:rFonts w:cs="Calibri"/>
          <w:i/>
        </w:rPr>
      </w:pPr>
    </w:p>
    <w:p w14:paraId="039B49D1" w14:textId="77777777" w:rsidR="00D86879" w:rsidRPr="001C1E47" w:rsidRDefault="00D86879" w:rsidP="000A20EB">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26" w:name="_Toc118905018"/>
      <w:bookmarkStart w:id="27" w:name="_Toc119418670"/>
      <w:r w:rsidRPr="0002572C">
        <w:lastRenderedPageBreak/>
        <w:t>Appendix B – Observations Subject to Continued Monitoring</w:t>
      </w:r>
      <w:bookmarkEnd w:id="26"/>
      <w:bookmarkEnd w:id="27"/>
    </w:p>
    <w:p w14:paraId="73014EBD" w14:textId="72CA0EE9" w:rsidR="00B6741C" w:rsidRPr="00F0678A" w:rsidRDefault="00B6741C" w:rsidP="0002572C">
      <w:r>
        <w:t>FY 20</w:t>
      </w:r>
      <w:r w:rsidR="00611556">
        <w:t>22</w:t>
      </w:r>
      <w:r>
        <w:t xml:space="preserve"> </w:t>
      </w:r>
      <w:r w:rsidR="00F44825">
        <w:t>OSHNC</w:t>
      </w:r>
      <w:r w:rsidR="00E853AB" w:rsidRPr="00C53BB7">
        <w:t xml:space="preserve">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14:paraId="266E8016" w14:textId="4E26EFF8" w:rsidTr="00B6741C">
        <w:trPr>
          <w:cantSplit/>
          <w:tblHeader/>
        </w:trPr>
        <w:tc>
          <w:tcPr>
            <w:tcW w:w="2657" w:type="dxa"/>
          </w:tcPr>
          <w:p w14:paraId="5950BEA4"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09AE72D2"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FY 20XX-OB-#</w:t>
            </w:r>
          </w:p>
          <w:p w14:paraId="07702D17" w14:textId="77777777" w:rsidR="00B6741C" w:rsidRDefault="00B6741C" w:rsidP="00B6741C">
            <w:pPr>
              <w:widowControl/>
              <w:autoSpaceDE/>
              <w:autoSpaceDN/>
              <w:adjustRightInd/>
              <w:rPr>
                <w:rFonts w:cs="Calibri"/>
                <w:i/>
                <w:sz w:val="22"/>
                <w:szCs w:val="22"/>
              </w:rPr>
            </w:pPr>
          </w:p>
        </w:tc>
        <w:tc>
          <w:tcPr>
            <w:tcW w:w="2690" w:type="dxa"/>
          </w:tcPr>
          <w:p w14:paraId="5B8F9311"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57E85A6" w14:textId="2E09DB1A" w:rsidR="00B6741C" w:rsidRDefault="00B6741C" w:rsidP="00B6741C">
            <w:pPr>
              <w:widowControl/>
              <w:autoSpaceDE/>
              <w:autoSpaceDN/>
              <w:adjustRightInd/>
              <w:rPr>
                <w:rFonts w:cs="Calibri"/>
                <w:i/>
                <w:sz w:val="22"/>
                <w:szCs w:val="22"/>
              </w:rPr>
            </w:pPr>
            <w:r w:rsidRPr="001C1E47">
              <w:rPr>
                <w:rFonts w:cs="Calibri"/>
                <w:b/>
                <w:sz w:val="22"/>
                <w:szCs w:val="22"/>
              </w:rPr>
              <w:t xml:space="preserve">FY 20XX-OB-# </w:t>
            </w:r>
            <w:r w:rsidRPr="001C1E47">
              <w:rPr>
                <w:rFonts w:cs="Calibri"/>
                <w:b/>
                <w:i/>
                <w:sz w:val="22"/>
                <w:szCs w:val="22"/>
              </w:rPr>
              <w:t>or</w:t>
            </w:r>
            <w:r w:rsidRPr="001C1E47">
              <w:rPr>
                <w:rFonts w:cs="Calibri"/>
                <w:b/>
                <w:sz w:val="22"/>
                <w:szCs w:val="22"/>
              </w:rPr>
              <w:t xml:space="preserve"> FY 20XX-#</w:t>
            </w:r>
          </w:p>
        </w:tc>
        <w:tc>
          <w:tcPr>
            <w:tcW w:w="2657" w:type="dxa"/>
          </w:tcPr>
          <w:p w14:paraId="11DA1749" w14:textId="7AE042CC"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2630" w:type="dxa"/>
          </w:tcPr>
          <w:p w14:paraId="76BC073C" w14:textId="70BBC1B0"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2316" w:type="dxa"/>
          </w:tcPr>
          <w:p w14:paraId="46D0EE63" w14:textId="4A2BA825"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B6741C" w14:paraId="715083EB" w14:textId="58561804" w:rsidTr="00B6741C">
        <w:trPr>
          <w:cantSplit/>
        </w:trPr>
        <w:tc>
          <w:tcPr>
            <w:tcW w:w="2657" w:type="dxa"/>
          </w:tcPr>
          <w:p w14:paraId="7834860F" w14:textId="58560C12" w:rsidR="00B6741C" w:rsidRPr="00476C08" w:rsidRDefault="00D77118" w:rsidP="00B6741C">
            <w:pPr>
              <w:widowControl/>
              <w:autoSpaceDE/>
              <w:autoSpaceDN/>
              <w:adjustRightInd/>
              <w:rPr>
                <w:rFonts w:cs="Calibri"/>
                <w:iCs/>
                <w:color w:val="0070C0"/>
                <w:sz w:val="22"/>
                <w:szCs w:val="22"/>
              </w:rPr>
            </w:pPr>
            <w:r w:rsidRPr="00D77118">
              <w:rPr>
                <w:rFonts w:cs="Calibri"/>
                <w:iCs/>
                <w:sz w:val="22"/>
                <w:szCs w:val="22"/>
              </w:rPr>
              <w:t>N</w:t>
            </w:r>
            <w:r w:rsidR="00676F16">
              <w:rPr>
                <w:rFonts w:cs="Calibri"/>
                <w:iCs/>
                <w:sz w:val="22"/>
                <w:szCs w:val="22"/>
              </w:rPr>
              <w:t>/A</w:t>
            </w:r>
          </w:p>
        </w:tc>
        <w:tc>
          <w:tcPr>
            <w:tcW w:w="2690" w:type="dxa"/>
          </w:tcPr>
          <w:p w14:paraId="1207E4E3" w14:textId="77777777" w:rsidR="00B6741C" w:rsidRPr="00476C08" w:rsidRDefault="00B6741C" w:rsidP="00B6741C">
            <w:pPr>
              <w:widowControl/>
              <w:autoSpaceDE/>
              <w:autoSpaceDN/>
              <w:adjustRightInd/>
              <w:rPr>
                <w:rFonts w:cs="Calibri"/>
                <w:iCs/>
                <w:color w:val="0070C0"/>
                <w:sz w:val="22"/>
                <w:szCs w:val="22"/>
              </w:rPr>
            </w:pPr>
          </w:p>
        </w:tc>
        <w:tc>
          <w:tcPr>
            <w:tcW w:w="2657" w:type="dxa"/>
          </w:tcPr>
          <w:p w14:paraId="53E4A09F" w14:textId="2B1BC542" w:rsidR="00B6741C" w:rsidRPr="00476C08" w:rsidRDefault="00B6741C" w:rsidP="00B6741C">
            <w:pPr>
              <w:widowControl/>
              <w:autoSpaceDE/>
              <w:autoSpaceDN/>
              <w:adjustRightInd/>
              <w:rPr>
                <w:rFonts w:cs="Calibri"/>
                <w:iCs/>
                <w:color w:val="0070C0"/>
                <w:sz w:val="22"/>
                <w:szCs w:val="22"/>
              </w:rPr>
            </w:pPr>
          </w:p>
        </w:tc>
        <w:tc>
          <w:tcPr>
            <w:tcW w:w="2630" w:type="dxa"/>
          </w:tcPr>
          <w:p w14:paraId="04F2CA88" w14:textId="77777777" w:rsidR="00B6741C" w:rsidRPr="00476C08" w:rsidRDefault="00B6741C" w:rsidP="00B6741C">
            <w:pPr>
              <w:widowControl/>
              <w:autoSpaceDE/>
              <w:autoSpaceDN/>
              <w:adjustRightInd/>
              <w:rPr>
                <w:rFonts w:cs="Calibri"/>
                <w:iCs/>
                <w:color w:val="0070C0"/>
                <w:sz w:val="22"/>
                <w:szCs w:val="22"/>
              </w:rPr>
            </w:pPr>
          </w:p>
        </w:tc>
        <w:tc>
          <w:tcPr>
            <w:tcW w:w="2316" w:type="dxa"/>
          </w:tcPr>
          <w:p w14:paraId="79E4394D" w14:textId="6D71356F" w:rsidR="00B6741C" w:rsidRPr="00476C08" w:rsidRDefault="00B6741C" w:rsidP="00B6741C">
            <w:pPr>
              <w:widowControl/>
              <w:autoSpaceDE/>
              <w:autoSpaceDN/>
              <w:adjustRightInd/>
              <w:rPr>
                <w:rFonts w:cs="Calibri"/>
                <w:iCs/>
                <w:color w:val="0070C0"/>
                <w:sz w:val="22"/>
                <w:szCs w:val="22"/>
              </w:rPr>
            </w:pPr>
          </w:p>
        </w:tc>
      </w:tr>
      <w:tr w:rsidR="00B6741C" w14:paraId="414575F4" w14:textId="437735BC" w:rsidTr="00B6741C">
        <w:trPr>
          <w:cantSplit/>
        </w:trPr>
        <w:tc>
          <w:tcPr>
            <w:tcW w:w="2657" w:type="dxa"/>
          </w:tcPr>
          <w:p w14:paraId="38E1B745" w14:textId="77777777" w:rsidR="00B6741C" w:rsidRPr="00476C08" w:rsidRDefault="00B6741C" w:rsidP="00B6741C">
            <w:pPr>
              <w:widowControl/>
              <w:autoSpaceDE/>
              <w:autoSpaceDN/>
              <w:adjustRightInd/>
              <w:rPr>
                <w:rFonts w:cs="Calibri"/>
                <w:iCs/>
                <w:color w:val="0070C0"/>
                <w:sz w:val="22"/>
                <w:szCs w:val="22"/>
              </w:rPr>
            </w:pPr>
          </w:p>
        </w:tc>
        <w:tc>
          <w:tcPr>
            <w:tcW w:w="2690" w:type="dxa"/>
          </w:tcPr>
          <w:p w14:paraId="4640B74B" w14:textId="747CD00A" w:rsidR="00B6741C" w:rsidRPr="00476C08" w:rsidRDefault="00B6741C" w:rsidP="00B6741C">
            <w:pPr>
              <w:widowControl/>
              <w:autoSpaceDE/>
              <w:autoSpaceDN/>
              <w:adjustRightInd/>
              <w:rPr>
                <w:rFonts w:cs="Calibri"/>
                <w:iCs/>
                <w:color w:val="0070C0"/>
                <w:sz w:val="22"/>
                <w:szCs w:val="22"/>
              </w:rPr>
            </w:pPr>
          </w:p>
        </w:tc>
        <w:tc>
          <w:tcPr>
            <w:tcW w:w="2657" w:type="dxa"/>
          </w:tcPr>
          <w:p w14:paraId="3BC4A14C" w14:textId="0D96FD37" w:rsidR="00B6741C" w:rsidRPr="00476C08" w:rsidRDefault="00B6741C" w:rsidP="00B6741C">
            <w:pPr>
              <w:widowControl/>
              <w:autoSpaceDE/>
              <w:autoSpaceDN/>
              <w:adjustRightInd/>
              <w:rPr>
                <w:rFonts w:cs="Calibri"/>
                <w:iCs/>
                <w:color w:val="0070C0"/>
                <w:sz w:val="22"/>
                <w:szCs w:val="22"/>
              </w:rPr>
            </w:pPr>
          </w:p>
        </w:tc>
        <w:tc>
          <w:tcPr>
            <w:tcW w:w="2630" w:type="dxa"/>
          </w:tcPr>
          <w:p w14:paraId="016CAD6A" w14:textId="2351A0EA" w:rsidR="00B6741C" w:rsidRPr="00476C08" w:rsidRDefault="00B6741C" w:rsidP="00B6741C">
            <w:pPr>
              <w:widowControl/>
              <w:autoSpaceDE/>
              <w:autoSpaceDN/>
              <w:adjustRightInd/>
              <w:rPr>
                <w:rFonts w:cs="Calibri"/>
                <w:iCs/>
                <w:color w:val="0070C0"/>
                <w:sz w:val="22"/>
                <w:szCs w:val="22"/>
              </w:rPr>
            </w:pPr>
          </w:p>
        </w:tc>
        <w:tc>
          <w:tcPr>
            <w:tcW w:w="2316" w:type="dxa"/>
          </w:tcPr>
          <w:p w14:paraId="4F554364" w14:textId="636B3809" w:rsidR="00B6741C" w:rsidRPr="00476C08" w:rsidRDefault="00B6741C" w:rsidP="00B6741C">
            <w:pPr>
              <w:widowControl/>
              <w:autoSpaceDE/>
              <w:autoSpaceDN/>
              <w:adjustRightInd/>
              <w:rPr>
                <w:rFonts w:cs="Calibri"/>
                <w:iCs/>
                <w:color w:val="0070C0"/>
                <w:sz w:val="22"/>
                <w:szCs w:val="22"/>
              </w:rPr>
            </w:pP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16FF3716" w:rsidR="00747710" w:rsidRDefault="00747710" w:rsidP="000F63C1">
      <w:pPr>
        <w:pStyle w:val="Heading3"/>
        <w:numPr>
          <w:ilvl w:val="0"/>
          <w:numId w:val="0"/>
        </w:numPr>
      </w:pPr>
      <w:bookmarkStart w:id="28" w:name="_Toc118905019"/>
      <w:bookmarkStart w:id="29" w:name="_Toc119418671"/>
      <w:r w:rsidRPr="00747710">
        <w:lastRenderedPageBreak/>
        <w:t>Appendix C - Status of FY 20</w:t>
      </w:r>
      <w:r w:rsidR="00D77118">
        <w:t>21</w:t>
      </w:r>
      <w:r w:rsidRPr="00747710">
        <w:t xml:space="preserve"> Findings and Recommendations</w:t>
      </w:r>
      <w:bookmarkEnd w:id="28"/>
      <w:bookmarkEnd w:id="29"/>
    </w:p>
    <w:p w14:paraId="45E6B5CB" w14:textId="001CC6BF" w:rsidR="005367D5" w:rsidRDefault="00747710" w:rsidP="00676F16">
      <w:pPr>
        <w:rPr>
          <w:rFonts w:cs="Calibri"/>
          <w:iCs/>
        </w:rPr>
      </w:pPr>
      <w:r w:rsidRPr="00747710">
        <w:t>FY 2022</w:t>
      </w:r>
      <w:r w:rsidRPr="00611556">
        <w:t xml:space="preserve"> </w:t>
      </w:r>
      <w:r w:rsidR="00F44825">
        <w:t>OSHNC</w:t>
      </w:r>
      <w:r w:rsidR="00770F49">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D93CB3">
        <w:trPr>
          <w:trHeight w:val="412"/>
        </w:trPr>
        <w:tc>
          <w:tcPr>
            <w:tcW w:w="1435" w:type="dxa"/>
          </w:tcPr>
          <w:p w14:paraId="0FAB4AA2" w14:textId="77777777" w:rsidR="005367D5" w:rsidRPr="001C1E47" w:rsidRDefault="005367D5" w:rsidP="00D93CB3">
            <w:pPr>
              <w:rPr>
                <w:rFonts w:cs="Calibri"/>
                <w:b/>
              </w:rPr>
            </w:pPr>
            <w:r w:rsidRPr="001C1E47">
              <w:rPr>
                <w:rFonts w:cs="Calibri"/>
                <w:b/>
              </w:rPr>
              <w:t>FY 20XX-#</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D93CB3">
        <w:trPr>
          <w:trHeight w:val="412"/>
        </w:trPr>
        <w:tc>
          <w:tcPr>
            <w:tcW w:w="1435" w:type="dxa"/>
          </w:tcPr>
          <w:p w14:paraId="3B6143AB" w14:textId="11512FD7" w:rsidR="005367D5" w:rsidRPr="001C1E47" w:rsidRDefault="00E06B8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rPr>
            </w:pPr>
            <w:r>
              <w:t>FY-2021-01</w:t>
            </w:r>
            <w:r w:rsidR="005367D5" w:rsidRPr="001C1E47">
              <w:rPr>
                <w:rFonts w:eastAsia="PMingLiU" w:cs="Calibri"/>
                <w:b/>
                <w:bCs/>
                <w:sz w:val="22"/>
                <w:szCs w:val="22"/>
              </w:rPr>
              <w:t> </w:t>
            </w:r>
          </w:p>
        </w:tc>
        <w:tc>
          <w:tcPr>
            <w:tcW w:w="2098" w:type="dxa"/>
          </w:tcPr>
          <w:p w14:paraId="1D6DD323" w14:textId="6AFE89B3" w:rsidR="005367D5" w:rsidRPr="001C1E47" w:rsidRDefault="00F44825" w:rsidP="007106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t>OSHNC</w:t>
            </w:r>
            <w:r w:rsidR="00710610">
              <w:t xml:space="preserve"> has failed to adopt OSHA’s initial FY 2016 maximum and minimum penalty increase and subsequent annual penalty amount increases.</w:t>
            </w:r>
            <w:r w:rsidR="005367D5" w:rsidRPr="001C1E47">
              <w:rPr>
                <w:rFonts w:eastAsia="PMingLiU" w:cs="Calibri"/>
                <w:b/>
                <w:sz w:val="22"/>
                <w:szCs w:val="22"/>
              </w:rPr>
              <w:t> </w:t>
            </w:r>
          </w:p>
        </w:tc>
        <w:tc>
          <w:tcPr>
            <w:tcW w:w="2250" w:type="dxa"/>
          </w:tcPr>
          <w:p w14:paraId="19499B4B" w14:textId="62D2FB1A" w:rsidR="005367D5" w:rsidRPr="001C1E47" w:rsidRDefault="00676F16" w:rsidP="00E06B8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t xml:space="preserve">The </w:t>
            </w:r>
            <w:r w:rsidR="00E06B89">
              <w:t xml:space="preserve">State Plan should work with their </w:t>
            </w:r>
            <w:r>
              <w:t>S</w:t>
            </w:r>
            <w:r w:rsidR="00E06B89">
              <w:t>tate authorities to complete the policy and procedure changes necessary to implement the adoption of maximum and minimum penalty amounts that are at least as effective as OSHA’s maximum and minimum penalty levels.</w:t>
            </w:r>
            <w:r w:rsidR="005367D5" w:rsidRPr="001C1E47">
              <w:rPr>
                <w:rFonts w:eastAsia="PMingLiU" w:cs="Calibri"/>
                <w:b/>
                <w:sz w:val="22"/>
                <w:szCs w:val="22"/>
              </w:rPr>
              <w:t> </w:t>
            </w:r>
          </w:p>
        </w:tc>
        <w:tc>
          <w:tcPr>
            <w:tcW w:w="3960" w:type="dxa"/>
          </w:tcPr>
          <w:p w14:paraId="3D75276C" w14:textId="6AB11C35" w:rsidR="000D57BC" w:rsidRDefault="00F44825" w:rsidP="000D57BC">
            <w:r>
              <w:t>OSHNC</w:t>
            </w:r>
            <w:r w:rsidR="00AC5C0F">
              <w:t xml:space="preserve"> </w:t>
            </w:r>
            <w:r w:rsidR="000D57BC">
              <w:t>FY</w:t>
            </w:r>
            <w:r w:rsidR="00DD289A">
              <w:t xml:space="preserve"> </w:t>
            </w:r>
            <w:r w:rsidR="000D57BC">
              <w:t>23 Budget was approved by the Legislature on 7/1/22 and was signed into law by NC Governor Roy Cooper on 7/11/22. The new language in section 95-138(a)(1) adopts the current federal OSHA penalties, as depicted in 29 CFR 1903.15(d), effective 10/1/2</w:t>
            </w:r>
            <w:r w:rsidR="006B4DBC">
              <w:t>2</w:t>
            </w:r>
            <w:r w:rsidR="00290AF1">
              <w:t xml:space="preserve">. </w:t>
            </w:r>
            <w:r w:rsidR="000D57BC">
              <w:t xml:space="preserve">Penally adjustments by OSHA that are associated with the Consumer Price Index (CPI) for Urban Areas will be adopted by the NC Department of Labor (NCDOL) per the North Carolina Administrative Code (NCAC) attached, within 60 days of OSHA posting notice in the Federal Register. </w:t>
            </w:r>
          </w:p>
          <w:p w14:paraId="527623E3" w14:textId="77777777" w:rsidR="000D57BC" w:rsidRDefault="000D57BC" w:rsidP="000D57BC"/>
          <w:p w14:paraId="37D73ADA"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1C1E47">
              <w:rPr>
                <w:rFonts w:eastAsia="PMingLiU" w:cs="Calibri"/>
                <w:b/>
                <w:sz w:val="22"/>
                <w:szCs w:val="22"/>
              </w:rPr>
              <w:t> </w:t>
            </w:r>
          </w:p>
        </w:tc>
        <w:tc>
          <w:tcPr>
            <w:tcW w:w="1592" w:type="dxa"/>
          </w:tcPr>
          <w:p w14:paraId="56F99649" w14:textId="55FC9C12"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1C1E47">
              <w:rPr>
                <w:rFonts w:eastAsia="PMingLiU" w:cs="Calibri"/>
                <w:b/>
                <w:sz w:val="22"/>
                <w:szCs w:val="22"/>
              </w:rPr>
              <w:t> </w:t>
            </w:r>
            <w:r w:rsidR="000D57BC">
              <w:rPr>
                <w:rFonts w:eastAsia="PMingLiU" w:cs="Calibri"/>
                <w:b/>
                <w:sz w:val="22"/>
                <w:szCs w:val="22"/>
              </w:rPr>
              <w:t>10/1/202</w:t>
            </w:r>
            <w:r w:rsidR="006B4DBC">
              <w:rPr>
                <w:rFonts w:eastAsia="PMingLiU" w:cs="Calibri"/>
                <w:b/>
                <w:sz w:val="22"/>
                <w:szCs w:val="22"/>
              </w:rPr>
              <w:t>2</w:t>
            </w:r>
          </w:p>
        </w:tc>
        <w:tc>
          <w:tcPr>
            <w:tcW w:w="2250" w:type="dxa"/>
          </w:tcPr>
          <w:p w14:paraId="4007473C" w14:textId="7190C8C8" w:rsidR="005367D5" w:rsidRPr="001C1E47" w:rsidRDefault="00DD2DB0"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AB0724">
              <w:rPr>
                <w:rFonts w:cs="Calibri"/>
                <w:b/>
                <w:bCs/>
                <w:iCs/>
              </w:rPr>
              <w:t>C</w:t>
            </w:r>
            <w:r>
              <w:rPr>
                <w:rFonts w:cs="Calibri"/>
                <w:b/>
                <w:bCs/>
                <w:iCs/>
              </w:rPr>
              <w:t>ompleted</w:t>
            </w:r>
          </w:p>
        </w:tc>
      </w:tr>
    </w:tbl>
    <w:p w14:paraId="5A163C8E" w14:textId="1403719D"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609D9576" w14:textId="77777777" w:rsidR="00611556" w:rsidRPr="004E492F" w:rsidRDefault="00611556" w:rsidP="00611556">
      <w:pPr>
        <w:keepNext/>
        <w:keepLines/>
        <w:spacing w:before="120"/>
        <w:outlineLvl w:val="2"/>
        <w:rPr>
          <w:rFonts w:cs="Calibri"/>
          <w:b/>
          <w:bCs/>
          <w:color w:val="0070C0"/>
          <w:sz w:val="28"/>
          <w:szCs w:val="28"/>
        </w:rPr>
      </w:pPr>
      <w:r w:rsidRPr="004E492F">
        <w:rPr>
          <w:rFonts w:cs="Calibri"/>
          <w:b/>
          <w:bCs/>
          <w:sz w:val="28"/>
          <w:szCs w:val="28"/>
        </w:rPr>
        <w:lastRenderedPageBreak/>
        <w:t>Appendix D – FY 2022 State Activity Mandated Measures (SAMM) Report</w:t>
      </w:r>
    </w:p>
    <w:p w14:paraId="187BACEE" w14:textId="1839C9F8" w:rsidR="00611556" w:rsidRPr="004E492F" w:rsidRDefault="00611556" w:rsidP="00611556">
      <w:pPr>
        <w:tabs>
          <w:tab w:val="center" w:pos="4680"/>
          <w:tab w:val="right" w:pos="9360"/>
        </w:tabs>
      </w:pPr>
      <w:r w:rsidRPr="004E492F">
        <w:t xml:space="preserve">FY 2022 </w:t>
      </w:r>
      <w:r w:rsidR="00F44825">
        <w:t>OSHNC</w:t>
      </w:r>
      <w:r w:rsidR="00DD289A" w:rsidRPr="00C53BB7">
        <w:t xml:space="preserve"> </w:t>
      </w:r>
      <w:r w:rsidRPr="004E492F">
        <w:t>Follow-up FAME Report</w:t>
      </w:r>
    </w:p>
    <w:p w14:paraId="5BA5F0DD" w14:textId="77777777" w:rsidR="00611556" w:rsidRPr="004E492F" w:rsidRDefault="00611556" w:rsidP="00611556">
      <w:pPr>
        <w:rPr>
          <w:rFonts w:cs="Calibri"/>
          <w:b/>
          <w:color w:val="1F497D"/>
          <w:sz w:val="28"/>
          <w:szCs w:val="28"/>
        </w:rPr>
      </w:pPr>
    </w:p>
    <w:tbl>
      <w:tblPr>
        <w:tblStyle w:val="GridTable41"/>
        <w:tblW w:w="10350" w:type="dxa"/>
        <w:tblInd w:w="-365" w:type="dxa"/>
        <w:tblLook w:val="06A0" w:firstRow="1" w:lastRow="0" w:firstColumn="1" w:lastColumn="0" w:noHBand="1" w:noVBand="1"/>
      </w:tblPr>
      <w:tblGrid>
        <w:gridCol w:w="1034"/>
        <w:gridCol w:w="2206"/>
        <w:gridCol w:w="1289"/>
        <w:gridCol w:w="1411"/>
        <w:gridCol w:w="4410"/>
      </w:tblGrid>
      <w:tr w:rsidR="00611556" w:rsidRPr="004E492F" w14:paraId="7895FFF2" w14:textId="77777777" w:rsidTr="00EE36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0816364A"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000000"/>
              </w:rPr>
            </w:pPr>
            <w:r w:rsidRPr="004E492F">
              <w:rPr>
                <w:rFonts w:eastAsia="PMingLiU" w:cs="Calibri"/>
                <w:color w:val="000000"/>
              </w:rPr>
              <w:t>SAMM Number</w:t>
            </w:r>
          </w:p>
        </w:tc>
        <w:tc>
          <w:tcPr>
            <w:tcW w:w="2206" w:type="dxa"/>
            <w:tcBorders>
              <w:left w:val="single" w:sz="4" w:space="0" w:color="000000"/>
              <w:right w:val="single" w:sz="4" w:space="0" w:color="000000"/>
            </w:tcBorders>
            <w:shd w:val="clear" w:color="auto" w:fill="auto"/>
          </w:tcPr>
          <w:p w14:paraId="572D6CDA"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SAMM Name</w:t>
            </w:r>
          </w:p>
        </w:tc>
        <w:tc>
          <w:tcPr>
            <w:tcW w:w="1289" w:type="dxa"/>
            <w:tcBorders>
              <w:left w:val="single" w:sz="4" w:space="0" w:color="000000"/>
              <w:right w:val="single" w:sz="4" w:space="0" w:color="000000"/>
            </w:tcBorders>
            <w:shd w:val="clear" w:color="auto" w:fill="auto"/>
          </w:tcPr>
          <w:p w14:paraId="04B5DB57"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State Plan Data</w:t>
            </w:r>
          </w:p>
        </w:tc>
        <w:tc>
          <w:tcPr>
            <w:tcW w:w="1411" w:type="dxa"/>
            <w:tcBorders>
              <w:left w:val="single" w:sz="4" w:space="0" w:color="000000"/>
              <w:right w:val="single" w:sz="4" w:space="0" w:color="000000"/>
            </w:tcBorders>
            <w:shd w:val="clear" w:color="auto" w:fill="auto"/>
          </w:tcPr>
          <w:p w14:paraId="4FAC3A8C"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Further Review Level</w:t>
            </w:r>
          </w:p>
        </w:tc>
        <w:tc>
          <w:tcPr>
            <w:tcW w:w="4410" w:type="dxa"/>
            <w:tcBorders>
              <w:left w:val="single" w:sz="4" w:space="0" w:color="000000"/>
            </w:tcBorders>
            <w:shd w:val="clear" w:color="auto" w:fill="auto"/>
          </w:tcPr>
          <w:p w14:paraId="1D4EF191"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Notes</w:t>
            </w:r>
          </w:p>
        </w:tc>
      </w:tr>
      <w:tr w:rsidR="00611556" w:rsidRPr="004E492F" w14:paraId="0CC9CB76"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2D88D090"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1a</w:t>
            </w:r>
          </w:p>
        </w:tc>
        <w:tc>
          <w:tcPr>
            <w:tcW w:w="2206" w:type="dxa"/>
          </w:tcPr>
          <w:p w14:paraId="74B602A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Average number of work days to initiate complaint inspections (state formula)</w:t>
            </w:r>
          </w:p>
        </w:tc>
        <w:tc>
          <w:tcPr>
            <w:tcW w:w="1289" w:type="dxa"/>
          </w:tcPr>
          <w:p w14:paraId="0590681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5.71</w:t>
            </w:r>
          </w:p>
        </w:tc>
        <w:tc>
          <w:tcPr>
            <w:tcW w:w="1411" w:type="dxa"/>
          </w:tcPr>
          <w:p w14:paraId="0FF5B61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10</w:t>
            </w:r>
          </w:p>
        </w:tc>
        <w:tc>
          <w:tcPr>
            <w:tcW w:w="4410" w:type="dxa"/>
          </w:tcPr>
          <w:p w14:paraId="6057364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negotiated by OSHA and the State Plan.</w:t>
            </w:r>
          </w:p>
        </w:tc>
      </w:tr>
      <w:tr w:rsidR="00611556" w:rsidRPr="004E492F" w14:paraId="00FF0995"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348F31E7"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1b</w:t>
            </w:r>
          </w:p>
        </w:tc>
        <w:tc>
          <w:tcPr>
            <w:tcW w:w="2206" w:type="dxa"/>
          </w:tcPr>
          <w:p w14:paraId="747A420F"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Average number of work days to initiate complaint inspections (federal formula)</w:t>
            </w:r>
          </w:p>
        </w:tc>
        <w:tc>
          <w:tcPr>
            <w:tcW w:w="1289" w:type="dxa"/>
          </w:tcPr>
          <w:p w14:paraId="11451CCF"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2.19</w:t>
            </w:r>
          </w:p>
        </w:tc>
        <w:tc>
          <w:tcPr>
            <w:tcW w:w="1411" w:type="dxa"/>
          </w:tcPr>
          <w:p w14:paraId="236EDF48"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N/A</w:t>
            </w:r>
          </w:p>
        </w:tc>
        <w:tc>
          <w:tcPr>
            <w:tcW w:w="4410" w:type="dxa"/>
          </w:tcPr>
          <w:p w14:paraId="6F789BD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This measure is for informational purposes only and is not a mandated measure.</w:t>
            </w:r>
          </w:p>
        </w:tc>
      </w:tr>
      <w:tr w:rsidR="00611556" w:rsidRPr="004E492F" w14:paraId="21C11DB7"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531F4C74"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2a</w:t>
            </w:r>
          </w:p>
        </w:tc>
        <w:tc>
          <w:tcPr>
            <w:tcW w:w="2206" w:type="dxa"/>
          </w:tcPr>
          <w:p w14:paraId="72C4E83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Average number of work days to initiate complaint investigations (state formula)</w:t>
            </w:r>
          </w:p>
        </w:tc>
        <w:tc>
          <w:tcPr>
            <w:tcW w:w="1289" w:type="dxa"/>
          </w:tcPr>
          <w:p w14:paraId="070E5942"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2.26</w:t>
            </w:r>
          </w:p>
        </w:tc>
        <w:tc>
          <w:tcPr>
            <w:tcW w:w="1411" w:type="dxa"/>
          </w:tcPr>
          <w:p w14:paraId="4C82FE6F"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4</w:t>
            </w:r>
          </w:p>
        </w:tc>
        <w:tc>
          <w:tcPr>
            <w:tcW w:w="4410" w:type="dxa"/>
          </w:tcPr>
          <w:p w14:paraId="5867D0C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negotiated by OSHA and the State Plan.</w:t>
            </w:r>
          </w:p>
        </w:tc>
      </w:tr>
      <w:tr w:rsidR="00611556" w:rsidRPr="004E492F" w14:paraId="1B4EC8DC"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089DAA89"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2b</w:t>
            </w:r>
          </w:p>
        </w:tc>
        <w:tc>
          <w:tcPr>
            <w:tcW w:w="2206" w:type="dxa"/>
          </w:tcPr>
          <w:p w14:paraId="23A3EDF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Average number of work days to initiate complaint investigations (federal formula)</w:t>
            </w:r>
          </w:p>
        </w:tc>
        <w:tc>
          <w:tcPr>
            <w:tcW w:w="1289" w:type="dxa"/>
          </w:tcPr>
          <w:p w14:paraId="62ECC5F0"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1.14</w:t>
            </w:r>
          </w:p>
        </w:tc>
        <w:tc>
          <w:tcPr>
            <w:tcW w:w="1411" w:type="dxa"/>
          </w:tcPr>
          <w:p w14:paraId="307284A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N/A</w:t>
            </w:r>
          </w:p>
        </w:tc>
        <w:tc>
          <w:tcPr>
            <w:tcW w:w="4410" w:type="dxa"/>
          </w:tcPr>
          <w:p w14:paraId="34577C78"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This measure is for informational purposes only and is not a mandated measure.</w:t>
            </w:r>
          </w:p>
        </w:tc>
      </w:tr>
      <w:tr w:rsidR="00611556" w:rsidRPr="004E492F" w14:paraId="1EF99954"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387C5B6A"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3</w:t>
            </w:r>
          </w:p>
        </w:tc>
        <w:tc>
          <w:tcPr>
            <w:tcW w:w="2206" w:type="dxa"/>
          </w:tcPr>
          <w:p w14:paraId="15CBD3E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Percent of complaints and referrals responded to within one workday (imminent danger)</w:t>
            </w:r>
          </w:p>
        </w:tc>
        <w:tc>
          <w:tcPr>
            <w:tcW w:w="1289" w:type="dxa"/>
          </w:tcPr>
          <w:p w14:paraId="478C9843"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1411" w:type="dxa"/>
          </w:tcPr>
          <w:p w14:paraId="77BA1249"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100%</w:t>
            </w:r>
          </w:p>
        </w:tc>
        <w:tc>
          <w:tcPr>
            <w:tcW w:w="4410" w:type="dxa"/>
          </w:tcPr>
          <w:p w14:paraId="385C7374" w14:textId="77777777" w:rsidR="00611556"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E2F6B">
              <w:rPr>
                <w:rFonts w:asciiTheme="minorHAnsi" w:hAnsiTheme="minorHAnsi" w:cstheme="minorHAnsi"/>
              </w:rPr>
              <w:t>N/A – The State Plan did not receive any imminent danger complaints or referrals in FY 2022.</w:t>
            </w:r>
          </w:p>
          <w:p w14:paraId="4DC60993" w14:textId="77777777" w:rsidR="00611556"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16A1D7A"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611556" w:rsidRPr="004E492F" w14:paraId="14D81E25"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687BF458"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4</w:t>
            </w:r>
          </w:p>
        </w:tc>
        <w:tc>
          <w:tcPr>
            <w:tcW w:w="2206" w:type="dxa"/>
          </w:tcPr>
          <w:p w14:paraId="7659C31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Number of denials where entry not obtained</w:t>
            </w:r>
          </w:p>
        </w:tc>
        <w:tc>
          <w:tcPr>
            <w:tcW w:w="1289" w:type="dxa"/>
          </w:tcPr>
          <w:p w14:paraId="6C9E0B2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0</w:t>
            </w:r>
          </w:p>
        </w:tc>
        <w:tc>
          <w:tcPr>
            <w:tcW w:w="1411" w:type="dxa"/>
          </w:tcPr>
          <w:p w14:paraId="061E5081"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0</w:t>
            </w:r>
          </w:p>
        </w:tc>
        <w:tc>
          <w:tcPr>
            <w:tcW w:w="4410" w:type="dxa"/>
          </w:tcPr>
          <w:p w14:paraId="5403120B"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611556" w:rsidRPr="004E492F" w14:paraId="78967E75" w14:textId="77777777" w:rsidTr="00EE3675">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4209255E"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5a</w:t>
            </w:r>
          </w:p>
        </w:tc>
        <w:tc>
          <w:tcPr>
            <w:tcW w:w="2206" w:type="dxa"/>
          </w:tcPr>
          <w:p w14:paraId="73EB5C4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Average number of violations per inspection with violations by violation type (SWRU)</w:t>
            </w:r>
          </w:p>
        </w:tc>
        <w:tc>
          <w:tcPr>
            <w:tcW w:w="1289" w:type="dxa"/>
          </w:tcPr>
          <w:p w14:paraId="273F83BB"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2.04</w:t>
            </w:r>
          </w:p>
        </w:tc>
        <w:tc>
          <w:tcPr>
            <w:tcW w:w="1411" w:type="dxa"/>
          </w:tcPr>
          <w:p w14:paraId="4AAD6D7B"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7A4DEBA2"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1.77</w:t>
            </w:r>
          </w:p>
          <w:p w14:paraId="1A55B1E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6496646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 xml:space="preserve">The further review level is based on a three-year national average.  The range of acceptable data not requiring further review is from 1.42 to 2.12 for SWRU. </w:t>
            </w:r>
          </w:p>
        </w:tc>
      </w:tr>
      <w:tr w:rsidR="00611556" w:rsidRPr="004E492F" w14:paraId="320E1555"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407E53CD"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5b</w:t>
            </w:r>
          </w:p>
        </w:tc>
        <w:tc>
          <w:tcPr>
            <w:tcW w:w="2206" w:type="dxa"/>
          </w:tcPr>
          <w:p w14:paraId="4961BEB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Average number of violations per </w:t>
            </w:r>
            <w:r w:rsidRPr="00EE16A8">
              <w:rPr>
                <w:rFonts w:asciiTheme="minorHAnsi" w:hAnsiTheme="minorHAnsi" w:cstheme="minorHAnsi"/>
              </w:rPr>
              <w:lastRenderedPageBreak/>
              <w:t>inspection with violations by violation type (other)</w:t>
            </w:r>
          </w:p>
        </w:tc>
        <w:tc>
          <w:tcPr>
            <w:tcW w:w="1289" w:type="dxa"/>
          </w:tcPr>
          <w:p w14:paraId="45DDFA6C"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lastRenderedPageBreak/>
              <w:t>0.97</w:t>
            </w:r>
          </w:p>
        </w:tc>
        <w:tc>
          <w:tcPr>
            <w:tcW w:w="1411" w:type="dxa"/>
          </w:tcPr>
          <w:p w14:paraId="6FDCE4D0"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0842E8C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0.90</w:t>
            </w:r>
          </w:p>
        </w:tc>
        <w:tc>
          <w:tcPr>
            <w:tcW w:w="4410" w:type="dxa"/>
          </w:tcPr>
          <w:p w14:paraId="09E85B9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 xml:space="preserve">The further review level is based on a three-year national average.  The range of </w:t>
            </w:r>
            <w:r w:rsidRPr="00EE16A8">
              <w:rPr>
                <w:rFonts w:asciiTheme="minorHAnsi" w:eastAsia="PMingLiU" w:hAnsiTheme="minorHAnsi" w:cstheme="minorHAnsi"/>
              </w:rPr>
              <w:lastRenderedPageBreak/>
              <w:t>acceptable data not requiring further review is from 0.72 to 1.08 for OTS.</w:t>
            </w:r>
          </w:p>
        </w:tc>
      </w:tr>
      <w:tr w:rsidR="00611556" w:rsidRPr="004E492F" w14:paraId="4F14355C"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61552C2D"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lastRenderedPageBreak/>
              <w:t>6</w:t>
            </w:r>
          </w:p>
        </w:tc>
        <w:tc>
          <w:tcPr>
            <w:tcW w:w="2206" w:type="dxa"/>
          </w:tcPr>
          <w:p w14:paraId="1B8CB36F"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Percent of total inspections in state and local government workplaces</w:t>
            </w:r>
          </w:p>
        </w:tc>
        <w:tc>
          <w:tcPr>
            <w:tcW w:w="1289" w:type="dxa"/>
          </w:tcPr>
          <w:p w14:paraId="7FCC712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4.81</w:t>
            </w:r>
            <w:r w:rsidRPr="00EE16A8">
              <w:rPr>
                <w:rFonts w:asciiTheme="minorHAnsi" w:hAnsiTheme="minorHAnsi" w:cstheme="minorHAnsi"/>
              </w:rPr>
              <w:t>%</w:t>
            </w:r>
          </w:p>
        </w:tc>
        <w:tc>
          <w:tcPr>
            <w:tcW w:w="1411" w:type="dxa"/>
          </w:tcPr>
          <w:p w14:paraId="611ED2F7"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+/- 5% of</w:t>
            </w:r>
          </w:p>
          <w:p w14:paraId="7690453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5</w:t>
            </w:r>
            <w:r w:rsidRPr="00EE16A8">
              <w:rPr>
                <w:rFonts w:asciiTheme="minorHAnsi" w:hAnsiTheme="minorHAnsi" w:cstheme="minorHAnsi"/>
              </w:rPr>
              <w:t>%</w:t>
            </w:r>
          </w:p>
        </w:tc>
        <w:tc>
          <w:tcPr>
            <w:tcW w:w="4410" w:type="dxa"/>
          </w:tcPr>
          <w:p w14:paraId="17BD2A80"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eastAsia="PMingLiU" w:hAnsiTheme="minorHAnsi" w:cstheme="minorHAnsi"/>
              </w:rPr>
              <w:t>4.75</w:t>
            </w:r>
            <w:r w:rsidRPr="00EE16A8">
              <w:rPr>
                <w:rFonts w:asciiTheme="minorHAnsi" w:eastAsia="PMingLiU" w:hAnsiTheme="minorHAnsi" w:cstheme="minorHAnsi"/>
              </w:rPr>
              <w:t xml:space="preserve">% to </w:t>
            </w:r>
            <w:r>
              <w:rPr>
                <w:rFonts w:asciiTheme="minorHAnsi" w:eastAsia="PMingLiU" w:hAnsiTheme="minorHAnsi" w:cstheme="minorHAnsi"/>
              </w:rPr>
              <w:t>5.25</w:t>
            </w:r>
            <w:r w:rsidRPr="00EE16A8">
              <w:rPr>
                <w:rFonts w:asciiTheme="minorHAnsi" w:eastAsia="PMingLiU" w:hAnsiTheme="minorHAnsi" w:cstheme="minorHAnsi"/>
              </w:rPr>
              <w:t>%.</w:t>
            </w:r>
          </w:p>
        </w:tc>
      </w:tr>
      <w:tr w:rsidR="00611556" w:rsidRPr="004E492F" w14:paraId="092C66F8"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554FE17D"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7a</w:t>
            </w:r>
          </w:p>
        </w:tc>
        <w:tc>
          <w:tcPr>
            <w:tcW w:w="2206" w:type="dxa"/>
          </w:tcPr>
          <w:p w14:paraId="748A54CB"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Planned v. actual inspections (safety)</w:t>
            </w:r>
          </w:p>
        </w:tc>
        <w:tc>
          <w:tcPr>
            <w:tcW w:w="1289" w:type="dxa"/>
          </w:tcPr>
          <w:p w14:paraId="79E3EE8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1,172</w:t>
            </w:r>
          </w:p>
        </w:tc>
        <w:tc>
          <w:tcPr>
            <w:tcW w:w="1411" w:type="dxa"/>
          </w:tcPr>
          <w:p w14:paraId="38427168"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68057DD1"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1,638</w:t>
            </w:r>
          </w:p>
        </w:tc>
        <w:tc>
          <w:tcPr>
            <w:tcW w:w="4410" w:type="dxa"/>
          </w:tcPr>
          <w:p w14:paraId="35B8AF5E"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hAnsiTheme="minorHAnsi" w:cstheme="minorHAnsi"/>
              </w:rPr>
              <w:t>1,556.10</w:t>
            </w:r>
            <w:r w:rsidRPr="00EE16A8">
              <w:rPr>
                <w:rFonts w:asciiTheme="minorHAnsi" w:hAnsiTheme="minorHAnsi" w:cstheme="minorHAnsi"/>
              </w:rPr>
              <w:t xml:space="preserve"> to </w:t>
            </w:r>
            <w:r>
              <w:rPr>
                <w:rFonts w:asciiTheme="minorHAnsi" w:hAnsiTheme="minorHAnsi" w:cstheme="minorHAnsi"/>
              </w:rPr>
              <w:t>1,719.90</w:t>
            </w:r>
            <w:r w:rsidRPr="00EE16A8">
              <w:rPr>
                <w:rFonts w:asciiTheme="minorHAnsi" w:hAnsiTheme="minorHAnsi" w:cstheme="minorHAnsi"/>
              </w:rPr>
              <w:t xml:space="preserve"> for safety.</w:t>
            </w:r>
          </w:p>
        </w:tc>
      </w:tr>
      <w:tr w:rsidR="00611556" w:rsidRPr="004E492F" w14:paraId="383ABE11"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0776E5F4"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7b</w:t>
            </w:r>
          </w:p>
        </w:tc>
        <w:tc>
          <w:tcPr>
            <w:tcW w:w="2206" w:type="dxa"/>
          </w:tcPr>
          <w:p w14:paraId="77607B68"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Planned v. actual inspections (health)</w:t>
            </w:r>
          </w:p>
        </w:tc>
        <w:tc>
          <w:tcPr>
            <w:tcW w:w="1289" w:type="dxa"/>
          </w:tcPr>
          <w:p w14:paraId="4B6B46B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782</w:t>
            </w:r>
          </w:p>
        </w:tc>
        <w:tc>
          <w:tcPr>
            <w:tcW w:w="1411" w:type="dxa"/>
          </w:tcPr>
          <w:p w14:paraId="6D846664"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0B5905F7"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962</w:t>
            </w:r>
          </w:p>
        </w:tc>
        <w:tc>
          <w:tcPr>
            <w:tcW w:w="4410" w:type="dxa"/>
          </w:tcPr>
          <w:p w14:paraId="71467D1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hAnsiTheme="minorHAnsi" w:cstheme="minorHAnsi"/>
              </w:rPr>
              <w:t>913.90</w:t>
            </w:r>
            <w:r w:rsidRPr="00EE16A8">
              <w:rPr>
                <w:rFonts w:asciiTheme="minorHAnsi" w:hAnsiTheme="minorHAnsi" w:cstheme="minorHAnsi"/>
              </w:rPr>
              <w:t xml:space="preserve"> to </w:t>
            </w:r>
            <w:r>
              <w:rPr>
                <w:rFonts w:asciiTheme="minorHAnsi" w:hAnsiTheme="minorHAnsi" w:cstheme="minorHAnsi"/>
              </w:rPr>
              <w:t>1,010.10</w:t>
            </w:r>
            <w:r w:rsidRPr="00EE16A8">
              <w:rPr>
                <w:rFonts w:asciiTheme="minorHAnsi" w:hAnsiTheme="minorHAnsi" w:cstheme="minorHAnsi"/>
              </w:rPr>
              <w:t xml:space="preserve"> for health.</w:t>
            </w:r>
          </w:p>
        </w:tc>
      </w:tr>
      <w:tr w:rsidR="00611556" w:rsidRPr="004E492F" w14:paraId="0F262948"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409A67D2"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8</w:t>
            </w:r>
          </w:p>
        </w:tc>
        <w:tc>
          <w:tcPr>
            <w:tcW w:w="2206" w:type="dxa"/>
          </w:tcPr>
          <w:p w14:paraId="7E8DAE5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Average current serious penalty in private sector - total (1 to greater than 250 workers)</w:t>
            </w:r>
          </w:p>
        </w:tc>
        <w:tc>
          <w:tcPr>
            <w:tcW w:w="1289" w:type="dxa"/>
          </w:tcPr>
          <w:p w14:paraId="1C67262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E2F6B">
              <w:rPr>
                <w:rFonts w:asciiTheme="minorHAnsi" w:eastAsia="PMingLiU" w:hAnsiTheme="minorHAnsi" w:cstheme="minorHAnsi"/>
              </w:rPr>
              <w:t>$1,965.89</w:t>
            </w:r>
          </w:p>
        </w:tc>
        <w:tc>
          <w:tcPr>
            <w:tcW w:w="1411" w:type="dxa"/>
          </w:tcPr>
          <w:p w14:paraId="3C2EEC66"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6F2FDD2B"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$3,259.35</w:t>
            </w:r>
          </w:p>
          <w:p w14:paraId="1A44ABD7"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57811C43" w14:textId="77777777" w:rsidR="00611556" w:rsidRPr="00EE16A8" w:rsidRDefault="00611556" w:rsidP="00EE3675">
            <w:pPr>
              <w:ind w:right="13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$2,444.51 to $4,074.19.</w:t>
            </w:r>
          </w:p>
        </w:tc>
      </w:tr>
      <w:tr w:rsidR="00611556" w:rsidRPr="004E492F" w14:paraId="2C6A1E67"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460A7B0F"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1B1FC85E" w14:textId="77777777" w:rsidR="00611556" w:rsidRPr="00EE16A8" w:rsidRDefault="00611556" w:rsidP="00EE36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a</w:t>
            </w:r>
            <w:r w:rsidRPr="00EE16A8">
              <w:rPr>
                <w:rFonts w:asciiTheme="minorHAnsi" w:hAnsiTheme="minorHAnsi" w:cstheme="minorHAnsi"/>
              </w:rPr>
              <w:t>.  Average current serious penalty in private sector</w:t>
            </w:r>
          </w:p>
          <w:p w14:paraId="2D56706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(1-25 workers)</w:t>
            </w:r>
          </w:p>
        </w:tc>
        <w:tc>
          <w:tcPr>
            <w:tcW w:w="1289" w:type="dxa"/>
          </w:tcPr>
          <w:p w14:paraId="6823DAD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E2F6B">
              <w:rPr>
                <w:rFonts w:asciiTheme="minorHAnsi" w:eastAsia="PMingLiU" w:hAnsiTheme="minorHAnsi" w:cstheme="minorHAnsi"/>
              </w:rPr>
              <w:t>$1,302.00</w:t>
            </w:r>
          </w:p>
        </w:tc>
        <w:tc>
          <w:tcPr>
            <w:tcW w:w="1411" w:type="dxa"/>
          </w:tcPr>
          <w:p w14:paraId="42904540"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33BD707B"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$2,145.46</w:t>
            </w:r>
          </w:p>
          <w:p w14:paraId="0590FC6C"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263077A1"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$1,609.10 to $2,681.83.</w:t>
            </w:r>
          </w:p>
        </w:tc>
      </w:tr>
      <w:tr w:rsidR="00611556" w:rsidRPr="004E492F" w14:paraId="099A9560"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7E1D10C2"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3C18DD49" w14:textId="77777777" w:rsidR="00611556" w:rsidRPr="00EE16A8" w:rsidRDefault="00611556" w:rsidP="00EE36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b</w:t>
            </w:r>
            <w:r w:rsidRPr="00EE16A8">
              <w:rPr>
                <w:rFonts w:asciiTheme="minorHAnsi" w:hAnsiTheme="minorHAnsi" w:cstheme="minorHAnsi"/>
              </w:rPr>
              <w:t xml:space="preserve">. Average current serious penalty in private sector </w:t>
            </w:r>
          </w:p>
          <w:p w14:paraId="20EE084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(26-100 workers</w:t>
            </w:r>
            <w:r w:rsidRPr="00EE16A8">
              <w:rPr>
                <w:rFonts w:asciiTheme="minorHAnsi" w:hAnsiTheme="minorHAnsi" w:cstheme="minorHAnsi"/>
                <w:b/>
              </w:rPr>
              <w:t>)</w:t>
            </w:r>
          </w:p>
        </w:tc>
        <w:tc>
          <w:tcPr>
            <w:tcW w:w="1289" w:type="dxa"/>
          </w:tcPr>
          <w:p w14:paraId="66C0153B"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E2F6B">
              <w:rPr>
                <w:rFonts w:asciiTheme="minorHAnsi" w:eastAsia="PMingLiU" w:hAnsiTheme="minorHAnsi" w:cstheme="minorHAnsi"/>
              </w:rPr>
              <w:t>$1,786.77</w:t>
            </w:r>
          </w:p>
        </w:tc>
        <w:tc>
          <w:tcPr>
            <w:tcW w:w="1411" w:type="dxa"/>
          </w:tcPr>
          <w:p w14:paraId="71FB744A"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56A91E63"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$3,818.56</w:t>
            </w:r>
          </w:p>
          <w:p w14:paraId="30FF9E32"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5964C30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$2,863.92 to $4,773.20.</w:t>
            </w:r>
          </w:p>
        </w:tc>
      </w:tr>
      <w:tr w:rsidR="00611556" w:rsidRPr="004E492F" w14:paraId="5F9EE18C"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0A612F56"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4D61B734" w14:textId="77777777" w:rsidR="00611556" w:rsidRPr="00EE16A8" w:rsidRDefault="00611556" w:rsidP="00EE36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c</w:t>
            </w:r>
            <w:r w:rsidRPr="00EE16A8">
              <w:rPr>
                <w:rFonts w:asciiTheme="minorHAnsi" w:hAnsiTheme="minorHAnsi" w:cstheme="minorHAnsi"/>
              </w:rPr>
              <w:t>. Average current serious penalty in private sector</w:t>
            </w:r>
          </w:p>
          <w:p w14:paraId="38BE323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(101-250 workers)</w:t>
            </w:r>
          </w:p>
        </w:tc>
        <w:tc>
          <w:tcPr>
            <w:tcW w:w="1289" w:type="dxa"/>
          </w:tcPr>
          <w:p w14:paraId="739A1AA9"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018A8">
              <w:rPr>
                <w:rFonts w:asciiTheme="minorHAnsi" w:eastAsia="PMingLiU" w:hAnsiTheme="minorHAnsi" w:cstheme="minorHAnsi"/>
              </w:rPr>
              <w:t>$2,798.57</w:t>
            </w:r>
          </w:p>
        </w:tc>
        <w:tc>
          <w:tcPr>
            <w:tcW w:w="1411" w:type="dxa"/>
          </w:tcPr>
          <w:p w14:paraId="79FDB0B0"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14705457"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$5,469.60</w:t>
            </w:r>
          </w:p>
          <w:p w14:paraId="34603F9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6B7416E3"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$4,102.20 to $6,837.00.</w:t>
            </w:r>
          </w:p>
        </w:tc>
      </w:tr>
      <w:tr w:rsidR="00611556" w:rsidRPr="004E492F" w14:paraId="1961BFEF"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6D3FA507"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3DAAF055" w14:textId="77777777" w:rsidR="00611556" w:rsidRPr="00EE16A8" w:rsidRDefault="00611556" w:rsidP="00EE36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d</w:t>
            </w:r>
            <w:r w:rsidRPr="00EE16A8">
              <w:rPr>
                <w:rFonts w:asciiTheme="minorHAnsi" w:hAnsiTheme="minorHAnsi" w:cstheme="minorHAnsi"/>
              </w:rPr>
              <w:t xml:space="preserve">. Average current </w:t>
            </w:r>
            <w:r w:rsidRPr="00EE16A8">
              <w:rPr>
                <w:rFonts w:asciiTheme="minorHAnsi" w:hAnsiTheme="minorHAnsi" w:cstheme="minorHAnsi"/>
              </w:rPr>
              <w:lastRenderedPageBreak/>
              <w:t>serious penalty in private sector</w:t>
            </w:r>
          </w:p>
          <w:p w14:paraId="61D2D13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(greater than 250 workers)</w:t>
            </w:r>
          </w:p>
        </w:tc>
        <w:tc>
          <w:tcPr>
            <w:tcW w:w="1289" w:type="dxa"/>
          </w:tcPr>
          <w:p w14:paraId="6FB0C068"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018A8">
              <w:rPr>
                <w:rFonts w:asciiTheme="minorHAnsi" w:eastAsia="PMingLiU" w:hAnsiTheme="minorHAnsi" w:cstheme="minorHAnsi"/>
              </w:rPr>
              <w:lastRenderedPageBreak/>
              <w:t>$4,723.98</w:t>
            </w:r>
          </w:p>
        </w:tc>
        <w:tc>
          <w:tcPr>
            <w:tcW w:w="1411" w:type="dxa"/>
          </w:tcPr>
          <w:p w14:paraId="6AD25408"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21EEB9A9"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lastRenderedPageBreak/>
              <w:t>$6,725.78</w:t>
            </w:r>
          </w:p>
          <w:p w14:paraId="5E553A8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06B2EE0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lastRenderedPageBreak/>
              <w:t xml:space="preserve">The further review level is based on a </w:t>
            </w:r>
            <w:r w:rsidRPr="00EE16A8">
              <w:rPr>
                <w:rFonts w:asciiTheme="minorHAnsi" w:hAnsiTheme="minorHAnsi" w:cstheme="minorHAnsi"/>
              </w:rPr>
              <w:lastRenderedPageBreak/>
              <w:t>three-year national average.  The range of acceptable data not requiring further review is from $5,044.34 to $8,407.23.</w:t>
            </w:r>
          </w:p>
        </w:tc>
      </w:tr>
      <w:tr w:rsidR="00611556" w:rsidRPr="004E492F" w14:paraId="74A99801"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560CFB4E"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lastRenderedPageBreak/>
              <w:t>9a</w:t>
            </w:r>
          </w:p>
        </w:tc>
        <w:tc>
          <w:tcPr>
            <w:tcW w:w="2206" w:type="dxa"/>
          </w:tcPr>
          <w:p w14:paraId="4B11C41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in compliance (safety)</w:t>
            </w:r>
          </w:p>
        </w:tc>
        <w:tc>
          <w:tcPr>
            <w:tcW w:w="1289" w:type="dxa"/>
          </w:tcPr>
          <w:p w14:paraId="039D722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38.72</w:t>
            </w:r>
            <w:r w:rsidRPr="00EE16A8">
              <w:rPr>
                <w:rFonts w:asciiTheme="minorHAnsi" w:eastAsia="PMingLiU" w:hAnsiTheme="minorHAnsi" w:cstheme="minorHAnsi"/>
              </w:rPr>
              <w:t>%</w:t>
            </w:r>
          </w:p>
        </w:tc>
        <w:tc>
          <w:tcPr>
            <w:tcW w:w="1411" w:type="dxa"/>
          </w:tcPr>
          <w:p w14:paraId="4A308E3E"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43CDBF1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32.25%</w:t>
            </w:r>
          </w:p>
        </w:tc>
        <w:tc>
          <w:tcPr>
            <w:tcW w:w="4410" w:type="dxa"/>
          </w:tcPr>
          <w:p w14:paraId="47286B4F"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25.80% to 38.70% for safety.</w:t>
            </w:r>
          </w:p>
        </w:tc>
      </w:tr>
      <w:tr w:rsidR="00611556" w:rsidRPr="004E492F" w14:paraId="08762106"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29394431"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9b</w:t>
            </w:r>
          </w:p>
        </w:tc>
        <w:tc>
          <w:tcPr>
            <w:tcW w:w="2206" w:type="dxa"/>
          </w:tcPr>
          <w:p w14:paraId="14F9DFF3"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in compliance (health)</w:t>
            </w:r>
          </w:p>
        </w:tc>
        <w:tc>
          <w:tcPr>
            <w:tcW w:w="1289" w:type="dxa"/>
          </w:tcPr>
          <w:p w14:paraId="5111201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38.91</w:t>
            </w:r>
            <w:r w:rsidRPr="00EE16A8">
              <w:rPr>
                <w:rFonts w:asciiTheme="minorHAnsi" w:eastAsia="PMingLiU" w:hAnsiTheme="minorHAnsi" w:cstheme="minorHAnsi"/>
              </w:rPr>
              <w:t>%</w:t>
            </w:r>
          </w:p>
        </w:tc>
        <w:tc>
          <w:tcPr>
            <w:tcW w:w="1411" w:type="dxa"/>
          </w:tcPr>
          <w:p w14:paraId="19087EF4"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75FB086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44.42%</w:t>
            </w:r>
          </w:p>
        </w:tc>
        <w:tc>
          <w:tcPr>
            <w:tcW w:w="4410" w:type="dxa"/>
          </w:tcPr>
          <w:p w14:paraId="3A7DD58C"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35.54% to 53.30% for health.</w:t>
            </w:r>
          </w:p>
        </w:tc>
      </w:tr>
      <w:tr w:rsidR="00611556" w:rsidRPr="004E492F" w14:paraId="62A26BF7"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36DD8965"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10</w:t>
            </w:r>
          </w:p>
        </w:tc>
        <w:tc>
          <w:tcPr>
            <w:tcW w:w="2206" w:type="dxa"/>
          </w:tcPr>
          <w:p w14:paraId="6BECB397"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of work-related fatalities responded to in one workday</w:t>
            </w:r>
          </w:p>
        </w:tc>
        <w:tc>
          <w:tcPr>
            <w:tcW w:w="1289" w:type="dxa"/>
          </w:tcPr>
          <w:p w14:paraId="72B2A821"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100</w:t>
            </w:r>
            <w:r w:rsidRPr="00EE16A8">
              <w:rPr>
                <w:rFonts w:asciiTheme="minorHAnsi" w:eastAsia="PMingLiU" w:hAnsiTheme="minorHAnsi" w:cstheme="minorHAnsi"/>
              </w:rPr>
              <w:t>%</w:t>
            </w:r>
          </w:p>
        </w:tc>
        <w:tc>
          <w:tcPr>
            <w:tcW w:w="1411" w:type="dxa"/>
          </w:tcPr>
          <w:p w14:paraId="4AE8F8FE"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100%</w:t>
            </w:r>
          </w:p>
        </w:tc>
        <w:tc>
          <w:tcPr>
            <w:tcW w:w="4410" w:type="dxa"/>
          </w:tcPr>
          <w:p w14:paraId="66A4FD9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611556" w:rsidRPr="004E492F" w14:paraId="3EE8B4CB"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0C14CD35"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11a</w:t>
            </w:r>
          </w:p>
        </w:tc>
        <w:tc>
          <w:tcPr>
            <w:tcW w:w="2206" w:type="dxa"/>
          </w:tcPr>
          <w:p w14:paraId="15112201"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Average lapse time (safety)</w:t>
            </w:r>
          </w:p>
        </w:tc>
        <w:tc>
          <w:tcPr>
            <w:tcW w:w="1289" w:type="dxa"/>
          </w:tcPr>
          <w:p w14:paraId="4D52393C"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50.53</w:t>
            </w:r>
          </w:p>
        </w:tc>
        <w:tc>
          <w:tcPr>
            <w:tcW w:w="1411" w:type="dxa"/>
          </w:tcPr>
          <w:p w14:paraId="666A8777"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1FDBC3D0"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54.58</w:t>
            </w:r>
          </w:p>
        </w:tc>
        <w:tc>
          <w:tcPr>
            <w:tcW w:w="4410" w:type="dxa"/>
          </w:tcPr>
          <w:p w14:paraId="4CF3C56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43.66 to 65.50 for safety.</w:t>
            </w:r>
          </w:p>
        </w:tc>
      </w:tr>
      <w:tr w:rsidR="00611556" w:rsidRPr="004E492F" w14:paraId="6F62A44A"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006CA851"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11b</w:t>
            </w:r>
          </w:p>
        </w:tc>
        <w:tc>
          <w:tcPr>
            <w:tcW w:w="2206" w:type="dxa"/>
          </w:tcPr>
          <w:p w14:paraId="6381D35C"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Average lapse time (health)</w:t>
            </w:r>
          </w:p>
        </w:tc>
        <w:tc>
          <w:tcPr>
            <w:tcW w:w="1289" w:type="dxa"/>
          </w:tcPr>
          <w:p w14:paraId="06966983"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52.87</w:t>
            </w:r>
          </w:p>
        </w:tc>
        <w:tc>
          <w:tcPr>
            <w:tcW w:w="1411" w:type="dxa"/>
          </w:tcPr>
          <w:p w14:paraId="535A738C"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500F9B19"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69.03</w:t>
            </w:r>
          </w:p>
        </w:tc>
        <w:tc>
          <w:tcPr>
            <w:tcW w:w="4410" w:type="dxa"/>
          </w:tcPr>
          <w:p w14:paraId="01BDF4B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55.22 to 82.84 for health.</w:t>
            </w:r>
          </w:p>
        </w:tc>
      </w:tr>
      <w:tr w:rsidR="00611556" w:rsidRPr="004E492F" w14:paraId="46912859"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36459C7A"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12</w:t>
            </w:r>
          </w:p>
        </w:tc>
        <w:tc>
          <w:tcPr>
            <w:tcW w:w="2206" w:type="dxa"/>
          </w:tcPr>
          <w:p w14:paraId="2790CCF6"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penalty retained</w:t>
            </w:r>
          </w:p>
        </w:tc>
        <w:tc>
          <w:tcPr>
            <w:tcW w:w="1289" w:type="dxa"/>
          </w:tcPr>
          <w:p w14:paraId="7913CEA2"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89.42</w:t>
            </w:r>
            <w:r w:rsidRPr="00EE16A8">
              <w:rPr>
                <w:rFonts w:asciiTheme="minorHAnsi" w:hAnsiTheme="minorHAnsi" w:cstheme="minorHAnsi"/>
              </w:rPr>
              <w:t>%</w:t>
            </w:r>
          </w:p>
        </w:tc>
        <w:tc>
          <w:tcPr>
            <w:tcW w:w="1411" w:type="dxa"/>
          </w:tcPr>
          <w:p w14:paraId="07EB11D2"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+/- 15% of</w:t>
            </w:r>
          </w:p>
          <w:p w14:paraId="6017473B"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69.97%</w:t>
            </w:r>
          </w:p>
        </w:tc>
        <w:tc>
          <w:tcPr>
            <w:tcW w:w="4410" w:type="dxa"/>
          </w:tcPr>
          <w:p w14:paraId="78148722"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59.47% to 80.47%.</w:t>
            </w:r>
          </w:p>
        </w:tc>
      </w:tr>
      <w:tr w:rsidR="00611556" w:rsidRPr="004E492F" w14:paraId="2B3F2DE8"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49C5C80E"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13</w:t>
            </w:r>
          </w:p>
        </w:tc>
        <w:tc>
          <w:tcPr>
            <w:tcW w:w="2206" w:type="dxa"/>
          </w:tcPr>
          <w:p w14:paraId="4398A63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of initial inspections with worker walk-around representation or worker interview</w:t>
            </w:r>
          </w:p>
        </w:tc>
        <w:tc>
          <w:tcPr>
            <w:tcW w:w="1289" w:type="dxa"/>
          </w:tcPr>
          <w:p w14:paraId="522E543E"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100</w:t>
            </w:r>
            <w:r w:rsidRPr="00EE16A8">
              <w:rPr>
                <w:rFonts w:asciiTheme="minorHAnsi" w:hAnsiTheme="minorHAnsi" w:cstheme="minorHAnsi"/>
              </w:rPr>
              <w:t>%</w:t>
            </w:r>
          </w:p>
        </w:tc>
        <w:tc>
          <w:tcPr>
            <w:tcW w:w="1411" w:type="dxa"/>
          </w:tcPr>
          <w:p w14:paraId="56629F72"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100%</w:t>
            </w:r>
          </w:p>
        </w:tc>
        <w:tc>
          <w:tcPr>
            <w:tcW w:w="4410" w:type="dxa"/>
          </w:tcPr>
          <w:p w14:paraId="208BB8D9"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611556" w:rsidRPr="004E492F" w14:paraId="784B4CF8"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31D0E54A"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14</w:t>
            </w:r>
          </w:p>
        </w:tc>
        <w:tc>
          <w:tcPr>
            <w:tcW w:w="2206" w:type="dxa"/>
          </w:tcPr>
          <w:p w14:paraId="35F910B7"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Percent of 11(c) investigations </w:t>
            </w:r>
            <w:r w:rsidRPr="00EE16A8">
              <w:rPr>
                <w:rFonts w:asciiTheme="minorHAnsi" w:hAnsiTheme="minorHAnsi" w:cstheme="minorHAnsi"/>
              </w:rPr>
              <w:lastRenderedPageBreak/>
              <w:t>completed within 90 days</w:t>
            </w:r>
          </w:p>
        </w:tc>
        <w:tc>
          <w:tcPr>
            <w:tcW w:w="1289" w:type="dxa"/>
          </w:tcPr>
          <w:p w14:paraId="2F03053D"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lastRenderedPageBreak/>
              <w:t>N/A*</w:t>
            </w:r>
          </w:p>
        </w:tc>
        <w:tc>
          <w:tcPr>
            <w:tcW w:w="1411" w:type="dxa"/>
          </w:tcPr>
          <w:p w14:paraId="21ECB6F3"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4410" w:type="dxa"/>
          </w:tcPr>
          <w:p w14:paraId="11334E30"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This measure is not being reported for FY 2022. Please see note below.</w:t>
            </w:r>
          </w:p>
        </w:tc>
      </w:tr>
      <w:tr w:rsidR="00611556" w:rsidRPr="004E492F" w14:paraId="0711F5E6"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7BD4B582"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15</w:t>
            </w:r>
          </w:p>
        </w:tc>
        <w:tc>
          <w:tcPr>
            <w:tcW w:w="2206" w:type="dxa"/>
          </w:tcPr>
          <w:p w14:paraId="2A44405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of 11(c) complaints that are meritorious</w:t>
            </w:r>
          </w:p>
        </w:tc>
        <w:tc>
          <w:tcPr>
            <w:tcW w:w="1289" w:type="dxa"/>
          </w:tcPr>
          <w:p w14:paraId="176492FC"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1411" w:type="dxa"/>
          </w:tcPr>
          <w:p w14:paraId="0867976E"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4410" w:type="dxa"/>
          </w:tcPr>
          <w:p w14:paraId="09290E30"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82B43">
              <w:rPr>
                <w:rFonts w:asciiTheme="minorHAnsi" w:hAnsiTheme="minorHAnsi" w:cstheme="minorHAnsi"/>
              </w:rPr>
              <w:t>This measure is not being reported for FY 2022. Please see note below.</w:t>
            </w:r>
            <w:r>
              <w:rPr>
                <w:rFonts w:asciiTheme="minorHAnsi" w:hAnsiTheme="minorHAnsi" w:cstheme="minorHAnsi"/>
              </w:rPr>
              <w:t xml:space="preserve"> </w:t>
            </w:r>
          </w:p>
        </w:tc>
      </w:tr>
      <w:tr w:rsidR="00611556" w:rsidRPr="004E492F" w14:paraId="15965EC0"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57131D58"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16</w:t>
            </w:r>
          </w:p>
        </w:tc>
        <w:tc>
          <w:tcPr>
            <w:tcW w:w="2206" w:type="dxa"/>
          </w:tcPr>
          <w:p w14:paraId="135999EE"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Average number of calendar days to complete an 11(c) investigation</w:t>
            </w:r>
          </w:p>
        </w:tc>
        <w:tc>
          <w:tcPr>
            <w:tcW w:w="1289" w:type="dxa"/>
          </w:tcPr>
          <w:p w14:paraId="6F72F495"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1411" w:type="dxa"/>
            <w:shd w:val="clear" w:color="auto" w:fill="auto"/>
          </w:tcPr>
          <w:p w14:paraId="281DF00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4410" w:type="dxa"/>
          </w:tcPr>
          <w:p w14:paraId="1F8D94E9"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50BA9">
              <w:rPr>
                <w:rFonts w:asciiTheme="minorHAnsi" w:eastAsia="PMingLiU" w:hAnsiTheme="minorHAnsi" w:cstheme="minorHAnsi"/>
              </w:rPr>
              <w:t>This measure is not being reported for FY 2022. Please see note below.</w:t>
            </w:r>
          </w:p>
        </w:tc>
      </w:tr>
      <w:tr w:rsidR="00611556" w:rsidRPr="004E492F" w14:paraId="38D93931" w14:textId="77777777" w:rsidTr="00EE3675">
        <w:tc>
          <w:tcPr>
            <w:cnfStyle w:val="001000000000" w:firstRow="0" w:lastRow="0" w:firstColumn="1" w:lastColumn="0" w:oddVBand="0" w:evenVBand="0" w:oddHBand="0" w:evenHBand="0" w:firstRowFirstColumn="0" w:firstRowLastColumn="0" w:lastRowFirstColumn="0" w:lastRowLastColumn="0"/>
            <w:tcW w:w="1034" w:type="dxa"/>
          </w:tcPr>
          <w:p w14:paraId="44BDB6C1" w14:textId="77777777" w:rsidR="00611556" w:rsidRPr="004E492F"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17</w:t>
            </w:r>
          </w:p>
        </w:tc>
        <w:tc>
          <w:tcPr>
            <w:tcW w:w="2206" w:type="dxa"/>
          </w:tcPr>
          <w:p w14:paraId="3D18DD22"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of enforcement presence</w:t>
            </w:r>
          </w:p>
        </w:tc>
        <w:tc>
          <w:tcPr>
            <w:tcW w:w="1289" w:type="dxa"/>
          </w:tcPr>
          <w:p w14:paraId="7DE84514"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1.02%</w:t>
            </w:r>
          </w:p>
        </w:tc>
        <w:tc>
          <w:tcPr>
            <w:tcW w:w="1411" w:type="dxa"/>
          </w:tcPr>
          <w:p w14:paraId="52AF0767" w14:textId="77777777" w:rsidR="00611556" w:rsidRPr="00EE16A8" w:rsidRDefault="00611556" w:rsidP="00EE36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+/- 25% of</w:t>
            </w:r>
          </w:p>
          <w:p w14:paraId="1FBBCD11"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1.64</w:t>
            </w:r>
            <w:r w:rsidRPr="00EE16A8">
              <w:rPr>
                <w:rFonts w:asciiTheme="minorHAnsi" w:hAnsiTheme="minorHAnsi" w:cstheme="minorHAnsi"/>
              </w:rPr>
              <w:t>%</w:t>
            </w:r>
          </w:p>
        </w:tc>
        <w:tc>
          <w:tcPr>
            <w:tcW w:w="4410" w:type="dxa"/>
          </w:tcPr>
          <w:p w14:paraId="02B6C611" w14:textId="77777777" w:rsidR="00611556" w:rsidRPr="00EE16A8" w:rsidRDefault="00611556" w:rsidP="00EE367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three-year national average.  The range of acceptable data not requiring further review is from </w:t>
            </w:r>
            <w:r>
              <w:rPr>
                <w:rFonts w:asciiTheme="minorHAnsi" w:hAnsiTheme="minorHAnsi" w:cstheme="minorHAnsi"/>
              </w:rPr>
              <w:t>1.23</w:t>
            </w:r>
            <w:r w:rsidRPr="00EE16A8">
              <w:rPr>
                <w:rFonts w:asciiTheme="minorHAnsi" w:hAnsiTheme="minorHAnsi" w:cstheme="minorHAnsi"/>
              </w:rPr>
              <w:t xml:space="preserve">% to </w:t>
            </w:r>
            <w:r>
              <w:rPr>
                <w:rFonts w:asciiTheme="minorHAnsi" w:hAnsiTheme="minorHAnsi" w:cstheme="minorHAnsi"/>
              </w:rPr>
              <w:t>2.05</w:t>
            </w:r>
            <w:r w:rsidRPr="00EE16A8">
              <w:rPr>
                <w:rFonts w:asciiTheme="minorHAnsi" w:hAnsiTheme="minorHAnsi" w:cstheme="minorHAnsi"/>
              </w:rPr>
              <w:t>%.</w:t>
            </w:r>
          </w:p>
        </w:tc>
      </w:tr>
    </w:tbl>
    <w:p w14:paraId="0073DD6E" w14:textId="77777777" w:rsidR="00611556" w:rsidRDefault="00611556" w:rsidP="00611556">
      <w: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78027A28" w14:textId="77777777" w:rsidR="00611556" w:rsidRDefault="00611556" w:rsidP="00611556"/>
    <w:p w14:paraId="3291466A" w14:textId="5CD42815" w:rsidR="005F128A" w:rsidRPr="00611556" w:rsidRDefault="00611556" w:rsidP="00611556">
      <w:r>
        <w:t>*Due to the transition of 11(c) data from IMIS to OIS, SAMMs 14, 15, and 16 are not being reported for FY 2022.</w:t>
      </w: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21"/>
          <w:footerReference w:type="default" r:id="rId22"/>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2110" w14:textId="77777777" w:rsidR="00B07D26" w:rsidRDefault="00B07D26" w:rsidP="00C872A0">
      <w:r>
        <w:separator/>
      </w:r>
    </w:p>
  </w:endnote>
  <w:endnote w:type="continuationSeparator" w:id="0">
    <w:p w14:paraId="47414B32" w14:textId="77777777" w:rsidR="00B07D26" w:rsidRDefault="00B07D26"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9ACC" w14:textId="77777777" w:rsidR="00B07D26" w:rsidRDefault="00B07D26" w:rsidP="00C872A0">
      <w:r>
        <w:separator/>
      </w:r>
    </w:p>
  </w:footnote>
  <w:footnote w:type="continuationSeparator" w:id="0">
    <w:p w14:paraId="36C8A7CC" w14:textId="77777777" w:rsidR="00B07D26" w:rsidRDefault="00B07D26"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7E3856"/>
    <w:multiLevelType w:val="hybridMultilevel"/>
    <w:tmpl w:val="0BCA9646"/>
    <w:lvl w:ilvl="0" w:tplc="04090001">
      <w:start w:val="1"/>
      <w:numFmt w:val="bullet"/>
      <w:lvlText w:val=""/>
      <w:lvlJc w:val="left"/>
      <w:pPr>
        <w:ind w:left="360" w:hanging="360"/>
      </w:pPr>
      <w:rPr>
        <w:rFonts w:ascii="Symbol" w:hAnsi="Symbol" w:hint="default"/>
        <w:b w:val="0"/>
        <w:color w:val="auto"/>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42CD0"/>
    <w:multiLevelType w:val="hybridMultilevel"/>
    <w:tmpl w:val="D9F8BEA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534D09A3"/>
    <w:multiLevelType w:val="hybridMultilevel"/>
    <w:tmpl w:val="EAA2E8AA"/>
    <w:lvl w:ilvl="0" w:tplc="79D8B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6A77458"/>
    <w:multiLevelType w:val="hybridMultilevel"/>
    <w:tmpl w:val="6A6AE0C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A032690"/>
    <w:multiLevelType w:val="hybridMultilevel"/>
    <w:tmpl w:val="2EAE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3"/>
  </w:num>
  <w:num w:numId="5" w16cid:durableId="437339714">
    <w:abstractNumId w:val="30"/>
  </w:num>
  <w:num w:numId="6" w16cid:durableId="1373268660">
    <w:abstractNumId w:val="25"/>
  </w:num>
  <w:num w:numId="7" w16cid:durableId="1614284284">
    <w:abstractNumId w:val="26"/>
  </w:num>
  <w:num w:numId="8" w16cid:durableId="1901401974">
    <w:abstractNumId w:val="32"/>
  </w:num>
  <w:num w:numId="9" w16cid:durableId="340623116">
    <w:abstractNumId w:val="28"/>
  </w:num>
  <w:num w:numId="10" w16cid:durableId="1713532647">
    <w:abstractNumId w:val="35"/>
  </w:num>
  <w:num w:numId="11" w16cid:durableId="247546233">
    <w:abstractNumId w:val="23"/>
  </w:num>
  <w:num w:numId="12" w16cid:durableId="1587691524">
    <w:abstractNumId w:val="24"/>
  </w:num>
  <w:num w:numId="13" w16cid:durableId="11001029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3068495">
    <w:abstractNumId w:val="36"/>
  </w:num>
  <w:num w:numId="15" w16cid:durableId="1192911733">
    <w:abstractNumId w:val="27"/>
  </w:num>
  <w:num w:numId="16" w16cid:durableId="260644140">
    <w:abstractNumId w:val="34"/>
  </w:num>
  <w:num w:numId="17" w16cid:durableId="42593026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0003C7"/>
    <w:rsid w:val="000011DF"/>
    <w:rsid w:val="0000201A"/>
    <w:rsid w:val="00002B73"/>
    <w:rsid w:val="000036AB"/>
    <w:rsid w:val="00004200"/>
    <w:rsid w:val="00007781"/>
    <w:rsid w:val="000116C0"/>
    <w:rsid w:val="00014C7A"/>
    <w:rsid w:val="00016214"/>
    <w:rsid w:val="00016803"/>
    <w:rsid w:val="0001706D"/>
    <w:rsid w:val="00017349"/>
    <w:rsid w:val="000209D3"/>
    <w:rsid w:val="00021274"/>
    <w:rsid w:val="000217D1"/>
    <w:rsid w:val="00021FE0"/>
    <w:rsid w:val="00022BEE"/>
    <w:rsid w:val="00023E67"/>
    <w:rsid w:val="000248F0"/>
    <w:rsid w:val="0002572C"/>
    <w:rsid w:val="00025F57"/>
    <w:rsid w:val="00026D63"/>
    <w:rsid w:val="00027093"/>
    <w:rsid w:val="0003442F"/>
    <w:rsid w:val="00034A4E"/>
    <w:rsid w:val="00035083"/>
    <w:rsid w:val="0003567C"/>
    <w:rsid w:val="00036865"/>
    <w:rsid w:val="00036BF8"/>
    <w:rsid w:val="00036EB4"/>
    <w:rsid w:val="00036F0D"/>
    <w:rsid w:val="00037F48"/>
    <w:rsid w:val="000404ED"/>
    <w:rsid w:val="00042327"/>
    <w:rsid w:val="00043515"/>
    <w:rsid w:val="00044436"/>
    <w:rsid w:val="000447C9"/>
    <w:rsid w:val="000449F8"/>
    <w:rsid w:val="00044F7D"/>
    <w:rsid w:val="00045479"/>
    <w:rsid w:val="00045BD6"/>
    <w:rsid w:val="00045C51"/>
    <w:rsid w:val="00046151"/>
    <w:rsid w:val="000468C6"/>
    <w:rsid w:val="00046BEE"/>
    <w:rsid w:val="00046E13"/>
    <w:rsid w:val="000470EE"/>
    <w:rsid w:val="0005007B"/>
    <w:rsid w:val="00050FEB"/>
    <w:rsid w:val="000517FA"/>
    <w:rsid w:val="00052B36"/>
    <w:rsid w:val="00053A2C"/>
    <w:rsid w:val="00054416"/>
    <w:rsid w:val="00054900"/>
    <w:rsid w:val="00055243"/>
    <w:rsid w:val="00055B40"/>
    <w:rsid w:val="00055F2C"/>
    <w:rsid w:val="00057840"/>
    <w:rsid w:val="00060AD5"/>
    <w:rsid w:val="00060D39"/>
    <w:rsid w:val="00061875"/>
    <w:rsid w:val="000625FB"/>
    <w:rsid w:val="0006398D"/>
    <w:rsid w:val="00065AB2"/>
    <w:rsid w:val="0006611A"/>
    <w:rsid w:val="00066A7B"/>
    <w:rsid w:val="00066C52"/>
    <w:rsid w:val="000701E4"/>
    <w:rsid w:val="0007073F"/>
    <w:rsid w:val="000712C0"/>
    <w:rsid w:val="0007157F"/>
    <w:rsid w:val="00071E71"/>
    <w:rsid w:val="000724F1"/>
    <w:rsid w:val="0007306B"/>
    <w:rsid w:val="000743D1"/>
    <w:rsid w:val="00074876"/>
    <w:rsid w:val="000760CB"/>
    <w:rsid w:val="00076601"/>
    <w:rsid w:val="000767C0"/>
    <w:rsid w:val="00077410"/>
    <w:rsid w:val="00083A76"/>
    <w:rsid w:val="00085230"/>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416"/>
    <w:rsid w:val="000969E2"/>
    <w:rsid w:val="000A134A"/>
    <w:rsid w:val="000A146B"/>
    <w:rsid w:val="000A1CE9"/>
    <w:rsid w:val="000A20EB"/>
    <w:rsid w:val="000A2DE7"/>
    <w:rsid w:val="000A3878"/>
    <w:rsid w:val="000A40EC"/>
    <w:rsid w:val="000A4296"/>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343F"/>
    <w:rsid w:val="000D36FC"/>
    <w:rsid w:val="000D4560"/>
    <w:rsid w:val="000D4A64"/>
    <w:rsid w:val="000D57BC"/>
    <w:rsid w:val="000D750A"/>
    <w:rsid w:val="000D7AAD"/>
    <w:rsid w:val="000E0408"/>
    <w:rsid w:val="000E07E7"/>
    <w:rsid w:val="000E0DD1"/>
    <w:rsid w:val="000E1AA2"/>
    <w:rsid w:val="000E20A2"/>
    <w:rsid w:val="000E46F3"/>
    <w:rsid w:val="000E5C64"/>
    <w:rsid w:val="000E6466"/>
    <w:rsid w:val="000E7F42"/>
    <w:rsid w:val="000F1378"/>
    <w:rsid w:val="000F1D68"/>
    <w:rsid w:val="000F1E49"/>
    <w:rsid w:val="000F3C1C"/>
    <w:rsid w:val="000F46ED"/>
    <w:rsid w:val="000F4DA3"/>
    <w:rsid w:val="000F5631"/>
    <w:rsid w:val="000F5A36"/>
    <w:rsid w:val="000F63C1"/>
    <w:rsid w:val="000F6A5C"/>
    <w:rsid w:val="000F7ECC"/>
    <w:rsid w:val="001039FA"/>
    <w:rsid w:val="001056A7"/>
    <w:rsid w:val="0011011A"/>
    <w:rsid w:val="001105AB"/>
    <w:rsid w:val="00110CB0"/>
    <w:rsid w:val="00111062"/>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79B"/>
    <w:rsid w:val="00147B01"/>
    <w:rsid w:val="00147F8B"/>
    <w:rsid w:val="00150A98"/>
    <w:rsid w:val="00150F03"/>
    <w:rsid w:val="001515BB"/>
    <w:rsid w:val="00151CFD"/>
    <w:rsid w:val="00152207"/>
    <w:rsid w:val="00155591"/>
    <w:rsid w:val="00156CD6"/>
    <w:rsid w:val="00156E0C"/>
    <w:rsid w:val="00157520"/>
    <w:rsid w:val="0015795A"/>
    <w:rsid w:val="001605C7"/>
    <w:rsid w:val="00161740"/>
    <w:rsid w:val="0016336D"/>
    <w:rsid w:val="00163E90"/>
    <w:rsid w:val="00172085"/>
    <w:rsid w:val="00173853"/>
    <w:rsid w:val="0017552C"/>
    <w:rsid w:val="00176DF8"/>
    <w:rsid w:val="00177A1E"/>
    <w:rsid w:val="00177D70"/>
    <w:rsid w:val="00182B5C"/>
    <w:rsid w:val="00182CE0"/>
    <w:rsid w:val="001843E2"/>
    <w:rsid w:val="0018472F"/>
    <w:rsid w:val="00184E43"/>
    <w:rsid w:val="00185C7D"/>
    <w:rsid w:val="001861B8"/>
    <w:rsid w:val="00187065"/>
    <w:rsid w:val="00187182"/>
    <w:rsid w:val="001902FE"/>
    <w:rsid w:val="001927A4"/>
    <w:rsid w:val="00192881"/>
    <w:rsid w:val="00192C14"/>
    <w:rsid w:val="00193E53"/>
    <w:rsid w:val="001941DE"/>
    <w:rsid w:val="00195153"/>
    <w:rsid w:val="001958C8"/>
    <w:rsid w:val="001971D9"/>
    <w:rsid w:val="001A2967"/>
    <w:rsid w:val="001A335E"/>
    <w:rsid w:val="001A3671"/>
    <w:rsid w:val="001A6B79"/>
    <w:rsid w:val="001A7BB9"/>
    <w:rsid w:val="001A7F60"/>
    <w:rsid w:val="001B0219"/>
    <w:rsid w:val="001B02D7"/>
    <w:rsid w:val="001B0632"/>
    <w:rsid w:val="001B0AF1"/>
    <w:rsid w:val="001B160F"/>
    <w:rsid w:val="001B284A"/>
    <w:rsid w:val="001B3033"/>
    <w:rsid w:val="001B346B"/>
    <w:rsid w:val="001B6DA7"/>
    <w:rsid w:val="001B77A2"/>
    <w:rsid w:val="001C154D"/>
    <w:rsid w:val="001C1E47"/>
    <w:rsid w:val="001C2394"/>
    <w:rsid w:val="001C2B11"/>
    <w:rsid w:val="001C3276"/>
    <w:rsid w:val="001C44E8"/>
    <w:rsid w:val="001C560E"/>
    <w:rsid w:val="001C58C2"/>
    <w:rsid w:val="001C620B"/>
    <w:rsid w:val="001D1819"/>
    <w:rsid w:val="001D1A16"/>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0EED"/>
    <w:rsid w:val="001F1D8A"/>
    <w:rsid w:val="001F359C"/>
    <w:rsid w:val="001F3750"/>
    <w:rsid w:val="001F40E1"/>
    <w:rsid w:val="001F58B8"/>
    <w:rsid w:val="00200D27"/>
    <w:rsid w:val="002011AC"/>
    <w:rsid w:val="00201EB9"/>
    <w:rsid w:val="00202BD7"/>
    <w:rsid w:val="002048CC"/>
    <w:rsid w:val="0020506D"/>
    <w:rsid w:val="00205391"/>
    <w:rsid w:val="00205A99"/>
    <w:rsid w:val="00205B95"/>
    <w:rsid w:val="0020733F"/>
    <w:rsid w:val="00207B94"/>
    <w:rsid w:val="00210E15"/>
    <w:rsid w:val="00211626"/>
    <w:rsid w:val="0021277A"/>
    <w:rsid w:val="00212BC7"/>
    <w:rsid w:val="0021380C"/>
    <w:rsid w:val="00213FCA"/>
    <w:rsid w:val="00216621"/>
    <w:rsid w:val="00216B0E"/>
    <w:rsid w:val="00217433"/>
    <w:rsid w:val="00217437"/>
    <w:rsid w:val="00222350"/>
    <w:rsid w:val="002231D3"/>
    <w:rsid w:val="002235F3"/>
    <w:rsid w:val="002247E7"/>
    <w:rsid w:val="0022537C"/>
    <w:rsid w:val="0022685E"/>
    <w:rsid w:val="00227868"/>
    <w:rsid w:val="00230915"/>
    <w:rsid w:val="00230D53"/>
    <w:rsid w:val="0023191B"/>
    <w:rsid w:val="002337B2"/>
    <w:rsid w:val="00233C64"/>
    <w:rsid w:val="0023558D"/>
    <w:rsid w:val="002404BA"/>
    <w:rsid w:val="002427F7"/>
    <w:rsid w:val="00243015"/>
    <w:rsid w:val="0024338F"/>
    <w:rsid w:val="002511A8"/>
    <w:rsid w:val="002511E9"/>
    <w:rsid w:val="002512E8"/>
    <w:rsid w:val="00251FA2"/>
    <w:rsid w:val="002523FB"/>
    <w:rsid w:val="002529E8"/>
    <w:rsid w:val="00253249"/>
    <w:rsid w:val="002536CB"/>
    <w:rsid w:val="002536E7"/>
    <w:rsid w:val="0025526A"/>
    <w:rsid w:val="00255EA4"/>
    <w:rsid w:val="00260A89"/>
    <w:rsid w:val="00260C9F"/>
    <w:rsid w:val="00261A11"/>
    <w:rsid w:val="00262A51"/>
    <w:rsid w:val="00262DDC"/>
    <w:rsid w:val="002648FC"/>
    <w:rsid w:val="00265778"/>
    <w:rsid w:val="002658D0"/>
    <w:rsid w:val="002679E5"/>
    <w:rsid w:val="00270695"/>
    <w:rsid w:val="002707B8"/>
    <w:rsid w:val="0027084D"/>
    <w:rsid w:val="002725BC"/>
    <w:rsid w:val="002731DE"/>
    <w:rsid w:val="002735F9"/>
    <w:rsid w:val="00273CD1"/>
    <w:rsid w:val="00274463"/>
    <w:rsid w:val="0027502F"/>
    <w:rsid w:val="00276080"/>
    <w:rsid w:val="00277C24"/>
    <w:rsid w:val="0028166F"/>
    <w:rsid w:val="00281733"/>
    <w:rsid w:val="0028174D"/>
    <w:rsid w:val="00281A30"/>
    <w:rsid w:val="002823D9"/>
    <w:rsid w:val="002831C6"/>
    <w:rsid w:val="00283FF9"/>
    <w:rsid w:val="00290AF1"/>
    <w:rsid w:val="00290B29"/>
    <w:rsid w:val="00292313"/>
    <w:rsid w:val="00294168"/>
    <w:rsid w:val="00294245"/>
    <w:rsid w:val="002948AE"/>
    <w:rsid w:val="00294FD0"/>
    <w:rsid w:val="002954DC"/>
    <w:rsid w:val="0029647F"/>
    <w:rsid w:val="00296B1E"/>
    <w:rsid w:val="00297ABC"/>
    <w:rsid w:val="002A0050"/>
    <w:rsid w:val="002A2421"/>
    <w:rsid w:val="002A40A1"/>
    <w:rsid w:val="002A4594"/>
    <w:rsid w:val="002A4934"/>
    <w:rsid w:val="002A50A7"/>
    <w:rsid w:val="002A65C4"/>
    <w:rsid w:val="002A6CAA"/>
    <w:rsid w:val="002A6EA8"/>
    <w:rsid w:val="002B020A"/>
    <w:rsid w:val="002B334F"/>
    <w:rsid w:val="002B3E37"/>
    <w:rsid w:val="002B4100"/>
    <w:rsid w:val="002B4250"/>
    <w:rsid w:val="002B429D"/>
    <w:rsid w:val="002B43F3"/>
    <w:rsid w:val="002B4830"/>
    <w:rsid w:val="002B4F49"/>
    <w:rsid w:val="002B63FA"/>
    <w:rsid w:val="002B66AB"/>
    <w:rsid w:val="002B7D36"/>
    <w:rsid w:val="002C1E78"/>
    <w:rsid w:val="002C21A1"/>
    <w:rsid w:val="002C351D"/>
    <w:rsid w:val="002C4E8C"/>
    <w:rsid w:val="002C65D1"/>
    <w:rsid w:val="002D0261"/>
    <w:rsid w:val="002D0460"/>
    <w:rsid w:val="002D1D1E"/>
    <w:rsid w:val="002D427B"/>
    <w:rsid w:val="002D473A"/>
    <w:rsid w:val="002D4DBB"/>
    <w:rsid w:val="002D4F37"/>
    <w:rsid w:val="002D54B7"/>
    <w:rsid w:val="002D61CE"/>
    <w:rsid w:val="002D657B"/>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1CE2"/>
    <w:rsid w:val="002F313C"/>
    <w:rsid w:val="002F33A5"/>
    <w:rsid w:val="002F3602"/>
    <w:rsid w:val="002F4FA0"/>
    <w:rsid w:val="002F5F07"/>
    <w:rsid w:val="002F78C9"/>
    <w:rsid w:val="002F7F47"/>
    <w:rsid w:val="0030105C"/>
    <w:rsid w:val="00302EA2"/>
    <w:rsid w:val="00304846"/>
    <w:rsid w:val="00304930"/>
    <w:rsid w:val="0030523E"/>
    <w:rsid w:val="00305510"/>
    <w:rsid w:val="00306137"/>
    <w:rsid w:val="00312D97"/>
    <w:rsid w:val="00312FDE"/>
    <w:rsid w:val="0031493F"/>
    <w:rsid w:val="00315E58"/>
    <w:rsid w:val="00317453"/>
    <w:rsid w:val="00320A32"/>
    <w:rsid w:val="00322518"/>
    <w:rsid w:val="00322C51"/>
    <w:rsid w:val="003235C8"/>
    <w:rsid w:val="003249AC"/>
    <w:rsid w:val="00325557"/>
    <w:rsid w:val="0032597C"/>
    <w:rsid w:val="00327926"/>
    <w:rsid w:val="00327C25"/>
    <w:rsid w:val="00327E12"/>
    <w:rsid w:val="003306BF"/>
    <w:rsid w:val="00331F49"/>
    <w:rsid w:val="00334155"/>
    <w:rsid w:val="00336613"/>
    <w:rsid w:val="00336FF6"/>
    <w:rsid w:val="0033715B"/>
    <w:rsid w:val="003400CE"/>
    <w:rsid w:val="00340ED2"/>
    <w:rsid w:val="00341DD1"/>
    <w:rsid w:val="00343604"/>
    <w:rsid w:val="00344186"/>
    <w:rsid w:val="00344D3F"/>
    <w:rsid w:val="0034504D"/>
    <w:rsid w:val="00345174"/>
    <w:rsid w:val="0034562A"/>
    <w:rsid w:val="003478A8"/>
    <w:rsid w:val="00350DCF"/>
    <w:rsid w:val="00350E7F"/>
    <w:rsid w:val="00351ABE"/>
    <w:rsid w:val="00351DAD"/>
    <w:rsid w:val="0035483B"/>
    <w:rsid w:val="0035620E"/>
    <w:rsid w:val="00356861"/>
    <w:rsid w:val="0035765D"/>
    <w:rsid w:val="00360CDE"/>
    <w:rsid w:val="003625AF"/>
    <w:rsid w:val="00363176"/>
    <w:rsid w:val="00363AF6"/>
    <w:rsid w:val="0036420B"/>
    <w:rsid w:val="003657C9"/>
    <w:rsid w:val="00366110"/>
    <w:rsid w:val="00366FCA"/>
    <w:rsid w:val="003675BA"/>
    <w:rsid w:val="00367742"/>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36E"/>
    <w:rsid w:val="00391D6F"/>
    <w:rsid w:val="00392C0A"/>
    <w:rsid w:val="0039497C"/>
    <w:rsid w:val="00395A18"/>
    <w:rsid w:val="0039632A"/>
    <w:rsid w:val="00396CFB"/>
    <w:rsid w:val="00397C14"/>
    <w:rsid w:val="003A15AE"/>
    <w:rsid w:val="003A1E5E"/>
    <w:rsid w:val="003A1F58"/>
    <w:rsid w:val="003A20DA"/>
    <w:rsid w:val="003A2119"/>
    <w:rsid w:val="003A4F3E"/>
    <w:rsid w:val="003A53CD"/>
    <w:rsid w:val="003A6DB0"/>
    <w:rsid w:val="003A79DB"/>
    <w:rsid w:val="003B201E"/>
    <w:rsid w:val="003B2977"/>
    <w:rsid w:val="003B3314"/>
    <w:rsid w:val="003B3D85"/>
    <w:rsid w:val="003B3DD0"/>
    <w:rsid w:val="003B572B"/>
    <w:rsid w:val="003B5B99"/>
    <w:rsid w:val="003B6F35"/>
    <w:rsid w:val="003B7931"/>
    <w:rsid w:val="003C24E4"/>
    <w:rsid w:val="003C25AC"/>
    <w:rsid w:val="003C45C1"/>
    <w:rsid w:val="003C553A"/>
    <w:rsid w:val="003C5C8B"/>
    <w:rsid w:val="003C664A"/>
    <w:rsid w:val="003C70C3"/>
    <w:rsid w:val="003D0C21"/>
    <w:rsid w:val="003D248B"/>
    <w:rsid w:val="003D2F9B"/>
    <w:rsid w:val="003D4ED4"/>
    <w:rsid w:val="003D53B8"/>
    <w:rsid w:val="003D5D7B"/>
    <w:rsid w:val="003D6D33"/>
    <w:rsid w:val="003D750D"/>
    <w:rsid w:val="003D7BAA"/>
    <w:rsid w:val="003E01A1"/>
    <w:rsid w:val="003E020E"/>
    <w:rsid w:val="003E1251"/>
    <w:rsid w:val="003E2170"/>
    <w:rsid w:val="003E375A"/>
    <w:rsid w:val="003E4294"/>
    <w:rsid w:val="003E4B5E"/>
    <w:rsid w:val="003E6165"/>
    <w:rsid w:val="003E6A8F"/>
    <w:rsid w:val="003E6E8B"/>
    <w:rsid w:val="003E7A6E"/>
    <w:rsid w:val="003E7AEA"/>
    <w:rsid w:val="003F0994"/>
    <w:rsid w:val="003F0FB1"/>
    <w:rsid w:val="003F2C9D"/>
    <w:rsid w:val="003F2E2D"/>
    <w:rsid w:val="003F46FA"/>
    <w:rsid w:val="003F6C61"/>
    <w:rsid w:val="003F7844"/>
    <w:rsid w:val="003F78C1"/>
    <w:rsid w:val="003F7A1E"/>
    <w:rsid w:val="003F7BA6"/>
    <w:rsid w:val="004007AC"/>
    <w:rsid w:val="00401DF0"/>
    <w:rsid w:val="0040227E"/>
    <w:rsid w:val="00403973"/>
    <w:rsid w:val="00403ADC"/>
    <w:rsid w:val="0040424A"/>
    <w:rsid w:val="004103CD"/>
    <w:rsid w:val="00410A18"/>
    <w:rsid w:val="00410CBE"/>
    <w:rsid w:val="004119E8"/>
    <w:rsid w:val="00411E44"/>
    <w:rsid w:val="004134D7"/>
    <w:rsid w:val="004138A5"/>
    <w:rsid w:val="00414885"/>
    <w:rsid w:val="004148C0"/>
    <w:rsid w:val="00414F98"/>
    <w:rsid w:val="0041560D"/>
    <w:rsid w:val="00416112"/>
    <w:rsid w:val="00422070"/>
    <w:rsid w:val="0042395F"/>
    <w:rsid w:val="0042568D"/>
    <w:rsid w:val="00425EE1"/>
    <w:rsid w:val="00426918"/>
    <w:rsid w:val="0042694A"/>
    <w:rsid w:val="00430741"/>
    <w:rsid w:val="00431115"/>
    <w:rsid w:val="00431605"/>
    <w:rsid w:val="00431F6C"/>
    <w:rsid w:val="00434B46"/>
    <w:rsid w:val="00435253"/>
    <w:rsid w:val="004359BB"/>
    <w:rsid w:val="00440DF1"/>
    <w:rsid w:val="004419F6"/>
    <w:rsid w:val="00443054"/>
    <w:rsid w:val="00443D46"/>
    <w:rsid w:val="00446455"/>
    <w:rsid w:val="0045049B"/>
    <w:rsid w:val="00451D3D"/>
    <w:rsid w:val="00451DA6"/>
    <w:rsid w:val="00454277"/>
    <w:rsid w:val="00454FE1"/>
    <w:rsid w:val="00456A58"/>
    <w:rsid w:val="00456AB3"/>
    <w:rsid w:val="00456C45"/>
    <w:rsid w:val="00457149"/>
    <w:rsid w:val="0046047E"/>
    <w:rsid w:val="00462437"/>
    <w:rsid w:val="00464590"/>
    <w:rsid w:val="00464C75"/>
    <w:rsid w:val="004658D1"/>
    <w:rsid w:val="00466B8D"/>
    <w:rsid w:val="00470794"/>
    <w:rsid w:val="00471DCC"/>
    <w:rsid w:val="004729E0"/>
    <w:rsid w:val="00473850"/>
    <w:rsid w:val="00473A4D"/>
    <w:rsid w:val="00473DD7"/>
    <w:rsid w:val="00473E98"/>
    <w:rsid w:val="004740E8"/>
    <w:rsid w:val="004745DA"/>
    <w:rsid w:val="00474896"/>
    <w:rsid w:val="00475E79"/>
    <w:rsid w:val="00476C08"/>
    <w:rsid w:val="0047789A"/>
    <w:rsid w:val="00480BEA"/>
    <w:rsid w:val="004811CE"/>
    <w:rsid w:val="00483334"/>
    <w:rsid w:val="00483363"/>
    <w:rsid w:val="004834B7"/>
    <w:rsid w:val="00483779"/>
    <w:rsid w:val="0048380E"/>
    <w:rsid w:val="00486665"/>
    <w:rsid w:val="0048668C"/>
    <w:rsid w:val="00486971"/>
    <w:rsid w:val="00486BE3"/>
    <w:rsid w:val="00487D91"/>
    <w:rsid w:val="00487DD4"/>
    <w:rsid w:val="00490395"/>
    <w:rsid w:val="0049137F"/>
    <w:rsid w:val="00491ECF"/>
    <w:rsid w:val="00492379"/>
    <w:rsid w:val="004923EB"/>
    <w:rsid w:val="0049240B"/>
    <w:rsid w:val="0049342D"/>
    <w:rsid w:val="0049366D"/>
    <w:rsid w:val="0049420B"/>
    <w:rsid w:val="0049474F"/>
    <w:rsid w:val="004954D4"/>
    <w:rsid w:val="00497316"/>
    <w:rsid w:val="00497C0D"/>
    <w:rsid w:val="00497CF7"/>
    <w:rsid w:val="004A17E0"/>
    <w:rsid w:val="004A57F6"/>
    <w:rsid w:val="004A5A2F"/>
    <w:rsid w:val="004A613F"/>
    <w:rsid w:val="004B0D97"/>
    <w:rsid w:val="004B106A"/>
    <w:rsid w:val="004B31ED"/>
    <w:rsid w:val="004B394F"/>
    <w:rsid w:val="004B3D81"/>
    <w:rsid w:val="004C1432"/>
    <w:rsid w:val="004C3ECD"/>
    <w:rsid w:val="004C4576"/>
    <w:rsid w:val="004C5E86"/>
    <w:rsid w:val="004C641B"/>
    <w:rsid w:val="004C70AB"/>
    <w:rsid w:val="004C7EFC"/>
    <w:rsid w:val="004D0505"/>
    <w:rsid w:val="004D05C8"/>
    <w:rsid w:val="004D07B0"/>
    <w:rsid w:val="004D0B18"/>
    <w:rsid w:val="004D0DD0"/>
    <w:rsid w:val="004D194A"/>
    <w:rsid w:val="004D4A2C"/>
    <w:rsid w:val="004D7611"/>
    <w:rsid w:val="004E11D8"/>
    <w:rsid w:val="004E22AA"/>
    <w:rsid w:val="004E3225"/>
    <w:rsid w:val="004E40FD"/>
    <w:rsid w:val="004E4C79"/>
    <w:rsid w:val="004E505A"/>
    <w:rsid w:val="004E58BC"/>
    <w:rsid w:val="004E6043"/>
    <w:rsid w:val="004E72DE"/>
    <w:rsid w:val="004E7417"/>
    <w:rsid w:val="004E7689"/>
    <w:rsid w:val="004F4B9A"/>
    <w:rsid w:val="004F4D6A"/>
    <w:rsid w:val="004F5900"/>
    <w:rsid w:val="004F5FF4"/>
    <w:rsid w:val="004F706D"/>
    <w:rsid w:val="004F7483"/>
    <w:rsid w:val="004F7758"/>
    <w:rsid w:val="0050077F"/>
    <w:rsid w:val="00500DEF"/>
    <w:rsid w:val="00501CB0"/>
    <w:rsid w:val="00502D50"/>
    <w:rsid w:val="0051107A"/>
    <w:rsid w:val="005113A9"/>
    <w:rsid w:val="00511BBB"/>
    <w:rsid w:val="00512339"/>
    <w:rsid w:val="005128CD"/>
    <w:rsid w:val="005129C3"/>
    <w:rsid w:val="005133E4"/>
    <w:rsid w:val="00513906"/>
    <w:rsid w:val="00513AEE"/>
    <w:rsid w:val="00513BF3"/>
    <w:rsid w:val="00514532"/>
    <w:rsid w:val="0051489E"/>
    <w:rsid w:val="00514AFF"/>
    <w:rsid w:val="00516517"/>
    <w:rsid w:val="005175EF"/>
    <w:rsid w:val="005179A1"/>
    <w:rsid w:val="00521191"/>
    <w:rsid w:val="005218C3"/>
    <w:rsid w:val="00522159"/>
    <w:rsid w:val="0052483D"/>
    <w:rsid w:val="00525623"/>
    <w:rsid w:val="0052604A"/>
    <w:rsid w:val="00531978"/>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3EF0"/>
    <w:rsid w:val="005543E0"/>
    <w:rsid w:val="00555259"/>
    <w:rsid w:val="005556B2"/>
    <w:rsid w:val="00561459"/>
    <w:rsid w:val="00561B12"/>
    <w:rsid w:val="0056204C"/>
    <w:rsid w:val="00562433"/>
    <w:rsid w:val="00562690"/>
    <w:rsid w:val="00562F0E"/>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72C"/>
    <w:rsid w:val="005915D6"/>
    <w:rsid w:val="00591A40"/>
    <w:rsid w:val="00591F96"/>
    <w:rsid w:val="00593689"/>
    <w:rsid w:val="00594399"/>
    <w:rsid w:val="00594F37"/>
    <w:rsid w:val="00595F68"/>
    <w:rsid w:val="00597441"/>
    <w:rsid w:val="005A0888"/>
    <w:rsid w:val="005A1AFE"/>
    <w:rsid w:val="005A23E1"/>
    <w:rsid w:val="005A2F63"/>
    <w:rsid w:val="005A2F6F"/>
    <w:rsid w:val="005A573D"/>
    <w:rsid w:val="005A59F4"/>
    <w:rsid w:val="005A5B9A"/>
    <w:rsid w:val="005A5C27"/>
    <w:rsid w:val="005A5EEE"/>
    <w:rsid w:val="005A6B9B"/>
    <w:rsid w:val="005A7270"/>
    <w:rsid w:val="005A7708"/>
    <w:rsid w:val="005B0F17"/>
    <w:rsid w:val="005B368D"/>
    <w:rsid w:val="005B3E85"/>
    <w:rsid w:val="005B50B8"/>
    <w:rsid w:val="005B5B04"/>
    <w:rsid w:val="005B5B2D"/>
    <w:rsid w:val="005B5BFC"/>
    <w:rsid w:val="005B7C09"/>
    <w:rsid w:val="005C138B"/>
    <w:rsid w:val="005C1BFC"/>
    <w:rsid w:val="005C3F96"/>
    <w:rsid w:val="005C489D"/>
    <w:rsid w:val="005C59CE"/>
    <w:rsid w:val="005C5F99"/>
    <w:rsid w:val="005C6529"/>
    <w:rsid w:val="005D027D"/>
    <w:rsid w:val="005D1B1B"/>
    <w:rsid w:val="005D1F76"/>
    <w:rsid w:val="005D1FFE"/>
    <w:rsid w:val="005D25EC"/>
    <w:rsid w:val="005D2ABC"/>
    <w:rsid w:val="005D2D13"/>
    <w:rsid w:val="005D5383"/>
    <w:rsid w:val="005D54CA"/>
    <w:rsid w:val="005D5717"/>
    <w:rsid w:val="005D5B96"/>
    <w:rsid w:val="005D5CD7"/>
    <w:rsid w:val="005D6827"/>
    <w:rsid w:val="005D7D4E"/>
    <w:rsid w:val="005D7F85"/>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4085"/>
    <w:rsid w:val="005F70AA"/>
    <w:rsid w:val="00600B02"/>
    <w:rsid w:val="00600D22"/>
    <w:rsid w:val="00601444"/>
    <w:rsid w:val="006025A4"/>
    <w:rsid w:val="00602EF3"/>
    <w:rsid w:val="006036FD"/>
    <w:rsid w:val="006049B0"/>
    <w:rsid w:val="006109F6"/>
    <w:rsid w:val="00611556"/>
    <w:rsid w:val="0061177B"/>
    <w:rsid w:val="006124DB"/>
    <w:rsid w:val="0061276B"/>
    <w:rsid w:val="0061362E"/>
    <w:rsid w:val="00615341"/>
    <w:rsid w:val="0061616D"/>
    <w:rsid w:val="006163AE"/>
    <w:rsid w:val="00616ADA"/>
    <w:rsid w:val="006175A7"/>
    <w:rsid w:val="006220FA"/>
    <w:rsid w:val="006239C7"/>
    <w:rsid w:val="00623BE6"/>
    <w:rsid w:val="0062454B"/>
    <w:rsid w:val="006252C6"/>
    <w:rsid w:val="0062576C"/>
    <w:rsid w:val="00625B81"/>
    <w:rsid w:val="00626033"/>
    <w:rsid w:val="00626A00"/>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43DC9"/>
    <w:rsid w:val="006460B8"/>
    <w:rsid w:val="0064646B"/>
    <w:rsid w:val="006479EF"/>
    <w:rsid w:val="006514A3"/>
    <w:rsid w:val="006527C4"/>
    <w:rsid w:val="006529AA"/>
    <w:rsid w:val="00654707"/>
    <w:rsid w:val="0066010E"/>
    <w:rsid w:val="00660D00"/>
    <w:rsid w:val="00664D23"/>
    <w:rsid w:val="0066658E"/>
    <w:rsid w:val="006666A4"/>
    <w:rsid w:val="006668D8"/>
    <w:rsid w:val="00666D5A"/>
    <w:rsid w:val="006672E3"/>
    <w:rsid w:val="00667656"/>
    <w:rsid w:val="00670051"/>
    <w:rsid w:val="00670523"/>
    <w:rsid w:val="00670587"/>
    <w:rsid w:val="00671773"/>
    <w:rsid w:val="00672D7A"/>
    <w:rsid w:val="0067419C"/>
    <w:rsid w:val="00675794"/>
    <w:rsid w:val="006765F9"/>
    <w:rsid w:val="00676F16"/>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97E51"/>
    <w:rsid w:val="006A01D7"/>
    <w:rsid w:val="006A424B"/>
    <w:rsid w:val="006A4678"/>
    <w:rsid w:val="006A6EF2"/>
    <w:rsid w:val="006A7B6C"/>
    <w:rsid w:val="006B0407"/>
    <w:rsid w:val="006B16AA"/>
    <w:rsid w:val="006B16CD"/>
    <w:rsid w:val="006B22CB"/>
    <w:rsid w:val="006B2C36"/>
    <w:rsid w:val="006B3423"/>
    <w:rsid w:val="006B4C20"/>
    <w:rsid w:val="006B4DBC"/>
    <w:rsid w:val="006B5FC7"/>
    <w:rsid w:val="006B664F"/>
    <w:rsid w:val="006B67A0"/>
    <w:rsid w:val="006B72DC"/>
    <w:rsid w:val="006C0489"/>
    <w:rsid w:val="006C0DF1"/>
    <w:rsid w:val="006C19FF"/>
    <w:rsid w:val="006C4152"/>
    <w:rsid w:val="006C4B0D"/>
    <w:rsid w:val="006C5C95"/>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D72B7"/>
    <w:rsid w:val="006D775F"/>
    <w:rsid w:val="006E02C8"/>
    <w:rsid w:val="006E0832"/>
    <w:rsid w:val="006E11C5"/>
    <w:rsid w:val="006E2139"/>
    <w:rsid w:val="006E2E96"/>
    <w:rsid w:val="006E31DC"/>
    <w:rsid w:val="006E4ADC"/>
    <w:rsid w:val="006E4B09"/>
    <w:rsid w:val="006E5B1C"/>
    <w:rsid w:val="006E6CC3"/>
    <w:rsid w:val="006F01DD"/>
    <w:rsid w:val="006F10FB"/>
    <w:rsid w:val="006F1799"/>
    <w:rsid w:val="006F1912"/>
    <w:rsid w:val="006F22ED"/>
    <w:rsid w:val="006F2309"/>
    <w:rsid w:val="006F3613"/>
    <w:rsid w:val="006F4BDA"/>
    <w:rsid w:val="006F4D78"/>
    <w:rsid w:val="006F511E"/>
    <w:rsid w:val="006F5CBA"/>
    <w:rsid w:val="006F5D72"/>
    <w:rsid w:val="00700807"/>
    <w:rsid w:val="00702538"/>
    <w:rsid w:val="007025D9"/>
    <w:rsid w:val="0070369D"/>
    <w:rsid w:val="00704431"/>
    <w:rsid w:val="007052B7"/>
    <w:rsid w:val="00705A09"/>
    <w:rsid w:val="00707C50"/>
    <w:rsid w:val="00710360"/>
    <w:rsid w:val="00710610"/>
    <w:rsid w:val="00714642"/>
    <w:rsid w:val="00714CC3"/>
    <w:rsid w:val="00716505"/>
    <w:rsid w:val="00716530"/>
    <w:rsid w:val="0072002A"/>
    <w:rsid w:val="0072015A"/>
    <w:rsid w:val="00720230"/>
    <w:rsid w:val="00720865"/>
    <w:rsid w:val="00723121"/>
    <w:rsid w:val="007232E0"/>
    <w:rsid w:val="007249B2"/>
    <w:rsid w:val="00724A9A"/>
    <w:rsid w:val="00725BBB"/>
    <w:rsid w:val="007270F4"/>
    <w:rsid w:val="00731276"/>
    <w:rsid w:val="00733729"/>
    <w:rsid w:val="00733D36"/>
    <w:rsid w:val="007340FB"/>
    <w:rsid w:val="00737B21"/>
    <w:rsid w:val="00740755"/>
    <w:rsid w:val="007408CB"/>
    <w:rsid w:val="00740F2A"/>
    <w:rsid w:val="007419F1"/>
    <w:rsid w:val="00741E8C"/>
    <w:rsid w:val="0074312B"/>
    <w:rsid w:val="007443F6"/>
    <w:rsid w:val="007453B6"/>
    <w:rsid w:val="007458FA"/>
    <w:rsid w:val="007467DE"/>
    <w:rsid w:val="00747710"/>
    <w:rsid w:val="00747E84"/>
    <w:rsid w:val="00750ADF"/>
    <w:rsid w:val="00753357"/>
    <w:rsid w:val="00755256"/>
    <w:rsid w:val="007552CC"/>
    <w:rsid w:val="00755907"/>
    <w:rsid w:val="007562DA"/>
    <w:rsid w:val="0075756B"/>
    <w:rsid w:val="00757A3D"/>
    <w:rsid w:val="00757C70"/>
    <w:rsid w:val="0076059A"/>
    <w:rsid w:val="00761CBD"/>
    <w:rsid w:val="007627D2"/>
    <w:rsid w:val="00762C7C"/>
    <w:rsid w:val="00762D0E"/>
    <w:rsid w:val="00762FBE"/>
    <w:rsid w:val="007634A9"/>
    <w:rsid w:val="0076356B"/>
    <w:rsid w:val="007651EA"/>
    <w:rsid w:val="007664E4"/>
    <w:rsid w:val="00766A7A"/>
    <w:rsid w:val="00766E09"/>
    <w:rsid w:val="00770F49"/>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55"/>
    <w:rsid w:val="00781F73"/>
    <w:rsid w:val="00782FF3"/>
    <w:rsid w:val="00783189"/>
    <w:rsid w:val="007845E1"/>
    <w:rsid w:val="00784ACA"/>
    <w:rsid w:val="00784C55"/>
    <w:rsid w:val="00785927"/>
    <w:rsid w:val="00785982"/>
    <w:rsid w:val="00785B2E"/>
    <w:rsid w:val="00787686"/>
    <w:rsid w:val="00787E50"/>
    <w:rsid w:val="0079063F"/>
    <w:rsid w:val="00793D9F"/>
    <w:rsid w:val="00795EF2"/>
    <w:rsid w:val="007968B8"/>
    <w:rsid w:val="00796B1B"/>
    <w:rsid w:val="007A0B2C"/>
    <w:rsid w:val="007A0FEC"/>
    <w:rsid w:val="007A12C9"/>
    <w:rsid w:val="007A17BB"/>
    <w:rsid w:val="007A272C"/>
    <w:rsid w:val="007A2B3E"/>
    <w:rsid w:val="007A2EE6"/>
    <w:rsid w:val="007A584C"/>
    <w:rsid w:val="007A6EEF"/>
    <w:rsid w:val="007A71AC"/>
    <w:rsid w:val="007A7AF1"/>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C34"/>
    <w:rsid w:val="00803DB8"/>
    <w:rsid w:val="00804AA4"/>
    <w:rsid w:val="00805FBE"/>
    <w:rsid w:val="00806A19"/>
    <w:rsid w:val="00806A3A"/>
    <w:rsid w:val="00810570"/>
    <w:rsid w:val="00812232"/>
    <w:rsid w:val="00812AA1"/>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7686"/>
    <w:rsid w:val="00827EC4"/>
    <w:rsid w:val="00830CC4"/>
    <w:rsid w:val="0083168B"/>
    <w:rsid w:val="00831D33"/>
    <w:rsid w:val="00832D88"/>
    <w:rsid w:val="00832F6E"/>
    <w:rsid w:val="0083338D"/>
    <w:rsid w:val="00833722"/>
    <w:rsid w:val="00833FB6"/>
    <w:rsid w:val="00834BC3"/>
    <w:rsid w:val="00842FE7"/>
    <w:rsid w:val="00844147"/>
    <w:rsid w:val="00844277"/>
    <w:rsid w:val="00844434"/>
    <w:rsid w:val="00844F3B"/>
    <w:rsid w:val="008455EF"/>
    <w:rsid w:val="00845891"/>
    <w:rsid w:val="0084695A"/>
    <w:rsid w:val="00850E16"/>
    <w:rsid w:val="00851D86"/>
    <w:rsid w:val="00852018"/>
    <w:rsid w:val="008543E8"/>
    <w:rsid w:val="00856121"/>
    <w:rsid w:val="00857905"/>
    <w:rsid w:val="00860AF0"/>
    <w:rsid w:val="008618B2"/>
    <w:rsid w:val="008626CE"/>
    <w:rsid w:val="00862760"/>
    <w:rsid w:val="00867A25"/>
    <w:rsid w:val="008700BA"/>
    <w:rsid w:val="00873666"/>
    <w:rsid w:val="0087426E"/>
    <w:rsid w:val="00874736"/>
    <w:rsid w:val="008748B4"/>
    <w:rsid w:val="008751F6"/>
    <w:rsid w:val="00875CD5"/>
    <w:rsid w:val="00876854"/>
    <w:rsid w:val="00876986"/>
    <w:rsid w:val="008769F5"/>
    <w:rsid w:val="008804BC"/>
    <w:rsid w:val="00880D1A"/>
    <w:rsid w:val="00880D91"/>
    <w:rsid w:val="008816BA"/>
    <w:rsid w:val="00881D81"/>
    <w:rsid w:val="00881E2C"/>
    <w:rsid w:val="00882F2B"/>
    <w:rsid w:val="00883566"/>
    <w:rsid w:val="008849FF"/>
    <w:rsid w:val="00884ED9"/>
    <w:rsid w:val="008859AC"/>
    <w:rsid w:val="008869C8"/>
    <w:rsid w:val="00886AC3"/>
    <w:rsid w:val="00896574"/>
    <w:rsid w:val="008979C1"/>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6B71"/>
    <w:rsid w:val="008C0158"/>
    <w:rsid w:val="008C174F"/>
    <w:rsid w:val="008C3F3A"/>
    <w:rsid w:val="008C4902"/>
    <w:rsid w:val="008C5042"/>
    <w:rsid w:val="008C544B"/>
    <w:rsid w:val="008D1581"/>
    <w:rsid w:val="008D1BAD"/>
    <w:rsid w:val="008D1C55"/>
    <w:rsid w:val="008D33E2"/>
    <w:rsid w:val="008D4019"/>
    <w:rsid w:val="008D51F3"/>
    <w:rsid w:val="008D5A1E"/>
    <w:rsid w:val="008D62DD"/>
    <w:rsid w:val="008E051D"/>
    <w:rsid w:val="008E0F34"/>
    <w:rsid w:val="008E1E03"/>
    <w:rsid w:val="008E2B3B"/>
    <w:rsid w:val="008E4A0D"/>
    <w:rsid w:val="008E7142"/>
    <w:rsid w:val="008F093F"/>
    <w:rsid w:val="008F1B64"/>
    <w:rsid w:val="008F2A12"/>
    <w:rsid w:val="008F431C"/>
    <w:rsid w:val="008F43B7"/>
    <w:rsid w:val="008F4901"/>
    <w:rsid w:val="008F5289"/>
    <w:rsid w:val="008F5430"/>
    <w:rsid w:val="008F6AD8"/>
    <w:rsid w:val="008F79E8"/>
    <w:rsid w:val="009004B6"/>
    <w:rsid w:val="0090108A"/>
    <w:rsid w:val="00901219"/>
    <w:rsid w:val="00901BA6"/>
    <w:rsid w:val="009042CC"/>
    <w:rsid w:val="00904571"/>
    <w:rsid w:val="00905798"/>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7D7"/>
    <w:rsid w:val="00921D13"/>
    <w:rsid w:val="00925876"/>
    <w:rsid w:val="0092646E"/>
    <w:rsid w:val="009310B5"/>
    <w:rsid w:val="00931611"/>
    <w:rsid w:val="009329AE"/>
    <w:rsid w:val="00933C53"/>
    <w:rsid w:val="00934C83"/>
    <w:rsid w:val="009369AE"/>
    <w:rsid w:val="00941087"/>
    <w:rsid w:val="009422AB"/>
    <w:rsid w:val="0094439D"/>
    <w:rsid w:val="00944AFA"/>
    <w:rsid w:val="00945650"/>
    <w:rsid w:val="00945FE2"/>
    <w:rsid w:val="0094621D"/>
    <w:rsid w:val="00950727"/>
    <w:rsid w:val="009508E4"/>
    <w:rsid w:val="00951856"/>
    <w:rsid w:val="00951FDB"/>
    <w:rsid w:val="009522DA"/>
    <w:rsid w:val="00953E02"/>
    <w:rsid w:val="00954323"/>
    <w:rsid w:val="00954BC2"/>
    <w:rsid w:val="009567B8"/>
    <w:rsid w:val="00957977"/>
    <w:rsid w:val="00957E7E"/>
    <w:rsid w:val="00960D34"/>
    <w:rsid w:val="009611D2"/>
    <w:rsid w:val="009621A0"/>
    <w:rsid w:val="00962BC2"/>
    <w:rsid w:val="00964224"/>
    <w:rsid w:val="0096696A"/>
    <w:rsid w:val="00967201"/>
    <w:rsid w:val="00967C74"/>
    <w:rsid w:val="00970CA1"/>
    <w:rsid w:val="00971FDA"/>
    <w:rsid w:val="009722A8"/>
    <w:rsid w:val="00972548"/>
    <w:rsid w:val="009728FF"/>
    <w:rsid w:val="00974888"/>
    <w:rsid w:val="00974B47"/>
    <w:rsid w:val="00974D53"/>
    <w:rsid w:val="00974D5D"/>
    <w:rsid w:val="009760C4"/>
    <w:rsid w:val="00976E27"/>
    <w:rsid w:val="009772A5"/>
    <w:rsid w:val="00977550"/>
    <w:rsid w:val="00980B5D"/>
    <w:rsid w:val="00981173"/>
    <w:rsid w:val="00981A75"/>
    <w:rsid w:val="00981F83"/>
    <w:rsid w:val="009841A8"/>
    <w:rsid w:val="00985B71"/>
    <w:rsid w:val="009868BE"/>
    <w:rsid w:val="00986B64"/>
    <w:rsid w:val="00986EFA"/>
    <w:rsid w:val="009876A4"/>
    <w:rsid w:val="009917E9"/>
    <w:rsid w:val="00992416"/>
    <w:rsid w:val="009928A0"/>
    <w:rsid w:val="00993789"/>
    <w:rsid w:val="00994B4C"/>
    <w:rsid w:val="00994F61"/>
    <w:rsid w:val="00996057"/>
    <w:rsid w:val="00996394"/>
    <w:rsid w:val="00996C89"/>
    <w:rsid w:val="009979B9"/>
    <w:rsid w:val="009A03C7"/>
    <w:rsid w:val="009A0703"/>
    <w:rsid w:val="009A1399"/>
    <w:rsid w:val="009A22FD"/>
    <w:rsid w:val="009A2ED6"/>
    <w:rsid w:val="009A31E7"/>
    <w:rsid w:val="009A546A"/>
    <w:rsid w:val="009A5D1C"/>
    <w:rsid w:val="009A621C"/>
    <w:rsid w:val="009A6677"/>
    <w:rsid w:val="009A6C66"/>
    <w:rsid w:val="009A6EF9"/>
    <w:rsid w:val="009A7BBC"/>
    <w:rsid w:val="009B2A11"/>
    <w:rsid w:val="009B5581"/>
    <w:rsid w:val="009B5940"/>
    <w:rsid w:val="009B63ED"/>
    <w:rsid w:val="009B710D"/>
    <w:rsid w:val="009B7F77"/>
    <w:rsid w:val="009C3862"/>
    <w:rsid w:val="009C4171"/>
    <w:rsid w:val="009C475C"/>
    <w:rsid w:val="009C5878"/>
    <w:rsid w:val="009C60A5"/>
    <w:rsid w:val="009C75C9"/>
    <w:rsid w:val="009D1492"/>
    <w:rsid w:val="009D169E"/>
    <w:rsid w:val="009D17E7"/>
    <w:rsid w:val="009D2602"/>
    <w:rsid w:val="009D2F53"/>
    <w:rsid w:val="009D3234"/>
    <w:rsid w:val="009D41B7"/>
    <w:rsid w:val="009D5CA7"/>
    <w:rsid w:val="009D65CD"/>
    <w:rsid w:val="009D6E2E"/>
    <w:rsid w:val="009D7298"/>
    <w:rsid w:val="009E03C7"/>
    <w:rsid w:val="009E12B5"/>
    <w:rsid w:val="009E2762"/>
    <w:rsid w:val="009E3C1C"/>
    <w:rsid w:val="009E3F6F"/>
    <w:rsid w:val="009E6ACB"/>
    <w:rsid w:val="009F1043"/>
    <w:rsid w:val="009F2D78"/>
    <w:rsid w:val="009F36CA"/>
    <w:rsid w:val="009F42E3"/>
    <w:rsid w:val="009F4FE2"/>
    <w:rsid w:val="009F58F9"/>
    <w:rsid w:val="009F6167"/>
    <w:rsid w:val="009F752A"/>
    <w:rsid w:val="00A003BE"/>
    <w:rsid w:val="00A00EE1"/>
    <w:rsid w:val="00A022AB"/>
    <w:rsid w:val="00A02B33"/>
    <w:rsid w:val="00A03435"/>
    <w:rsid w:val="00A03567"/>
    <w:rsid w:val="00A0385F"/>
    <w:rsid w:val="00A06313"/>
    <w:rsid w:val="00A06C2D"/>
    <w:rsid w:val="00A079D0"/>
    <w:rsid w:val="00A11132"/>
    <w:rsid w:val="00A11756"/>
    <w:rsid w:val="00A11969"/>
    <w:rsid w:val="00A123F7"/>
    <w:rsid w:val="00A157B9"/>
    <w:rsid w:val="00A158FB"/>
    <w:rsid w:val="00A1712E"/>
    <w:rsid w:val="00A17862"/>
    <w:rsid w:val="00A17F2D"/>
    <w:rsid w:val="00A20667"/>
    <w:rsid w:val="00A22348"/>
    <w:rsid w:val="00A243D6"/>
    <w:rsid w:val="00A24C62"/>
    <w:rsid w:val="00A254EC"/>
    <w:rsid w:val="00A25F51"/>
    <w:rsid w:val="00A26182"/>
    <w:rsid w:val="00A30382"/>
    <w:rsid w:val="00A30CEC"/>
    <w:rsid w:val="00A32604"/>
    <w:rsid w:val="00A32EF3"/>
    <w:rsid w:val="00A33959"/>
    <w:rsid w:val="00A340C2"/>
    <w:rsid w:val="00A35312"/>
    <w:rsid w:val="00A354C8"/>
    <w:rsid w:val="00A407E6"/>
    <w:rsid w:val="00A417AE"/>
    <w:rsid w:val="00A43345"/>
    <w:rsid w:val="00A447E6"/>
    <w:rsid w:val="00A463E3"/>
    <w:rsid w:val="00A50AD6"/>
    <w:rsid w:val="00A50D0F"/>
    <w:rsid w:val="00A50E2B"/>
    <w:rsid w:val="00A51495"/>
    <w:rsid w:val="00A54097"/>
    <w:rsid w:val="00A57661"/>
    <w:rsid w:val="00A60E34"/>
    <w:rsid w:val="00A61250"/>
    <w:rsid w:val="00A6164D"/>
    <w:rsid w:val="00A62074"/>
    <w:rsid w:val="00A62606"/>
    <w:rsid w:val="00A62EA7"/>
    <w:rsid w:val="00A6459E"/>
    <w:rsid w:val="00A64686"/>
    <w:rsid w:val="00A64CAE"/>
    <w:rsid w:val="00A6578C"/>
    <w:rsid w:val="00A71A0A"/>
    <w:rsid w:val="00A72227"/>
    <w:rsid w:val="00A72CC1"/>
    <w:rsid w:val="00A73E12"/>
    <w:rsid w:val="00A748F2"/>
    <w:rsid w:val="00A74939"/>
    <w:rsid w:val="00A7591F"/>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90AA5"/>
    <w:rsid w:val="00A912BA"/>
    <w:rsid w:val="00A924F3"/>
    <w:rsid w:val="00A92AF0"/>
    <w:rsid w:val="00A94369"/>
    <w:rsid w:val="00A94499"/>
    <w:rsid w:val="00A94CD4"/>
    <w:rsid w:val="00A97923"/>
    <w:rsid w:val="00AA0E31"/>
    <w:rsid w:val="00AA1803"/>
    <w:rsid w:val="00AA1B2D"/>
    <w:rsid w:val="00AA20EA"/>
    <w:rsid w:val="00AA446F"/>
    <w:rsid w:val="00AA59A6"/>
    <w:rsid w:val="00AA739B"/>
    <w:rsid w:val="00AB0724"/>
    <w:rsid w:val="00AB0D80"/>
    <w:rsid w:val="00AB16D9"/>
    <w:rsid w:val="00AB1C49"/>
    <w:rsid w:val="00AB1FC8"/>
    <w:rsid w:val="00AB284D"/>
    <w:rsid w:val="00AB2F02"/>
    <w:rsid w:val="00AB304E"/>
    <w:rsid w:val="00AB6C17"/>
    <w:rsid w:val="00AC0A9D"/>
    <w:rsid w:val="00AC0C9E"/>
    <w:rsid w:val="00AC20C0"/>
    <w:rsid w:val="00AC2876"/>
    <w:rsid w:val="00AC3349"/>
    <w:rsid w:val="00AC33C8"/>
    <w:rsid w:val="00AC449A"/>
    <w:rsid w:val="00AC4C13"/>
    <w:rsid w:val="00AC4C74"/>
    <w:rsid w:val="00AC4CD2"/>
    <w:rsid w:val="00AC5C0F"/>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B51"/>
    <w:rsid w:val="00AD6CC5"/>
    <w:rsid w:val="00AD713A"/>
    <w:rsid w:val="00AD7E0B"/>
    <w:rsid w:val="00AE0E58"/>
    <w:rsid w:val="00AE594A"/>
    <w:rsid w:val="00AF0189"/>
    <w:rsid w:val="00AF061D"/>
    <w:rsid w:val="00AF12CE"/>
    <w:rsid w:val="00AF2A0B"/>
    <w:rsid w:val="00AF2D28"/>
    <w:rsid w:val="00AF3FE0"/>
    <w:rsid w:val="00AF45EB"/>
    <w:rsid w:val="00AF4794"/>
    <w:rsid w:val="00AF695E"/>
    <w:rsid w:val="00AF7191"/>
    <w:rsid w:val="00AF7C74"/>
    <w:rsid w:val="00B001EB"/>
    <w:rsid w:val="00B004D7"/>
    <w:rsid w:val="00B00586"/>
    <w:rsid w:val="00B00972"/>
    <w:rsid w:val="00B0098B"/>
    <w:rsid w:val="00B0271B"/>
    <w:rsid w:val="00B041BF"/>
    <w:rsid w:val="00B06B70"/>
    <w:rsid w:val="00B06FCF"/>
    <w:rsid w:val="00B07D26"/>
    <w:rsid w:val="00B16A33"/>
    <w:rsid w:val="00B17AC0"/>
    <w:rsid w:val="00B17B7B"/>
    <w:rsid w:val="00B17D41"/>
    <w:rsid w:val="00B21333"/>
    <w:rsid w:val="00B24AD9"/>
    <w:rsid w:val="00B25959"/>
    <w:rsid w:val="00B267CA"/>
    <w:rsid w:val="00B32A7C"/>
    <w:rsid w:val="00B3572E"/>
    <w:rsid w:val="00B36609"/>
    <w:rsid w:val="00B37D9F"/>
    <w:rsid w:val="00B40734"/>
    <w:rsid w:val="00B40C90"/>
    <w:rsid w:val="00B41FAA"/>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E5A"/>
    <w:rsid w:val="00B66A1A"/>
    <w:rsid w:val="00B66C2A"/>
    <w:rsid w:val="00B6741C"/>
    <w:rsid w:val="00B70AD6"/>
    <w:rsid w:val="00B710C6"/>
    <w:rsid w:val="00B71940"/>
    <w:rsid w:val="00B72D36"/>
    <w:rsid w:val="00B735E5"/>
    <w:rsid w:val="00B743E8"/>
    <w:rsid w:val="00B75FEC"/>
    <w:rsid w:val="00B76239"/>
    <w:rsid w:val="00B775F5"/>
    <w:rsid w:val="00B808E4"/>
    <w:rsid w:val="00B810C9"/>
    <w:rsid w:val="00B81A7D"/>
    <w:rsid w:val="00B823A3"/>
    <w:rsid w:val="00B83729"/>
    <w:rsid w:val="00B839FB"/>
    <w:rsid w:val="00B83D61"/>
    <w:rsid w:val="00B83DFF"/>
    <w:rsid w:val="00B84A9F"/>
    <w:rsid w:val="00B85C12"/>
    <w:rsid w:val="00B85FC6"/>
    <w:rsid w:val="00B8620B"/>
    <w:rsid w:val="00B909F2"/>
    <w:rsid w:val="00B91C63"/>
    <w:rsid w:val="00B928DE"/>
    <w:rsid w:val="00B92912"/>
    <w:rsid w:val="00B92BEA"/>
    <w:rsid w:val="00B95605"/>
    <w:rsid w:val="00B968AA"/>
    <w:rsid w:val="00B96B6A"/>
    <w:rsid w:val="00B96C7A"/>
    <w:rsid w:val="00BA0943"/>
    <w:rsid w:val="00BA0C81"/>
    <w:rsid w:val="00BA1F04"/>
    <w:rsid w:val="00BA21E1"/>
    <w:rsid w:val="00BA23ED"/>
    <w:rsid w:val="00BA423F"/>
    <w:rsid w:val="00BA529A"/>
    <w:rsid w:val="00BA64E8"/>
    <w:rsid w:val="00BA6512"/>
    <w:rsid w:val="00BA75BB"/>
    <w:rsid w:val="00BA7CD8"/>
    <w:rsid w:val="00BB0343"/>
    <w:rsid w:val="00BB09F8"/>
    <w:rsid w:val="00BB0BA7"/>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D05FC"/>
    <w:rsid w:val="00BD1EDE"/>
    <w:rsid w:val="00BD2B8D"/>
    <w:rsid w:val="00BD3834"/>
    <w:rsid w:val="00BD45B0"/>
    <w:rsid w:val="00BD5923"/>
    <w:rsid w:val="00BD6750"/>
    <w:rsid w:val="00BD6786"/>
    <w:rsid w:val="00BD7018"/>
    <w:rsid w:val="00BD7A6B"/>
    <w:rsid w:val="00BD7D58"/>
    <w:rsid w:val="00BD7DD0"/>
    <w:rsid w:val="00BE0493"/>
    <w:rsid w:val="00BF1680"/>
    <w:rsid w:val="00BF227A"/>
    <w:rsid w:val="00BF4442"/>
    <w:rsid w:val="00BF487A"/>
    <w:rsid w:val="00BF5642"/>
    <w:rsid w:val="00BF640F"/>
    <w:rsid w:val="00BF7129"/>
    <w:rsid w:val="00C033E7"/>
    <w:rsid w:val="00C04166"/>
    <w:rsid w:val="00C07DF4"/>
    <w:rsid w:val="00C10836"/>
    <w:rsid w:val="00C117DF"/>
    <w:rsid w:val="00C11FD0"/>
    <w:rsid w:val="00C122BA"/>
    <w:rsid w:val="00C12D78"/>
    <w:rsid w:val="00C14885"/>
    <w:rsid w:val="00C15234"/>
    <w:rsid w:val="00C15A52"/>
    <w:rsid w:val="00C15E83"/>
    <w:rsid w:val="00C1632D"/>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AF9"/>
    <w:rsid w:val="00C33CFA"/>
    <w:rsid w:val="00C344E9"/>
    <w:rsid w:val="00C35F90"/>
    <w:rsid w:val="00C36BFD"/>
    <w:rsid w:val="00C37C60"/>
    <w:rsid w:val="00C40FEA"/>
    <w:rsid w:val="00C42588"/>
    <w:rsid w:val="00C43488"/>
    <w:rsid w:val="00C443EA"/>
    <w:rsid w:val="00C449C8"/>
    <w:rsid w:val="00C451D8"/>
    <w:rsid w:val="00C4636A"/>
    <w:rsid w:val="00C4663F"/>
    <w:rsid w:val="00C51EEC"/>
    <w:rsid w:val="00C5303D"/>
    <w:rsid w:val="00C53328"/>
    <w:rsid w:val="00C53BC4"/>
    <w:rsid w:val="00C55628"/>
    <w:rsid w:val="00C55A51"/>
    <w:rsid w:val="00C55A71"/>
    <w:rsid w:val="00C608B8"/>
    <w:rsid w:val="00C610FD"/>
    <w:rsid w:val="00C632AD"/>
    <w:rsid w:val="00C6348B"/>
    <w:rsid w:val="00C63608"/>
    <w:rsid w:val="00C63620"/>
    <w:rsid w:val="00C66BC5"/>
    <w:rsid w:val="00C67434"/>
    <w:rsid w:val="00C67F82"/>
    <w:rsid w:val="00C70077"/>
    <w:rsid w:val="00C704AA"/>
    <w:rsid w:val="00C71652"/>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4DC"/>
    <w:rsid w:val="00C93677"/>
    <w:rsid w:val="00C94FA3"/>
    <w:rsid w:val="00C9589E"/>
    <w:rsid w:val="00C95F1F"/>
    <w:rsid w:val="00C95FC8"/>
    <w:rsid w:val="00C97809"/>
    <w:rsid w:val="00C97DDC"/>
    <w:rsid w:val="00CA1905"/>
    <w:rsid w:val="00CA2E36"/>
    <w:rsid w:val="00CA396C"/>
    <w:rsid w:val="00CA3D17"/>
    <w:rsid w:val="00CA5380"/>
    <w:rsid w:val="00CB04A3"/>
    <w:rsid w:val="00CB0B25"/>
    <w:rsid w:val="00CB1B3B"/>
    <w:rsid w:val="00CB28CD"/>
    <w:rsid w:val="00CB5257"/>
    <w:rsid w:val="00CB52E3"/>
    <w:rsid w:val="00CB540B"/>
    <w:rsid w:val="00CC014E"/>
    <w:rsid w:val="00CC1054"/>
    <w:rsid w:val="00CC22A8"/>
    <w:rsid w:val="00CC4104"/>
    <w:rsid w:val="00CC5D6C"/>
    <w:rsid w:val="00CC665E"/>
    <w:rsid w:val="00CC6E87"/>
    <w:rsid w:val="00CC79E0"/>
    <w:rsid w:val="00CD059B"/>
    <w:rsid w:val="00CD1748"/>
    <w:rsid w:val="00CD251B"/>
    <w:rsid w:val="00CD25B8"/>
    <w:rsid w:val="00CD5E06"/>
    <w:rsid w:val="00CD670F"/>
    <w:rsid w:val="00CE0290"/>
    <w:rsid w:val="00CE0BF0"/>
    <w:rsid w:val="00CE0EF4"/>
    <w:rsid w:val="00CE0FA9"/>
    <w:rsid w:val="00CE1258"/>
    <w:rsid w:val="00CE2BEB"/>
    <w:rsid w:val="00CE3842"/>
    <w:rsid w:val="00CE4800"/>
    <w:rsid w:val="00CE4F81"/>
    <w:rsid w:val="00CE51EE"/>
    <w:rsid w:val="00CE57AA"/>
    <w:rsid w:val="00CE6B9B"/>
    <w:rsid w:val="00CE7F54"/>
    <w:rsid w:val="00CF0BB6"/>
    <w:rsid w:val="00CF2BA3"/>
    <w:rsid w:val="00CF3423"/>
    <w:rsid w:val="00CF4C38"/>
    <w:rsid w:val="00D00330"/>
    <w:rsid w:val="00D0089D"/>
    <w:rsid w:val="00D00FD6"/>
    <w:rsid w:val="00D012B0"/>
    <w:rsid w:val="00D026DE"/>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2DCB"/>
    <w:rsid w:val="00D132FA"/>
    <w:rsid w:val="00D144D9"/>
    <w:rsid w:val="00D1582D"/>
    <w:rsid w:val="00D15D33"/>
    <w:rsid w:val="00D1749C"/>
    <w:rsid w:val="00D202A1"/>
    <w:rsid w:val="00D20CE3"/>
    <w:rsid w:val="00D214C1"/>
    <w:rsid w:val="00D228CE"/>
    <w:rsid w:val="00D23477"/>
    <w:rsid w:val="00D23754"/>
    <w:rsid w:val="00D24728"/>
    <w:rsid w:val="00D25027"/>
    <w:rsid w:val="00D254BA"/>
    <w:rsid w:val="00D256CC"/>
    <w:rsid w:val="00D2585B"/>
    <w:rsid w:val="00D305E7"/>
    <w:rsid w:val="00D31519"/>
    <w:rsid w:val="00D31E7C"/>
    <w:rsid w:val="00D32A3D"/>
    <w:rsid w:val="00D32C28"/>
    <w:rsid w:val="00D3428F"/>
    <w:rsid w:val="00D3493F"/>
    <w:rsid w:val="00D34D18"/>
    <w:rsid w:val="00D35071"/>
    <w:rsid w:val="00D37B8F"/>
    <w:rsid w:val="00D37D8A"/>
    <w:rsid w:val="00D40574"/>
    <w:rsid w:val="00D41A52"/>
    <w:rsid w:val="00D44789"/>
    <w:rsid w:val="00D4528A"/>
    <w:rsid w:val="00D46800"/>
    <w:rsid w:val="00D46C7E"/>
    <w:rsid w:val="00D46D6E"/>
    <w:rsid w:val="00D4786B"/>
    <w:rsid w:val="00D50B41"/>
    <w:rsid w:val="00D50E0E"/>
    <w:rsid w:val="00D514AD"/>
    <w:rsid w:val="00D51662"/>
    <w:rsid w:val="00D519B7"/>
    <w:rsid w:val="00D51BBF"/>
    <w:rsid w:val="00D51D7E"/>
    <w:rsid w:val="00D54C49"/>
    <w:rsid w:val="00D55598"/>
    <w:rsid w:val="00D557BF"/>
    <w:rsid w:val="00D56517"/>
    <w:rsid w:val="00D571B4"/>
    <w:rsid w:val="00D57977"/>
    <w:rsid w:val="00D60C9C"/>
    <w:rsid w:val="00D6289E"/>
    <w:rsid w:val="00D6337A"/>
    <w:rsid w:val="00D63C8B"/>
    <w:rsid w:val="00D63CFD"/>
    <w:rsid w:val="00D641D6"/>
    <w:rsid w:val="00D65888"/>
    <w:rsid w:val="00D66301"/>
    <w:rsid w:val="00D701DD"/>
    <w:rsid w:val="00D70B1F"/>
    <w:rsid w:val="00D717AD"/>
    <w:rsid w:val="00D72659"/>
    <w:rsid w:val="00D72C6E"/>
    <w:rsid w:val="00D72DDD"/>
    <w:rsid w:val="00D7419B"/>
    <w:rsid w:val="00D742B5"/>
    <w:rsid w:val="00D7654E"/>
    <w:rsid w:val="00D76870"/>
    <w:rsid w:val="00D77118"/>
    <w:rsid w:val="00D80209"/>
    <w:rsid w:val="00D8047B"/>
    <w:rsid w:val="00D81445"/>
    <w:rsid w:val="00D82509"/>
    <w:rsid w:val="00D825EA"/>
    <w:rsid w:val="00D82A17"/>
    <w:rsid w:val="00D83995"/>
    <w:rsid w:val="00D83CC0"/>
    <w:rsid w:val="00D83D8F"/>
    <w:rsid w:val="00D84607"/>
    <w:rsid w:val="00D84901"/>
    <w:rsid w:val="00D84EB3"/>
    <w:rsid w:val="00D86250"/>
    <w:rsid w:val="00D8651C"/>
    <w:rsid w:val="00D86879"/>
    <w:rsid w:val="00D87EFC"/>
    <w:rsid w:val="00D91654"/>
    <w:rsid w:val="00D93CB3"/>
    <w:rsid w:val="00D95665"/>
    <w:rsid w:val="00D96D6A"/>
    <w:rsid w:val="00D96F97"/>
    <w:rsid w:val="00D97421"/>
    <w:rsid w:val="00D97481"/>
    <w:rsid w:val="00D97C66"/>
    <w:rsid w:val="00DA10A4"/>
    <w:rsid w:val="00DA1B90"/>
    <w:rsid w:val="00DA28F8"/>
    <w:rsid w:val="00DA42B5"/>
    <w:rsid w:val="00DA5B20"/>
    <w:rsid w:val="00DA70B4"/>
    <w:rsid w:val="00DA78F5"/>
    <w:rsid w:val="00DB0CC6"/>
    <w:rsid w:val="00DB32BF"/>
    <w:rsid w:val="00DB3ABE"/>
    <w:rsid w:val="00DB5B03"/>
    <w:rsid w:val="00DB6078"/>
    <w:rsid w:val="00DB63A4"/>
    <w:rsid w:val="00DB76D9"/>
    <w:rsid w:val="00DB7A60"/>
    <w:rsid w:val="00DC0E99"/>
    <w:rsid w:val="00DC162F"/>
    <w:rsid w:val="00DC2E09"/>
    <w:rsid w:val="00DC2F03"/>
    <w:rsid w:val="00DC330A"/>
    <w:rsid w:val="00DC4A62"/>
    <w:rsid w:val="00DC6559"/>
    <w:rsid w:val="00DC6563"/>
    <w:rsid w:val="00DC6A5E"/>
    <w:rsid w:val="00DC7221"/>
    <w:rsid w:val="00DD0F62"/>
    <w:rsid w:val="00DD20B7"/>
    <w:rsid w:val="00DD233A"/>
    <w:rsid w:val="00DD254F"/>
    <w:rsid w:val="00DD2820"/>
    <w:rsid w:val="00DD289A"/>
    <w:rsid w:val="00DD2DB0"/>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F0540"/>
    <w:rsid w:val="00DF1356"/>
    <w:rsid w:val="00DF505B"/>
    <w:rsid w:val="00DF59E4"/>
    <w:rsid w:val="00DF631B"/>
    <w:rsid w:val="00DF78FB"/>
    <w:rsid w:val="00E005BB"/>
    <w:rsid w:val="00E006CC"/>
    <w:rsid w:val="00E00849"/>
    <w:rsid w:val="00E019D5"/>
    <w:rsid w:val="00E02095"/>
    <w:rsid w:val="00E0479C"/>
    <w:rsid w:val="00E05350"/>
    <w:rsid w:val="00E05851"/>
    <w:rsid w:val="00E05AD0"/>
    <w:rsid w:val="00E06B89"/>
    <w:rsid w:val="00E11F9C"/>
    <w:rsid w:val="00E125C6"/>
    <w:rsid w:val="00E157CC"/>
    <w:rsid w:val="00E162B6"/>
    <w:rsid w:val="00E1739F"/>
    <w:rsid w:val="00E1762B"/>
    <w:rsid w:val="00E179DC"/>
    <w:rsid w:val="00E20610"/>
    <w:rsid w:val="00E24AAC"/>
    <w:rsid w:val="00E258BC"/>
    <w:rsid w:val="00E25EE0"/>
    <w:rsid w:val="00E25FA3"/>
    <w:rsid w:val="00E30C19"/>
    <w:rsid w:val="00E3116D"/>
    <w:rsid w:val="00E32F26"/>
    <w:rsid w:val="00E36901"/>
    <w:rsid w:val="00E37663"/>
    <w:rsid w:val="00E3787C"/>
    <w:rsid w:val="00E37E61"/>
    <w:rsid w:val="00E43E68"/>
    <w:rsid w:val="00E44556"/>
    <w:rsid w:val="00E44D46"/>
    <w:rsid w:val="00E454E2"/>
    <w:rsid w:val="00E458FF"/>
    <w:rsid w:val="00E45964"/>
    <w:rsid w:val="00E46472"/>
    <w:rsid w:val="00E46890"/>
    <w:rsid w:val="00E46E66"/>
    <w:rsid w:val="00E4787F"/>
    <w:rsid w:val="00E50592"/>
    <w:rsid w:val="00E50A96"/>
    <w:rsid w:val="00E50ECC"/>
    <w:rsid w:val="00E523AE"/>
    <w:rsid w:val="00E52E82"/>
    <w:rsid w:val="00E52F76"/>
    <w:rsid w:val="00E537FF"/>
    <w:rsid w:val="00E556FA"/>
    <w:rsid w:val="00E557C1"/>
    <w:rsid w:val="00E55E0B"/>
    <w:rsid w:val="00E565FB"/>
    <w:rsid w:val="00E56885"/>
    <w:rsid w:val="00E56AC9"/>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40AA"/>
    <w:rsid w:val="00E85252"/>
    <w:rsid w:val="00E853AB"/>
    <w:rsid w:val="00E85665"/>
    <w:rsid w:val="00E858C0"/>
    <w:rsid w:val="00E8692D"/>
    <w:rsid w:val="00E87299"/>
    <w:rsid w:val="00E909DF"/>
    <w:rsid w:val="00E90EE0"/>
    <w:rsid w:val="00E92647"/>
    <w:rsid w:val="00E940B0"/>
    <w:rsid w:val="00E950BC"/>
    <w:rsid w:val="00E95510"/>
    <w:rsid w:val="00E95FC7"/>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64B"/>
    <w:rsid w:val="00EB2DE4"/>
    <w:rsid w:val="00EB30C9"/>
    <w:rsid w:val="00EB31F4"/>
    <w:rsid w:val="00EB37BB"/>
    <w:rsid w:val="00EB4370"/>
    <w:rsid w:val="00EB5A71"/>
    <w:rsid w:val="00EB6CCF"/>
    <w:rsid w:val="00EB6D36"/>
    <w:rsid w:val="00EC26B0"/>
    <w:rsid w:val="00EC3897"/>
    <w:rsid w:val="00EC3E42"/>
    <w:rsid w:val="00EC3E4C"/>
    <w:rsid w:val="00EC4745"/>
    <w:rsid w:val="00EC4FED"/>
    <w:rsid w:val="00EC5A36"/>
    <w:rsid w:val="00EC6B24"/>
    <w:rsid w:val="00EC7073"/>
    <w:rsid w:val="00EC7600"/>
    <w:rsid w:val="00ED308C"/>
    <w:rsid w:val="00ED3388"/>
    <w:rsid w:val="00ED440C"/>
    <w:rsid w:val="00ED4EBD"/>
    <w:rsid w:val="00EE15CE"/>
    <w:rsid w:val="00EE1C69"/>
    <w:rsid w:val="00EE2BC4"/>
    <w:rsid w:val="00EE3379"/>
    <w:rsid w:val="00EE3675"/>
    <w:rsid w:val="00EE52D6"/>
    <w:rsid w:val="00EE6C9E"/>
    <w:rsid w:val="00EE738E"/>
    <w:rsid w:val="00EE77F7"/>
    <w:rsid w:val="00EE7DB4"/>
    <w:rsid w:val="00EF0435"/>
    <w:rsid w:val="00EF11AE"/>
    <w:rsid w:val="00EF1969"/>
    <w:rsid w:val="00EF2589"/>
    <w:rsid w:val="00EF25EC"/>
    <w:rsid w:val="00EF34B9"/>
    <w:rsid w:val="00EF383F"/>
    <w:rsid w:val="00EF5378"/>
    <w:rsid w:val="00EF573C"/>
    <w:rsid w:val="00EF6541"/>
    <w:rsid w:val="00EF6550"/>
    <w:rsid w:val="00F00E88"/>
    <w:rsid w:val="00F02B7B"/>
    <w:rsid w:val="00F0678A"/>
    <w:rsid w:val="00F074BF"/>
    <w:rsid w:val="00F077A8"/>
    <w:rsid w:val="00F07B5E"/>
    <w:rsid w:val="00F102CD"/>
    <w:rsid w:val="00F1048B"/>
    <w:rsid w:val="00F10951"/>
    <w:rsid w:val="00F10B61"/>
    <w:rsid w:val="00F132A8"/>
    <w:rsid w:val="00F1394D"/>
    <w:rsid w:val="00F142FD"/>
    <w:rsid w:val="00F15947"/>
    <w:rsid w:val="00F177C2"/>
    <w:rsid w:val="00F201B9"/>
    <w:rsid w:val="00F218B7"/>
    <w:rsid w:val="00F21A48"/>
    <w:rsid w:val="00F24E6F"/>
    <w:rsid w:val="00F25BBC"/>
    <w:rsid w:val="00F26294"/>
    <w:rsid w:val="00F31BDD"/>
    <w:rsid w:val="00F33550"/>
    <w:rsid w:val="00F338E7"/>
    <w:rsid w:val="00F33973"/>
    <w:rsid w:val="00F35F68"/>
    <w:rsid w:val="00F3765A"/>
    <w:rsid w:val="00F40413"/>
    <w:rsid w:val="00F40E31"/>
    <w:rsid w:val="00F42E3D"/>
    <w:rsid w:val="00F43B23"/>
    <w:rsid w:val="00F44825"/>
    <w:rsid w:val="00F5030C"/>
    <w:rsid w:val="00F52C95"/>
    <w:rsid w:val="00F5367B"/>
    <w:rsid w:val="00F5387B"/>
    <w:rsid w:val="00F5467E"/>
    <w:rsid w:val="00F54BA5"/>
    <w:rsid w:val="00F54BE0"/>
    <w:rsid w:val="00F54FF0"/>
    <w:rsid w:val="00F57CFE"/>
    <w:rsid w:val="00F60A49"/>
    <w:rsid w:val="00F60F45"/>
    <w:rsid w:val="00F63864"/>
    <w:rsid w:val="00F6407E"/>
    <w:rsid w:val="00F66D2D"/>
    <w:rsid w:val="00F672C0"/>
    <w:rsid w:val="00F71596"/>
    <w:rsid w:val="00F7399D"/>
    <w:rsid w:val="00F73E5E"/>
    <w:rsid w:val="00F74C40"/>
    <w:rsid w:val="00F76033"/>
    <w:rsid w:val="00F7618B"/>
    <w:rsid w:val="00F7699A"/>
    <w:rsid w:val="00F8252F"/>
    <w:rsid w:val="00F8255F"/>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9792B"/>
    <w:rsid w:val="00FA04AD"/>
    <w:rsid w:val="00FA090F"/>
    <w:rsid w:val="00FA19CC"/>
    <w:rsid w:val="00FA1DC6"/>
    <w:rsid w:val="00FA2035"/>
    <w:rsid w:val="00FA296B"/>
    <w:rsid w:val="00FA2C37"/>
    <w:rsid w:val="00FA41CF"/>
    <w:rsid w:val="00FA467D"/>
    <w:rsid w:val="00FA69A5"/>
    <w:rsid w:val="00FA6B86"/>
    <w:rsid w:val="00FA759D"/>
    <w:rsid w:val="00FB2C32"/>
    <w:rsid w:val="00FB37FF"/>
    <w:rsid w:val="00FB5436"/>
    <w:rsid w:val="00FB57A6"/>
    <w:rsid w:val="00FB5905"/>
    <w:rsid w:val="00FC0D89"/>
    <w:rsid w:val="00FC0FA3"/>
    <w:rsid w:val="00FC1E77"/>
    <w:rsid w:val="00FC41C1"/>
    <w:rsid w:val="00FC4360"/>
    <w:rsid w:val="00FC6328"/>
    <w:rsid w:val="00FC6FB3"/>
    <w:rsid w:val="00FD0B7B"/>
    <w:rsid w:val="00FD1787"/>
    <w:rsid w:val="00FD20F9"/>
    <w:rsid w:val="00FD2772"/>
    <w:rsid w:val="00FD31FF"/>
    <w:rsid w:val="00FD3784"/>
    <w:rsid w:val="00FE00B5"/>
    <w:rsid w:val="00FE027F"/>
    <w:rsid w:val="00FE2EE5"/>
    <w:rsid w:val="00FE32C0"/>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0A20EB"/>
    <w:pPr>
      <w:keepNext/>
      <w:keepLines/>
      <w:widowControl/>
      <w:autoSpaceDE/>
      <w:autoSpaceDN/>
      <w:adjustRightInd/>
      <w:spacing w:before="480" w:line="276" w:lineRule="auto"/>
      <w:jc w:val="center"/>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20EB"/>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61155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uiPriority w:val="22"/>
    <w:qFormat/>
    <w:locked/>
    <w:rsid w:val="00B06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501042602">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869488833">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35566591">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699159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2023-06-02T13:50:00Z</dcterms:created>
  <dcterms:modified xsi:type="dcterms:W3CDTF">2023-06-02T13:50:00Z</dcterms:modified>
</cp:coreProperties>
</file>