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2543D727" w:rsidR="000A134A" w:rsidRPr="001C1E47" w:rsidRDefault="002511E9" w:rsidP="001D5102">
      <w:pPr>
        <w:pStyle w:val="Heading1"/>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61F6BBD2" w14:textId="77777777" w:rsidR="000A134A" w:rsidRPr="001C1E47" w:rsidRDefault="000A134A" w:rsidP="0061177B">
      <w:pPr>
        <w:widowControl/>
        <w:autoSpaceDE/>
        <w:autoSpaceDN/>
        <w:adjustRightInd/>
        <w:rPr>
          <w:rFonts w:cs="Calibri"/>
          <w:b/>
        </w:rPr>
      </w:pPr>
    </w:p>
    <w:p w14:paraId="71ACEEF9" w14:textId="340425D8" w:rsidR="009A19D0" w:rsidRDefault="009A19D0" w:rsidP="001D5102">
      <w:pPr>
        <w:rPr>
          <w:b/>
        </w:rPr>
      </w:pPr>
      <w:r>
        <w:rPr>
          <w:b/>
          <w:bCs/>
        </w:rPr>
        <w:t>SOUTH CAROLINA DEPARTMENT OF LABOR, LICENSING AND REGULATION, OFFICE OF</w:t>
      </w:r>
      <w:r w:rsidR="003403AC">
        <w:rPr>
          <w:b/>
          <w:bCs/>
        </w:rPr>
        <w:t xml:space="preserve"> </w:t>
      </w:r>
      <w:r>
        <w:rPr>
          <w:b/>
          <w:bCs/>
        </w:rPr>
        <w:t>OCCUPATIONAL SAFETY AND HEALTH</w:t>
      </w:r>
    </w:p>
    <w:p w14:paraId="1258C3AB" w14:textId="77777777" w:rsidR="009A19D0" w:rsidRDefault="009A19D0" w:rsidP="009A19D0">
      <w:pPr>
        <w:jc w:val="center"/>
        <w:rPr>
          <w:bCs/>
        </w:rPr>
      </w:pPr>
    </w:p>
    <w:p w14:paraId="725723DA" w14:textId="77777777" w:rsidR="009A19D0" w:rsidRDefault="009A19D0" w:rsidP="009A19D0">
      <w:pPr>
        <w:jc w:val="center"/>
        <w:rPr>
          <w:bCs/>
        </w:rPr>
      </w:pPr>
    </w:p>
    <w:p w14:paraId="14074CE5" w14:textId="77777777" w:rsidR="009A19D0" w:rsidRDefault="009A19D0" w:rsidP="001D5102">
      <w:pPr>
        <w:rPr>
          <w:bCs/>
        </w:rPr>
      </w:pPr>
      <w:r>
        <w:rPr>
          <w:noProof/>
        </w:rPr>
        <w:drawing>
          <wp:inline distT="0" distB="0" distL="0" distR="0" wp14:anchorId="18223AD6" wp14:editId="7437D99D">
            <wp:extent cx="5184140" cy="635000"/>
            <wp:effectExtent l="0" t="0" r="0" b="0"/>
            <wp:docPr id="2" name="Picture 2" descr="South Carolina dept of labor logo"/>
            <wp:cNvGraphicFramePr/>
            <a:graphic xmlns:a="http://schemas.openxmlformats.org/drawingml/2006/main">
              <a:graphicData uri="http://schemas.openxmlformats.org/drawingml/2006/picture">
                <pic:pic xmlns:pic="http://schemas.openxmlformats.org/drawingml/2006/picture">
                  <pic:nvPicPr>
                    <pic:cNvPr id="2" name="Picture 2" descr="South Carolina dept of labor logo"/>
                    <pic:cNvPicPr/>
                  </pic:nvPicPr>
                  <pic:blipFill>
                    <a:blip r:embed="rId8">
                      <a:extLst>
                        <a:ext uri="{BEBA8EAE-BF5A-486C-A8C5-ECC9F3942E4B}">
                          <a14:imgProps xmlns:a14="http://schemas.microsoft.com/office/drawing/2010/main">
                            <a14:imgLayer r:embed="rId9">
                              <a14:imgEffect>
                                <a14:artisticGlowEdges/>
                              </a14:imgEffect>
                            </a14:imgLayer>
                          </a14:imgProps>
                        </a:ext>
                        <a:ext uri="{28A0092B-C50C-407E-A947-70E740481C1C}">
                          <a14:useLocalDpi xmlns:a14="http://schemas.microsoft.com/office/drawing/2010/main" val="0"/>
                        </a:ext>
                      </a:extLst>
                    </a:blip>
                    <a:stretch>
                      <a:fillRect/>
                    </a:stretch>
                  </pic:blipFill>
                  <pic:spPr>
                    <a:xfrm>
                      <a:off x="0" y="0"/>
                      <a:ext cx="5184140" cy="635000"/>
                    </a:xfrm>
                    <a:prstGeom prst="rect">
                      <a:avLst/>
                    </a:prstGeom>
                  </pic:spPr>
                </pic:pic>
              </a:graphicData>
            </a:graphic>
          </wp:inline>
        </w:drawing>
      </w:r>
    </w:p>
    <w:p w14:paraId="771DB9D7" w14:textId="77777777" w:rsidR="009A19D0" w:rsidRDefault="009A19D0" w:rsidP="009A19D0">
      <w:pPr>
        <w:jc w:val="center"/>
        <w:rPr>
          <w:b/>
        </w:rPr>
      </w:pPr>
    </w:p>
    <w:p w14:paraId="4A6F6657" w14:textId="77777777" w:rsidR="009A19D0" w:rsidRDefault="009A19D0" w:rsidP="009A19D0">
      <w:pPr>
        <w:jc w:val="center"/>
        <w:rPr>
          <w:b/>
        </w:rPr>
      </w:pPr>
    </w:p>
    <w:p w14:paraId="2EB5ED8D" w14:textId="77777777" w:rsidR="009A19D0" w:rsidRDefault="009A19D0" w:rsidP="009A19D0">
      <w:pPr>
        <w:jc w:val="center"/>
        <w:rPr>
          <w:b/>
        </w:rPr>
      </w:pPr>
    </w:p>
    <w:p w14:paraId="1466FAD0" w14:textId="77777777" w:rsidR="009A19D0" w:rsidRDefault="009A19D0" w:rsidP="009A19D0">
      <w:pPr>
        <w:jc w:val="center"/>
        <w:rPr>
          <w:b/>
          <w:color w:val="3333CC"/>
        </w:rPr>
      </w:pPr>
    </w:p>
    <w:p w14:paraId="07821353" w14:textId="77777777" w:rsidR="009A19D0" w:rsidRPr="001C1E47" w:rsidRDefault="009A19D0" w:rsidP="001D5102">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Evaluation Period: October 1, 2021 – September 30, 2022</w:t>
      </w:r>
    </w:p>
    <w:p w14:paraId="11D1B849" w14:textId="77777777" w:rsidR="009A19D0" w:rsidRDefault="009A19D0" w:rsidP="009A19D0">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978B95" w14:textId="77777777" w:rsidR="009A19D0" w:rsidRDefault="009A19D0" w:rsidP="009A19D0">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D29C69" w14:textId="77777777" w:rsidR="009A19D0" w:rsidRDefault="009A19D0" w:rsidP="009A19D0">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C73458" w14:textId="77777777" w:rsidR="009A19D0" w:rsidRDefault="009A19D0" w:rsidP="009A19D0">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3009C2" w14:textId="77777777" w:rsidR="009A19D0" w:rsidRDefault="009A19D0" w:rsidP="001D5102">
      <w:pPr>
        <w:tabs>
          <w:tab w:val="center" w:pos="4680"/>
        </w:tabs>
        <w:rPr>
          <w:b/>
          <w:bCs/>
        </w:rPr>
      </w:pPr>
      <w:r>
        <w:rPr>
          <w:rFonts w:eastAsia="Batang"/>
          <w:b/>
        </w:rPr>
        <w:t>Initial Approval Date:  November 30, 1972</w:t>
      </w:r>
    </w:p>
    <w:p w14:paraId="1DF31FA3" w14:textId="77777777" w:rsidR="009A19D0" w:rsidRDefault="009A19D0" w:rsidP="001D5102">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rFonts w:eastAsia="Batang"/>
          <w:b/>
        </w:rPr>
        <w:t xml:space="preserve"> Program Certification Date:  August 3, 1976</w:t>
      </w:r>
    </w:p>
    <w:p w14:paraId="1311609F" w14:textId="77777777" w:rsidR="009A19D0" w:rsidRDefault="009A19D0" w:rsidP="001D5102">
      <w:pPr>
        <w:tabs>
          <w:tab w:val="center" w:pos="4680"/>
        </w:tabs>
        <w:rPr>
          <w:b/>
          <w:bCs/>
        </w:rPr>
      </w:pPr>
      <w:r>
        <w:rPr>
          <w:rFonts w:eastAsia="Batang"/>
          <w:b/>
        </w:rPr>
        <w:t>Final Approval Date:  December 15, 1987</w:t>
      </w:r>
    </w:p>
    <w:p w14:paraId="1CB47447" w14:textId="77777777" w:rsidR="009A19D0" w:rsidRDefault="009A19D0" w:rsidP="001D5102">
      <w:pPr>
        <w:rPr>
          <w:i/>
        </w:rPr>
      </w:pPr>
    </w:p>
    <w:p w14:paraId="51DD8A54" w14:textId="77777777" w:rsidR="009A19D0" w:rsidRDefault="009A19D0" w:rsidP="001D5102">
      <w:pPr>
        <w:rPr>
          <w:i/>
        </w:rPr>
      </w:pPr>
    </w:p>
    <w:p w14:paraId="3B109DBF" w14:textId="77777777" w:rsidR="009A19D0" w:rsidRDefault="009A19D0" w:rsidP="001D5102">
      <w:pPr>
        <w:rPr>
          <w:i/>
        </w:rPr>
      </w:pPr>
    </w:p>
    <w:p w14:paraId="07806B14" w14:textId="77777777" w:rsidR="009A19D0" w:rsidRDefault="009A19D0" w:rsidP="001D5102">
      <w:pPr>
        <w:rPr>
          <w:b/>
        </w:rPr>
      </w:pPr>
      <w:r>
        <w:rPr>
          <w:b/>
        </w:rPr>
        <w:t>Prepared by:</w:t>
      </w:r>
    </w:p>
    <w:p w14:paraId="649884B4" w14:textId="77777777" w:rsidR="009A19D0" w:rsidRDefault="009A19D0" w:rsidP="001D5102">
      <w:pPr>
        <w:rPr>
          <w:b/>
        </w:rPr>
      </w:pPr>
      <w:r>
        <w:rPr>
          <w:b/>
        </w:rPr>
        <w:t xml:space="preserve">U. S. Department of Labor </w:t>
      </w:r>
    </w:p>
    <w:p w14:paraId="4A27CE33" w14:textId="77777777" w:rsidR="009A19D0" w:rsidRDefault="009A19D0" w:rsidP="001D5102">
      <w:pPr>
        <w:rPr>
          <w:b/>
        </w:rPr>
      </w:pPr>
      <w:r>
        <w:rPr>
          <w:b/>
        </w:rPr>
        <w:t>Occupational Safety and Health Administration</w:t>
      </w:r>
    </w:p>
    <w:p w14:paraId="741E4813" w14:textId="77777777" w:rsidR="009A19D0" w:rsidRDefault="009A19D0" w:rsidP="001D5102">
      <w:pPr>
        <w:rPr>
          <w:b/>
        </w:rPr>
      </w:pPr>
      <w:r>
        <w:rPr>
          <w:b/>
        </w:rPr>
        <w:t>Region IV</w:t>
      </w:r>
    </w:p>
    <w:p w14:paraId="48C00108" w14:textId="77777777" w:rsidR="009A19D0" w:rsidRDefault="009A19D0" w:rsidP="001D5102">
      <w:pPr>
        <w:ind w:left="360"/>
      </w:pPr>
      <w:r>
        <w:rPr>
          <w:b/>
        </w:rPr>
        <w:t>Atlanta, Georgia</w:t>
      </w:r>
    </w:p>
    <w:p w14:paraId="08F45AC3" w14:textId="77777777" w:rsidR="009A19D0" w:rsidRDefault="009A19D0" w:rsidP="001D5102">
      <w:pPr>
        <w:rPr>
          <w:b/>
        </w:rPr>
      </w:pPr>
    </w:p>
    <w:p w14:paraId="214AAFED" w14:textId="77777777" w:rsidR="009A19D0" w:rsidRDefault="009A19D0" w:rsidP="001D5102">
      <w:pPr>
        <w:ind w:left="360"/>
      </w:pPr>
    </w:p>
    <w:p w14:paraId="494BDCB5" w14:textId="77777777" w:rsidR="009A19D0" w:rsidRDefault="009A19D0" w:rsidP="001D5102">
      <w:pPr>
        <w:ind w:left="360"/>
      </w:pPr>
    </w:p>
    <w:p w14:paraId="2A63637C" w14:textId="77777777" w:rsidR="000A134A" w:rsidRPr="001C1E47" w:rsidRDefault="000A134A" w:rsidP="001D5102">
      <w:pPr>
        <w:widowControl/>
        <w:autoSpaceDE/>
        <w:autoSpaceDN/>
        <w:adjustRightInd/>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53E64F1" w14:textId="242C17E4" w:rsidR="002A6CAA" w:rsidRPr="00F43B23" w:rsidRDefault="00F43B23">
      <w:pPr>
        <w:widowControl/>
        <w:autoSpaceDE/>
        <w:autoSpaceDN/>
        <w:adjustRightInd/>
        <w:rPr>
          <w:rFonts w:cs="Calibri"/>
          <w:b/>
          <w:sz w:val="28"/>
          <w:szCs w:val="28"/>
        </w:rPr>
      </w:pPr>
      <w:r>
        <w:rPr>
          <w:rFonts w:cs="Calibri"/>
          <w:b/>
          <w:sz w:val="40"/>
          <w:szCs w:val="40"/>
        </w:rPr>
        <w:br w:type="page"/>
      </w:r>
      <w:r w:rsidRPr="00F43B23">
        <w:rPr>
          <w:rFonts w:cs="Calibri"/>
          <w:b/>
          <w:sz w:val="28"/>
          <w:szCs w:val="28"/>
        </w:rPr>
        <w:lastRenderedPageBreak/>
        <w:t>Table of Contents</w:t>
      </w:r>
    </w:p>
    <w:p w14:paraId="161B9969" w14:textId="6E10F363"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sidR="00975648">
          <w:rPr>
            <w:noProof/>
            <w:webHidden/>
          </w:rPr>
          <w:t>3</w:t>
        </w:r>
        <w:r>
          <w:rPr>
            <w:noProof/>
            <w:webHidden/>
          </w:rPr>
          <w:fldChar w:fldCharType="end"/>
        </w:r>
      </w:hyperlink>
    </w:p>
    <w:p w14:paraId="3BD91ACD" w14:textId="005DCDE4" w:rsidR="000F63C1" w:rsidRDefault="001D5102">
      <w:pPr>
        <w:pStyle w:val="TOC2"/>
        <w:tabs>
          <w:tab w:val="left" w:pos="480"/>
          <w:tab w:val="right" w:leader="dot" w:pos="9530"/>
        </w:tabs>
        <w:rPr>
          <w:rFonts w:eastAsiaTheme="minorEastAsia" w:cstheme="minorBidi"/>
          <w:b/>
          <w:bCs w:val="0"/>
          <w:noProof/>
          <w:sz w:val="22"/>
          <w:szCs w:val="22"/>
        </w:rPr>
      </w:pPr>
      <w:hyperlink w:anchor="_Toc119418664" w:history="1">
        <w:r w:rsidR="000F63C1" w:rsidRPr="00B5463F">
          <w:rPr>
            <w:rStyle w:val="Hyperlink"/>
            <w:noProof/>
          </w:rPr>
          <w:t>II.</w:t>
        </w:r>
        <w:r w:rsidR="000F63C1">
          <w:rPr>
            <w:rFonts w:eastAsiaTheme="minorEastAsia" w:cstheme="minorBidi"/>
            <w:b/>
            <w:bCs w:val="0"/>
            <w:noProof/>
            <w:sz w:val="22"/>
            <w:szCs w:val="22"/>
          </w:rPr>
          <w:tab/>
        </w:r>
        <w:r w:rsidR="000F63C1" w:rsidRPr="00B5463F">
          <w:rPr>
            <w:rStyle w:val="Hyperlink"/>
            <w:noProof/>
          </w:rPr>
          <w:t>State Plan Background</w:t>
        </w:r>
        <w:r w:rsidR="000F63C1">
          <w:rPr>
            <w:noProof/>
            <w:webHidden/>
          </w:rPr>
          <w:tab/>
        </w:r>
        <w:r w:rsidR="000F63C1">
          <w:rPr>
            <w:noProof/>
            <w:webHidden/>
          </w:rPr>
          <w:fldChar w:fldCharType="begin"/>
        </w:r>
        <w:r w:rsidR="000F63C1">
          <w:rPr>
            <w:noProof/>
            <w:webHidden/>
          </w:rPr>
          <w:instrText xml:space="preserve"> PAGEREF _Toc119418664 \h </w:instrText>
        </w:r>
        <w:r w:rsidR="000F63C1">
          <w:rPr>
            <w:noProof/>
            <w:webHidden/>
          </w:rPr>
        </w:r>
        <w:r w:rsidR="000F63C1">
          <w:rPr>
            <w:noProof/>
            <w:webHidden/>
          </w:rPr>
          <w:fldChar w:fldCharType="separate"/>
        </w:r>
        <w:r w:rsidR="00975648">
          <w:rPr>
            <w:noProof/>
            <w:webHidden/>
          </w:rPr>
          <w:t>4</w:t>
        </w:r>
        <w:r w:rsidR="000F63C1">
          <w:rPr>
            <w:noProof/>
            <w:webHidden/>
          </w:rPr>
          <w:fldChar w:fldCharType="end"/>
        </w:r>
      </w:hyperlink>
    </w:p>
    <w:p w14:paraId="12E60A29" w14:textId="6BA22D90" w:rsidR="000F63C1" w:rsidRDefault="001D5102">
      <w:pPr>
        <w:pStyle w:val="TOC2"/>
        <w:tabs>
          <w:tab w:val="left" w:pos="480"/>
          <w:tab w:val="right" w:leader="dot" w:pos="9530"/>
        </w:tabs>
        <w:rPr>
          <w:rFonts w:eastAsiaTheme="minorEastAsia" w:cstheme="minorBidi"/>
          <w:b/>
          <w:bCs w:val="0"/>
          <w:noProof/>
          <w:sz w:val="22"/>
          <w:szCs w:val="22"/>
        </w:rPr>
      </w:pPr>
      <w:hyperlink w:anchor="_Toc119418665" w:history="1">
        <w:r w:rsidR="000F63C1" w:rsidRPr="00B5463F">
          <w:rPr>
            <w:rStyle w:val="Hyperlink"/>
            <w:noProof/>
          </w:rPr>
          <w:t>III.</w:t>
        </w:r>
        <w:r w:rsidR="000F63C1">
          <w:rPr>
            <w:rFonts w:eastAsiaTheme="minorEastAsia" w:cstheme="minorBidi"/>
            <w:b/>
            <w:bCs w:val="0"/>
            <w:noProof/>
            <w:sz w:val="22"/>
            <w:szCs w:val="22"/>
          </w:rPr>
          <w:tab/>
        </w:r>
        <w:r w:rsidR="000F63C1" w:rsidRPr="00B5463F">
          <w:rPr>
            <w:rStyle w:val="Hyperlink"/>
            <w:noProof/>
          </w:rPr>
          <w:t>Assessment of State Plan Progress and Performance</w:t>
        </w:r>
        <w:r w:rsidR="000F63C1">
          <w:rPr>
            <w:noProof/>
            <w:webHidden/>
          </w:rPr>
          <w:tab/>
        </w:r>
        <w:r w:rsidR="000F63C1">
          <w:rPr>
            <w:noProof/>
            <w:webHidden/>
          </w:rPr>
          <w:fldChar w:fldCharType="begin"/>
        </w:r>
        <w:r w:rsidR="000F63C1">
          <w:rPr>
            <w:noProof/>
            <w:webHidden/>
          </w:rPr>
          <w:instrText xml:space="preserve"> PAGEREF _Toc119418665 \h </w:instrText>
        </w:r>
        <w:r w:rsidR="000F63C1">
          <w:rPr>
            <w:noProof/>
            <w:webHidden/>
          </w:rPr>
        </w:r>
        <w:r w:rsidR="000F63C1">
          <w:rPr>
            <w:noProof/>
            <w:webHidden/>
          </w:rPr>
          <w:fldChar w:fldCharType="separate"/>
        </w:r>
        <w:r w:rsidR="00975648">
          <w:rPr>
            <w:noProof/>
            <w:webHidden/>
          </w:rPr>
          <w:t>5</w:t>
        </w:r>
        <w:r w:rsidR="000F63C1">
          <w:rPr>
            <w:noProof/>
            <w:webHidden/>
          </w:rPr>
          <w:fldChar w:fldCharType="end"/>
        </w:r>
      </w:hyperlink>
    </w:p>
    <w:p w14:paraId="1E2078A6" w14:textId="641DAD69" w:rsidR="000F63C1" w:rsidRDefault="001D5102">
      <w:pPr>
        <w:pStyle w:val="TOC3"/>
        <w:tabs>
          <w:tab w:val="left" w:pos="720"/>
          <w:tab w:val="right" w:leader="dot" w:pos="9530"/>
        </w:tabs>
        <w:rPr>
          <w:rFonts w:eastAsiaTheme="minorEastAsia" w:cstheme="minorBidi"/>
          <w:noProof/>
          <w:sz w:val="22"/>
          <w:szCs w:val="22"/>
        </w:rPr>
      </w:pPr>
      <w:hyperlink w:anchor="_Toc119418666" w:history="1">
        <w:r w:rsidR="000F63C1" w:rsidRPr="00B5463F">
          <w:rPr>
            <w:rStyle w:val="Hyperlink"/>
            <w:rFonts w:ascii="Calibri" w:hAnsi="Calibri"/>
            <w:noProof/>
          </w:rPr>
          <w:t>A.</w:t>
        </w:r>
        <w:r w:rsidR="000F63C1">
          <w:rPr>
            <w:rFonts w:eastAsiaTheme="minorEastAsia" w:cstheme="minorBidi"/>
            <w:noProof/>
            <w:sz w:val="22"/>
            <w:szCs w:val="22"/>
          </w:rPr>
          <w:tab/>
        </w:r>
        <w:r w:rsidR="000F63C1" w:rsidRPr="00B5463F">
          <w:rPr>
            <w:rStyle w:val="Hyperlink"/>
            <w:noProof/>
          </w:rPr>
          <w:t>Data and Methodology</w:t>
        </w:r>
        <w:r w:rsidR="000F63C1">
          <w:rPr>
            <w:noProof/>
            <w:webHidden/>
          </w:rPr>
          <w:tab/>
        </w:r>
        <w:r w:rsidR="000F63C1">
          <w:rPr>
            <w:noProof/>
            <w:webHidden/>
          </w:rPr>
          <w:fldChar w:fldCharType="begin"/>
        </w:r>
        <w:r w:rsidR="000F63C1">
          <w:rPr>
            <w:noProof/>
            <w:webHidden/>
          </w:rPr>
          <w:instrText xml:space="preserve"> PAGEREF _Toc119418666 \h </w:instrText>
        </w:r>
        <w:r w:rsidR="000F63C1">
          <w:rPr>
            <w:noProof/>
            <w:webHidden/>
          </w:rPr>
        </w:r>
        <w:r w:rsidR="000F63C1">
          <w:rPr>
            <w:noProof/>
            <w:webHidden/>
          </w:rPr>
          <w:fldChar w:fldCharType="separate"/>
        </w:r>
        <w:r w:rsidR="00975648">
          <w:rPr>
            <w:noProof/>
            <w:webHidden/>
          </w:rPr>
          <w:t>5</w:t>
        </w:r>
        <w:r w:rsidR="000F63C1">
          <w:rPr>
            <w:noProof/>
            <w:webHidden/>
          </w:rPr>
          <w:fldChar w:fldCharType="end"/>
        </w:r>
      </w:hyperlink>
    </w:p>
    <w:p w14:paraId="5EC14328" w14:textId="4F1F2D03" w:rsidR="000F63C1" w:rsidRDefault="001D5102">
      <w:pPr>
        <w:pStyle w:val="TOC3"/>
        <w:tabs>
          <w:tab w:val="left" w:pos="720"/>
          <w:tab w:val="right" w:leader="dot" w:pos="9530"/>
        </w:tabs>
        <w:rPr>
          <w:rFonts w:eastAsiaTheme="minorEastAsia" w:cstheme="minorBidi"/>
          <w:noProof/>
          <w:sz w:val="22"/>
          <w:szCs w:val="22"/>
        </w:rPr>
      </w:pPr>
      <w:hyperlink w:anchor="_Toc119418667" w:history="1">
        <w:r w:rsidR="000F63C1" w:rsidRPr="00B5463F">
          <w:rPr>
            <w:rStyle w:val="Hyperlink"/>
            <w:rFonts w:ascii="Calibri" w:hAnsi="Calibri"/>
            <w:noProof/>
          </w:rPr>
          <w:t>B.</w:t>
        </w:r>
        <w:r w:rsidR="000F63C1">
          <w:rPr>
            <w:rFonts w:eastAsiaTheme="minorEastAsia" w:cstheme="minorBidi"/>
            <w:noProof/>
            <w:sz w:val="22"/>
            <w:szCs w:val="22"/>
          </w:rPr>
          <w:tab/>
        </w:r>
        <w:r w:rsidR="000F63C1" w:rsidRPr="00B5463F">
          <w:rPr>
            <w:rStyle w:val="Hyperlink"/>
            <w:noProof/>
          </w:rPr>
          <w:t>Findings and Observations</w:t>
        </w:r>
        <w:r w:rsidR="000F63C1">
          <w:rPr>
            <w:noProof/>
            <w:webHidden/>
          </w:rPr>
          <w:tab/>
        </w:r>
        <w:r w:rsidR="000F63C1">
          <w:rPr>
            <w:noProof/>
            <w:webHidden/>
          </w:rPr>
          <w:fldChar w:fldCharType="begin"/>
        </w:r>
        <w:r w:rsidR="000F63C1">
          <w:rPr>
            <w:noProof/>
            <w:webHidden/>
          </w:rPr>
          <w:instrText xml:space="preserve"> PAGEREF _Toc119418667 \h </w:instrText>
        </w:r>
        <w:r w:rsidR="000F63C1">
          <w:rPr>
            <w:noProof/>
            <w:webHidden/>
          </w:rPr>
        </w:r>
        <w:r w:rsidR="000F63C1">
          <w:rPr>
            <w:noProof/>
            <w:webHidden/>
          </w:rPr>
          <w:fldChar w:fldCharType="separate"/>
        </w:r>
        <w:r w:rsidR="00975648">
          <w:rPr>
            <w:noProof/>
            <w:webHidden/>
          </w:rPr>
          <w:t>6</w:t>
        </w:r>
        <w:r w:rsidR="000F63C1">
          <w:rPr>
            <w:noProof/>
            <w:webHidden/>
          </w:rPr>
          <w:fldChar w:fldCharType="end"/>
        </w:r>
      </w:hyperlink>
    </w:p>
    <w:p w14:paraId="373A40FB" w14:textId="20D4F80E" w:rsidR="000F63C1" w:rsidRDefault="001D5102">
      <w:pPr>
        <w:pStyle w:val="TOC3"/>
        <w:tabs>
          <w:tab w:val="left" w:pos="720"/>
          <w:tab w:val="right" w:leader="dot" w:pos="9530"/>
        </w:tabs>
        <w:rPr>
          <w:rFonts w:eastAsiaTheme="minorEastAsia" w:cstheme="minorBidi"/>
          <w:noProof/>
          <w:sz w:val="22"/>
          <w:szCs w:val="22"/>
        </w:rPr>
      </w:pPr>
      <w:hyperlink w:anchor="_Toc119418668" w:history="1">
        <w:r w:rsidR="000F63C1" w:rsidRPr="00B5463F">
          <w:rPr>
            <w:rStyle w:val="Hyperlink"/>
            <w:rFonts w:ascii="Calibri" w:hAnsi="Calibri"/>
            <w:noProof/>
          </w:rPr>
          <w:t>C.</w:t>
        </w:r>
        <w:r w:rsidR="000F63C1">
          <w:rPr>
            <w:rFonts w:eastAsiaTheme="minorEastAsia" w:cstheme="minorBidi"/>
            <w:noProof/>
            <w:sz w:val="22"/>
            <w:szCs w:val="22"/>
          </w:rPr>
          <w:tab/>
        </w:r>
        <w:r w:rsidR="000F63C1" w:rsidRPr="00B5463F">
          <w:rPr>
            <w:rStyle w:val="Hyperlink"/>
            <w:noProof/>
          </w:rPr>
          <w:t>State Activity Mandated Measures (SAMM) Highlights</w:t>
        </w:r>
        <w:r w:rsidR="000F63C1">
          <w:rPr>
            <w:noProof/>
            <w:webHidden/>
          </w:rPr>
          <w:tab/>
        </w:r>
        <w:r w:rsidR="000F63C1">
          <w:rPr>
            <w:noProof/>
            <w:webHidden/>
          </w:rPr>
          <w:fldChar w:fldCharType="begin"/>
        </w:r>
        <w:r w:rsidR="000F63C1">
          <w:rPr>
            <w:noProof/>
            <w:webHidden/>
          </w:rPr>
          <w:instrText xml:space="preserve"> PAGEREF _Toc119418668 \h </w:instrText>
        </w:r>
        <w:r w:rsidR="000F63C1">
          <w:rPr>
            <w:noProof/>
            <w:webHidden/>
          </w:rPr>
        </w:r>
        <w:r w:rsidR="000F63C1">
          <w:rPr>
            <w:noProof/>
            <w:webHidden/>
          </w:rPr>
          <w:fldChar w:fldCharType="separate"/>
        </w:r>
        <w:r w:rsidR="00975648">
          <w:rPr>
            <w:noProof/>
            <w:webHidden/>
          </w:rPr>
          <w:t>7</w:t>
        </w:r>
        <w:r w:rsidR="000F63C1">
          <w:rPr>
            <w:noProof/>
            <w:webHidden/>
          </w:rPr>
          <w:fldChar w:fldCharType="end"/>
        </w:r>
      </w:hyperlink>
    </w:p>
    <w:p w14:paraId="50DBA2CB" w14:textId="2EDC5A2C" w:rsidR="000F63C1" w:rsidRDefault="001D5102">
      <w:pPr>
        <w:pStyle w:val="TOC3"/>
        <w:tabs>
          <w:tab w:val="right" w:leader="dot" w:pos="9530"/>
        </w:tabs>
        <w:rPr>
          <w:rFonts w:eastAsiaTheme="minorEastAsia" w:cstheme="minorBidi"/>
          <w:noProof/>
          <w:sz w:val="22"/>
          <w:szCs w:val="22"/>
        </w:rPr>
      </w:pPr>
      <w:hyperlink w:anchor="_Toc119418669" w:history="1">
        <w:r w:rsidR="000F63C1" w:rsidRPr="00B5463F">
          <w:rPr>
            <w:rStyle w:val="Hyperlink"/>
            <w:noProof/>
          </w:rPr>
          <w:t>Appendix A – New and Continued Findings and Recommendations</w:t>
        </w:r>
        <w:r w:rsidR="000F63C1">
          <w:rPr>
            <w:noProof/>
            <w:webHidden/>
          </w:rPr>
          <w:tab/>
        </w:r>
        <w:r w:rsidR="000F63C1">
          <w:rPr>
            <w:noProof/>
            <w:webHidden/>
          </w:rPr>
          <w:fldChar w:fldCharType="begin"/>
        </w:r>
        <w:r w:rsidR="000F63C1">
          <w:rPr>
            <w:noProof/>
            <w:webHidden/>
          </w:rPr>
          <w:instrText xml:space="preserve"> PAGEREF _Toc119418669 \h </w:instrText>
        </w:r>
        <w:r w:rsidR="000F63C1">
          <w:rPr>
            <w:noProof/>
            <w:webHidden/>
          </w:rPr>
        </w:r>
        <w:r w:rsidR="000F63C1">
          <w:rPr>
            <w:noProof/>
            <w:webHidden/>
          </w:rPr>
          <w:fldChar w:fldCharType="separate"/>
        </w:r>
        <w:r w:rsidR="00975648">
          <w:rPr>
            <w:noProof/>
            <w:webHidden/>
          </w:rPr>
          <w:t>10</w:t>
        </w:r>
        <w:r w:rsidR="000F63C1">
          <w:rPr>
            <w:noProof/>
            <w:webHidden/>
          </w:rPr>
          <w:fldChar w:fldCharType="end"/>
        </w:r>
      </w:hyperlink>
    </w:p>
    <w:p w14:paraId="150115C6" w14:textId="70F3444A" w:rsidR="000F63C1" w:rsidRDefault="001D5102">
      <w:pPr>
        <w:pStyle w:val="TOC3"/>
        <w:tabs>
          <w:tab w:val="right" w:leader="dot" w:pos="9530"/>
        </w:tabs>
        <w:rPr>
          <w:rFonts w:eastAsiaTheme="minorEastAsia" w:cstheme="minorBidi"/>
          <w:noProof/>
          <w:sz w:val="22"/>
          <w:szCs w:val="22"/>
        </w:rPr>
      </w:pPr>
      <w:hyperlink w:anchor="_Toc119418670" w:history="1">
        <w:r w:rsidR="000F63C1" w:rsidRPr="00B5463F">
          <w:rPr>
            <w:rStyle w:val="Hyperlink"/>
            <w:noProof/>
          </w:rPr>
          <w:t>Appendix B – Observations Subject to Continued Monitoring</w:t>
        </w:r>
        <w:r w:rsidR="000F63C1">
          <w:rPr>
            <w:noProof/>
            <w:webHidden/>
          </w:rPr>
          <w:tab/>
        </w:r>
        <w:r w:rsidR="000F63C1">
          <w:rPr>
            <w:noProof/>
            <w:webHidden/>
          </w:rPr>
          <w:fldChar w:fldCharType="begin"/>
        </w:r>
        <w:r w:rsidR="000F63C1">
          <w:rPr>
            <w:noProof/>
            <w:webHidden/>
          </w:rPr>
          <w:instrText xml:space="preserve"> PAGEREF _Toc119418670 \h </w:instrText>
        </w:r>
        <w:r w:rsidR="000F63C1">
          <w:rPr>
            <w:noProof/>
            <w:webHidden/>
          </w:rPr>
        </w:r>
        <w:r w:rsidR="000F63C1">
          <w:rPr>
            <w:noProof/>
            <w:webHidden/>
          </w:rPr>
          <w:fldChar w:fldCharType="separate"/>
        </w:r>
        <w:r w:rsidR="00975648">
          <w:rPr>
            <w:noProof/>
            <w:webHidden/>
          </w:rPr>
          <w:t>11</w:t>
        </w:r>
        <w:r w:rsidR="000F63C1">
          <w:rPr>
            <w:noProof/>
            <w:webHidden/>
          </w:rPr>
          <w:fldChar w:fldCharType="end"/>
        </w:r>
      </w:hyperlink>
    </w:p>
    <w:p w14:paraId="65AD001B" w14:textId="0AB99961" w:rsidR="000F63C1" w:rsidRDefault="001D5102">
      <w:pPr>
        <w:pStyle w:val="TOC3"/>
        <w:tabs>
          <w:tab w:val="right" w:leader="dot" w:pos="9530"/>
        </w:tabs>
        <w:rPr>
          <w:rFonts w:eastAsiaTheme="minorEastAsia" w:cstheme="minorBidi"/>
          <w:noProof/>
          <w:sz w:val="22"/>
          <w:szCs w:val="22"/>
        </w:rPr>
      </w:pPr>
      <w:hyperlink w:anchor="_Toc119418671" w:history="1">
        <w:r w:rsidR="000F63C1" w:rsidRPr="00B5463F">
          <w:rPr>
            <w:rStyle w:val="Hyperlink"/>
            <w:noProof/>
          </w:rPr>
          <w:t>Appendix C - Status of FY 20</w:t>
        </w:r>
        <w:r w:rsidR="003403AC">
          <w:rPr>
            <w:rStyle w:val="Hyperlink"/>
            <w:noProof/>
          </w:rPr>
          <w:t>21</w:t>
        </w:r>
        <w:r w:rsidR="000F63C1" w:rsidRPr="00B5463F">
          <w:rPr>
            <w:rStyle w:val="Hyperlink"/>
            <w:noProof/>
          </w:rPr>
          <w:t xml:space="preserve"> Findings and Recommendations</w:t>
        </w:r>
        <w:r w:rsidR="000F63C1">
          <w:rPr>
            <w:noProof/>
            <w:webHidden/>
          </w:rPr>
          <w:tab/>
        </w:r>
        <w:r w:rsidR="000F63C1">
          <w:rPr>
            <w:noProof/>
            <w:webHidden/>
          </w:rPr>
          <w:fldChar w:fldCharType="begin"/>
        </w:r>
        <w:r w:rsidR="000F63C1">
          <w:rPr>
            <w:noProof/>
            <w:webHidden/>
          </w:rPr>
          <w:instrText xml:space="preserve"> PAGEREF _Toc119418671 \h </w:instrText>
        </w:r>
        <w:r w:rsidR="000F63C1">
          <w:rPr>
            <w:noProof/>
            <w:webHidden/>
          </w:rPr>
        </w:r>
        <w:r w:rsidR="000F63C1">
          <w:rPr>
            <w:noProof/>
            <w:webHidden/>
          </w:rPr>
          <w:fldChar w:fldCharType="separate"/>
        </w:r>
        <w:r w:rsidR="00975648">
          <w:rPr>
            <w:noProof/>
            <w:webHidden/>
          </w:rPr>
          <w:t>12</w:t>
        </w:r>
        <w:r w:rsidR="000F63C1">
          <w:rPr>
            <w:noProof/>
            <w:webHidden/>
          </w:rPr>
          <w:fldChar w:fldCharType="end"/>
        </w:r>
      </w:hyperlink>
    </w:p>
    <w:p w14:paraId="38E9E7F9" w14:textId="76036E79" w:rsidR="000F63C1" w:rsidRDefault="001D5102">
      <w:pPr>
        <w:pStyle w:val="TOC3"/>
        <w:tabs>
          <w:tab w:val="right" w:leader="dot" w:pos="9530"/>
        </w:tabs>
        <w:rPr>
          <w:rFonts w:eastAsiaTheme="minorEastAsia" w:cstheme="minorBidi"/>
          <w:noProof/>
          <w:sz w:val="22"/>
          <w:szCs w:val="22"/>
        </w:rPr>
      </w:pPr>
      <w:hyperlink w:anchor="_Toc119418672" w:history="1">
        <w:r w:rsidR="000F63C1" w:rsidRPr="00B5463F">
          <w:rPr>
            <w:rStyle w:val="Hyperlink"/>
            <w:noProof/>
          </w:rPr>
          <w:t>Appendix D – FY 2022 State Activity Mandated Measures (SAMM) Report</w:t>
        </w:r>
        <w:r w:rsidR="000F63C1">
          <w:rPr>
            <w:noProof/>
            <w:webHidden/>
          </w:rPr>
          <w:tab/>
        </w:r>
        <w:r w:rsidR="000F63C1">
          <w:rPr>
            <w:noProof/>
            <w:webHidden/>
          </w:rPr>
          <w:fldChar w:fldCharType="begin"/>
        </w:r>
        <w:r w:rsidR="000F63C1">
          <w:rPr>
            <w:noProof/>
            <w:webHidden/>
          </w:rPr>
          <w:instrText xml:space="preserve"> PAGEREF _Toc119418672 \h </w:instrText>
        </w:r>
        <w:r w:rsidR="000F63C1">
          <w:rPr>
            <w:noProof/>
            <w:webHidden/>
          </w:rPr>
        </w:r>
        <w:r w:rsidR="000F63C1">
          <w:rPr>
            <w:noProof/>
            <w:webHidden/>
          </w:rPr>
          <w:fldChar w:fldCharType="separate"/>
        </w:r>
        <w:r w:rsidR="00975648">
          <w:rPr>
            <w:noProof/>
            <w:webHidden/>
          </w:rPr>
          <w:t>1</w:t>
        </w:r>
        <w:r w:rsidR="000F63C1">
          <w:rPr>
            <w:noProof/>
            <w:webHidden/>
          </w:rPr>
          <w:fldChar w:fldCharType="end"/>
        </w:r>
      </w:hyperlink>
      <w:r w:rsidR="007F469A">
        <w:rPr>
          <w:noProof/>
        </w:rPr>
        <w:t>3</w:t>
      </w:r>
    </w:p>
    <w:p w14:paraId="2A952C03" w14:textId="0074FEF9" w:rsidR="00B823A3" w:rsidRDefault="000F63C1" w:rsidP="000F63C1">
      <w:r>
        <w:fldChar w:fldCharType="end"/>
      </w:r>
      <w:r w:rsidR="00B823A3">
        <w:br w:type="page"/>
      </w:r>
    </w:p>
    <w:p w14:paraId="57C8B837" w14:textId="77777777" w:rsidR="000A134A" w:rsidRPr="001C1E47" w:rsidRDefault="000A134A" w:rsidP="008F33B4">
      <w:pPr>
        <w:pStyle w:val="Heading2"/>
        <w:spacing w:before="0"/>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4A4FF058" w14:textId="77777777" w:rsidR="000A134A" w:rsidRPr="001C1E47" w:rsidRDefault="000A134A" w:rsidP="008F33B4">
      <w:pPr>
        <w:widowControl/>
        <w:autoSpaceDE/>
        <w:autoSpaceDN/>
        <w:adjustRightInd/>
        <w:rPr>
          <w:rFonts w:cs="Calibri"/>
          <w:b/>
        </w:rPr>
      </w:pPr>
    </w:p>
    <w:p w14:paraId="584AAA12" w14:textId="102DC6F1" w:rsidR="00CA5A9F" w:rsidRDefault="00050FEB" w:rsidP="00E57499">
      <w:pPr>
        <w:suppressLineNumbers/>
        <w:rPr>
          <w:rFonts w:asciiTheme="minorHAnsi" w:hAnsiTheme="minorHAnsi" w:cstheme="minorHAnsi"/>
          <w:color w:val="000000" w:themeColor="text1"/>
        </w:rPr>
      </w:pPr>
      <w:r w:rsidRPr="001C1E47">
        <w:rPr>
          <w:rFonts w:cs="Calibri"/>
        </w:rPr>
        <w:t xml:space="preserve">The </w:t>
      </w:r>
      <w:r w:rsidR="00F85F2D" w:rsidRPr="001C1E47">
        <w:rPr>
          <w:rFonts w:cs="Calibri"/>
        </w:rPr>
        <w:t xml:space="preserve">primary </w:t>
      </w:r>
      <w:r w:rsidRPr="001C1E47">
        <w:rPr>
          <w:rFonts w:cs="Calibri"/>
        </w:rPr>
        <w:t xml:space="preserve">purpose of this report is to assess the State Plan’s </w:t>
      </w:r>
      <w:r w:rsidR="00F85F2D" w:rsidRPr="001C1E47">
        <w:rPr>
          <w:rFonts w:cs="Calibri"/>
        </w:rPr>
        <w:t>progress in</w:t>
      </w:r>
      <w:r w:rsidRPr="001C1E47">
        <w:rPr>
          <w:rFonts w:cs="Calibri"/>
        </w:rPr>
        <w:t xml:space="preserve"> Fiscal Year (FY) 20</w:t>
      </w:r>
      <w:r w:rsidR="00185C7D" w:rsidRPr="001C1E47">
        <w:rPr>
          <w:rFonts w:cs="Calibri"/>
        </w:rPr>
        <w:t>22</w:t>
      </w:r>
      <w:r w:rsidRPr="001C1E47">
        <w:rPr>
          <w:rFonts w:cs="Calibri"/>
        </w:rPr>
        <w:t xml:space="preserve">, in resolving outstanding findings from </w:t>
      </w:r>
      <w:r w:rsidR="005837BD" w:rsidRPr="001C1E47">
        <w:rPr>
          <w:rFonts w:cs="Calibri"/>
        </w:rPr>
        <w:t xml:space="preserve">the </w:t>
      </w:r>
      <w:r w:rsidRPr="001C1E47">
        <w:rPr>
          <w:rFonts w:cs="Calibri"/>
        </w:rPr>
        <w:t>previous FY 20</w:t>
      </w:r>
      <w:r w:rsidR="00185C7D" w:rsidRPr="001C1E47">
        <w:rPr>
          <w:rFonts w:cs="Calibri"/>
        </w:rPr>
        <w:t>21</w:t>
      </w:r>
      <w:r w:rsidRPr="001C1E47">
        <w:rPr>
          <w:rFonts w:cs="Calibri"/>
        </w:rPr>
        <w:t xml:space="preserve"> 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 </w:t>
      </w:r>
      <w:r w:rsidR="00AA4CC6">
        <w:rPr>
          <w:rFonts w:cs="Calibri"/>
        </w:rPr>
        <w:t xml:space="preserve">  </w:t>
      </w:r>
      <w:r w:rsidR="00D05D85">
        <w:t>This report also assesses the South Carolina Department of Labor, Licensing, and Regulations (SCDLLR) – Division of Occupational Safety and Health Program’s (SC OSHA’s) progress toward achieving its performance goals established in the FY 20</w:t>
      </w:r>
      <w:r w:rsidR="00E00B06">
        <w:t>22</w:t>
      </w:r>
      <w:r w:rsidR="00D05D85">
        <w:t xml:space="preserve"> Strategic Management Plan, as well as reviews the effectiveness of programmatic areas related to enforcement activities</w:t>
      </w:r>
      <w:r w:rsidR="00757E6B">
        <w:t>.</w:t>
      </w:r>
      <w:r w:rsidR="00CA5A9F">
        <w:t xml:space="preserve">  The FY 2021 FAME Report identified two findings and three observations. The State Plan has </w:t>
      </w:r>
      <w:r w:rsidR="000C12FD">
        <w:t>neither</w:t>
      </w:r>
      <w:r w:rsidR="00CA5A9F">
        <w:t xml:space="preserve"> completed corrective actions for </w:t>
      </w:r>
      <w:r w:rsidR="000C12FD">
        <w:t>its</w:t>
      </w:r>
      <w:r w:rsidR="00CA5A9F">
        <w:t xml:space="preserve"> two findings</w:t>
      </w:r>
      <w:r w:rsidR="000C12FD">
        <w:t>.</w:t>
      </w:r>
      <w:r w:rsidR="00CA5A9F">
        <w:t xml:space="preserve"> </w:t>
      </w:r>
      <w:r w:rsidR="003A4A2C">
        <w:t>n</w:t>
      </w:r>
      <w:r w:rsidR="006C4E8C">
        <w:t>or</w:t>
      </w:r>
      <w:r w:rsidR="00CA5A9F">
        <w:t xml:space="preserve"> </w:t>
      </w:r>
      <w:r w:rsidR="003A4A2C">
        <w:t xml:space="preserve">its </w:t>
      </w:r>
      <w:r w:rsidR="00CA5A9F">
        <w:t>three observations.</w:t>
      </w:r>
    </w:p>
    <w:p w14:paraId="560D422D" w14:textId="55B08A9F" w:rsidR="00584FA2" w:rsidRDefault="00584FA2" w:rsidP="00E57499"/>
    <w:p w14:paraId="25DB13A3" w14:textId="675D60FB" w:rsidR="00584FA2" w:rsidRDefault="00584FA2" w:rsidP="00E57499">
      <w:pPr>
        <w:suppressLineNumbers/>
        <w:rPr>
          <w:rFonts w:asciiTheme="minorHAnsi" w:hAnsiTheme="minorHAnsi" w:cstheme="minorHAnsi"/>
          <w:color w:val="000000" w:themeColor="text1"/>
        </w:rPr>
      </w:pPr>
      <w:r w:rsidRPr="00EE62D7">
        <w:rPr>
          <w:rFonts w:asciiTheme="minorHAnsi" w:hAnsiTheme="minorHAnsi" w:cstheme="minorHAnsi"/>
        </w:rPr>
        <w:t>South Carolina developed a five-year strategic plan covering the period 2022 through 2026. The five-year strategic plan incorporates th</w:t>
      </w:r>
      <w:r w:rsidR="00EE62D7" w:rsidRPr="00EE62D7">
        <w:rPr>
          <w:rFonts w:asciiTheme="minorHAnsi" w:hAnsiTheme="minorHAnsi" w:cstheme="minorHAnsi"/>
        </w:rPr>
        <w:t>ree</w:t>
      </w:r>
      <w:r w:rsidRPr="00EE62D7">
        <w:rPr>
          <w:rFonts w:asciiTheme="minorHAnsi" w:hAnsiTheme="minorHAnsi" w:cstheme="minorHAnsi"/>
        </w:rPr>
        <w:t xml:space="preserve"> OSHA goals</w:t>
      </w:r>
      <w:r w:rsidR="000C12FD">
        <w:rPr>
          <w:rFonts w:asciiTheme="minorHAnsi" w:hAnsiTheme="minorHAnsi" w:cstheme="minorHAnsi"/>
        </w:rPr>
        <w:t>,</w:t>
      </w:r>
      <w:r w:rsidRPr="00EE62D7">
        <w:rPr>
          <w:rFonts w:asciiTheme="minorHAnsi" w:hAnsiTheme="minorHAnsi" w:cstheme="minorHAnsi"/>
        </w:rPr>
        <w:t xml:space="preserve"> as its direction. The overall strategic goals are: </w:t>
      </w:r>
      <w:r w:rsidR="00EE62D7" w:rsidRPr="00EE62D7">
        <w:rPr>
          <w:rFonts w:asciiTheme="minorHAnsi" w:hAnsiTheme="minorHAnsi" w:cstheme="minorHAnsi"/>
        </w:rPr>
        <w:t xml:space="preserve"> </w:t>
      </w:r>
      <w:r w:rsidRPr="00EE62D7">
        <w:rPr>
          <w:rFonts w:asciiTheme="minorHAnsi" w:hAnsiTheme="minorHAnsi" w:cstheme="minorHAnsi"/>
        </w:rPr>
        <w:t>Goal 1.  Ensure and improve workplace safety and health</w:t>
      </w:r>
      <w:r w:rsidR="00EE62D7">
        <w:rPr>
          <w:rFonts w:asciiTheme="minorHAnsi" w:hAnsiTheme="minorHAnsi" w:cstheme="minorHAnsi"/>
        </w:rPr>
        <w:t>;</w:t>
      </w:r>
      <w:r w:rsidR="00EE62D7" w:rsidRPr="00EE62D7">
        <w:rPr>
          <w:rFonts w:asciiTheme="minorHAnsi" w:hAnsiTheme="minorHAnsi" w:cstheme="minorHAnsi"/>
        </w:rPr>
        <w:t xml:space="preserve"> </w:t>
      </w:r>
      <w:r w:rsidRPr="00EE62D7">
        <w:rPr>
          <w:rFonts w:asciiTheme="minorHAnsi" w:hAnsiTheme="minorHAnsi" w:cstheme="minorHAnsi"/>
        </w:rPr>
        <w:t>Goal 2.  Promote a culture of safety and health</w:t>
      </w:r>
      <w:r w:rsidR="00EE62D7">
        <w:rPr>
          <w:rFonts w:asciiTheme="minorHAnsi" w:hAnsiTheme="minorHAnsi" w:cstheme="minorHAnsi"/>
        </w:rPr>
        <w:t>;</w:t>
      </w:r>
      <w:r w:rsidR="00EE62D7" w:rsidRPr="00EE62D7">
        <w:rPr>
          <w:rFonts w:asciiTheme="minorHAnsi" w:hAnsiTheme="minorHAnsi" w:cstheme="minorHAnsi"/>
        </w:rPr>
        <w:t xml:space="preserve"> </w:t>
      </w:r>
      <w:r w:rsidR="003A4A2C">
        <w:rPr>
          <w:rFonts w:asciiTheme="minorHAnsi" w:hAnsiTheme="minorHAnsi" w:cstheme="minorHAnsi"/>
        </w:rPr>
        <w:t xml:space="preserve">and </w:t>
      </w:r>
      <w:r w:rsidRPr="00EE62D7">
        <w:rPr>
          <w:rFonts w:asciiTheme="minorHAnsi" w:hAnsiTheme="minorHAnsi" w:cstheme="minorHAnsi"/>
        </w:rPr>
        <w:t xml:space="preserve">Goal 3. </w:t>
      </w:r>
      <w:r w:rsidRPr="00EE62D7">
        <w:rPr>
          <w:rFonts w:asciiTheme="minorHAnsi" w:hAnsiTheme="minorHAnsi" w:cstheme="minorHAnsi"/>
          <w:color w:val="000000" w:themeColor="text1"/>
        </w:rPr>
        <w:t>Strengthen public confidence through the development and delivery of SC OSHA’s</w:t>
      </w:r>
      <w:r w:rsidR="00EE62D7" w:rsidRPr="00EE62D7">
        <w:rPr>
          <w:rFonts w:asciiTheme="minorHAnsi" w:hAnsiTheme="minorHAnsi" w:cstheme="minorHAnsi"/>
          <w:color w:val="000000" w:themeColor="text1"/>
        </w:rPr>
        <w:t xml:space="preserve"> </w:t>
      </w:r>
      <w:r w:rsidRPr="00EE62D7">
        <w:rPr>
          <w:rFonts w:asciiTheme="minorHAnsi" w:hAnsiTheme="minorHAnsi" w:cstheme="minorHAnsi"/>
          <w:color w:val="000000" w:themeColor="text1"/>
        </w:rPr>
        <w:t>programs and services.</w:t>
      </w:r>
    </w:p>
    <w:p w14:paraId="5AA0ED7F" w14:textId="1D56C6AE" w:rsidR="00DC3E4A" w:rsidRDefault="00DC3E4A" w:rsidP="00E57499">
      <w:pPr>
        <w:suppressLineNumbers/>
        <w:rPr>
          <w:rFonts w:asciiTheme="minorHAnsi" w:hAnsiTheme="minorHAnsi" w:cstheme="minorHAnsi"/>
          <w:color w:val="000000" w:themeColor="text1"/>
        </w:rPr>
      </w:pPr>
    </w:p>
    <w:p w14:paraId="2414EEFA" w14:textId="4735C372" w:rsidR="009E21DC" w:rsidRPr="00255B55" w:rsidRDefault="00217361" w:rsidP="00E57499">
      <w:bookmarkStart w:id="6" w:name="_Hlk128752369"/>
      <w:r>
        <w:t xml:space="preserve">SC OSHA </w:t>
      </w:r>
      <w:bookmarkEnd w:id="6"/>
      <w:r>
        <w:t>continues to experience problem</w:t>
      </w:r>
      <w:r w:rsidR="00BE638F">
        <w:t>s</w:t>
      </w:r>
      <w:r>
        <w:t xml:space="preserve"> in the area of staff recruitment and retention, which has directly impacted the State Plan’s ability to meet its enforcement goals. As a result, the State Plan has experienced a decline in the number of inspections conducted. </w:t>
      </w:r>
      <w:r w:rsidR="009E21DC">
        <w:t xml:space="preserve"> </w:t>
      </w:r>
      <w:r w:rsidR="009E21DC" w:rsidRPr="00255B55">
        <w:t xml:space="preserve">From October 1, </w:t>
      </w:r>
      <w:r w:rsidR="001B7D0B" w:rsidRPr="00255B55">
        <w:t>2021,</w:t>
      </w:r>
      <w:r w:rsidR="009E21DC" w:rsidRPr="00255B55">
        <w:t xml:space="preserve"> until September 30, 2022, SC OSHA had 15 individuals that were </w:t>
      </w:r>
      <w:r w:rsidR="003A4A2C">
        <w:t xml:space="preserve">engaged in the </w:t>
      </w:r>
      <w:r w:rsidR="009E21DC" w:rsidRPr="00255B55">
        <w:t>new employee training</w:t>
      </w:r>
      <w:r w:rsidR="003A4A2C">
        <w:t xml:space="preserve"> process</w:t>
      </w:r>
      <w:r w:rsidR="009E21DC" w:rsidRPr="00255B55">
        <w:t xml:space="preserve">. </w:t>
      </w:r>
      <w:bookmarkStart w:id="7" w:name="_Hlk122315053"/>
      <w:r w:rsidR="00E210FF">
        <w:t xml:space="preserve"> </w:t>
      </w:r>
      <w:r w:rsidR="002C57FE">
        <w:t xml:space="preserve">In </w:t>
      </w:r>
      <w:r w:rsidR="009E21DC" w:rsidRPr="00255B55">
        <w:t xml:space="preserve">the beginning of FY23, </w:t>
      </w:r>
      <w:r w:rsidR="00B00265">
        <w:t>four</w:t>
      </w:r>
      <w:r w:rsidR="009E21DC" w:rsidRPr="00255B55">
        <w:t xml:space="preserve"> new hires (2 General Industry, 1 Construction, 1 Health) </w:t>
      </w:r>
      <w:r w:rsidR="00813467">
        <w:t>were</w:t>
      </w:r>
      <w:r w:rsidR="003A4A2C">
        <w:t xml:space="preserve"> in</w:t>
      </w:r>
      <w:r w:rsidR="009E21DC" w:rsidRPr="00255B55">
        <w:t xml:space="preserve"> </w:t>
      </w:r>
      <w:r w:rsidR="003A4A2C">
        <w:t xml:space="preserve">SC OSHA’s hiring pipeline. </w:t>
      </w:r>
    </w:p>
    <w:bookmarkEnd w:id="7"/>
    <w:p w14:paraId="70C2C88E" w14:textId="617AE18C" w:rsidR="00584FA2" w:rsidRDefault="00584FA2" w:rsidP="00E57499">
      <w:pPr>
        <w:suppressLineNumbers/>
      </w:pPr>
    </w:p>
    <w:p w14:paraId="40E3F809" w14:textId="3AEC4C46" w:rsidR="00E4581C" w:rsidRPr="00A221BE" w:rsidRDefault="00A221BE" w:rsidP="00E57499">
      <w:r>
        <w:t xml:space="preserve">SC OSHA’s </w:t>
      </w:r>
      <w:r w:rsidR="00E4581C" w:rsidRPr="00A221BE">
        <w:t xml:space="preserve">Partnership Program is very similar to the OSHA Partnership Program (OSPP), including </w:t>
      </w:r>
      <w:r w:rsidR="000C12FD">
        <w:t>its</w:t>
      </w:r>
      <w:r w:rsidR="00E4581C" w:rsidRPr="00A221BE">
        <w:t xml:space="preserve"> guidance document</w:t>
      </w:r>
      <w:r>
        <w:t>s</w:t>
      </w:r>
      <w:r w:rsidR="00E4581C" w:rsidRPr="00A221BE">
        <w:t xml:space="preserve"> and </w:t>
      </w:r>
      <w:r w:rsidR="000C12FD">
        <w:t>its</w:t>
      </w:r>
      <w:r w:rsidR="00E4581C" w:rsidRPr="00A221BE">
        <w:t xml:space="preserve"> annual evaluation</w:t>
      </w:r>
      <w:r>
        <w:t>.</w:t>
      </w:r>
      <w:r w:rsidR="00E4581C" w:rsidRPr="00A221BE">
        <w:t xml:space="preserve">  SC OSHA assists partners in the reduction of injuries and illnesses</w:t>
      </w:r>
      <w:r w:rsidR="000C12FD">
        <w:t>,</w:t>
      </w:r>
      <w:r w:rsidR="00E4581C" w:rsidRPr="00A221BE">
        <w:t xml:space="preserve"> through the long-term development of effective safety and health management systems that address hazards in accordance with the OSH Act. </w:t>
      </w:r>
      <w:r w:rsidR="00E57499">
        <w:t xml:space="preserve"> </w:t>
      </w:r>
      <w:r w:rsidR="00E4581C" w:rsidRPr="00A221BE">
        <w:t>The benefits of the partnerships are, improved employee safety and health at construction sites, reduction in illness and injury cases, increase</w:t>
      </w:r>
      <w:r w:rsidR="000C12FD">
        <w:t>d</w:t>
      </w:r>
      <w:r w:rsidR="00E4581C" w:rsidRPr="00A221BE">
        <w:t xml:space="preserve"> access to safety and health training and information, and the development of safety and health management systems.  In FY 2022, </w:t>
      </w:r>
      <w:r w:rsidRPr="00A221BE">
        <w:t xml:space="preserve">four employers </w:t>
      </w:r>
      <w:r w:rsidR="000C12FD">
        <w:t>were</w:t>
      </w:r>
      <w:r w:rsidRPr="00A221BE">
        <w:t xml:space="preserve"> active participants in the State Plan’s Partnership Program.  They are as follows: </w:t>
      </w:r>
      <w:r w:rsidR="00E4581C" w:rsidRPr="00A221BE">
        <w:t>Harper General Contractors, McCormick Water Treatment Plant Improvement Project located in McCormick, SC</w:t>
      </w:r>
      <w:r w:rsidRPr="00A221BE">
        <w:t xml:space="preserve">; </w:t>
      </w:r>
      <w:r w:rsidR="00E4581C" w:rsidRPr="00A221BE">
        <w:t>Holder Construction Group, Daniel Hall Expansion and Renovation project at Clemson University in Clemson, SC</w:t>
      </w:r>
      <w:r w:rsidRPr="00A221BE">
        <w:t xml:space="preserve">; </w:t>
      </w:r>
      <w:r w:rsidR="00E4581C" w:rsidRPr="00A221BE">
        <w:t>Holder Construction Group, Mustang MNK project located in Monks Corner, SC</w:t>
      </w:r>
      <w:r w:rsidRPr="00A221BE">
        <w:t xml:space="preserve">; </w:t>
      </w:r>
      <w:r w:rsidR="00E4581C" w:rsidRPr="00A221BE">
        <w:t>Juneau Construction Company, University of South Carolina - Campus Village project located in Columbia, SC</w:t>
      </w:r>
      <w:r w:rsidRPr="00A221BE">
        <w:t>.</w:t>
      </w:r>
    </w:p>
    <w:p w14:paraId="2FC7F391" w14:textId="182EC325" w:rsidR="000552ED" w:rsidRDefault="000552ED" w:rsidP="00E57499">
      <w:pPr>
        <w:widowControl/>
        <w:autoSpaceDE/>
        <w:autoSpaceDN/>
        <w:adjustRightInd/>
        <w:rPr>
          <w:rFonts w:cs="Calibri"/>
        </w:rPr>
      </w:pPr>
    </w:p>
    <w:p w14:paraId="28B50763" w14:textId="1557C4CD" w:rsidR="005F5933" w:rsidRPr="00255B55" w:rsidRDefault="005F5933" w:rsidP="00E57499">
      <w:r w:rsidRPr="00255B55">
        <w:t>The State’s total recordable case (TRC) rate for Calendar Year (CY) 2021 was 2.4.  This rate is 17.2% lower than the national average. The State’s days away, restricted or transferred (DART) rate for CY 2021 was 1.5. This rate is 16.7% lower than the national average.  This data was released by the Bureau of Labor Statistics (BLS) in Nov</w:t>
      </w:r>
      <w:r w:rsidR="00E57499">
        <w:t>.</w:t>
      </w:r>
      <w:r w:rsidRPr="00255B55">
        <w:t xml:space="preserve"> </w:t>
      </w:r>
      <w:r w:rsidR="001B7D0B" w:rsidRPr="00255B55">
        <w:t>2022,</w:t>
      </w:r>
      <w:r w:rsidRPr="00255B55">
        <w:t xml:space="preserve"> and it is the most current data available.</w:t>
      </w:r>
    </w:p>
    <w:p w14:paraId="4C198E65" w14:textId="77777777" w:rsidR="000552ED" w:rsidRPr="00C53328" w:rsidRDefault="000552ED" w:rsidP="008F33B4">
      <w:pPr>
        <w:widowControl/>
        <w:autoSpaceDE/>
        <w:autoSpaceDN/>
        <w:adjustRightInd/>
        <w:jc w:val="both"/>
        <w:rPr>
          <w:rFonts w:cs="Calibri"/>
          <w:iCs/>
          <w:color w:val="0070C0"/>
        </w:rPr>
      </w:pPr>
    </w:p>
    <w:p w14:paraId="67E95E6F" w14:textId="6755D6C3" w:rsidR="000A134A" w:rsidRPr="001C1E47" w:rsidRDefault="001E71BA" w:rsidP="008F33B4">
      <w:pPr>
        <w:pStyle w:val="Heading2"/>
        <w:spacing w:before="0"/>
      </w:pPr>
      <w:bookmarkStart w:id="8" w:name="_Toc118900171"/>
      <w:bookmarkStart w:id="9" w:name="_Toc118905010"/>
      <w:bookmarkStart w:id="10" w:name="_Toc119418664"/>
      <w:r w:rsidRPr="001C1E47">
        <w:t>State Plan Background</w:t>
      </w:r>
      <w:bookmarkEnd w:id="8"/>
      <w:bookmarkEnd w:id="9"/>
      <w:bookmarkEnd w:id="10"/>
    </w:p>
    <w:p w14:paraId="7ED8AA2D" w14:textId="77777777" w:rsidR="000A134A" w:rsidRPr="001C1E47" w:rsidRDefault="000A134A" w:rsidP="008F33B4">
      <w:pPr>
        <w:widowControl/>
        <w:autoSpaceDE/>
        <w:autoSpaceDN/>
        <w:adjustRightInd/>
        <w:rPr>
          <w:rFonts w:cs="Calibri"/>
          <w:i/>
        </w:rPr>
      </w:pPr>
    </w:p>
    <w:p w14:paraId="3A7F67E1" w14:textId="1636FFEF" w:rsidR="001472A1" w:rsidRPr="00792788" w:rsidRDefault="001472A1" w:rsidP="00E57499">
      <w:pPr>
        <w:pStyle w:val="NoSpacing"/>
        <w:rPr>
          <w:rFonts w:asciiTheme="minorHAnsi" w:hAnsiTheme="minorHAnsi" w:cstheme="minorHAnsi"/>
          <w:sz w:val="24"/>
          <w:szCs w:val="24"/>
        </w:rPr>
      </w:pPr>
      <w:r w:rsidRPr="00792788">
        <w:rPr>
          <w:rFonts w:asciiTheme="minorHAnsi" w:hAnsiTheme="minorHAnsi" w:cstheme="minorHAnsi"/>
          <w:sz w:val="24"/>
          <w:szCs w:val="24"/>
        </w:rPr>
        <w:t xml:space="preserve">The South Carolina Occupational Safety and Health State Plan was one of the first programs approved by the U.S. Department of Labor, per the guidelines of the Occupational Safety and Health Act of 1970.  This was accomplished on November 30, 1972, and final approval was granted in 1987.  In 1994, the South Carolina Department of Labor was eliminated, as part of the reorganization of the </w:t>
      </w:r>
      <w:r w:rsidR="00295883">
        <w:rPr>
          <w:rFonts w:asciiTheme="minorHAnsi" w:hAnsiTheme="minorHAnsi" w:cstheme="minorHAnsi"/>
          <w:sz w:val="24"/>
          <w:szCs w:val="24"/>
        </w:rPr>
        <w:t>S</w:t>
      </w:r>
      <w:r w:rsidRPr="00792788">
        <w:rPr>
          <w:rFonts w:asciiTheme="minorHAnsi" w:hAnsiTheme="minorHAnsi" w:cstheme="minorHAnsi"/>
          <w:sz w:val="24"/>
          <w:szCs w:val="24"/>
        </w:rPr>
        <w:t xml:space="preserve">tate government, and the South Carolina Department of Labor, Licensing and Regulation (SCDLLR) was created.  During this review period, </w:t>
      </w:r>
      <w:r w:rsidRPr="00792788">
        <w:rPr>
          <w:rFonts w:asciiTheme="minorHAnsi" w:hAnsiTheme="minorHAnsi" w:cstheme="minorHAnsi"/>
          <w:color w:val="222222"/>
          <w:sz w:val="24"/>
          <w:szCs w:val="24"/>
          <w:shd w:val="clear" w:color="auto" w:fill="FFFFFF"/>
        </w:rPr>
        <w:t>Emily H. Farr was the Director of SCDLLR, and Kristina Baker was the Deputy Director</w:t>
      </w:r>
      <w:r w:rsidR="00F73C87" w:rsidRPr="00792788">
        <w:rPr>
          <w:rFonts w:asciiTheme="minorHAnsi" w:hAnsiTheme="minorHAnsi" w:cstheme="minorHAnsi"/>
          <w:color w:val="222222"/>
          <w:sz w:val="24"/>
          <w:szCs w:val="24"/>
          <w:shd w:val="clear" w:color="auto" w:fill="FFFFFF"/>
        </w:rPr>
        <w:t xml:space="preserve">. </w:t>
      </w:r>
      <w:r w:rsidRPr="00792788">
        <w:rPr>
          <w:rFonts w:asciiTheme="minorHAnsi" w:hAnsiTheme="minorHAnsi" w:cstheme="minorHAnsi"/>
          <w:color w:val="222222"/>
          <w:sz w:val="24"/>
          <w:szCs w:val="24"/>
          <w:shd w:val="clear" w:color="auto" w:fill="FFFFFF"/>
        </w:rPr>
        <w:t>SCD</w:t>
      </w:r>
      <w:r w:rsidRPr="00792788">
        <w:rPr>
          <w:rFonts w:asciiTheme="minorHAnsi" w:hAnsiTheme="minorHAnsi" w:cstheme="minorHAnsi"/>
          <w:sz w:val="24"/>
          <w:szCs w:val="24"/>
        </w:rPr>
        <w:t xml:space="preserve">LLR is divided into the following three divisions: Labor; Fire and Life Safety; and Professional and Occupational Licensing.  The South Carolina Occupational Safety and Health (SC OSH) Program, within the Division of Labor, is responsible for the management and operation of the State Plan.   </w:t>
      </w:r>
    </w:p>
    <w:p w14:paraId="44C0F17D" w14:textId="77777777" w:rsidR="001472A1" w:rsidRPr="00792788" w:rsidRDefault="001472A1" w:rsidP="00E57499">
      <w:pPr>
        <w:pStyle w:val="NoSpacing"/>
        <w:ind w:left="360"/>
        <w:rPr>
          <w:rFonts w:asciiTheme="minorHAnsi" w:hAnsiTheme="minorHAnsi" w:cstheme="minorHAnsi"/>
          <w:sz w:val="24"/>
          <w:szCs w:val="24"/>
        </w:rPr>
      </w:pPr>
    </w:p>
    <w:p w14:paraId="38FD1E94" w14:textId="722A77EA" w:rsidR="001472A1" w:rsidRPr="00792788" w:rsidRDefault="001472A1" w:rsidP="00E57499">
      <w:pPr>
        <w:pStyle w:val="NoSpacing"/>
        <w:rPr>
          <w:rFonts w:asciiTheme="minorHAnsi" w:hAnsiTheme="minorHAnsi" w:cstheme="minorBidi"/>
          <w:sz w:val="24"/>
          <w:szCs w:val="24"/>
        </w:rPr>
      </w:pPr>
      <w:r w:rsidRPr="6F1C16E6">
        <w:rPr>
          <w:rFonts w:asciiTheme="minorHAnsi" w:hAnsiTheme="minorHAnsi" w:cstheme="minorBidi"/>
          <w:sz w:val="24"/>
          <w:szCs w:val="24"/>
        </w:rPr>
        <w:t xml:space="preserve">It is important to note that SC OSHA is organized into four </w:t>
      </w:r>
      <w:r w:rsidR="00F73C87" w:rsidRPr="6F1C16E6">
        <w:rPr>
          <w:rFonts w:asciiTheme="minorHAnsi" w:hAnsiTheme="minorHAnsi" w:cstheme="minorBidi"/>
          <w:sz w:val="24"/>
          <w:szCs w:val="24"/>
        </w:rPr>
        <w:t>principal areas</w:t>
      </w:r>
      <w:r w:rsidRPr="6F1C16E6">
        <w:rPr>
          <w:rFonts w:asciiTheme="minorHAnsi" w:hAnsiTheme="minorHAnsi" w:cstheme="minorBidi"/>
          <w:sz w:val="24"/>
          <w:szCs w:val="24"/>
        </w:rPr>
        <w:t>:  Administration, Compliance, Legal and Outreach</w:t>
      </w:r>
      <w:r w:rsidR="00295883">
        <w:rPr>
          <w:rFonts w:asciiTheme="minorHAnsi" w:hAnsiTheme="minorHAnsi" w:cstheme="minorBidi"/>
          <w:sz w:val="24"/>
          <w:szCs w:val="24"/>
        </w:rPr>
        <w:t>,</w:t>
      </w:r>
      <w:r w:rsidRPr="6F1C16E6">
        <w:rPr>
          <w:rFonts w:asciiTheme="minorHAnsi" w:hAnsiTheme="minorHAnsi" w:cstheme="minorBidi"/>
          <w:sz w:val="24"/>
          <w:szCs w:val="24"/>
        </w:rPr>
        <w:t xml:space="preserve"> and Education.  The Deputy Director Kristina Baker oversees the program and has four strong area leads that manage the day to day running of the program.  </w:t>
      </w:r>
    </w:p>
    <w:p w14:paraId="618AE942" w14:textId="77777777" w:rsidR="001472A1" w:rsidRPr="00792788" w:rsidRDefault="001472A1" w:rsidP="00E57499">
      <w:pPr>
        <w:pStyle w:val="NoSpacing"/>
        <w:ind w:left="360"/>
        <w:rPr>
          <w:rFonts w:asciiTheme="minorHAnsi" w:hAnsiTheme="minorHAnsi" w:cstheme="minorHAnsi"/>
          <w:sz w:val="24"/>
          <w:szCs w:val="24"/>
        </w:rPr>
      </w:pPr>
    </w:p>
    <w:p w14:paraId="29236C7C" w14:textId="724CE2F1" w:rsidR="001472A1" w:rsidRPr="00792788" w:rsidRDefault="001472A1" w:rsidP="00E57499">
      <w:pPr>
        <w:pStyle w:val="NoSpacing"/>
        <w:rPr>
          <w:rFonts w:asciiTheme="minorHAnsi" w:hAnsiTheme="minorHAnsi" w:cstheme="minorBidi"/>
          <w:sz w:val="24"/>
          <w:szCs w:val="24"/>
        </w:rPr>
      </w:pPr>
      <w:r w:rsidRPr="6F1C16E6">
        <w:rPr>
          <w:rFonts w:asciiTheme="minorHAnsi" w:hAnsiTheme="minorHAnsi" w:cstheme="minorBidi"/>
          <w:sz w:val="24"/>
          <w:szCs w:val="24"/>
        </w:rPr>
        <w:t>During the review period, Gwen Thomas was the State Plan Manager for the SC OSHA Program and responsible for the area of Administration</w:t>
      </w:r>
      <w:r w:rsidR="00F73C87" w:rsidRPr="6F1C16E6">
        <w:rPr>
          <w:rFonts w:asciiTheme="minorHAnsi" w:hAnsiTheme="minorHAnsi" w:cstheme="minorBidi"/>
          <w:sz w:val="24"/>
          <w:szCs w:val="24"/>
        </w:rPr>
        <w:t xml:space="preserve">. </w:t>
      </w:r>
      <w:r w:rsidRPr="6F1C16E6">
        <w:rPr>
          <w:rFonts w:asciiTheme="minorHAnsi" w:hAnsiTheme="minorHAnsi" w:cstheme="minorBidi"/>
          <w:sz w:val="24"/>
          <w:szCs w:val="24"/>
        </w:rPr>
        <w:t xml:space="preserve">This includes leading the following departments: </w:t>
      </w:r>
      <w:r w:rsidR="00295883">
        <w:rPr>
          <w:rFonts w:asciiTheme="minorHAnsi" w:hAnsiTheme="minorHAnsi" w:cstheme="minorBidi"/>
          <w:sz w:val="24"/>
          <w:szCs w:val="24"/>
        </w:rPr>
        <w:t>T</w:t>
      </w:r>
      <w:r w:rsidRPr="6F1C16E6">
        <w:rPr>
          <w:rFonts w:asciiTheme="minorHAnsi" w:hAnsiTheme="minorHAnsi" w:cstheme="minorBidi"/>
          <w:sz w:val="24"/>
          <w:szCs w:val="24"/>
        </w:rPr>
        <w:t xml:space="preserve">raining; </w:t>
      </w:r>
      <w:r w:rsidR="00295883">
        <w:rPr>
          <w:rFonts w:asciiTheme="minorHAnsi" w:hAnsiTheme="minorHAnsi" w:cstheme="minorBidi"/>
          <w:sz w:val="24"/>
          <w:szCs w:val="24"/>
        </w:rPr>
        <w:t>T</w:t>
      </w:r>
      <w:r w:rsidRPr="6F1C16E6">
        <w:rPr>
          <w:rFonts w:asciiTheme="minorHAnsi" w:hAnsiTheme="minorHAnsi" w:cstheme="minorBidi"/>
          <w:sz w:val="24"/>
          <w:szCs w:val="24"/>
        </w:rPr>
        <w:t xml:space="preserve">echnical </w:t>
      </w:r>
      <w:r w:rsidR="00295883">
        <w:rPr>
          <w:rFonts w:asciiTheme="minorHAnsi" w:hAnsiTheme="minorHAnsi" w:cstheme="minorBidi"/>
          <w:sz w:val="24"/>
          <w:szCs w:val="24"/>
        </w:rPr>
        <w:t>S</w:t>
      </w:r>
      <w:r w:rsidRPr="6F1C16E6">
        <w:rPr>
          <w:rFonts w:asciiTheme="minorHAnsi" w:hAnsiTheme="minorHAnsi" w:cstheme="minorBidi"/>
          <w:sz w:val="24"/>
          <w:szCs w:val="24"/>
        </w:rPr>
        <w:t xml:space="preserve">upport and </w:t>
      </w:r>
      <w:r w:rsidR="00295883">
        <w:rPr>
          <w:rFonts w:asciiTheme="minorHAnsi" w:hAnsiTheme="minorHAnsi" w:cstheme="minorBidi"/>
          <w:sz w:val="24"/>
          <w:szCs w:val="24"/>
        </w:rPr>
        <w:t>S</w:t>
      </w:r>
      <w:r w:rsidRPr="6F1C16E6">
        <w:rPr>
          <w:rFonts w:asciiTheme="minorHAnsi" w:hAnsiTheme="minorHAnsi" w:cstheme="minorBidi"/>
          <w:sz w:val="24"/>
          <w:szCs w:val="24"/>
        </w:rPr>
        <w:t>tandards; the Web Integrated Management Information System; and the South Carolina Bureau of Labor Statistics</w:t>
      </w:r>
      <w:r w:rsidR="00F73C87" w:rsidRPr="6F1C16E6">
        <w:rPr>
          <w:rFonts w:asciiTheme="minorHAnsi" w:hAnsiTheme="minorHAnsi" w:cstheme="minorBidi"/>
          <w:sz w:val="24"/>
          <w:szCs w:val="24"/>
        </w:rPr>
        <w:t xml:space="preserve">. </w:t>
      </w:r>
      <w:r w:rsidRPr="6F1C16E6">
        <w:rPr>
          <w:rFonts w:asciiTheme="minorHAnsi" w:hAnsiTheme="minorHAnsi" w:cstheme="minorBidi"/>
          <w:sz w:val="24"/>
          <w:szCs w:val="24"/>
        </w:rPr>
        <w:t xml:space="preserve">The Office of Technical Support and Standards (OTSS) provides information to assist the public in complying with standards.  The </w:t>
      </w:r>
      <w:r w:rsidR="00295883">
        <w:rPr>
          <w:rFonts w:asciiTheme="minorHAnsi" w:hAnsiTheme="minorHAnsi" w:cstheme="minorBidi"/>
          <w:sz w:val="24"/>
          <w:szCs w:val="24"/>
        </w:rPr>
        <w:t>O</w:t>
      </w:r>
      <w:r w:rsidRPr="6F1C16E6">
        <w:rPr>
          <w:rFonts w:asciiTheme="minorHAnsi" w:hAnsiTheme="minorHAnsi" w:cstheme="minorBidi"/>
          <w:sz w:val="24"/>
          <w:szCs w:val="24"/>
        </w:rPr>
        <w:t>ffice also supports the enforcement program with compliance guidance by providing guidance for internal and external use.  In addition, OTSS reviews new OSHA standards and directives to determine</w:t>
      </w:r>
      <w:r w:rsidR="00295883">
        <w:rPr>
          <w:rFonts w:asciiTheme="minorHAnsi" w:hAnsiTheme="minorHAnsi" w:cstheme="minorBidi"/>
          <w:sz w:val="24"/>
          <w:szCs w:val="24"/>
        </w:rPr>
        <w:t>,</w:t>
      </w:r>
      <w:r w:rsidRPr="6F1C16E6">
        <w:rPr>
          <w:rFonts w:asciiTheme="minorHAnsi" w:hAnsiTheme="minorHAnsi" w:cstheme="minorBidi"/>
          <w:sz w:val="24"/>
          <w:szCs w:val="24"/>
        </w:rPr>
        <w:t xml:space="preserve"> whether SC OSHA should adopt them. </w:t>
      </w:r>
    </w:p>
    <w:p w14:paraId="4F058CEA" w14:textId="77777777" w:rsidR="001472A1" w:rsidRPr="00792788" w:rsidRDefault="001472A1" w:rsidP="00E57499">
      <w:pPr>
        <w:pStyle w:val="NoSpacing"/>
        <w:ind w:left="360"/>
        <w:rPr>
          <w:rFonts w:asciiTheme="minorHAnsi" w:hAnsiTheme="minorHAnsi" w:cstheme="minorHAnsi"/>
          <w:sz w:val="24"/>
          <w:szCs w:val="24"/>
        </w:rPr>
      </w:pPr>
    </w:p>
    <w:p w14:paraId="22FBCBDE" w14:textId="77777777" w:rsidR="001472A1" w:rsidRPr="00792788" w:rsidRDefault="001472A1" w:rsidP="00E57499">
      <w:pPr>
        <w:pStyle w:val="NoSpacing"/>
        <w:rPr>
          <w:rFonts w:asciiTheme="minorHAnsi" w:hAnsiTheme="minorHAnsi" w:cstheme="minorBidi"/>
          <w:sz w:val="24"/>
          <w:szCs w:val="24"/>
        </w:rPr>
      </w:pPr>
      <w:r w:rsidRPr="6F1C16E6">
        <w:rPr>
          <w:rFonts w:asciiTheme="minorHAnsi" w:hAnsiTheme="minorHAnsi" w:cstheme="minorBidi"/>
          <w:sz w:val="24"/>
          <w:szCs w:val="24"/>
        </w:rPr>
        <w:t>The Compliance Manager, Anthony Wilks, manages the Compliance area, including leading the safety and health compliance teams consisting of supervisors, compliance safety and health officers (CSHOs), and administrative staff.</w:t>
      </w:r>
    </w:p>
    <w:p w14:paraId="30C8DBD7" w14:textId="77777777" w:rsidR="001472A1" w:rsidRPr="00792788" w:rsidRDefault="001472A1" w:rsidP="00E57499">
      <w:pPr>
        <w:pStyle w:val="NoSpacing"/>
        <w:ind w:left="360"/>
        <w:rPr>
          <w:rFonts w:asciiTheme="minorHAnsi" w:hAnsiTheme="minorHAnsi" w:cstheme="minorHAnsi"/>
          <w:sz w:val="24"/>
          <w:szCs w:val="24"/>
        </w:rPr>
      </w:pPr>
    </w:p>
    <w:p w14:paraId="24A698EE" w14:textId="77777777" w:rsidR="001472A1" w:rsidRPr="00792788" w:rsidRDefault="001472A1" w:rsidP="00E57499">
      <w:pPr>
        <w:pStyle w:val="NoSpacing"/>
        <w:rPr>
          <w:rFonts w:asciiTheme="minorHAnsi" w:hAnsiTheme="minorHAnsi" w:cstheme="minorBidi"/>
          <w:sz w:val="24"/>
          <w:szCs w:val="24"/>
        </w:rPr>
      </w:pPr>
      <w:r w:rsidRPr="6F1C16E6">
        <w:rPr>
          <w:rFonts w:asciiTheme="minorHAnsi" w:hAnsiTheme="minorHAnsi" w:cstheme="minorBidi"/>
          <w:sz w:val="24"/>
          <w:szCs w:val="24"/>
        </w:rPr>
        <w:t xml:space="preserve">The Chief OSHA Counsel, Deidre Laws, manages the Legal area, which includes Whistleblower 11 (c), informal conferences, contested cases and FOIAs. </w:t>
      </w:r>
    </w:p>
    <w:p w14:paraId="2645A36D" w14:textId="77777777" w:rsidR="001472A1" w:rsidRPr="00792788" w:rsidRDefault="001472A1" w:rsidP="00E57499">
      <w:pPr>
        <w:pStyle w:val="NoSpacing"/>
        <w:ind w:left="360"/>
        <w:rPr>
          <w:rFonts w:asciiTheme="minorHAnsi" w:hAnsiTheme="minorHAnsi" w:cstheme="minorHAnsi"/>
          <w:sz w:val="24"/>
          <w:szCs w:val="24"/>
        </w:rPr>
      </w:pPr>
    </w:p>
    <w:p w14:paraId="589B5294" w14:textId="0AAB1DFB" w:rsidR="001472A1" w:rsidRPr="00792788" w:rsidRDefault="001472A1" w:rsidP="00E57499">
      <w:pPr>
        <w:pStyle w:val="NoSpacing"/>
        <w:rPr>
          <w:rFonts w:asciiTheme="minorHAnsi" w:hAnsiTheme="minorHAnsi" w:cstheme="minorBidi"/>
          <w:sz w:val="24"/>
          <w:szCs w:val="24"/>
        </w:rPr>
      </w:pPr>
      <w:r w:rsidRPr="6F1C16E6">
        <w:rPr>
          <w:rFonts w:asciiTheme="minorHAnsi" w:hAnsiTheme="minorHAnsi" w:cstheme="minorBidi"/>
          <w:sz w:val="24"/>
          <w:szCs w:val="24"/>
        </w:rPr>
        <w:t>The SC OSHA Consultation Manager, Sharon Dumit oversees the Office of Outreach and Education (O&amp;E), which includes safety and health training, compliance assistance, the South Carolina Palmetto Star Program, the Youth Training Program, and On-site Consultative Services.  The Palmetto Star Program is the equivalent to the OSHA Voluntary Protection program</w:t>
      </w:r>
      <w:r w:rsidR="008F33B4" w:rsidRPr="6F1C16E6">
        <w:rPr>
          <w:rFonts w:asciiTheme="minorHAnsi" w:hAnsiTheme="minorHAnsi" w:cstheme="minorBidi"/>
          <w:sz w:val="24"/>
          <w:szCs w:val="24"/>
        </w:rPr>
        <w:t xml:space="preserve"> (VPP)</w:t>
      </w:r>
      <w:r w:rsidRPr="6F1C16E6">
        <w:rPr>
          <w:rFonts w:asciiTheme="minorHAnsi" w:hAnsiTheme="minorHAnsi" w:cstheme="minorBidi"/>
          <w:sz w:val="24"/>
          <w:szCs w:val="24"/>
        </w:rPr>
        <w:t>.  The On-site Consultative Services are provided free of charge to private sector</w:t>
      </w:r>
      <w:bookmarkStart w:id="11" w:name="_Hlk38462388"/>
      <w:r w:rsidRPr="6F1C16E6">
        <w:rPr>
          <w:rFonts w:asciiTheme="minorHAnsi" w:hAnsiTheme="minorHAnsi" w:cstheme="minorBidi"/>
          <w:sz w:val="24"/>
          <w:szCs w:val="24"/>
        </w:rPr>
        <w:t xml:space="preserve"> </w:t>
      </w:r>
      <w:bookmarkEnd w:id="11"/>
      <w:r w:rsidRPr="6F1C16E6">
        <w:rPr>
          <w:rFonts w:asciiTheme="minorHAnsi" w:hAnsiTheme="minorHAnsi" w:cstheme="minorBidi"/>
          <w:sz w:val="24"/>
          <w:szCs w:val="24"/>
        </w:rPr>
        <w:t xml:space="preserve">employers, through OSHA’s 21(d) grant program. </w:t>
      </w:r>
    </w:p>
    <w:p w14:paraId="59BBEAA1" w14:textId="77777777" w:rsidR="001472A1" w:rsidRPr="00792788" w:rsidRDefault="001472A1" w:rsidP="00E57499">
      <w:pPr>
        <w:pStyle w:val="NoSpacing"/>
        <w:ind w:left="360"/>
        <w:rPr>
          <w:rFonts w:asciiTheme="minorHAnsi" w:hAnsiTheme="minorHAnsi" w:cstheme="minorHAnsi"/>
          <w:sz w:val="24"/>
          <w:szCs w:val="24"/>
        </w:rPr>
      </w:pPr>
    </w:p>
    <w:p w14:paraId="19250DCA" w14:textId="61A9E559" w:rsidR="001472A1" w:rsidRPr="00792788" w:rsidRDefault="001472A1" w:rsidP="00E57499">
      <w:pPr>
        <w:pStyle w:val="NoSpacing"/>
        <w:rPr>
          <w:rFonts w:asciiTheme="minorHAnsi" w:hAnsiTheme="minorHAnsi" w:cstheme="minorBidi"/>
          <w:sz w:val="24"/>
          <w:szCs w:val="24"/>
        </w:rPr>
      </w:pPr>
      <w:r w:rsidRPr="6F1C16E6">
        <w:rPr>
          <w:rFonts w:asciiTheme="minorHAnsi" w:hAnsiTheme="minorHAnsi" w:cstheme="minorBidi"/>
          <w:sz w:val="24"/>
          <w:szCs w:val="24"/>
        </w:rPr>
        <w:t xml:space="preserve">In South Carolina, state and local government agencies and workers are afforded the same rights, </w:t>
      </w:r>
      <w:proofErr w:type="gramStart"/>
      <w:r w:rsidRPr="6F1C16E6">
        <w:rPr>
          <w:rFonts w:asciiTheme="minorHAnsi" w:hAnsiTheme="minorHAnsi" w:cstheme="minorBidi"/>
          <w:sz w:val="24"/>
          <w:szCs w:val="24"/>
        </w:rPr>
        <w:t>responsibilities</w:t>
      </w:r>
      <w:proofErr w:type="gramEnd"/>
      <w:r w:rsidRPr="6F1C16E6">
        <w:rPr>
          <w:rFonts w:asciiTheme="minorHAnsi" w:hAnsiTheme="minorHAnsi" w:cstheme="minorBidi"/>
          <w:sz w:val="24"/>
          <w:szCs w:val="24"/>
        </w:rPr>
        <w:t xml:space="preserve"> and coverage</w:t>
      </w:r>
      <w:r w:rsidR="00913360">
        <w:rPr>
          <w:rFonts w:asciiTheme="minorHAnsi" w:hAnsiTheme="minorHAnsi" w:cstheme="minorBidi"/>
          <w:sz w:val="24"/>
          <w:szCs w:val="24"/>
        </w:rPr>
        <w:t>,</w:t>
      </w:r>
      <w:r w:rsidRPr="6F1C16E6">
        <w:rPr>
          <w:rFonts w:asciiTheme="minorHAnsi" w:hAnsiTheme="minorHAnsi" w:cstheme="minorBidi"/>
          <w:sz w:val="24"/>
          <w:szCs w:val="24"/>
        </w:rPr>
        <w:t xml:space="preserve"> as those in the private sector.  </w:t>
      </w:r>
    </w:p>
    <w:p w14:paraId="102497C5" w14:textId="77777777" w:rsidR="00753C0F" w:rsidRDefault="00753C0F" w:rsidP="008F33B4"/>
    <w:p w14:paraId="70AFCD9A" w14:textId="6527792C" w:rsidR="00A1670B" w:rsidRDefault="009D113D" w:rsidP="008F33B4">
      <w:pPr>
        <w:ind w:firstLine="720"/>
        <w:rPr>
          <w:b/>
        </w:rPr>
      </w:pPr>
      <w:r>
        <w:rPr>
          <w:b/>
        </w:rPr>
        <w:lastRenderedPageBreak/>
        <w:t>The table below shows SC OSHA’s funding levels from FY 201</w:t>
      </w:r>
      <w:r w:rsidR="00A00512">
        <w:rPr>
          <w:b/>
        </w:rPr>
        <w:t>8</w:t>
      </w:r>
      <w:r>
        <w:rPr>
          <w:b/>
        </w:rPr>
        <w:t xml:space="preserve"> through FY 202</w:t>
      </w:r>
      <w:r w:rsidR="00A00512">
        <w:rPr>
          <w:b/>
        </w:rPr>
        <w:t>2</w:t>
      </w:r>
      <w:r w:rsidR="00E57499">
        <w:rPr>
          <w:b/>
        </w:rPr>
        <w:t>:</w:t>
      </w:r>
    </w:p>
    <w:p w14:paraId="36607CB4" w14:textId="77777777" w:rsidR="00E57499" w:rsidRDefault="00E57499" w:rsidP="008F33B4">
      <w:pPr>
        <w:ind w:firstLine="720"/>
        <w:rPr>
          <w:sz w:val="22"/>
          <w:szCs w:val="22"/>
        </w:rPr>
      </w:pPr>
    </w:p>
    <w:p w14:paraId="236F8356" w14:textId="5993C15F" w:rsidR="00A1670B" w:rsidRDefault="00E57499" w:rsidP="00E57499">
      <w:pPr>
        <w:jc w:val="center"/>
      </w:pPr>
      <w:r w:rsidRPr="00E57499">
        <w:rPr>
          <w:b/>
          <w:bCs/>
        </w:rPr>
        <w:t>FY 2018-2022 Funding History</w:t>
      </w:r>
    </w:p>
    <w:tbl>
      <w:tblPr>
        <w:tblStyle w:val="TableGrid1"/>
        <w:tblW w:w="0" w:type="auto"/>
        <w:tblLook w:val="04A0" w:firstRow="1" w:lastRow="0" w:firstColumn="1" w:lastColumn="0" w:noHBand="0" w:noVBand="1"/>
      </w:tblPr>
      <w:tblGrid>
        <w:gridCol w:w="1549"/>
        <w:gridCol w:w="1458"/>
        <w:gridCol w:w="1407"/>
        <w:gridCol w:w="1123"/>
        <w:gridCol w:w="1605"/>
        <w:gridCol w:w="2388"/>
      </w:tblGrid>
      <w:tr w:rsidR="00A1670B" w14:paraId="31A8B59E" w14:textId="77777777" w:rsidTr="00E57499">
        <w:trPr>
          <w:trHeight w:val="827"/>
        </w:trPr>
        <w:tc>
          <w:tcPr>
            <w:tcW w:w="1549" w:type="dxa"/>
            <w:hideMark/>
          </w:tcPr>
          <w:p w14:paraId="1BE5A2C8" w14:textId="77777777" w:rsidR="00A1670B" w:rsidRDefault="00A1670B" w:rsidP="008F33B4">
            <w:pPr>
              <w:pStyle w:val="TableParagraph"/>
              <w:ind w:left="429" w:right="350" w:hanging="46"/>
              <w:jc w:val="center"/>
              <w:rPr>
                <w:b/>
                <w:bCs/>
                <w:sz w:val="24"/>
                <w:szCs w:val="24"/>
              </w:rPr>
            </w:pPr>
            <w:r>
              <w:rPr>
                <w:b/>
                <w:bCs/>
                <w:sz w:val="24"/>
                <w:szCs w:val="24"/>
              </w:rPr>
              <w:t>Fiscal Year</w:t>
            </w:r>
          </w:p>
        </w:tc>
        <w:tc>
          <w:tcPr>
            <w:tcW w:w="1460" w:type="dxa"/>
            <w:hideMark/>
          </w:tcPr>
          <w:p w14:paraId="53A29F62" w14:textId="77777777" w:rsidR="00A1670B" w:rsidRDefault="00A1670B" w:rsidP="008F33B4">
            <w:pPr>
              <w:pStyle w:val="TableParagraph"/>
              <w:ind w:right="221"/>
              <w:jc w:val="center"/>
              <w:rPr>
                <w:b/>
                <w:bCs/>
                <w:sz w:val="24"/>
                <w:szCs w:val="24"/>
              </w:rPr>
            </w:pPr>
            <w:r>
              <w:rPr>
                <w:b/>
                <w:bCs/>
                <w:sz w:val="24"/>
                <w:szCs w:val="24"/>
              </w:rPr>
              <w:t>Federal Award ($)</w:t>
            </w:r>
          </w:p>
        </w:tc>
        <w:tc>
          <w:tcPr>
            <w:tcW w:w="1409" w:type="dxa"/>
            <w:hideMark/>
          </w:tcPr>
          <w:p w14:paraId="20C94C71" w14:textId="77777777" w:rsidR="00A1670B" w:rsidRDefault="00A1670B" w:rsidP="008F33B4">
            <w:pPr>
              <w:pStyle w:val="TableParagraph"/>
              <w:ind w:left="175" w:right="119" w:hanging="20"/>
              <w:rPr>
                <w:b/>
                <w:bCs/>
                <w:sz w:val="24"/>
                <w:szCs w:val="24"/>
              </w:rPr>
            </w:pPr>
            <w:r>
              <w:rPr>
                <w:b/>
                <w:bCs/>
                <w:sz w:val="24"/>
                <w:szCs w:val="24"/>
              </w:rPr>
              <w:t>State Plan Match ($)</w:t>
            </w:r>
          </w:p>
        </w:tc>
        <w:tc>
          <w:tcPr>
            <w:tcW w:w="1247" w:type="dxa"/>
            <w:hideMark/>
          </w:tcPr>
          <w:p w14:paraId="65865CB8" w14:textId="77777777" w:rsidR="00A1670B" w:rsidRDefault="00A1670B" w:rsidP="00E57499">
            <w:pPr>
              <w:pStyle w:val="TableParagraph"/>
              <w:rPr>
                <w:b/>
                <w:bCs/>
                <w:sz w:val="24"/>
                <w:szCs w:val="24"/>
              </w:rPr>
            </w:pPr>
            <w:r>
              <w:rPr>
                <w:b/>
                <w:bCs/>
                <w:sz w:val="24"/>
                <w:szCs w:val="24"/>
              </w:rPr>
              <w:t>100%</w:t>
            </w:r>
          </w:p>
          <w:p w14:paraId="6E9FFE98" w14:textId="77777777" w:rsidR="00A1670B" w:rsidRDefault="00A1670B" w:rsidP="00E57499">
            <w:pPr>
              <w:pStyle w:val="TableParagraph"/>
              <w:ind w:right="106"/>
              <w:rPr>
                <w:b/>
                <w:bCs/>
                <w:sz w:val="24"/>
                <w:szCs w:val="24"/>
              </w:rPr>
            </w:pPr>
            <w:r>
              <w:rPr>
                <w:b/>
                <w:bCs/>
                <w:sz w:val="24"/>
                <w:szCs w:val="24"/>
              </w:rPr>
              <w:t>State Funds ($)</w:t>
            </w:r>
          </w:p>
        </w:tc>
        <w:tc>
          <w:tcPr>
            <w:tcW w:w="1477" w:type="dxa"/>
            <w:hideMark/>
          </w:tcPr>
          <w:p w14:paraId="0AF701D0" w14:textId="77777777" w:rsidR="00A1670B" w:rsidRDefault="00A1670B" w:rsidP="00E57499">
            <w:pPr>
              <w:pStyle w:val="TableParagraph"/>
              <w:ind w:left="120" w:right="82"/>
              <w:rPr>
                <w:b/>
                <w:bCs/>
                <w:sz w:val="24"/>
                <w:szCs w:val="24"/>
              </w:rPr>
            </w:pPr>
            <w:r>
              <w:rPr>
                <w:b/>
                <w:bCs/>
                <w:sz w:val="24"/>
                <w:szCs w:val="24"/>
              </w:rPr>
              <w:t>Total Funding ($)</w:t>
            </w:r>
          </w:p>
        </w:tc>
        <w:tc>
          <w:tcPr>
            <w:tcW w:w="2388" w:type="dxa"/>
            <w:hideMark/>
          </w:tcPr>
          <w:p w14:paraId="410D2DF4" w14:textId="77777777" w:rsidR="00A1670B" w:rsidRDefault="00A1670B" w:rsidP="008F33B4">
            <w:pPr>
              <w:pStyle w:val="TableParagraph"/>
              <w:ind w:left="441" w:right="274" w:hanging="130"/>
              <w:rPr>
                <w:b/>
                <w:bCs/>
                <w:sz w:val="24"/>
                <w:szCs w:val="24"/>
              </w:rPr>
            </w:pPr>
            <w:r>
              <w:rPr>
                <w:b/>
                <w:bCs/>
                <w:sz w:val="24"/>
                <w:szCs w:val="24"/>
              </w:rPr>
              <w:t>% of State Plan Contribution</w:t>
            </w:r>
          </w:p>
        </w:tc>
      </w:tr>
      <w:tr w:rsidR="00A1670B" w14:paraId="369944AB" w14:textId="77777777" w:rsidTr="00E57499">
        <w:trPr>
          <w:trHeight w:val="275"/>
        </w:trPr>
        <w:tc>
          <w:tcPr>
            <w:tcW w:w="1549" w:type="dxa"/>
            <w:hideMark/>
          </w:tcPr>
          <w:p w14:paraId="304C4F48" w14:textId="3F0E701D" w:rsidR="00A1670B" w:rsidRDefault="00A1670B" w:rsidP="008F33B4">
            <w:pPr>
              <w:pStyle w:val="TableParagraph"/>
              <w:ind w:right="427"/>
              <w:jc w:val="center"/>
              <w:rPr>
                <w:b/>
                <w:bCs/>
                <w:sz w:val="24"/>
                <w:szCs w:val="24"/>
              </w:rPr>
            </w:pPr>
            <w:r>
              <w:rPr>
                <w:b/>
                <w:bCs/>
                <w:sz w:val="24"/>
                <w:szCs w:val="24"/>
              </w:rPr>
              <w:t>2022</w:t>
            </w:r>
          </w:p>
        </w:tc>
        <w:tc>
          <w:tcPr>
            <w:tcW w:w="1460" w:type="dxa"/>
            <w:hideMark/>
          </w:tcPr>
          <w:p w14:paraId="7A8A51AC" w14:textId="77777777" w:rsidR="00A1670B" w:rsidRDefault="00A1670B" w:rsidP="008F33B4">
            <w:pPr>
              <w:pStyle w:val="TableParagraph"/>
              <w:ind w:left="133" w:right="117"/>
              <w:jc w:val="center"/>
              <w:rPr>
                <w:sz w:val="24"/>
                <w:szCs w:val="24"/>
              </w:rPr>
            </w:pPr>
            <w:r>
              <w:t>$2,349,000</w:t>
            </w:r>
          </w:p>
        </w:tc>
        <w:tc>
          <w:tcPr>
            <w:tcW w:w="1409" w:type="dxa"/>
            <w:hideMark/>
          </w:tcPr>
          <w:p w14:paraId="276C2F7E" w14:textId="77777777" w:rsidR="00A1670B" w:rsidRDefault="00A1670B" w:rsidP="008F33B4">
            <w:pPr>
              <w:pStyle w:val="TableParagraph"/>
              <w:ind w:left="198"/>
              <w:rPr>
                <w:sz w:val="24"/>
                <w:szCs w:val="24"/>
              </w:rPr>
            </w:pPr>
            <w:r>
              <w:t>$2,349,000</w:t>
            </w:r>
          </w:p>
        </w:tc>
        <w:tc>
          <w:tcPr>
            <w:tcW w:w="1247" w:type="dxa"/>
            <w:hideMark/>
          </w:tcPr>
          <w:p w14:paraId="7C66BFEC" w14:textId="77777777" w:rsidR="00A1670B" w:rsidRDefault="00A1670B" w:rsidP="008F33B4">
            <w:pPr>
              <w:pStyle w:val="TableParagraph"/>
              <w:ind w:left="595"/>
              <w:rPr>
                <w:sz w:val="24"/>
                <w:szCs w:val="24"/>
              </w:rPr>
            </w:pPr>
            <w:r>
              <w:rPr>
                <w:sz w:val="24"/>
                <w:szCs w:val="24"/>
              </w:rPr>
              <w:t>-</w:t>
            </w:r>
          </w:p>
        </w:tc>
        <w:tc>
          <w:tcPr>
            <w:tcW w:w="1477" w:type="dxa"/>
            <w:hideMark/>
          </w:tcPr>
          <w:p w14:paraId="0CDDC80F" w14:textId="77777777" w:rsidR="00A1670B" w:rsidRDefault="00A1670B" w:rsidP="008F33B4">
            <w:pPr>
              <w:pStyle w:val="TableParagraph"/>
              <w:ind w:left="224" w:right="205"/>
              <w:jc w:val="center"/>
              <w:rPr>
                <w:sz w:val="24"/>
                <w:szCs w:val="24"/>
              </w:rPr>
            </w:pPr>
            <w:r>
              <w:rPr>
                <w:sz w:val="24"/>
                <w:szCs w:val="24"/>
              </w:rPr>
              <w:t>4,698,000</w:t>
            </w:r>
          </w:p>
        </w:tc>
        <w:tc>
          <w:tcPr>
            <w:tcW w:w="2388" w:type="dxa"/>
            <w:hideMark/>
          </w:tcPr>
          <w:p w14:paraId="33509CB9" w14:textId="77777777" w:rsidR="00A1670B" w:rsidRDefault="00A1670B" w:rsidP="008F33B4">
            <w:pPr>
              <w:pStyle w:val="TableParagraph"/>
              <w:ind w:left="875" w:right="857"/>
              <w:jc w:val="center"/>
              <w:rPr>
                <w:sz w:val="24"/>
                <w:szCs w:val="24"/>
              </w:rPr>
            </w:pPr>
            <w:r>
              <w:rPr>
                <w:sz w:val="24"/>
                <w:szCs w:val="24"/>
              </w:rPr>
              <w:t>50%</w:t>
            </w:r>
          </w:p>
        </w:tc>
      </w:tr>
      <w:tr w:rsidR="00A1670B" w14:paraId="11DB06D4" w14:textId="77777777" w:rsidTr="00E57499">
        <w:trPr>
          <w:trHeight w:val="275"/>
        </w:trPr>
        <w:tc>
          <w:tcPr>
            <w:tcW w:w="1549" w:type="dxa"/>
            <w:hideMark/>
          </w:tcPr>
          <w:p w14:paraId="30EC1755" w14:textId="77777777" w:rsidR="00A1670B" w:rsidRDefault="00A1670B" w:rsidP="008F33B4">
            <w:pPr>
              <w:pStyle w:val="TableParagraph"/>
              <w:ind w:right="427"/>
              <w:jc w:val="center"/>
              <w:rPr>
                <w:b/>
                <w:bCs/>
                <w:sz w:val="24"/>
                <w:szCs w:val="24"/>
              </w:rPr>
            </w:pPr>
            <w:r>
              <w:rPr>
                <w:b/>
                <w:bCs/>
                <w:sz w:val="24"/>
                <w:szCs w:val="24"/>
              </w:rPr>
              <w:t>2021</w:t>
            </w:r>
          </w:p>
        </w:tc>
        <w:tc>
          <w:tcPr>
            <w:tcW w:w="1460" w:type="dxa"/>
            <w:hideMark/>
          </w:tcPr>
          <w:p w14:paraId="6C47EF18" w14:textId="77777777" w:rsidR="00A1670B" w:rsidRDefault="00A1670B" w:rsidP="008F33B4">
            <w:pPr>
              <w:pStyle w:val="TableParagraph"/>
              <w:ind w:left="133" w:right="117"/>
              <w:jc w:val="center"/>
              <w:rPr>
                <w:sz w:val="24"/>
                <w:szCs w:val="24"/>
              </w:rPr>
            </w:pPr>
            <w:r>
              <w:t>$2,349,000</w:t>
            </w:r>
          </w:p>
        </w:tc>
        <w:tc>
          <w:tcPr>
            <w:tcW w:w="1409" w:type="dxa"/>
            <w:hideMark/>
          </w:tcPr>
          <w:p w14:paraId="1EAC560B" w14:textId="77777777" w:rsidR="00A1670B" w:rsidRDefault="00A1670B" w:rsidP="008F33B4">
            <w:pPr>
              <w:pStyle w:val="TableParagraph"/>
              <w:ind w:left="198"/>
              <w:rPr>
                <w:sz w:val="24"/>
                <w:szCs w:val="24"/>
              </w:rPr>
            </w:pPr>
            <w:r>
              <w:t>$2,349,000</w:t>
            </w:r>
          </w:p>
        </w:tc>
        <w:tc>
          <w:tcPr>
            <w:tcW w:w="1247" w:type="dxa"/>
            <w:hideMark/>
          </w:tcPr>
          <w:p w14:paraId="546DB43E" w14:textId="77777777" w:rsidR="00A1670B" w:rsidRDefault="00A1670B" w:rsidP="008F33B4">
            <w:pPr>
              <w:pStyle w:val="TableParagraph"/>
              <w:ind w:left="595"/>
              <w:rPr>
                <w:sz w:val="24"/>
                <w:szCs w:val="24"/>
              </w:rPr>
            </w:pPr>
            <w:r>
              <w:rPr>
                <w:sz w:val="24"/>
                <w:szCs w:val="24"/>
              </w:rPr>
              <w:t>-</w:t>
            </w:r>
          </w:p>
        </w:tc>
        <w:tc>
          <w:tcPr>
            <w:tcW w:w="1477" w:type="dxa"/>
            <w:hideMark/>
          </w:tcPr>
          <w:p w14:paraId="0FA89CF9" w14:textId="77777777" w:rsidR="00A1670B" w:rsidRDefault="00A1670B" w:rsidP="008F33B4">
            <w:pPr>
              <w:pStyle w:val="TableParagraph"/>
              <w:ind w:left="224" w:right="205"/>
              <w:jc w:val="center"/>
              <w:rPr>
                <w:sz w:val="24"/>
                <w:szCs w:val="24"/>
              </w:rPr>
            </w:pPr>
            <w:r>
              <w:rPr>
                <w:sz w:val="24"/>
                <w:szCs w:val="24"/>
              </w:rPr>
              <w:t>4,698,000</w:t>
            </w:r>
          </w:p>
        </w:tc>
        <w:tc>
          <w:tcPr>
            <w:tcW w:w="2388" w:type="dxa"/>
            <w:hideMark/>
          </w:tcPr>
          <w:p w14:paraId="529AA5E4" w14:textId="77777777" w:rsidR="00A1670B" w:rsidRDefault="00A1670B" w:rsidP="008F33B4">
            <w:pPr>
              <w:pStyle w:val="TableParagraph"/>
              <w:ind w:left="875" w:right="857"/>
              <w:jc w:val="center"/>
              <w:rPr>
                <w:sz w:val="24"/>
                <w:szCs w:val="24"/>
              </w:rPr>
            </w:pPr>
            <w:r>
              <w:rPr>
                <w:sz w:val="24"/>
                <w:szCs w:val="24"/>
              </w:rPr>
              <w:t>50%</w:t>
            </w:r>
          </w:p>
        </w:tc>
      </w:tr>
      <w:tr w:rsidR="00A1670B" w14:paraId="403BC8D3" w14:textId="77777777" w:rsidTr="00E57499">
        <w:trPr>
          <w:trHeight w:val="275"/>
        </w:trPr>
        <w:tc>
          <w:tcPr>
            <w:tcW w:w="1549" w:type="dxa"/>
            <w:hideMark/>
          </w:tcPr>
          <w:p w14:paraId="1AA1B52E" w14:textId="77777777" w:rsidR="00A1670B" w:rsidRDefault="00A1670B" w:rsidP="008F33B4">
            <w:pPr>
              <w:pStyle w:val="TableParagraph"/>
              <w:ind w:right="427"/>
              <w:jc w:val="center"/>
              <w:rPr>
                <w:b/>
                <w:bCs/>
                <w:sz w:val="24"/>
                <w:szCs w:val="24"/>
              </w:rPr>
            </w:pPr>
            <w:r>
              <w:rPr>
                <w:b/>
                <w:bCs/>
                <w:sz w:val="24"/>
                <w:szCs w:val="24"/>
              </w:rPr>
              <w:t>2020</w:t>
            </w:r>
          </w:p>
        </w:tc>
        <w:tc>
          <w:tcPr>
            <w:tcW w:w="1460" w:type="dxa"/>
            <w:hideMark/>
          </w:tcPr>
          <w:p w14:paraId="48B06819" w14:textId="77777777" w:rsidR="00A1670B" w:rsidRDefault="00A1670B" w:rsidP="008F33B4">
            <w:pPr>
              <w:pStyle w:val="TableParagraph"/>
              <w:ind w:left="133" w:right="117"/>
              <w:jc w:val="center"/>
              <w:rPr>
                <w:sz w:val="24"/>
                <w:szCs w:val="24"/>
              </w:rPr>
            </w:pPr>
            <w:r>
              <w:t>$2,299,700</w:t>
            </w:r>
          </w:p>
        </w:tc>
        <w:tc>
          <w:tcPr>
            <w:tcW w:w="1409" w:type="dxa"/>
            <w:hideMark/>
          </w:tcPr>
          <w:p w14:paraId="32965E60" w14:textId="77777777" w:rsidR="00A1670B" w:rsidRDefault="00A1670B" w:rsidP="008F33B4">
            <w:pPr>
              <w:pStyle w:val="TableParagraph"/>
              <w:ind w:left="198"/>
              <w:rPr>
                <w:sz w:val="24"/>
                <w:szCs w:val="24"/>
              </w:rPr>
            </w:pPr>
            <w:r>
              <w:t>$2,299,700</w:t>
            </w:r>
          </w:p>
        </w:tc>
        <w:tc>
          <w:tcPr>
            <w:tcW w:w="1247" w:type="dxa"/>
            <w:hideMark/>
          </w:tcPr>
          <w:p w14:paraId="4DAF53CE" w14:textId="77777777" w:rsidR="00A1670B" w:rsidRDefault="00A1670B" w:rsidP="008F33B4">
            <w:pPr>
              <w:pStyle w:val="TableParagraph"/>
              <w:ind w:left="595"/>
              <w:rPr>
                <w:sz w:val="24"/>
                <w:szCs w:val="24"/>
              </w:rPr>
            </w:pPr>
            <w:r>
              <w:rPr>
                <w:sz w:val="24"/>
                <w:szCs w:val="24"/>
              </w:rPr>
              <w:t>-</w:t>
            </w:r>
          </w:p>
        </w:tc>
        <w:tc>
          <w:tcPr>
            <w:tcW w:w="1477" w:type="dxa"/>
            <w:hideMark/>
          </w:tcPr>
          <w:p w14:paraId="5A2ED1E3" w14:textId="77777777" w:rsidR="00A1670B" w:rsidRDefault="00A1670B" w:rsidP="008F33B4">
            <w:pPr>
              <w:pStyle w:val="TableParagraph"/>
              <w:ind w:left="224" w:right="205"/>
              <w:jc w:val="center"/>
              <w:rPr>
                <w:sz w:val="24"/>
                <w:szCs w:val="24"/>
              </w:rPr>
            </w:pPr>
            <w:r>
              <w:rPr>
                <w:sz w:val="24"/>
                <w:szCs w:val="24"/>
              </w:rPr>
              <w:t>4,599,400</w:t>
            </w:r>
          </w:p>
        </w:tc>
        <w:tc>
          <w:tcPr>
            <w:tcW w:w="2388" w:type="dxa"/>
            <w:hideMark/>
          </w:tcPr>
          <w:p w14:paraId="5136D951" w14:textId="77777777" w:rsidR="00A1670B" w:rsidRDefault="00A1670B" w:rsidP="008F33B4">
            <w:pPr>
              <w:pStyle w:val="TableParagraph"/>
              <w:ind w:left="875" w:right="857"/>
              <w:jc w:val="center"/>
              <w:rPr>
                <w:sz w:val="24"/>
                <w:szCs w:val="24"/>
              </w:rPr>
            </w:pPr>
            <w:r>
              <w:rPr>
                <w:sz w:val="24"/>
                <w:szCs w:val="24"/>
              </w:rPr>
              <w:t>50%</w:t>
            </w:r>
          </w:p>
        </w:tc>
      </w:tr>
      <w:tr w:rsidR="00A1670B" w14:paraId="29044CAD" w14:textId="77777777" w:rsidTr="00E57499">
        <w:trPr>
          <w:trHeight w:val="277"/>
        </w:trPr>
        <w:tc>
          <w:tcPr>
            <w:tcW w:w="1549" w:type="dxa"/>
            <w:hideMark/>
          </w:tcPr>
          <w:p w14:paraId="50941CAB" w14:textId="77777777" w:rsidR="00A1670B" w:rsidRDefault="00A1670B" w:rsidP="008F33B4">
            <w:pPr>
              <w:pStyle w:val="TableParagraph"/>
              <w:ind w:right="427"/>
              <w:jc w:val="center"/>
              <w:rPr>
                <w:b/>
                <w:bCs/>
                <w:sz w:val="24"/>
                <w:szCs w:val="24"/>
              </w:rPr>
            </w:pPr>
            <w:r>
              <w:rPr>
                <w:b/>
                <w:bCs/>
                <w:sz w:val="24"/>
                <w:szCs w:val="24"/>
              </w:rPr>
              <w:t>2019</w:t>
            </w:r>
          </w:p>
        </w:tc>
        <w:tc>
          <w:tcPr>
            <w:tcW w:w="1460" w:type="dxa"/>
            <w:hideMark/>
          </w:tcPr>
          <w:p w14:paraId="5D1CBA0A" w14:textId="77777777" w:rsidR="00A1670B" w:rsidRDefault="00A1670B" w:rsidP="008F33B4">
            <w:pPr>
              <w:pStyle w:val="TableParagraph"/>
              <w:ind w:left="133" w:right="117"/>
              <w:jc w:val="center"/>
              <w:rPr>
                <w:sz w:val="24"/>
                <w:szCs w:val="24"/>
              </w:rPr>
            </w:pPr>
            <w:r>
              <w:rPr>
                <w:sz w:val="24"/>
                <w:szCs w:val="24"/>
              </w:rPr>
              <w:t>2,095,200</w:t>
            </w:r>
          </w:p>
        </w:tc>
        <w:tc>
          <w:tcPr>
            <w:tcW w:w="1409" w:type="dxa"/>
            <w:hideMark/>
          </w:tcPr>
          <w:p w14:paraId="3219FD62" w14:textId="77777777" w:rsidR="00A1670B" w:rsidRDefault="00A1670B" w:rsidP="008F33B4">
            <w:pPr>
              <w:pStyle w:val="TableParagraph"/>
              <w:ind w:left="198"/>
              <w:rPr>
                <w:sz w:val="24"/>
                <w:szCs w:val="24"/>
              </w:rPr>
            </w:pPr>
            <w:r>
              <w:rPr>
                <w:sz w:val="24"/>
                <w:szCs w:val="24"/>
              </w:rPr>
              <w:t>2,095,200</w:t>
            </w:r>
          </w:p>
        </w:tc>
        <w:tc>
          <w:tcPr>
            <w:tcW w:w="1247" w:type="dxa"/>
            <w:hideMark/>
          </w:tcPr>
          <w:p w14:paraId="2A1A53B9" w14:textId="77777777" w:rsidR="00A1670B" w:rsidRDefault="00A1670B" w:rsidP="008F33B4">
            <w:pPr>
              <w:pStyle w:val="TableParagraph"/>
              <w:ind w:left="595"/>
              <w:rPr>
                <w:sz w:val="24"/>
                <w:szCs w:val="24"/>
              </w:rPr>
            </w:pPr>
            <w:r>
              <w:rPr>
                <w:sz w:val="24"/>
                <w:szCs w:val="24"/>
              </w:rPr>
              <w:t>-</w:t>
            </w:r>
          </w:p>
        </w:tc>
        <w:tc>
          <w:tcPr>
            <w:tcW w:w="1477" w:type="dxa"/>
            <w:hideMark/>
          </w:tcPr>
          <w:p w14:paraId="4F0A9FBF" w14:textId="77777777" w:rsidR="00A1670B" w:rsidRDefault="00A1670B" w:rsidP="008F33B4">
            <w:pPr>
              <w:pStyle w:val="TableParagraph"/>
              <w:ind w:left="224" w:right="205"/>
              <w:jc w:val="center"/>
              <w:rPr>
                <w:sz w:val="24"/>
                <w:szCs w:val="24"/>
              </w:rPr>
            </w:pPr>
            <w:r>
              <w:rPr>
                <w:sz w:val="24"/>
                <w:szCs w:val="24"/>
              </w:rPr>
              <w:t>4,190,400</w:t>
            </w:r>
          </w:p>
        </w:tc>
        <w:tc>
          <w:tcPr>
            <w:tcW w:w="2388" w:type="dxa"/>
            <w:hideMark/>
          </w:tcPr>
          <w:p w14:paraId="659F3D6C" w14:textId="77777777" w:rsidR="00A1670B" w:rsidRDefault="00A1670B" w:rsidP="008F33B4">
            <w:pPr>
              <w:pStyle w:val="TableParagraph"/>
              <w:ind w:left="875" w:right="857"/>
              <w:jc w:val="center"/>
              <w:rPr>
                <w:sz w:val="24"/>
                <w:szCs w:val="24"/>
              </w:rPr>
            </w:pPr>
            <w:r>
              <w:rPr>
                <w:sz w:val="24"/>
                <w:szCs w:val="24"/>
              </w:rPr>
              <w:t>50%</w:t>
            </w:r>
          </w:p>
        </w:tc>
      </w:tr>
      <w:tr w:rsidR="00A1670B" w14:paraId="2DF8F1AB" w14:textId="77777777" w:rsidTr="00E57499">
        <w:trPr>
          <w:trHeight w:val="275"/>
        </w:trPr>
        <w:tc>
          <w:tcPr>
            <w:tcW w:w="1549" w:type="dxa"/>
            <w:hideMark/>
          </w:tcPr>
          <w:p w14:paraId="24FE46AA" w14:textId="77777777" w:rsidR="00A1670B" w:rsidRDefault="00A1670B" w:rsidP="008F33B4">
            <w:pPr>
              <w:pStyle w:val="TableParagraph"/>
              <w:ind w:right="427"/>
              <w:jc w:val="center"/>
              <w:rPr>
                <w:b/>
                <w:bCs/>
                <w:sz w:val="24"/>
                <w:szCs w:val="24"/>
              </w:rPr>
            </w:pPr>
            <w:r>
              <w:rPr>
                <w:b/>
                <w:bCs/>
                <w:sz w:val="24"/>
                <w:szCs w:val="24"/>
              </w:rPr>
              <w:t>2018</w:t>
            </w:r>
          </w:p>
        </w:tc>
        <w:tc>
          <w:tcPr>
            <w:tcW w:w="1460" w:type="dxa"/>
            <w:hideMark/>
          </w:tcPr>
          <w:p w14:paraId="49E9BBFA" w14:textId="77777777" w:rsidR="00A1670B" w:rsidRDefault="00A1670B" w:rsidP="008F33B4">
            <w:pPr>
              <w:pStyle w:val="TableParagraph"/>
              <w:ind w:left="133" w:right="117"/>
              <w:jc w:val="center"/>
              <w:rPr>
                <w:sz w:val="24"/>
                <w:szCs w:val="24"/>
              </w:rPr>
            </w:pPr>
            <w:r>
              <w:rPr>
                <w:sz w:val="24"/>
                <w:szCs w:val="24"/>
              </w:rPr>
              <w:t>2,054,700</w:t>
            </w:r>
          </w:p>
        </w:tc>
        <w:tc>
          <w:tcPr>
            <w:tcW w:w="1409" w:type="dxa"/>
            <w:hideMark/>
          </w:tcPr>
          <w:p w14:paraId="26DD45F5" w14:textId="77777777" w:rsidR="00A1670B" w:rsidRDefault="00A1670B" w:rsidP="008F33B4">
            <w:pPr>
              <w:pStyle w:val="TableParagraph"/>
              <w:ind w:left="198"/>
              <w:rPr>
                <w:sz w:val="24"/>
                <w:szCs w:val="24"/>
              </w:rPr>
            </w:pPr>
            <w:r>
              <w:rPr>
                <w:sz w:val="24"/>
                <w:szCs w:val="24"/>
              </w:rPr>
              <w:t>2,054,700</w:t>
            </w:r>
          </w:p>
        </w:tc>
        <w:tc>
          <w:tcPr>
            <w:tcW w:w="1247" w:type="dxa"/>
            <w:hideMark/>
          </w:tcPr>
          <w:p w14:paraId="11D17D35" w14:textId="77777777" w:rsidR="00A1670B" w:rsidRDefault="00A1670B" w:rsidP="008F33B4">
            <w:pPr>
              <w:pStyle w:val="TableParagraph"/>
              <w:ind w:left="595"/>
              <w:rPr>
                <w:sz w:val="24"/>
                <w:szCs w:val="24"/>
              </w:rPr>
            </w:pPr>
            <w:r>
              <w:rPr>
                <w:sz w:val="24"/>
                <w:szCs w:val="24"/>
              </w:rPr>
              <w:t>-</w:t>
            </w:r>
          </w:p>
        </w:tc>
        <w:tc>
          <w:tcPr>
            <w:tcW w:w="1477" w:type="dxa"/>
            <w:hideMark/>
          </w:tcPr>
          <w:p w14:paraId="2CBD0C62" w14:textId="77777777" w:rsidR="00A1670B" w:rsidRDefault="00A1670B" w:rsidP="008F33B4">
            <w:pPr>
              <w:pStyle w:val="TableParagraph"/>
              <w:ind w:left="224" w:right="205"/>
              <w:jc w:val="center"/>
              <w:rPr>
                <w:sz w:val="24"/>
                <w:szCs w:val="24"/>
              </w:rPr>
            </w:pPr>
            <w:r>
              <w:rPr>
                <w:sz w:val="24"/>
                <w:szCs w:val="24"/>
              </w:rPr>
              <w:t>4,109,400</w:t>
            </w:r>
          </w:p>
        </w:tc>
        <w:tc>
          <w:tcPr>
            <w:tcW w:w="2388" w:type="dxa"/>
            <w:hideMark/>
          </w:tcPr>
          <w:p w14:paraId="6B90D2EE" w14:textId="77777777" w:rsidR="00A1670B" w:rsidRDefault="00A1670B" w:rsidP="008F33B4">
            <w:pPr>
              <w:pStyle w:val="TableParagraph"/>
              <w:ind w:left="875" w:right="857"/>
              <w:jc w:val="center"/>
              <w:rPr>
                <w:sz w:val="24"/>
                <w:szCs w:val="24"/>
              </w:rPr>
            </w:pPr>
            <w:r>
              <w:rPr>
                <w:sz w:val="24"/>
                <w:szCs w:val="24"/>
              </w:rPr>
              <w:t>50%</w:t>
            </w:r>
          </w:p>
        </w:tc>
      </w:tr>
    </w:tbl>
    <w:p w14:paraId="07E4A0DB" w14:textId="77777777" w:rsidR="00783189" w:rsidRPr="001C1E47" w:rsidRDefault="00783189" w:rsidP="008F33B4">
      <w:pPr>
        <w:widowControl/>
        <w:autoSpaceDE/>
        <w:autoSpaceDN/>
        <w:adjustRightInd/>
        <w:contextualSpacing/>
        <w:rPr>
          <w:rFonts w:cs="Calibri"/>
          <w:b/>
        </w:rPr>
      </w:pPr>
    </w:p>
    <w:p w14:paraId="68FBAFD2" w14:textId="77777777" w:rsidR="00781312" w:rsidRPr="001C1E47" w:rsidRDefault="00781312" w:rsidP="00E57499">
      <w:pPr>
        <w:widowControl/>
        <w:autoSpaceDE/>
        <w:autoSpaceDN/>
        <w:adjustRightInd/>
        <w:contextualSpacing/>
        <w:rPr>
          <w:rFonts w:cs="Calibri"/>
          <w:b/>
        </w:rPr>
      </w:pPr>
      <w:bookmarkStart w:id="12" w:name="_Hlk136872659"/>
      <w:r w:rsidRPr="001C1E47">
        <w:rPr>
          <w:rFonts w:cs="Calibri"/>
          <w:b/>
        </w:rPr>
        <w:t>New Issues</w:t>
      </w:r>
    </w:p>
    <w:bookmarkEnd w:id="12"/>
    <w:p w14:paraId="176CA3F7" w14:textId="542D2E9C" w:rsidR="002E6F5E" w:rsidRDefault="002E6F5E" w:rsidP="00E57499">
      <w:pPr>
        <w:widowControl/>
        <w:autoSpaceDE/>
        <w:adjustRightInd/>
        <w:rPr>
          <w:rFonts w:asciiTheme="minorHAnsi" w:hAnsiTheme="minorHAnsi" w:cstheme="minorHAnsi"/>
          <w:shd w:val="clear" w:color="auto" w:fill="FFFFFF"/>
        </w:rPr>
      </w:pPr>
    </w:p>
    <w:p w14:paraId="6461EEEF" w14:textId="4C2931CB" w:rsidR="00D04179" w:rsidRDefault="00D04179" w:rsidP="00E57499">
      <w:pPr>
        <w:widowControl/>
        <w:autoSpaceDE/>
        <w:adjustRightInd/>
        <w:rPr>
          <w:rFonts w:asciiTheme="minorHAnsi" w:hAnsiTheme="minorHAnsi" w:cstheme="minorHAnsi"/>
          <w:shd w:val="clear" w:color="auto" w:fill="FFFFFF"/>
        </w:rPr>
      </w:pPr>
      <w:r>
        <w:rPr>
          <w:rFonts w:asciiTheme="minorHAnsi" w:hAnsiTheme="minorHAnsi" w:cstheme="minorHAnsi"/>
          <w:shd w:val="clear" w:color="auto" w:fill="FFFFFF"/>
        </w:rPr>
        <w:t>None.</w:t>
      </w:r>
    </w:p>
    <w:p w14:paraId="636825C4" w14:textId="77777777" w:rsidR="00D04179" w:rsidRDefault="00D04179" w:rsidP="00E57499">
      <w:pPr>
        <w:widowControl/>
        <w:autoSpaceDE/>
        <w:adjustRightInd/>
        <w:rPr>
          <w:rFonts w:asciiTheme="minorHAnsi" w:hAnsiTheme="minorHAnsi" w:cstheme="minorHAnsi"/>
          <w:shd w:val="clear" w:color="auto" w:fill="FFFFFF"/>
        </w:rPr>
      </w:pPr>
    </w:p>
    <w:p w14:paraId="0A29FCDE" w14:textId="40051B71" w:rsidR="00054900" w:rsidRPr="00476C08" w:rsidRDefault="00054900" w:rsidP="008F33B4">
      <w:pPr>
        <w:pStyle w:val="Heading2"/>
        <w:spacing w:before="0"/>
      </w:pPr>
      <w:bookmarkStart w:id="13" w:name="_Toc118900172"/>
      <w:bookmarkStart w:id="14" w:name="_Toc118905011"/>
      <w:bookmarkStart w:id="15" w:name="_Toc119418665"/>
      <w:r w:rsidRPr="00476C08">
        <w:t xml:space="preserve">Assessment of State Plan </w:t>
      </w:r>
      <w:r w:rsidR="001E2FBB" w:rsidRPr="00476C08">
        <w:t xml:space="preserve">Progress and </w:t>
      </w:r>
      <w:r w:rsidRPr="00476C08">
        <w:t>Performance</w:t>
      </w:r>
      <w:bookmarkEnd w:id="13"/>
      <w:bookmarkEnd w:id="14"/>
      <w:bookmarkEnd w:id="15"/>
    </w:p>
    <w:p w14:paraId="07D68C5F" w14:textId="77777777" w:rsidR="00054900" w:rsidRPr="001C1E47" w:rsidRDefault="00054900" w:rsidP="008F33B4">
      <w:pPr>
        <w:widowControl/>
        <w:autoSpaceDE/>
        <w:autoSpaceDN/>
        <w:adjustRightInd/>
        <w:rPr>
          <w:rFonts w:cs="Calibri"/>
        </w:rPr>
      </w:pPr>
    </w:p>
    <w:p w14:paraId="4CD3C312" w14:textId="77777777" w:rsidR="000A134A" w:rsidRPr="00C53328" w:rsidRDefault="000A134A" w:rsidP="008F33B4">
      <w:pPr>
        <w:pStyle w:val="Heading3"/>
        <w:spacing w:before="0"/>
      </w:pPr>
      <w:bookmarkStart w:id="16" w:name="_Toc118900173"/>
      <w:bookmarkStart w:id="17" w:name="_Toc118905012"/>
      <w:bookmarkStart w:id="18" w:name="_Toc119418666"/>
      <w:r w:rsidRPr="00C53328">
        <w:t>Data and Methodology</w:t>
      </w:r>
      <w:bookmarkEnd w:id="16"/>
      <w:bookmarkEnd w:id="17"/>
      <w:bookmarkEnd w:id="18"/>
    </w:p>
    <w:p w14:paraId="72EF69F8" w14:textId="77777777" w:rsidR="000A134A" w:rsidRPr="001C1E47" w:rsidRDefault="000A134A" w:rsidP="008F33B4">
      <w:pPr>
        <w:widowControl/>
        <w:autoSpaceDE/>
        <w:autoSpaceDN/>
        <w:adjustRightInd/>
        <w:ind w:left="1440"/>
        <w:rPr>
          <w:rFonts w:cs="Calibri"/>
          <w:bCs/>
        </w:rPr>
      </w:pPr>
    </w:p>
    <w:p w14:paraId="3EEE3A69" w14:textId="77777777" w:rsidR="005504BC" w:rsidRPr="001C1E47" w:rsidRDefault="000A134A" w:rsidP="00E5749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E57499">
      <w:pPr>
        <w:widowControl/>
        <w:autoSpaceDE/>
        <w:autoSpaceDN/>
        <w:adjustRightInd/>
        <w:rPr>
          <w:rFonts w:cs="Calibri"/>
          <w:bCs/>
        </w:rPr>
      </w:pPr>
    </w:p>
    <w:p w14:paraId="409C16B9" w14:textId="62BEE527" w:rsidR="005504BC" w:rsidRPr="001C1E47" w:rsidRDefault="005504BC" w:rsidP="00E57499">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3F2084C2" w14:textId="173A9EF0" w:rsidR="00FF4AE2" w:rsidRPr="001C1E47" w:rsidRDefault="00FF4AE2" w:rsidP="00E57499">
      <w:pPr>
        <w:pStyle w:val="ListParagraph"/>
        <w:numPr>
          <w:ilvl w:val="0"/>
          <w:numId w:val="7"/>
        </w:numPr>
        <w:spacing w:after="0" w:line="240" w:lineRule="auto"/>
        <w:rPr>
          <w:bCs/>
        </w:rPr>
      </w:pPr>
      <w:r w:rsidRPr="001C1E47">
        <w:rPr>
          <w:bCs/>
          <w:sz w:val="24"/>
          <w:szCs w:val="24"/>
        </w:rPr>
        <w:t xml:space="preserve">State Information Report </w:t>
      </w:r>
      <w:r w:rsidR="00185C7D" w:rsidRPr="001C1E47">
        <w:rPr>
          <w:bCs/>
          <w:sz w:val="24"/>
          <w:szCs w:val="24"/>
        </w:rPr>
        <w:t>(SIR)</w:t>
      </w:r>
    </w:p>
    <w:p w14:paraId="5D91E03D" w14:textId="4A6359F9" w:rsidR="00FF4AE2" w:rsidRPr="001C1E47" w:rsidRDefault="00FF4AE2" w:rsidP="00E57499">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p>
    <w:p w14:paraId="4054753A" w14:textId="27FD50A2" w:rsidR="00FF4AE2" w:rsidRPr="001C1E47" w:rsidRDefault="00FF4AE2" w:rsidP="00E57499">
      <w:pPr>
        <w:pStyle w:val="ListParagraph"/>
        <w:numPr>
          <w:ilvl w:val="0"/>
          <w:numId w:val="7"/>
        </w:numPr>
        <w:spacing w:after="0" w:line="240" w:lineRule="auto"/>
        <w:rPr>
          <w:bCs/>
        </w:rPr>
      </w:pPr>
      <w:r w:rsidRPr="001C1E47">
        <w:rPr>
          <w:bCs/>
          <w:sz w:val="24"/>
          <w:szCs w:val="24"/>
        </w:rPr>
        <w:t xml:space="preserve">State OSHA Annual Report </w:t>
      </w:r>
      <w:r w:rsidR="0061362E">
        <w:rPr>
          <w:bCs/>
          <w:sz w:val="24"/>
          <w:szCs w:val="24"/>
        </w:rPr>
        <w:t>(SOAR)</w:t>
      </w:r>
    </w:p>
    <w:p w14:paraId="03220F96" w14:textId="3137FC53" w:rsidR="00FF4AE2" w:rsidRPr="001C1E47" w:rsidRDefault="00FF4AE2" w:rsidP="00E57499">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4CBC94FB" w14:textId="77777777" w:rsidR="00FF4AE2" w:rsidRPr="001C1E47" w:rsidRDefault="00FF4AE2" w:rsidP="00E57499">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77777777" w:rsidR="00FF4AE2" w:rsidRPr="001C1E47" w:rsidRDefault="00FF4AE2" w:rsidP="00E57499">
      <w:pPr>
        <w:pStyle w:val="ListParagraph"/>
        <w:numPr>
          <w:ilvl w:val="0"/>
          <w:numId w:val="7"/>
        </w:numPr>
        <w:spacing w:after="0" w:line="240" w:lineRule="auto"/>
        <w:rPr>
          <w:bCs/>
        </w:rPr>
      </w:pPr>
      <w:r w:rsidRPr="001C1E47">
        <w:rPr>
          <w:bCs/>
          <w:sz w:val="24"/>
          <w:szCs w:val="24"/>
        </w:rPr>
        <w:t>Quarterly monitoring meetings between OSHA and the State Plan</w:t>
      </w:r>
    </w:p>
    <w:p w14:paraId="5DCBF017" w14:textId="77777777" w:rsidR="00783189" w:rsidRPr="0061362E" w:rsidRDefault="00783189" w:rsidP="008F33B4">
      <w:pPr>
        <w:widowControl/>
        <w:autoSpaceDE/>
        <w:autoSpaceDN/>
        <w:adjustRightInd/>
        <w:rPr>
          <w:rFonts w:cs="Calibri"/>
          <w:bCs/>
          <w:iCs/>
          <w:color w:val="0070C0"/>
        </w:rPr>
      </w:pPr>
    </w:p>
    <w:p w14:paraId="5E67DDEC" w14:textId="77777777" w:rsidR="000A134A" w:rsidRPr="001C1E47" w:rsidRDefault="000A134A" w:rsidP="008F33B4">
      <w:pPr>
        <w:pStyle w:val="Heading3"/>
        <w:spacing w:before="0"/>
      </w:pPr>
      <w:bookmarkStart w:id="19" w:name="_Toc118900174"/>
      <w:bookmarkStart w:id="20" w:name="_Toc118905013"/>
      <w:bookmarkStart w:id="21" w:name="_Toc119418667"/>
      <w:r w:rsidRPr="001C1E47">
        <w:t>Findings and Observations</w:t>
      </w:r>
      <w:bookmarkEnd w:id="19"/>
      <w:bookmarkEnd w:id="20"/>
      <w:bookmarkEnd w:id="21"/>
    </w:p>
    <w:p w14:paraId="51B991F5" w14:textId="77777777" w:rsidR="000A134A" w:rsidRPr="001C1E47" w:rsidRDefault="000A134A" w:rsidP="008F33B4">
      <w:pPr>
        <w:widowControl/>
        <w:autoSpaceDE/>
        <w:autoSpaceDN/>
        <w:adjustRightInd/>
        <w:rPr>
          <w:rFonts w:cs="Calibri"/>
        </w:rPr>
      </w:pPr>
    </w:p>
    <w:p w14:paraId="2789CCA0" w14:textId="77777777" w:rsidR="00E71FB7" w:rsidRPr="001C1E47" w:rsidRDefault="00E71FB7" w:rsidP="00E57499">
      <w:pPr>
        <w:pStyle w:val="Heading4"/>
        <w:spacing w:before="0"/>
        <w:rPr>
          <w:b w:val="0"/>
          <w:highlight w:val="yellow"/>
        </w:rPr>
      </w:pPr>
      <w:bookmarkStart w:id="22" w:name="_Toc118900175"/>
      <w:bookmarkStart w:id="23" w:name="_Toc118905014"/>
      <w:r w:rsidRPr="001C1E47">
        <w:t>Findings</w:t>
      </w:r>
      <w:r w:rsidR="00443054" w:rsidRPr="001C1E47">
        <w:t xml:space="preserve"> (Status of Previous and New Items)</w:t>
      </w:r>
      <w:bookmarkEnd w:id="22"/>
      <w:bookmarkEnd w:id="23"/>
    </w:p>
    <w:p w14:paraId="6C7BE9F8" w14:textId="77777777" w:rsidR="00E71FB7" w:rsidRPr="001C1E47" w:rsidRDefault="00E71FB7" w:rsidP="00E57499">
      <w:pPr>
        <w:widowControl/>
        <w:autoSpaceDE/>
        <w:autoSpaceDN/>
        <w:adjustRightInd/>
        <w:rPr>
          <w:rFonts w:cs="Calibri"/>
          <w:highlight w:val="yellow"/>
          <w:u w:val="single"/>
        </w:rPr>
      </w:pPr>
    </w:p>
    <w:p w14:paraId="68CBB2BF" w14:textId="1EA83725" w:rsidR="004E505A" w:rsidRPr="001C1E47" w:rsidRDefault="004E505A" w:rsidP="00E57499">
      <w:pPr>
        <w:widowControl/>
        <w:autoSpaceDE/>
        <w:autoSpaceDN/>
        <w:adjustRightInd/>
        <w:rPr>
          <w:rFonts w:cs="Calibri"/>
        </w:rPr>
      </w:pPr>
      <w:r w:rsidRPr="001C1E47">
        <w:rPr>
          <w:rFonts w:cs="Calibri"/>
        </w:rPr>
        <w:t xml:space="preserve">This follow-up FAME report contains </w:t>
      </w:r>
      <w:r w:rsidR="00AD4AB8">
        <w:rPr>
          <w:rFonts w:cs="Calibri"/>
        </w:rPr>
        <w:t>two</w:t>
      </w:r>
      <w:r w:rsidR="005D5383" w:rsidRPr="001C1E47">
        <w:rPr>
          <w:rFonts w:cs="Calibri"/>
        </w:rPr>
        <w:t xml:space="preserve"> </w:t>
      </w:r>
      <w:r w:rsidR="00161129">
        <w:rPr>
          <w:rFonts w:cs="Calibri"/>
        </w:rPr>
        <w:t xml:space="preserve">continued </w:t>
      </w:r>
      <w:r w:rsidR="005D5383" w:rsidRPr="001C1E47">
        <w:rPr>
          <w:rFonts w:cs="Calibri"/>
        </w:rPr>
        <w:t xml:space="preserve">findings </w:t>
      </w:r>
      <w:r w:rsidRPr="001C1E47">
        <w:rPr>
          <w:rFonts w:cs="Calibri"/>
        </w:rPr>
        <w:t xml:space="preserve">and </w:t>
      </w:r>
      <w:r w:rsidR="00161129">
        <w:rPr>
          <w:rFonts w:cs="Calibri"/>
        </w:rPr>
        <w:t>three</w:t>
      </w:r>
      <w:r w:rsidRPr="001C1E47">
        <w:rPr>
          <w:rFonts w:cs="Calibri"/>
        </w:rPr>
        <w:t xml:space="preserve"> </w:t>
      </w:r>
      <w:r w:rsidR="00161129">
        <w:rPr>
          <w:rFonts w:cs="Calibri"/>
        </w:rPr>
        <w:t xml:space="preserve">continued </w:t>
      </w:r>
      <w:r w:rsidRPr="001C1E47">
        <w:rPr>
          <w:rFonts w:cs="Calibri"/>
        </w:rPr>
        <w:t>observations</w:t>
      </w:r>
      <w:r w:rsidR="005D5383" w:rsidRPr="001C1E47">
        <w:rPr>
          <w:rFonts w:cs="Calibri"/>
        </w:rPr>
        <w:t>.</w:t>
      </w:r>
      <w:r w:rsidRPr="001C1E47">
        <w:rPr>
          <w:rFonts w:cs="Calibri"/>
        </w:rPr>
        <w:t xml:space="preserve"> Appendix A describes the continued findings and recommendations</w:t>
      </w:r>
      <w:r w:rsidR="00F73C87" w:rsidRPr="001C1E47">
        <w:rPr>
          <w:rFonts w:cs="Calibri"/>
        </w:rPr>
        <w:t xml:space="preserve">. </w:t>
      </w:r>
      <w:r w:rsidRPr="001C1E47">
        <w:rPr>
          <w:rFonts w:cs="Calibri"/>
        </w:rPr>
        <w:t>Appendix B describes observations subject to continued monitoring</w:t>
      </w:r>
      <w:r w:rsidR="001E4F8A" w:rsidRPr="001C1E47">
        <w:rPr>
          <w:rFonts w:cs="Calibri"/>
        </w:rPr>
        <w:t xml:space="preserve"> and the related federal monitoring plan</w:t>
      </w:r>
      <w:r w:rsidRPr="001C1E47">
        <w:rPr>
          <w:rFonts w:cs="Calibri"/>
        </w:rPr>
        <w:t>.  Appendix C describes the status of each FY 20</w:t>
      </w:r>
      <w:r w:rsidR="00B66C2A" w:rsidRPr="001C1E47">
        <w:rPr>
          <w:rFonts w:cs="Calibri"/>
        </w:rPr>
        <w:t>21</w:t>
      </w:r>
      <w:r w:rsidRPr="001C1E47">
        <w:rPr>
          <w:rFonts w:cs="Calibri"/>
        </w:rPr>
        <w:t xml:space="preserve"> </w:t>
      </w:r>
      <w:r w:rsidR="00B66C2A" w:rsidRPr="001C1E47">
        <w:rPr>
          <w:rFonts w:cs="Calibri"/>
        </w:rPr>
        <w:t>finding</w:t>
      </w:r>
      <w:r w:rsidR="00753C0F">
        <w:rPr>
          <w:rFonts w:cs="Calibri"/>
        </w:rPr>
        <w:t>s</w:t>
      </w:r>
      <w:r w:rsidR="00B66C2A" w:rsidRPr="001C1E47">
        <w:rPr>
          <w:rFonts w:cs="Calibri"/>
        </w:rPr>
        <w:t xml:space="preserve"> and </w:t>
      </w:r>
      <w:r w:rsidRPr="001C1E47">
        <w:rPr>
          <w:rFonts w:cs="Calibri"/>
        </w:rPr>
        <w:t>recommendation</w:t>
      </w:r>
      <w:r w:rsidR="00753C0F">
        <w:rPr>
          <w:rFonts w:cs="Calibri"/>
        </w:rPr>
        <w:t>s</w:t>
      </w:r>
      <w:r w:rsidRPr="001C1E47">
        <w:rPr>
          <w:rFonts w:cs="Calibri"/>
        </w:rPr>
        <w:t xml:space="preserve"> in detail.</w:t>
      </w:r>
    </w:p>
    <w:p w14:paraId="699539B4" w14:textId="77777777" w:rsidR="004E505A" w:rsidRPr="001C1E47" w:rsidRDefault="004E505A" w:rsidP="00E57499">
      <w:pPr>
        <w:widowControl/>
        <w:autoSpaceDE/>
        <w:autoSpaceDN/>
        <w:adjustRightInd/>
        <w:rPr>
          <w:rFonts w:cs="Calibri"/>
          <w:highlight w:val="yellow"/>
        </w:rPr>
      </w:pPr>
    </w:p>
    <w:p w14:paraId="66699C18" w14:textId="77777777" w:rsidR="00A33959" w:rsidRPr="0061362E" w:rsidRDefault="00785B2E" w:rsidP="00E57499">
      <w:pPr>
        <w:widowControl/>
        <w:autoSpaceDE/>
        <w:autoSpaceDN/>
        <w:adjustRightInd/>
        <w:rPr>
          <w:rFonts w:cs="Calibri"/>
          <w:b/>
          <w:bCs/>
          <w:i/>
        </w:rPr>
      </w:pPr>
      <w:r w:rsidRPr="0061362E">
        <w:rPr>
          <w:rFonts w:cs="Calibri"/>
          <w:b/>
          <w:bCs/>
        </w:rPr>
        <w:lastRenderedPageBreak/>
        <w:t xml:space="preserve">Continued </w:t>
      </w:r>
      <w:r w:rsidR="007C0A36" w:rsidRPr="0061362E">
        <w:rPr>
          <w:rFonts w:cs="Calibri"/>
          <w:b/>
          <w:bCs/>
        </w:rPr>
        <w:t>Findings</w:t>
      </w:r>
      <w:r w:rsidR="00391D6F" w:rsidRPr="0061362E">
        <w:rPr>
          <w:rFonts w:cs="Calibri"/>
          <w:b/>
          <w:bCs/>
        </w:rPr>
        <w:t xml:space="preserve"> </w:t>
      </w:r>
    </w:p>
    <w:p w14:paraId="7C96273F" w14:textId="7326EB83" w:rsidR="00A33959" w:rsidRPr="001C1E47" w:rsidRDefault="00253775" w:rsidP="00253775">
      <w:pPr>
        <w:widowControl/>
        <w:tabs>
          <w:tab w:val="left" w:pos="7470"/>
        </w:tabs>
        <w:autoSpaceDE/>
        <w:autoSpaceDN/>
        <w:adjustRightInd/>
        <w:rPr>
          <w:rFonts w:eastAsia="Calibri" w:cs="Calibri"/>
          <w:b/>
        </w:rPr>
      </w:pPr>
      <w:r>
        <w:rPr>
          <w:rFonts w:eastAsia="Calibri" w:cs="Calibri"/>
          <w:b/>
        </w:rPr>
        <w:tab/>
      </w:r>
    </w:p>
    <w:p w14:paraId="02510FEB" w14:textId="3A3D9F3A" w:rsidR="00DB1A2A" w:rsidRDefault="00DB1A2A" w:rsidP="00E57499">
      <w:pPr>
        <w:widowControl/>
      </w:pPr>
      <w:r w:rsidRPr="4EA60749">
        <w:rPr>
          <w:b/>
          <w:bCs/>
        </w:rPr>
        <w:t>Finding FY 202</w:t>
      </w:r>
      <w:r w:rsidR="00B301A4" w:rsidRPr="4EA60749">
        <w:rPr>
          <w:b/>
          <w:bCs/>
        </w:rPr>
        <w:t>2</w:t>
      </w:r>
      <w:r w:rsidRPr="4EA60749">
        <w:rPr>
          <w:b/>
          <w:bCs/>
        </w:rPr>
        <w:t>-01</w:t>
      </w:r>
      <w:r>
        <w:t xml:space="preserve"> (previous Findings</w:t>
      </w:r>
      <w:r w:rsidR="00B301A4">
        <w:t xml:space="preserve"> FY 2021-01,</w:t>
      </w:r>
      <w:r>
        <w:t xml:space="preserve"> FY 2020-02, FY 2019-02): The percentage of health (6</w:t>
      </w:r>
      <w:r w:rsidR="4534D3E9">
        <w:t>7</w:t>
      </w:r>
      <w:r>
        <w:t>.</w:t>
      </w:r>
      <w:r w:rsidR="00385EE5">
        <w:t>21</w:t>
      </w:r>
      <w:r>
        <w:t xml:space="preserve">%) inspections that were in-compliance was higher than the FRL </w:t>
      </w:r>
      <w:r w:rsidR="0018706A">
        <w:t xml:space="preserve">range </w:t>
      </w:r>
      <w:r>
        <w:t>of 3</w:t>
      </w:r>
      <w:r w:rsidR="42BD307C">
        <w:t>5</w:t>
      </w:r>
      <w:r>
        <w:t>.5</w:t>
      </w:r>
      <w:r w:rsidR="009678FA">
        <w:t>4</w:t>
      </w:r>
      <w:r>
        <w:t xml:space="preserve">% to </w:t>
      </w:r>
      <w:r w:rsidR="00BD1A6A">
        <w:t>53.30</w:t>
      </w:r>
      <w:r>
        <w:t xml:space="preserve">%. </w:t>
      </w:r>
    </w:p>
    <w:p w14:paraId="5BE83504" w14:textId="7937F7B6" w:rsidR="00054416" w:rsidRDefault="00253775" w:rsidP="00E57499">
      <w:pPr>
        <w:widowControl/>
        <w:rPr>
          <w:rFonts w:eastAsia="Calibri" w:cs="Calibri"/>
        </w:rPr>
      </w:pPr>
      <w:r>
        <w:rPr>
          <w:b/>
          <w:bCs/>
        </w:rPr>
        <w:t>Status</w:t>
      </w:r>
      <w:r w:rsidR="00DB1A2A" w:rsidRPr="21399711">
        <w:rPr>
          <w:b/>
          <w:bCs/>
        </w:rPr>
        <w:t>:</w:t>
      </w:r>
      <w:r w:rsidR="00DB1A2A">
        <w:t xml:space="preserve"> </w:t>
      </w:r>
      <w:r w:rsidRPr="00136931">
        <w:t xml:space="preserve">SC OSHA continues to review the NAICS that are assigned and determine which industries warrant enforcement, based on industry incidence rates. SC OSHA continues to provide additional training to CSHO’s to ensure that all potential violations are addressed.  </w:t>
      </w:r>
      <w:r w:rsidR="004E505A" w:rsidRPr="21399711">
        <w:rPr>
          <w:rFonts w:eastAsia="Calibri" w:cs="Calibri"/>
        </w:rPr>
        <w:t>This finding remains open.</w:t>
      </w:r>
    </w:p>
    <w:p w14:paraId="18BD6E28" w14:textId="3637B0C6" w:rsidR="00AE4BBB" w:rsidRDefault="00AE4BBB" w:rsidP="00E57499">
      <w:pPr>
        <w:widowControl/>
        <w:rPr>
          <w:rFonts w:eastAsia="Calibri" w:cs="Calibri"/>
        </w:rPr>
      </w:pPr>
    </w:p>
    <w:p w14:paraId="5DC2BA1F" w14:textId="59DCFF5C" w:rsidR="00AE4BBB" w:rsidRDefault="00AE4BBB" w:rsidP="00E57499">
      <w:pPr>
        <w:widowControl/>
      </w:pPr>
      <w:bookmarkStart w:id="24" w:name="_Hlk136877190"/>
      <w:r w:rsidRPr="00AE4BBB">
        <w:rPr>
          <w:b/>
          <w:bCs/>
        </w:rPr>
        <w:t>Finding- FY-202</w:t>
      </w:r>
      <w:r w:rsidR="00380D61">
        <w:rPr>
          <w:b/>
          <w:bCs/>
        </w:rPr>
        <w:t>2</w:t>
      </w:r>
      <w:r w:rsidRPr="00AE4BBB">
        <w:rPr>
          <w:b/>
          <w:bCs/>
        </w:rPr>
        <w:t>-02</w:t>
      </w:r>
      <w:r w:rsidR="00F12A26">
        <w:rPr>
          <w:b/>
          <w:bCs/>
        </w:rPr>
        <w:t xml:space="preserve"> </w:t>
      </w:r>
      <w:r w:rsidR="00F12A26">
        <w:t>(previous Finding FY 2021-0</w:t>
      </w:r>
      <w:r w:rsidR="00380D61">
        <w:t>2</w:t>
      </w:r>
      <w:r w:rsidR="00F12A26">
        <w:t>)</w:t>
      </w:r>
      <w:r w:rsidRPr="00AE4BBB">
        <w:rPr>
          <w:b/>
          <w:bCs/>
        </w:rPr>
        <w:t>:</w:t>
      </w:r>
      <w:r>
        <w:t xml:space="preserve"> SC State Plan has failed to adopt OSHA’s initial FY 2016 maximum and minimum penalty increase and subsequent annual penalty amount increases. </w:t>
      </w:r>
    </w:p>
    <w:p w14:paraId="11857745" w14:textId="7E3CCA7C" w:rsidR="00AE4BBB" w:rsidRPr="001C1E47" w:rsidRDefault="00406553" w:rsidP="002D3088">
      <w:pPr>
        <w:rPr>
          <w:rFonts w:eastAsia="Calibri" w:cs="Calibri"/>
        </w:rPr>
      </w:pPr>
      <w:r w:rsidRPr="00403606">
        <w:rPr>
          <w:rFonts w:asciiTheme="minorHAnsi" w:eastAsia="Calibri" w:hAnsiTheme="minorHAnsi" w:cstheme="minorHAnsi"/>
          <w:b/>
          <w:bCs/>
        </w:rPr>
        <w:t>Status:</w:t>
      </w:r>
      <w:r w:rsidRPr="00403606">
        <w:rPr>
          <w:rFonts w:asciiTheme="minorHAnsi" w:eastAsia="Calibri" w:hAnsiTheme="minorHAnsi" w:cstheme="minorHAnsi"/>
        </w:rPr>
        <w:t xml:space="preserve"> </w:t>
      </w:r>
      <w:r w:rsidR="002D3088" w:rsidRPr="002D3088">
        <w:rPr>
          <w:rFonts w:asciiTheme="minorHAnsi" w:eastAsia="Calibri" w:hAnsiTheme="minorHAnsi" w:cstheme="minorHAnsi"/>
        </w:rPr>
        <w:t xml:space="preserve">SC OSHA should </w:t>
      </w:r>
      <w:r w:rsidR="002D3088">
        <w:rPr>
          <w:rFonts w:asciiTheme="minorHAnsi" w:eastAsia="Calibri" w:hAnsiTheme="minorHAnsi" w:cstheme="minorHAnsi"/>
        </w:rPr>
        <w:t xml:space="preserve">continue </w:t>
      </w:r>
      <w:r w:rsidR="002D3088" w:rsidRPr="002D3088">
        <w:rPr>
          <w:rFonts w:asciiTheme="minorHAnsi" w:eastAsia="Calibri" w:hAnsiTheme="minorHAnsi" w:cstheme="minorHAnsi"/>
        </w:rPr>
        <w:t>work with their state authorities to complete the legislative changes necessary to enable it to adopt maximum and minimum penalty amounts that are at least as effective as OSHA’s maximum and minimum penalty levels.</w:t>
      </w:r>
    </w:p>
    <w:p w14:paraId="0DC0C330" w14:textId="77777777" w:rsidR="00EA4B05" w:rsidRPr="001C1E47" w:rsidRDefault="00EA4B05" w:rsidP="00E57499">
      <w:pPr>
        <w:widowControl/>
        <w:autoSpaceDE/>
        <w:autoSpaceDN/>
        <w:adjustRightInd/>
        <w:rPr>
          <w:rFonts w:cs="Calibri"/>
          <w:bCs/>
        </w:rPr>
      </w:pPr>
    </w:p>
    <w:bookmarkEnd w:id="24"/>
    <w:p w14:paraId="370CCAAD" w14:textId="57E95041" w:rsidR="00602EF3" w:rsidRPr="0061362E" w:rsidRDefault="004E505A" w:rsidP="00E57499">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185C7D" w:rsidRPr="0061362E">
        <w:rPr>
          <w:rFonts w:cs="Calibri"/>
          <w:b/>
        </w:rPr>
        <w:t>21</w:t>
      </w:r>
      <w:r w:rsidR="007C0A36" w:rsidRPr="0061362E">
        <w:rPr>
          <w:rFonts w:cs="Calibri"/>
          <w:b/>
        </w:rPr>
        <w:t xml:space="preserve"> </w:t>
      </w:r>
      <w:r w:rsidR="00443054" w:rsidRPr="0061362E">
        <w:rPr>
          <w:rFonts w:cs="Calibri"/>
          <w:b/>
        </w:rPr>
        <w:t>Observation</w:t>
      </w:r>
      <w:r w:rsidR="0061362E" w:rsidRPr="0061362E">
        <w:rPr>
          <w:rFonts w:cs="Calibri"/>
          <w:b/>
        </w:rPr>
        <w:t>s</w:t>
      </w:r>
    </w:p>
    <w:p w14:paraId="00C81835" w14:textId="77777777" w:rsidR="00602EF3" w:rsidRPr="001C1E47" w:rsidRDefault="00602EF3" w:rsidP="00E57499">
      <w:pPr>
        <w:widowControl/>
        <w:autoSpaceDE/>
        <w:autoSpaceDN/>
        <w:adjustRightInd/>
        <w:rPr>
          <w:rFonts w:cs="Calibri"/>
          <w:b/>
          <w:bCs/>
          <w:highlight w:val="yellow"/>
        </w:rPr>
      </w:pPr>
    </w:p>
    <w:p w14:paraId="226624BF" w14:textId="762DAA70" w:rsidR="00626256" w:rsidRDefault="00626256" w:rsidP="00E57499">
      <w:pPr>
        <w:widowControl/>
        <w:autoSpaceDE/>
        <w:autoSpaceDN/>
        <w:adjustRightInd/>
      </w:pPr>
      <w:r w:rsidRPr="00626256">
        <w:rPr>
          <w:b/>
          <w:bCs/>
        </w:rPr>
        <w:t>Observation FY 202</w:t>
      </w:r>
      <w:r w:rsidR="00077C60">
        <w:rPr>
          <w:b/>
          <w:bCs/>
        </w:rPr>
        <w:t>2</w:t>
      </w:r>
      <w:r w:rsidRPr="00626256">
        <w:rPr>
          <w:b/>
          <w:bCs/>
        </w:rPr>
        <w:t>-OB-01 (previous</w:t>
      </w:r>
      <w:r w:rsidR="00434CA0">
        <w:rPr>
          <w:b/>
          <w:bCs/>
        </w:rPr>
        <w:t xml:space="preserve"> Observation</w:t>
      </w:r>
      <w:r w:rsidRPr="00626256">
        <w:rPr>
          <w:b/>
          <w:bCs/>
        </w:rPr>
        <w:t xml:space="preserve"> </w:t>
      </w:r>
      <w:r w:rsidR="00077C60" w:rsidRPr="00626256">
        <w:rPr>
          <w:b/>
          <w:bCs/>
        </w:rPr>
        <w:t>FY 2021-OB-01</w:t>
      </w:r>
      <w:r w:rsidR="00077C60">
        <w:rPr>
          <w:b/>
          <w:bCs/>
        </w:rPr>
        <w:t xml:space="preserve">, </w:t>
      </w:r>
      <w:r w:rsidRPr="00626256">
        <w:rPr>
          <w:b/>
          <w:bCs/>
        </w:rPr>
        <w:t>FY 2020-OB-03):</w:t>
      </w:r>
      <w:r>
        <w:t xml:space="preserve"> </w:t>
      </w:r>
      <w:r w:rsidR="001D10A9">
        <w:t>In FY 2021, six</w:t>
      </w:r>
      <w:r>
        <w:t xml:space="preserve"> of 21 (29%) fatality investigations reviewed lacked documentation to ascertain why a</w:t>
      </w:r>
      <w:r w:rsidR="001C4810">
        <w:t>n</w:t>
      </w:r>
      <w:r>
        <w:t xml:space="preserve"> SC OSHA standard was not cited. </w:t>
      </w:r>
    </w:p>
    <w:p w14:paraId="20A55D7F" w14:textId="622555A0" w:rsidR="00626256" w:rsidRPr="001C1E47" w:rsidRDefault="00626256" w:rsidP="00E57499">
      <w:pPr>
        <w:widowControl/>
        <w:autoSpaceDE/>
        <w:autoSpaceDN/>
        <w:adjustRightInd/>
        <w:rPr>
          <w:rFonts w:cs="Calibri"/>
          <w:b/>
        </w:rPr>
      </w:pPr>
      <w:r w:rsidRPr="001C1E47">
        <w:rPr>
          <w:rFonts w:cs="Calibri"/>
          <w:b/>
        </w:rPr>
        <w:t xml:space="preserve">Status:  </w:t>
      </w:r>
      <w:r w:rsidRPr="001C1E47">
        <w:rPr>
          <w:rFonts w:cs="Calibri"/>
        </w:rPr>
        <w:t>A case file review is necessary to gather the facts needed to evaluate performance in relation to this observation. This observation will be a focus of next year’s on-site case file review</w:t>
      </w:r>
      <w:r w:rsidR="0018706A">
        <w:rPr>
          <w:rFonts w:cs="Calibri"/>
        </w:rPr>
        <w:t>,</w:t>
      </w:r>
      <w:r w:rsidRPr="001C1E47">
        <w:rPr>
          <w:rFonts w:cs="Calibri"/>
        </w:rPr>
        <w:t xml:space="preserve"> during the FY 20</w:t>
      </w:r>
      <w:r w:rsidR="00B911B2">
        <w:rPr>
          <w:rFonts w:cs="Calibri"/>
        </w:rPr>
        <w:t>23</w:t>
      </w:r>
      <w:r w:rsidRPr="001C1E47">
        <w:rPr>
          <w:rFonts w:cs="Calibri"/>
        </w:rPr>
        <w:t xml:space="preserve"> comprehensive FAME.</w:t>
      </w:r>
      <w:r w:rsidRPr="001C1E47">
        <w:rPr>
          <w:rFonts w:cs="Calibri"/>
          <w:b/>
        </w:rPr>
        <w:t xml:space="preserve"> </w:t>
      </w:r>
      <w:r w:rsidRPr="001C1E47">
        <w:rPr>
          <w:rFonts w:cs="Calibri"/>
        </w:rPr>
        <w:t>This observation will be continued.</w:t>
      </w:r>
    </w:p>
    <w:p w14:paraId="3EC21AF9" w14:textId="3791A2AA" w:rsidR="004A5225" w:rsidRDefault="004A5225" w:rsidP="00E57499">
      <w:pPr>
        <w:widowControl/>
        <w:autoSpaceDE/>
        <w:autoSpaceDN/>
        <w:adjustRightInd/>
        <w:rPr>
          <w:rFonts w:cs="Calibri"/>
          <w:bCs/>
          <w:iCs/>
          <w:color w:val="0070C0"/>
        </w:rPr>
      </w:pPr>
    </w:p>
    <w:p w14:paraId="1A0FCCC5" w14:textId="6F05B745" w:rsidR="005612FF" w:rsidRDefault="005612FF" w:rsidP="00E57499">
      <w:pPr>
        <w:widowControl/>
        <w:autoSpaceDE/>
        <w:autoSpaceDN/>
        <w:adjustRightInd/>
      </w:pPr>
      <w:r w:rsidRPr="005612FF">
        <w:rPr>
          <w:b/>
          <w:bCs/>
        </w:rPr>
        <w:t>Observation FY 202</w:t>
      </w:r>
      <w:r w:rsidR="00077C60">
        <w:rPr>
          <w:b/>
          <w:bCs/>
        </w:rPr>
        <w:t>2</w:t>
      </w:r>
      <w:r w:rsidRPr="005612FF">
        <w:rPr>
          <w:b/>
          <w:bCs/>
        </w:rPr>
        <w:t xml:space="preserve">-OB-02 (previous </w:t>
      </w:r>
      <w:r w:rsidR="00434CA0">
        <w:rPr>
          <w:b/>
          <w:bCs/>
        </w:rPr>
        <w:t>Observation</w:t>
      </w:r>
      <w:r w:rsidR="00A60399">
        <w:rPr>
          <w:b/>
          <w:bCs/>
        </w:rPr>
        <w:t>s</w:t>
      </w:r>
      <w:r w:rsidR="00434CA0" w:rsidRPr="005612FF">
        <w:rPr>
          <w:b/>
          <w:bCs/>
        </w:rPr>
        <w:t xml:space="preserve"> </w:t>
      </w:r>
      <w:r w:rsidR="00077C60" w:rsidRPr="005612FF">
        <w:rPr>
          <w:b/>
          <w:bCs/>
        </w:rPr>
        <w:t>FY 2021-OB-02</w:t>
      </w:r>
      <w:r w:rsidR="00077C60">
        <w:rPr>
          <w:b/>
          <w:bCs/>
        </w:rPr>
        <w:t xml:space="preserve">, </w:t>
      </w:r>
      <w:r w:rsidRPr="005612FF">
        <w:rPr>
          <w:b/>
          <w:bCs/>
        </w:rPr>
        <w:t>FY 2020-OB-01, FY 2019-OB-01):</w:t>
      </w:r>
      <w:r>
        <w:t xml:space="preserve"> In FY 2021, missed violations or lack of a recommendation letter was noted in six </w:t>
      </w:r>
      <w:r w:rsidR="0018706A">
        <w:t xml:space="preserve">(6) </w:t>
      </w:r>
      <w:r>
        <w:t>out of 50 (12%) case files reviewed. Several examples include, personal protective equipment, hazard communication, OSHA 300 logs and face masks during the COVID-19 pandemic.</w:t>
      </w:r>
    </w:p>
    <w:p w14:paraId="505DA798" w14:textId="0C0DA995" w:rsidR="005612FF" w:rsidRPr="001C1E47" w:rsidRDefault="005612FF" w:rsidP="00E57499">
      <w:pPr>
        <w:widowControl/>
        <w:autoSpaceDE/>
        <w:autoSpaceDN/>
        <w:adjustRightInd/>
        <w:rPr>
          <w:rFonts w:cs="Calibri"/>
          <w:b/>
        </w:rPr>
      </w:pPr>
      <w:r w:rsidRPr="001C1E47">
        <w:rPr>
          <w:rFonts w:cs="Calibri"/>
          <w:b/>
        </w:rPr>
        <w:t xml:space="preserve">Status:  </w:t>
      </w:r>
      <w:r w:rsidRPr="001C1E47">
        <w:rPr>
          <w:rFonts w:cs="Calibri"/>
        </w:rPr>
        <w:t>A case file review is necessary to gather the facts needed to evaluate performance in relation to this observation. This observation will be a focus of next year’s on-site case file review</w:t>
      </w:r>
      <w:r w:rsidR="0018706A">
        <w:rPr>
          <w:rFonts w:cs="Calibri"/>
        </w:rPr>
        <w:t>,</w:t>
      </w:r>
      <w:r w:rsidRPr="001C1E47">
        <w:rPr>
          <w:rFonts w:cs="Calibri"/>
        </w:rPr>
        <w:t xml:space="preserve"> during the FY 20</w:t>
      </w:r>
      <w:r w:rsidR="00B911B2">
        <w:rPr>
          <w:rFonts w:cs="Calibri"/>
        </w:rPr>
        <w:t>23</w:t>
      </w:r>
      <w:r w:rsidRPr="001C1E47">
        <w:rPr>
          <w:rFonts w:cs="Calibri"/>
        </w:rPr>
        <w:t xml:space="preserve"> comprehensive FAME.</w:t>
      </w:r>
      <w:r w:rsidRPr="001C1E47">
        <w:rPr>
          <w:rFonts w:cs="Calibri"/>
          <w:b/>
        </w:rPr>
        <w:t xml:space="preserve"> </w:t>
      </w:r>
      <w:r w:rsidRPr="001C1E47">
        <w:rPr>
          <w:rFonts w:cs="Calibri"/>
        </w:rPr>
        <w:t>This observation will be continued.</w:t>
      </w:r>
    </w:p>
    <w:p w14:paraId="34B1CC4B" w14:textId="77777777" w:rsidR="005612FF" w:rsidRDefault="005612FF" w:rsidP="00E57499">
      <w:pPr>
        <w:widowControl/>
        <w:autoSpaceDE/>
        <w:autoSpaceDN/>
        <w:adjustRightInd/>
      </w:pPr>
    </w:p>
    <w:p w14:paraId="5D1F2849" w14:textId="52F58514" w:rsidR="005612FF" w:rsidRDefault="005612FF" w:rsidP="00E57499">
      <w:pPr>
        <w:widowControl/>
        <w:autoSpaceDE/>
        <w:autoSpaceDN/>
        <w:adjustRightInd/>
      </w:pPr>
      <w:r w:rsidRPr="21399711">
        <w:rPr>
          <w:b/>
          <w:bCs/>
        </w:rPr>
        <w:t>Observation</w:t>
      </w:r>
      <w:r w:rsidR="004F402D" w:rsidRPr="21399711">
        <w:rPr>
          <w:b/>
          <w:bCs/>
        </w:rPr>
        <w:t xml:space="preserve"> FY 202</w:t>
      </w:r>
      <w:r w:rsidR="00760D35" w:rsidRPr="21399711">
        <w:rPr>
          <w:b/>
          <w:bCs/>
        </w:rPr>
        <w:t>2</w:t>
      </w:r>
      <w:r w:rsidR="004F402D" w:rsidRPr="21399711">
        <w:rPr>
          <w:b/>
          <w:bCs/>
        </w:rPr>
        <w:t>-OB-03</w:t>
      </w:r>
      <w:r w:rsidRPr="21399711">
        <w:rPr>
          <w:b/>
          <w:bCs/>
        </w:rPr>
        <w:t xml:space="preserve"> </w:t>
      </w:r>
      <w:r w:rsidR="004F402D" w:rsidRPr="21399711">
        <w:rPr>
          <w:b/>
          <w:bCs/>
        </w:rPr>
        <w:t>(</w:t>
      </w:r>
      <w:r w:rsidR="00F04C0F" w:rsidRPr="21399711">
        <w:rPr>
          <w:b/>
          <w:bCs/>
        </w:rPr>
        <w:t xml:space="preserve">previous </w:t>
      </w:r>
      <w:r w:rsidR="00A60399" w:rsidRPr="21399711">
        <w:rPr>
          <w:b/>
          <w:bCs/>
        </w:rPr>
        <w:t xml:space="preserve">Observation </w:t>
      </w:r>
      <w:r w:rsidRPr="21399711">
        <w:rPr>
          <w:b/>
          <w:bCs/>
        </w:rPr>
        <w:t>FY 2021-OB-03</w:t>
      </w:r>
      <w:r w:rsidR="004F402D" w:rsidRPr="21399711">
        <w:rPr>
          <w:b/>
          <w:bCs/>
        </w:rPr>
        <w:t>)</w:t>
      </w:r>
      <w:r w:rsidRPr="21399711">
        <w:rPr>
          <w:b/>
          <w:bCs/>
        </w:rPr>
        <w:t>:</w:t>
      </w:r>
      <w:r>
        <w:t xml:space="preserve"> In</w:t>
      </w:r>
      <w:r w:rsidR="001D10A9">
        <w:t xml:space="preserve"> FY 2021, in</w:t>
      </w:r>
      <w:r>
        <w:t xml:space="preserve"> 10 out of 50 (12%) investigations, it was identified that the Gravity Base Penalty (GBP) of $7,000 </w:t>
      </w:r>
      <w:r w:rsidR="1561E442">
        <w:t xml:space="preserve">should have been </w:t>
      </w:r>
      <w:r w:rsidR="688FD296">
        <w:t>applied</w:t>
      </w:r>
      <w:r w:rsidR="1561E442">
        <w:t xml:space="preserve"> </w:t>
      </w:r>
      <w:r>
        <w:t xml:space="preserve">to achieve the necessary deterrent effect. </w:t>
      </w:r>
    </w:p>
    <w:p w14:paraId="337B2728" w14:textId="37C44B35" w:rsidR="005612FF" w:rsidRPr="001C1E47" w:rsidRDefault="005612FF" w:rsidP="00E57499">
      <w:pPr>
        <w:widowControl/>
        <w:autoSpaceDE/>
        <w:autoSpaceDN/>
        <w:adjustRightInd/>
        <w:rPr>
          <w:rFonts w:cs="Calibri"/>
          <w:b/>
        </w:rPr>
      </w:pPr>
      <w:r w:rsidRPr="001C1E47">
        <w:rPr>
          <w:rFonts w:cs="Calibri"/>
          <w:b/>
        </w:rPr>
        <w:t xml:space="preserve">Status:  </w:t>
      </w:r>
      <w:r w:rsidRPr="001C1E47">
        <w:rPr>
          <w:rFonts w:cs="Calibri"/>
        </w:rPr>
        <w:t>A case file review is necessary to gather the facts needed to evaluate performance in relation to this observation. This observation will be a focus of next year’s on-site case file review</w:t>
      </w:r>
      <w:r w:rsidR="0018706A">
        <w:rPr>
          <w:rFonts w:cs="Calibri"/>
        </w:rPr>
        <w:t>,</w:t>
      </w:r>
      <w:r w:rsidRPr="001C1E47">
        <w:rPr>
          <w:rFonts w:cs="Calibri"/>
        </w:rPr>
        <w:t xml:space="preserve"> during the FY 20</w:t>
      </w:r>
      <w:r w:rsidR="00B911B2">
        <w:rPr>
          <w:rFonts w:cs="Calibri"/>
        </w:rPr>
        <w:t>23</w:t>
      </w:r>
      <w:r w:rsidRPr="001C1E47">
        <w:rPr>
          <w:rFonts w:cs="Calibri"/>
        </w:rPr>
        <w:t xml:space="preserve"> comprehensive FAME.</w:t>
      </w:r>
      <w:r w:rsidRPr="001C1E47">
        <w:rPr>
          <w:rFonts w:cs="Calibri"/>
          <w:b/>
        </w:rPr>
        <w:t xml:space="preserve"> </w:t>
      </w:r>
      <w:r w:rsidRPr="001C1E47">
        <w:rPr>
          <w:rFonts w:cs="Calibri"/>
        </w:rPr>
        <w:t>This observation will be continued.</w:t>
      </w:r>
    </w:p>
    <w:p w14:paraId="336D1BD2" w14:textId="77777777" w:rsidR="00EA4B05" w:rsidRPr="001C1E47" w:rsidRDefault="00EA4B05" w:rsidP="00E57499">
      <w:pPr>
        <w:widowControl/>
        <w:autoSpaceDE/>
        <w:autoSpaceDN/>
        <w:adjustRightInd/>
        <w:rPr>
          <w:rFonts w:cs="Calibri"/>
          <w:b/>
          <w:highlight w:val="yellow"/>
          <w:u w:val="single"/>
        </w:rPr>
      </w:pPr>
    </w:p>
    <w:p w14:paraId="3B828F9D" w14:textId="6C45BA5D" w:rsidR="00F132A8" w:rsidRPr="0061362E" w:rsidRDefault="00F132A8" w:rsidP="00E57499">
      <w:pPr>
        <w:pStyle w:val="Heading3"/>
        <w:spacing w:before="0"/>
      </w:pPr>
      <w:bookmarkStart w:id="25" w:name="_Toc118900177"/>
      <w:bookmarkStart w:id="26" w:name="_Toc118905016"/>
      <w:bookmarkStart w:id="27" w:name="_Toc119418668"/>
      <w:r w:rsidRPr="0061362E">
        <w:t>State Activity Mandated Measures (SAMM)</w:t>
      </w:r>
      <w:r w:rsidR="00A243D6" w:rsidRPr="0061362E">
        <w:t xml:space="preserve"> Highlights</w:t>
      </w:r>
      <w:bookmarkEnd w:id="25"/>
      <w:bookmarkEnd w:id="26"/>
      <w:bookmarkEnd w:id="27"/>
    </w:p>
    <w:p w14:paraId="1ACC4DE2" w14:textId="77777777" w:rsidR="00F132A8" w:rsidRPr="001C1E47" w:rsidRDefault="00F132A8" w:rsidP="00E57499">
      <w:pPr>
        <w:widowControl/>
        <w:autoSpaceDE/>
        <w:autoSpaceDN/>
        <w:adjustRightInd/>
        <w:ind w:left="720"/>
        <w:contextualSpacing/>
        <w:rPr>
          <w:rFonts w:cs="Calibri"/>
          <w:sz w:val="28"/>
          <w:szCs w:val="28"/>
        </w:rPr>
      </w:pPr>
    </w:p>
    <w:p w14:paraId="57AD36D0" w14:textId="1740A440" w:rsidR="00753C0F" w:rsidRDefault="00EC7600" w:rsidP="00E57499">
      <w:pPr>
        <w:widowControl/>
        <w:autoSpaceDE/>
        <w:adjustRightInd/>
        <w:rPr>
          <w:rFonts w:cs="Calibri"/>
        </w:rPr>
      </w:pPr>
      <w:r w:rsidRPr="001C1E47">
        <w:rPr>
          <w:rFonts w:cs="Calibri"/>
        </w:rPr>
        <w:lastRenderedPageBreak/>
        <w:t xml:space="preserve">Each SAMM has an agreed upon </w:t>
      </w:r>
      <w:r w:rsidR="00D7654E" w:rsidRPr="001C1E47">
        <w:rPr>
          <w:rFonts w:cs="Calibri"/>
        </w:rPr>
        <w:t>FRL</w:t>
      </w:r>
      <w:r w:rsidR="0018706A">
        <w:rPr>
          <w:rFonts w:cs="Calibri"/>
        </w:rPr>
        <w:t>,</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w:t>
      </w:r>
      <w:r w:rsidR="0018706A">
        <w:rPr>
          <w:rFonts w:cs="Calibri"/>
        </w:rPr>
        <w:t xml:space="preserve">three-year </w:t>
      </w:r>
      <w:r w:rsidRPr="001C1E47">
        <w:rPr>
          <w:rFonts w:cs="Calibri"/>
        </w:rPr>
        <w:t xml:space="preserve">national average.  State Plan SAMM data that falls outside </w:t>
      </w:r>
      <w:r w:rsidR="0018706A">
        <w:rPr>
          <w:rFonts w:cs="Calibri"/>
        </w:rPr>
        <w:t xml:space="preserve">of </w:t>
      </w:r>
      <w:r w:rsidRPr="001C1E47">
        <w:rPr>
          <w:rFonts w:cs="Calibri"/>
        </w:rPr>
        <w:t xml:space="preserve">the FRL </w:t>
      </w:r>
      <w:r w:rsidR="0018706A">
        <w:rPr>
          <w:rFonts w:cs="Calibri"/>
        </w:rPr>
        <w:t xml:space="preserve">range </w:t>
      </w:r>
      <w:r w:rsidRPr="001C1E47">
        <w:rPr>
          <w:rFonts w:cs="Calibri"/>
        </w:rPr>
        <w:t xml:space="preserve">triggers a closer look at the underlying performance of the mandatory activity.  </w:t>
      </w:r>
      <w:r w:rsidR="005D1F76" w:rsidRPr="001C1E47">
        <w:rPr>
          <w:rFonts w:cs="Calibri"/>
        </w:rPr>
        <w:t>Appendix D presents the State Plan’s FY 20</w:t>
      </w:r>
      <w:r w:rsidR="00476C08">
        <w:rPr>
          <w:rFonts w:cs="Calibri"/>
        </w:rPr>
        <w:t>22</w:t>
      </w:r>
      <w:r w:rsidR="005D1F76" w:rsidRPr="001C1E47">
        <w:rPr>
          <w:rFonts w:cs="Calibri"/>
        </w:rPr>
        <w:t xml:space="preserve"> State Activity Mandated Measures (SAMM) Report and includes the FRLs for each measure. </w:t>
      </w:r>
    </w:p>
    <w:p w14:paraId="06F45E3A" w14:textId="77777777" w:rsidR="00753C0F" w:rsidRDefault="00753C0F" w:rsidP="00E57499">
      <w:pPr>
        <w:widowControl/>
        <w:autoSpaceDE/>
        <w:adjustRightInd/>
        <w:rPr>
          <w:rFonts w:cs="Calibri"/>
        </w:rPr>
      </w:pPr>
    </w:p>
    <w:p w14:paraId="4184050D" w14:textId="7564699B" w:rsidR="00753C0F" w:rsidRDefault="00753C0F" w:rsidP="00E57499">
      <w:pPr>
        <w:rPr>
          <w:sz w:val="22"/>
          <w:szCs w:val="22"/>
        </w:rPr>
      </w:pPr>
      <w:r>
        <w:t>It should be noted that OSHA is in the final stages of transitioning from the Whistleblower Application in the OSHA IT Support System (OITSS), a legacy data system, to the Whistleblower module in OIS, a modern data system.  For FY 2022, a portion of the State Plan whistleblower data was recorded</w:t>
      </w:r>
      <w:r w:rsidR="0018706A">
        <w:t xml:space="preserve"> in</w:t>
      </w:r>
      <w:r>
        <w:t xml:space="preserve"> OITSS, and a portion was captured in OIS.   OSHA encountered challenges in combining the report that generates SAMM 14, 15, and 16 from both systems.  As such, OSHA will not be relying on SAMMs 14, 15, or 16 in their evaluation of the State Plan</w:t>
      </w:r>
      <w:r w:rsidR="001E5D64">
        <w:t>’</w:t>
      </w:r>
      <w:r>
        <w:t>s whistleblower programs for FY 2022.</w:t>
      </w:r>
    </w:p>
    <w:p w14:paraId="22E88D2B" w14:textId="77777777" w:rsidR="00753C0F" w:rsidRDefault="00753C0F" w:rsidP="00E57499">
      <w:pPr>
        <w:widowControl/>
        <w:autoSpaceDE/>
        <w:adjustRightInd/>
        <w:rPr>
          <w:rFonts w:cs="Calibri"/>
        </w:rPr>
      </w:pPr>
    </w:p>
    <w:p w14:paraId="75AF2501" w14:textId="67CF9DE0" w:rsidR="00EC7600" w:rsidRPr="001C1E47" w:rsidRDefault="00EC7600" w:rsidP="00E57499">
      <w:pPr>
        <w:widowControl/>
        <w:autoSpaceDE/>
        <w:adjustRightInd/>
        <w:rPr>
          <w:rFonts w:cs="Calibri"/>
        </w:rPr>
      </w:pPr>
      <w:r w:rsidRPr="001C1E47">
        <w:rPr>
          <w:rFonts w:cs="Calibri"/>
        </w:rPr>
        <w:t>The State Plan was outside the FRL on the following SAMMs:</w:t>
      </w:r>
    </w:p>
    <w:p w14:paraId="5B2B946B" w14:textId="77777777" w:rsidR="00A02B33" w:rsidRPr="001C1E47" w:rsidRDefault="00A02B33" w:rsidP="00E57499">
      <w:pPr>
        <w:widowControl/>
        <w:autoSpaceDE/>
        <w:adjustRightInd/>
        <w:rPr>
          <w:rFonts w:cs="Calibri"/>
          <w:b/>
          <w:u w:val="single"/>
        </w:rPr>
      </w:pPr>
    </w:p>
    <w:p w14:paraId="1A9EC2E6" w14:textId="24E3281E" w:rsidR="007E3D81" w:rsidRPr="007E3D81" w:rsidRDefault="007E3D81" w:rsidP="00E57499">
      <w:pPr>
        <w:widowControl/>
        <w:autoSpaceDE/>
        <w:adjustRightInd/>
        <w:rPr>
          <w:b/>
          <w:bCs/>
        </w:rPr>
      </w:pPr>
      <w:r w:rsidRPr="007E3D81">
        <w:rPr>
          <w:b/>
          <w:bCs/>
        </w:rPr>
        <w:t>SAMM 1a – Average number of workdays to initiate complaint inspections (state formula) and SAMM 2a – Average number of workdays to initiate complaint</w:t>
      </w:r>
      <w:r w:rsidR="001E5D64">
        <w:rPr>
          <w:b/>
          <w:bCs/>
        </w:rPr>
        <w:t xml:space="preserve"> investigations </w:t>
      </w:r>
      <w:r w:rsidRPr="007E3D81">
        <w:rPr>
          <w:b/>
          <w:bCs/>
        </w:rPr>
        <w:t xml:space="preserve">(state formula) </w:t>
      </w:r>
    </w:p>
    <w:p w14:paraId="41E8FE23" w14:textId="01ECF1D4" w:rsidR="000F38C6" w:rsidRDefault="007E3D81" w:rsidP="00E57499">
      <w:pPr>
        <w:widowControl/>
        <w:autoSpaceDE/>
        <w:adjustRightInd/>
      </w:pPr>
      <w:r w:rsidRPr="00284B8A">
        <w:rPr>
          <w:b/>
          <w:bCs/>
        </w:rPr>
        <w:t>Discussion of State Plan data and FRL:</w:t>
      </w:r>
      <w:r>
        <w:t xml:space="preserve"> In FY 202</w:t>
      </w:r>
      <w:r w:rsidR="000F38C6">
        <w:t>2</w:t>
      </w:r>
      <w:r>
        <w:t xml:space="preserve">, SC OSHA initiated complaint inspections in an average of </w:t>
      </w:r>
      <w:r w:rsidR="000F38C6">
        <w:t>19.97</w:t>
      </w:r>
      <w:r>
        <w:t xml:space="preserve"> days (state formula) and complaint investigations in 1</w:t>
      </w:r>
      <w:r w:rsidR="000F38C6">
        <w:t>8.43</w:t>
      </w:r>
      <w:r>
        <w:t xml:space="preserve"> days (state formula). For SAMM 1a, the FRL is 7, which is the average number of days to initiate complaint inspections, and for SAMM 2a, the FRL is 5, which is the average number of days to initiate complaint investigations. SC OSHA was outside of the FRLs in SAMM 1a and SAMM 2a. </w:t>
      </w:r>
    </w:p>
    <w:p w14:paraId="7A06118D" w14:textId="77777777" w:rsidR="001D10A9" w:rsidRDefault="001D10A9" w:rsidP="00E57499">
      <w:pPr>
        <w:widowControl/>
        <w:autoSpaceDE/>
        <w:adjustRightInd/>
      </w:pPr>
    </w:p>
    <w:p w14:paraId="3EC016F0" w14:textId="576129F7" w:rsidR="007E3D81" w:rsidRDefault="007E3D81" w:rsidP="00E57499">
      <w:pPr>
        <w:widowControl/>
        <w:autoSpaceDE/>
        <w:adjustRightInd/>
      </w:pPr>
      <w:r w:rsidRPr="000F38C6">
        <w:rPr>
          <w:b/>
          <w:bCs/>
        </w:rPr>
        <w:t>Explanation:</w:t>
      </w:r>
      <w:r>
        <w:t xml:space="preserve"> SC OSHA was outside of the </w:t>
      </w:r>
      <w:r w:rsidR="0031748C">
        <w:t>S</w:t>
      </w:r>
      <w:r>
        <w:t xml:space="preserve">tate formula’s FRL for inspections (7 days) and investigations (5 days) but below the federal formula for investigations. SAMM 1a and 2a calculate the number of days between complaint receipt date and the first action. Under this formula, longer response times may be caused by incomplete complaints. SAMM 1b is for informational purposes only, and is not a mandated measure, but it calculates the number of days between the date the office deems the complaint to be valid (having all information needed to initiate a complaint inspection) and the first action date. Under SAMM 1b, SC OSHA had an average of </w:t>
      </w:r>
      <w:r w:rsidR="00086882">
        <w:t>6.91</w:t>
      </w:r>
      <w:r>
        <w:t xml:space="preserve"> days for complaint inspections, and for SAMM 2b, SC OSHA had </w:t>
      </w:r>
      <w:r w:rsidR="00086882">
        <w:t>2.38</w:t>
      </w:r>
      <w:r>
        <w:t xml:space="preserve"> days for complaint investigations. Due to the circumstances surrounding </w:t>
      </w:r>
      <w:r w:rsidR="00A5138D">
        <w:t>increased number of COVID complaints</w:t>
      </w:r>
      <w:r>
        <w:t xml:space="preserve">, coupled with the review of federal formula calculations resulting in more accurate and representative State Plan data, </w:t>
      </w:r>
      <w:r w:rsidR="00A5138D">
        <w:t>t</w:t>
      </w:r>
      <w:r>
        <w:t>hese results do not rise to the level of an observation, and these performance measures will continue to be discussed at quarterly meetings.</w:t>
      </w:r>
    </w:p>
    <w:p w14:paraId="1A1F9B33" w14:textId="6B0BEBEB" w:rsidR="008129D3" w:rsidRDefault="008129D3" w:rsidP="00E57499">
      <w:pPr>
        <w:widowControl/>
        <w:autoSpaceDE/>
        <w:adjustRightInd/>
      </w:pPr>
    </w:p>
    <w:p w14:paraId="4DF6C1D3" w14:textId="1FD9D55E" w:rsidR="008129D3" w:rsidRDefault="008129D3" w:rsidP="00E57499">
      <w:pPr>
        <w:widowControl/>
        <w:autoSpaceDE/>
        <w:adjustRightInd/>
        <w:rPr>
          <w:rFonts w:asciiTheme="minorHAnsi" w:hAnsiTheme="minorHAnsi" w:cstheme="minorHAnsi"/>
          <w:b/>
          <w:bCs/>
        </w:rPr>
      </w:pPr>
      <w:r w:rsidRPr="00A76FC0">
        <w:rPr>
          <w:b/>
          <w:bCs/>
        </w:rPr>
        <w:t xml:space="preserve">SAMM </w:t>
      </w:r>
      <w:r>
        <w:rPr>
          <w:b/>
          <w:bCs/>
        </w:rPr>
        <w:t>5</w:t>
      </w:r>
      <w:r w:rsidRPr="00A76FC0">
        <w:rPr>
          <w:b/>
          <w:bCs/>
        </w:rPr>
        <w:t xml:space="preserve"> – </w:t>
      </w:r>
      <w:r w:rsidR="00DD229F" w:rsidRPr="00DD229F">
        <w:rPr>
          <w:rFonts w:asciiTheme="minorHAnsi" w:hAnsiTheme="minorHAnsi" w:cstheme="minorHAnsi"/>
          <w:b/>
          <w:bCs/>
        </w:rPr>
        <w:t xml:space="preserve">Average number of violations per inspection with violations by violation type </w:t>
      </w:r>
    </w:p>
    <w:p w14:paraId="2FCAD1DF" w14:textId="1847F093" w:rsidR="00925A66" w:rsidRDefault="008C152A" w:rsidP="00E57499">
      <w:pPr>
        <w:widowControl/>
        <w:autoSpaceDE/>
        <w:adjustRightInd/>
      </w:pPr>
      <w:r w:rsidRPr="008C152A">
        <w:rPr>
          <w:b/>
          <w:bCs/>
        </w:rPr>
        <w:t>Discussion of State Plan Data and FRL:</w:t>
      </w:r>
      <w:r>
        <w:t xml:space="preserve"> The FRL is based on a three-year national average. </w:t>
      </w:r>
      <w:r w:rsidR="00925A66">
        <w:t>SC OSHA’s</w:t>
      </w:r>
      <w:r>
        <w:t xml:space="preserve"> FY 202</w:t>
      </w:r>
      <w:r w:rsidR="00925A66">
        <w:t>2</w:t>
      </w:r>
      <w:r>
        <w:t xml:space="preserve"> average </w:t>
      </w:r>
      <w:r w:rsidR="0065519B">
        <w:t xml:space="preserve">number of violations by violation type </w:t>
      </w:r>
      <w:r>
        <w:t xml:space="preserve">of </w:t>
      </w:r>
      <w:r w:rsidR="005A5EDE">
        <w:t>2.12</w:t>
      </w:r>
      <w:r>
        <w:t xml:space="preserve"> was within the FRL range of 1.42 to 2.1</w:t>
      </w:r>
      <w:r w:rsidR="005A5EDE">
        <w:t>2</w:t>
      </w:r>
      <w:r>
        <w:t xml:space="preserve"> for serious, willful, repeat, or unclassified (SWRU) violations. For other-than-serious (OTS) violations, the State Plan’s average of 0.</w:t>
      </w:r>
      <w:r w:rsidR="00C35219">
        <w:t>43</w:t>
      </w:r>
      <w:r>
        <w:t xml:space="preserve"> was outside (below) </w:t>
      </w:r>
      <w:r w:rsidR="00575AC0">
        <w:t xml:space="preserve">of </w:t>
      </w:r>
      <w:r>
        <w:t>the FRL range of 0.7</w:t>
      </w:r>
      <w:r w:rsidR="00C35219">
        <w:t>2</w:t>
      </w:r>
      <w:r>
        <w:t xml:space="preserve"> to 1.0</w:t>
      </w:r>
      <w:r w:rsidR="00C35219">
        <w:t>9</w:t>
      </w:r>
      <w:r>
        <w:t xml:space="preserve">. </w:t>
      </w:r>
    </w:p>
    <w:p w14:paraId="1AE4E9AF" w14:textId="77777777" w:rsidR="001D10A9" w:rsidRDefault="001D10A9" w:rsidP="00E57499">
      <w:pPr>
        <w:widowControl/>
        <w:autoSpaceDE/>
        <w:adjustRightInd/>
      </w:pPr>
    </w:p>
    <w:p w14:paraId="1496E1BF" w14:textId="1DFB848F" w:rsidR="00BC37FD" w:rsidRDefault="008C152A" w:rsidP="00E57499">
      <w:pPr>
        <w:widowControl/>
        <w:autoSpaceDE/>
        <w:adjustRightInd/>
      </w:pPr>
      <w:r w:rsidRPr="00925A66">
        <w:rPr>
          <w:b/>
          <w:bCs/>
        </w:rPr>
        <w:lastRenderedPageBreak/>
        <w:t>Explanation:</w:t>
      </w:r>
      <w:r>
        <w:t xml:space="preserve"> OSHA would be concerned</w:t>
      </w:r>
      <w:r w:rsidR="00575AC0">
        <w:t>,</w:t>
      </w:r>
      <w:r>
        <w:t xml:space="preserve"> if the State Plan had a high average for OTS violations and a correspondingly low average for SWRU violations; this could indicate that the State Plan was not targeting high-hazard employers and/or tended to classify some serious violations as OTS violations</w:t>
      </w:r>
      <w:r w:rsidR="00C35219">
        <w:t xml:space="preserve">.  </w:t>
      </w:r>
      <w:r w:rsidR="008008A1">
        <w:t>Currently</w:t>
      </w:r>
      <w:r>
        <w:t xml:space="preserve">, OSHA is not concerned that </w:t>
      </w:r>
      <w:r w:rsidR="00C35219">
        <w:t>SC OSHA</w:t>
      </w:r>
      <w:r>
        <w:t xml:space="preserve">’s result for OTS violations was </w:t>
      </w:r>
      <w:r w:rsidR="008008A1">
        <w:t xml:space="preserve">slightly </w:t>
      </w:r>
      <w:r>
        <w:t>below the FRL range.</w:t>
      </w:r>
    </w:p>
    <w:p w14:paraId="3266F7AE" w14:textId="3338A50E" w:rsidR="00A76FC0" w:rsidRDefault="00A76FC0" w:rsidP="00E57499">
      <w:pPr>
        <w:widowControl/>
        <w:autoSpaceDE/>
        <w:adjustRightInd/>
      </w:pPr>
    </w:p>
    <w:p w14:paraId="46C67DCA" w14:textId="77777777" w:rsidR="00A76FC0" w:rsidRDefault="00A76FC0" w:rsidP="00E57499">
      <w:pPr>
        <w:widowControl/>
        <w:autoSpaceDE/>
        <w:adjustRightInd/>
      </w:pPr>
      <w:r w:rsidRPr="00A76FC0">
        <w:rPr>
          <w:b/>
          <w:bCs/>
        </w:rPr>
        <w:t xml:space="preserve">SAMM 6 – Percent of inspections in state and local government workplaces </w:t>
      </w:r>
    </w:p>
    <w:p w14:paraId="766AB145" w14:textId="6C9DC5BF" w:rsidR="006E54EE" w:rsidRDefault="00A76FC0" w:rsidP="00E57499">
      <w:pPr>
        <w:widowControl/>
        <w:autoSpaceDE/>
        <w:adjustRightInd/>
      </w:pPr>
      <w:r w:rsidRPr="00A76FC0">
        <w:rPr>
          <w:b/>
          <w:bCs/>
        </w:rPr>
        <w:t>Discussion of State Plan data and FRL:</w:t>
      </w:r>
      <w:r>
        <w:t xml:space="preserve"> The FRL was +/-5% of the negotiated level of </w:t>
      </w:r>
      <w:r w:rsidR="006E54EE">
        <w:t>3.95</w:t>
      </w:r>
      <w:r>
        <w:t>%.</w:t>
      </w:r>
      <w:r w:rsidR="006E54EE">
        <w:t xml:space="preserve"> </w:t>
      </w:r>
      <w:r>
        <w:t xml:space="preserve"> The range of acceptable data not requiring further review was 3.</w:t>
      </w:r>
      <w:r w:rsidR="004329A8">
        <w:t>75</w:t>
      </w:r>
      <w:r>
        <w:t>% to 4.</w:t>
      </w:r>
      <w:r w:rsidR="004329A8">
        <w:t>14</w:t>
      </w:r>
      <w:r>
        <w:t>%. SC OSHA conducted 3.</w:t>
      </w:r>
      <w:r w:rsidR="004329A8">
        <w:t>1</w:t>
      </w:r>
      <w:r>
        <w:t xml:space="preserve">4% of its total inspections in </w:t>
      </w:r>
      <w:r w:rsidR="00737561">
        <w:t>s</w:t>
      </w:r>
      <w:r>
        <w:t>tate and local government workplaces</w:t>
      </w:r>
      <w:r w:rsidR="00840114">
        <w:t>, which was slightly below the FRL</w:t>
      </w:r>
      <w:r>
        <w:t xml:space="preserve">. </w:t>
      </w:r>
    </w:p>
    <w:p w14:paraId="7BB81217" w14:textId="77777777" w:rsidR="001D10A9" w:rsidRDefault="001D10A9" w:rsidP="00E57499">
      <w:pPr>
        <w:widowControl/>
        <w:autoSpaceDE/>
        <w:adjustRightInd/>
      </w:pPr>
    </w:p>
    <w:p w14:paraId="1F20D192" w14:textId="3986D81F" w:rsidR="00A76FC0" w:rsidRDefault="00A76FC0" w:rsidP="00E57499">
      <w:pPr>
        <w:widowControl/>
        <w:autoSpaceDE/>
        <w:adjustRightInd/>
      </w:pPr>
      <w:r w:rsidRPr="4EA60749">
        <w:rPr>
          <w:b/>
          <w:bCs/>
        </w:rPr>
        <w:t>Explanation:</w:t>
      </w:r>
      <w:r>
        <w:t xml:space="preserve"> </w:t>
      </w:r>
      <w:r w:rsidR="004A42D1">
        <w:t>Although this issue does not yet rise to the level of an observation</w:t>
      </w:r>
      <w:r w:rsidR="00737561">
        <w:t>,</w:t>
      </w:r>
      <w:r w:rsidR="004A42D1">
        <w:t xml:space="preserve"> Federal</w:t>
      </w:r>
      <w:r w:rsidR="006F1D5E">
        <w:t xml:space="preserve"> OSHA will continue to review </w:t>
      </w:r>
      <w:r w:rsidR="00575AC0">
        <w:t xml:space="preserve">state and local government </w:t>
      </w:r>
      <w:r w:rsidR="006F1D5E">
        <w:t>sector inspections during quarterly meetings.</w:t>
      </w:r>
    </w:p>
    <w:p w14:paraId="15A23F12" w14:textId="0C5A4293" w:rsidR="001E0B4D" w:rsidRDefault="001E0B4D" w:rsidP="00E57499">
      <w:pPr>
        <w:widowControl/>
        <w:autoSpaceDE/>
        <w:adjustRightInd/>
      </w:pPr>
    </w:p>
    <w:p w14:paraId="5C26AA17" w14:textId="77777777" w:rsidR="001E0B4D" w:rsidRDefault="001E0B4D" w:rsidP="00E57499">
      <w:pPr>
        <w:widowControl/>
        <w:autoSpaceDE/>
        <w:adjustRightInd/>
      </w:pPr>
      <w:r w:rsidRPr="001E0B4D">
        <w:rPr>
          <w:b/>
          <w:bCs/>
        </w:rPr>
        <w:t>SAMM 7 – Planned v. Actual Inspections – Safety/Health</w:t>
      </w:r>
    </w:p>
    <w:p w14:paraId="3329365F" w14:textId="5360CF7F" w:rsidR="001E0B4D" w:rsidRDefault="001E0B4D" w:rsidP="00E57499">
      <w:pPr>
        <w:widowControl/>
        <w:autoSpaceDE/>
        <w:adjustRightInd/>
      </w:pPr>
      <w:r w:rsidRPr="001E0B4D">
        <w:rPr>
          <w:b/>
          <w:bCs/>
        </w:rPr>
        <w:t>Discussion of State Plan Data and FRL:</w:t>
      </w:r>
      <w:r>
        <w:t xml:space="preserve"> SC OSHA conducted </w:t>
      </w:r>
      <w:r w:rsidR="00960F47">
        <w:t>70</w:t>
      </w:r>
      <w:r>
        <w:t>% of the planned safety inspections (</w:t>
      </w:r>
      <w:r w:rsidR="00960F47">
        <w:t>210</w:t>
      </w:r>
      <w:r>
        <w:t xml:space="preserve"> of </w:t>
      </w:r>
      <w:r w:rsidR="00960F47">
        <w:t>300</w:t>
      </w:r>
      <w:r>
        <w:t xml:space="preserve">) and </w:t>
      </w:r>
      <w:r w:rsidR="00960F47">
        <w:t>96</w:t>
      </w:r>
      <w:r>
        <w:t>% of health inspections (</w:t>
      </w:r>
      <w:r w:rsidR="00960F47">
        <w:t>77</w:t>
      </w:r>
      <w:r>
        <w:t xml:space="preserve"> of 8</w:t>
      </w:r>
      <w:r w:rsidR="00960F47">
        <w:t>0</w:t>
      </w:r>
      <w:r>
        <w:t xml:space="preserve">). Turnover rate and the loss of experienced CSHOs continue to contribute to the lower number of planned inspections. </w:t>
      </w:r>
    </w:p>
    <w:p w14:paraId="44051A12" w14:textId="77777777" w:rsidR="001D10A9" w:rsidRDefault="001D10A9" w:rsidP="00E57499">
      <w:pPr>
        <w:widowControl/>
        <w:autoSpaceDE/>
        <w:adjustRightInd/>
      </w:pPr>
    </w:p>
    <w:p w14:paraId="70970A69" w14:textId="051DF335" w:rsidR="00CC16C1" w:rsidRPr="002B780F" w:rsidRDefault="001E0B4D" w:rsidP="00E57499">
      <w:r w:rsidRPr="001E0B4D">
        <w:rPr>
          <w:b/>
          <w:bCs/>
        </w:rPr>
        <w:t>Explanation:</w:t>
      </w:r>
      <w:r w:rsidR="00793EE6" w:rsidRPr="00793EE6">
        <w:t xml:space="preserve"> </w:t>
      </w:r>
      <w:r w:rsidR="00793EE6">
        <w:t xml:space="preserve">During FY 2022, SC OSHA made a concerted effort to fill staff vacancies and provide newly hired staff with training needed to conduct inspections. </w:t>
      </w:r>
      <w:r w:rsidR="00251BE5">
        <w:t>SC OSHA</w:t>
      </w:r>
      <w:r w:rsidR="00793EE6">
        <w:t xml:space="preserve"> expected low</w:t>
      </w:r>
      <w:r w:rsidR="00251BE5">
        <w:t>er</w:t>
      </w:r>
      <w:r w:rsidR="00793EE6">
        <w:t xml:space="preserve"> numbers for inspections during FY 202</w:t>
      </w:r>
      <w:r w:rsidR="00251BE5">
        <w:t>2</w:t>
      </w:r>
      <w:r w:rsidR="00737561">
        <w:t>,</w:t>
      </w:r>
      <w:r w:rsidR="00760A5D">
        <w:t xml:space="preserve"> due to newly hired staff</w:t>
      </w:r>
      <w:r w:rsidR="003F19F7">
        <w:t xml:space="preserve">.  </w:t>
      </w:r>
      <w:r w:rsidR="00CC16C1" w:rsidRPr="002B780F">
        <w:t xml:space="preserve">SC OSHA has been aggressive to fill all vacant positions within </w:t>
      </w:r>
      <w:r w:rsidR="00737561">
        <w:t>c</w:t>
      </w:r>
      <w:r w:rsidR="00CC16C1" w:rsidRPr="002B780F">
        <w:t>ompliance</w:t>
      </w:r>
      <w:r w:rsidR="0052272E" w:rsidRPr="002B780F">
        <w:t>.</w:t>
      </w:r>
      <w:r w:rsidR="0052272E">
        <w:t xml:space="preserve"> </w:t>
      </w:r>
      <w:r w:rsidR="00CC16C1" w:rsidRPr="002B780F">
        <w:t xml:space="preserve">SC OSHA closed the fiscal year with </w:t>
      </w:r>
      <w:r w:rsidR="00F73C87" w:rsidRPr="002B780F">
        <w:t>twenty</w:t>
      </w:r>
      <w:r w:rsidR="00CC16C1" w:rsidRPr="002B780F">
        <w:t xml:space="preserve"> </w:t>
      </w:r>
      <w:r w:rsidR="00F73C87">
        <w:t xml:space="preserve">(20) </w:t>
      </w:r>
      <w:r w:rsidR="00737561">
        <w:t xml:space="preserve">CSHOs, </w:t>
      </w:r>
      <w:r w:rsidR="00CC16C1" w:rsidRPr="002B780F">
        <w:t xml:space="preserve">or approximately 75% staffed. SC OSHA expects to be staffed at 85% by the end of the first quarter in </w:t>
      </w:r>
      <w:r w:rsidR="00575AC0">
        <w:t xml:space="preserve">FY </w:t>
      </w:r>
      <w:r w:rsidR="00CC16C1" w:rsidRPr="002B780F">
        <w:t>2023.</w:t>
      </w:r>
    </w:p>
    <w:p w14:paraId="7B430CFA" w14:textId="6D776457" w:rsidR="009A3490" w:rsidRDefault="009A3490" w:rsidP="00E57499">
      <w:pPr>
        <w:widowControl/>
        <w:autoSpaceDE/>
        <w:adjustRightInd/>
      </w:pPr>
    </w:p>
    <w:p w14:paraId="513B0565" w14:textId="77777777" w:rsidR="009A3490" w:rsidRDefault="009A3490" w:rsidP="00E57499">
      <w:pPr>
        <w:widowControl/>
        <w:autoSpaceDE/>
        <w:adjustRightInd/>
      </w:pPr>
      <w:r w:rsidRPr="009A3490">
        <w:rPr>
          <w:b/>
          <w:bCs/>
        </w:rPr>
        <w:t>SAMM 8 – Average current serious penalty in private sector - total (1 to greater than 250 workers)</w:t>
      </w:r>
      <w:r>
        <w:t xml:space="preserve"> </w:t>
      </w:r>
    </w:p>
    <w:p w14:paraId="6612E3DF" w14:textId="40C23F2A" w:rsidR="009A3490" w:rsidRDefault="009A3490" w:rsidP="00E57499">
      <w:pPr>
        <w:widowControl/>
        <w:autoSpaceDE/>
        <w:adjustRightInd/>
      </w:pPr>
      <w:r w:rsidRPr="009A3490">
        <w:rPr>
          <w:b/>
          <w:bCs/>
        </w:rPr>
        <w:t xml:space="preserve">Discussion of State Plan data and FRL: </w:t>
      </w:r>
      <w:r>
        <w:t xml:space="preserve">The FRL for SAMM 8, total average current penalty per serious violation (1 to greater than 250 employees) </w:t>
      </w:r>
      <w:r w:rsidR="00575AC0">
        <w:t xml:space="preserve">was </w:t>
      </w:r>
      <w:r>
        <w:t>+/- 25% of the three-year national average of $</w:t>
      </w:r>
      <w:r w:rsidR="00CF599A">
        <w:t>3,259.35</w:t>
      </w:r>
      <w:r>
        <w:t>, which equals a range of $2,</w:t>
      </w:r>
      <w:r w:rsidR="00CF599A">
        <w:t>444.51</w:t>
      </w:r>
      <w:r>
        <w:t xml:space="preserve"> to $</w:t>
      </w:r>
      <w:r w:rsidR="00CF599A">
        <w:t>4,074.19</w:t>
      </w:r>
      <w:r>
        <w:t xml:space="preserve">. The South Carolina State Plan’s total average current penalty per serious violation (1 to greater than 250 employees) </w:t>
      </w:r>
      <w:r w:rsidR="00575AC0">
        <w:t>was</w:t>
      </w:r>
      <w:r>
        <w:t xml:space="preserve"> $</w:t>
      </w:r>
      <w:r w:rsidR="00CF599A">
        <w:t>2,018.68</w:t>
      </w:r>
      <w:r>
        <w:t xml:space="preserve">, which is lower than the FRL. </w:t>
      </w:r>
    </w:p>
    <w:p w14:paraId="76FE11AD" w14:textId="77777777" w:rsidR="001D10A9" w:rsidRDefault="001D10A9" w:rsidP="00E57499">
      <w:pPr>
        <w:widowControl/>
        <w:autoSpaceDE/>
        <w:adjustRightInd/>
      </w:pPr>
    </w:p>
    <w:p w14:paraId="352023D8" w14:textId="3E9EDEEC" w:rsidR="009A3490" w:rsidRDefault="009A3490" w:rsidP="00E57499">
      <w:pPr>
        <w:widowControl/>
        <w:autoSpaceDE/>
        <w:adjustRightInd/>
        <w:rPr>
          <w:rFonts w:cs="Calibri"/>
          <w:b/>
        </w:rPr>
      </w:pPr>
      <w:r w:rsidRPr="009A3490">
        <w:rPr>
          <w:b/>
          <w:bCs/>
        </w:rPr>
        <w:t>Explanation:</w:t>
      </w:r>
      <w:r>
        <w:t xml:space="preserve"> SC OSHA is below the FRL on average current serious penalties per violation. </w:t>
      </w:r>
      <w:r w:rsidR="004248F3">
        <w:t xml:space="preserve">Please refer to Finding FY 2022-02.  This </w:t>
      </w:r>
      <w:r w:rsidR="0052272E">
        <w:t xml:space="preserve">finding </w:t>
      </w:r>
      <w:r w:rsidR="004248F3">
        <w:t>remains open.</w:t>
      </w:r>
    </w:p>
    <w:p w14:paraId="26821B17" w14:textId="77777777" w:rsidR="007E3D81" w:rsidRDefault="007E3D81" w:rsidP="00E57499">
      <w:pPr>
        <w:widowControl/>
        <w:autoSpaceDE/>
        <w:adjustRightInd/>
        <w:rPr>
          <w:rFonts w:cs="Calibri"/>
          <w:b/>
        </w:rPr>
      </w:pPr>
    </w:p>
    <w:p w14:paraId="4D29ADBE" w14:textId="77777777" w:rsidR="007434D3" w:rsidRDefault="007434D3" w:rsidP="00E57499">
      <w:pPr>
        <w:widowControl/>
        <w:autoSpaceDE/>
        <w:autoSpaceDN/>
        <w:adjustRightInd/>
        <w:rPr>
          <w:b/>
          <w:bCs/>
        </w:rPr>
      </w:pPr>
    </w:p>
    <w:p w14:paraId="5BF2E335" w14:textId="75DA277C" w:rsidR="00BF5B48" w:rsidRDefault="00BF5B48" w:rsidP="00E57499">
      <w:pPr>
        <w:widowControl/>
        <w:autoSpaceDE/>
        <w:autoSpaceDN/>
        <w:adjustRightInd/>
        <w:rPr>
          <w:b/>
          <w:bCs/>
        </w:rPr>
      </w:pPr>
      <w:r w:rsidRPr="00BF5B48">
        <w:rPr>
          <w:b/>
          <w:bCs/>
        </w:rPr>
        <w:t xml:space="preserve">SAMM 9 – Percent in-compliance for health inspections </w:t>
      </w:r>
    </w:p>
    <w:p w14:paraId="5A1306EA" w14:textId="53D63824" w:rsidR="001E2906" w:rsidRDefault="00BF5B48" w:rsidP="00E57499">
      <w:pPr>
        <w:widowControl/>
        <w:autoSpaceDE/>
        <w:autoSpaceDN/>
        <w:adjustRightInd/>
      </w:pPr>
      <w:r w:rsidRPr="00BF5B48">
        <w:rPr>
          <w:b/>
          <w:bCs/>
        </w:rPr>
        <w:t>Discussion of State Plan data and FRL:</w:t>
      </w:r>
      <w:r>
        <w:t xml:space="preserve"> The FRL was +/-20% of the three-year national average of </w:t>
      </w:r>
      <w:r w:rsidR="001E2906">
        <w:t>44.42</w:t>
      </w:r>
      <w:r>
        <w:t xml:space="preserve">% for health inspections. The range of acceptable data not requiring further review was from </w:t>
      </w:r>
      <w:r w:rsidR="001E2906">
        <w:t>35.54</w:t>
      </w:r>
      <w:r>
        <w:t xml:space="preserve">% to </w:t>
      </w:r>
      <w:r w:rsidR="001E2906">
        <w:t>53.3</w:t>
      </w:r>
      <w:r>
        <w:t xml:space="preserve">% for health. SC OSHA had a health in-compliance rate of </w:t>
      </w:r>
      <w:r w:rsidR="001E2906">
        <w:t>67.21</w:t>
      </w:r>
      <w:r>
        <w:t>%.</w:t>
      </w:r>
    </w:p>
    <w:p w14:paraId="5C34AD05" w14:textId="77777777" w:rsidR="001D10A9" w:rsidRDefault="001D10A9" w:rsidP="00E57499">
      <w:pPr>
        <w:widowControl/>
        <w:autoSpaceDE/>
        <w:autoSpaceDN/>
        <w:adjustRightInd/>
      </w:pPr>
    </w:p>
    <w:p w14:paraId="40A636AD" w14:textId="629D30EE" w:rsidR="000A134A" w:rsidRDefault="00BF5B48" w:rsidP="00E57499">
      <w:pPr>
        <w:widowControl/>
        <w:autoSpaceDE/>
        <w:autoSpaceDN/>
        <w:adjustRightInd/>
      </w:pPr>
      <w:r w:rsidRPr="00BF5B48">
        <w:rPr>
          <w:b/>
          <w:bCs/>
        </w:rPr>
        <w:lastRenderedPageBreak/>
        <w:t>Explanation:</w:t>
      </w:r>
      <w:r>
        <w:t xml:space="preserve"> SC OSHA exceeded the standard set by the FRL for safety, which indicates that the State Plan was better than average but was outside the FRL </w:t>
      </w:r>
      <w:r w:rsidR="00575AC0">
        <w:t xml:space="preserve">range </w:t>
      </w:r>
      <w:r>
        <w:t>for health. See Finding FY 2022-01</w:t>
      </w:r>
      <w:r w:rsidR="00F73C87">
        <w:t xml:space="preserve">. </w:t>
      </w:r>
      <w:r w:rsidR="00131F65">
        <w:t>This</w:t>
      </w:r>
      <w:r w:rsidR="0052272E">
        <w:t xml:space="preserve"> finding</w:t>
      </w:r>
      <w:r w:rsidR="00131F65">
        <w:t xml:space="preserve"> remains open.</w:t>
      </w:r>
    </w:p>
    <w:p w14:paraId="19C8545A" w14:textId="77777777" w:rsidR="00EE21E5" w:rsidRDefault="00EE21E5" w:rsidP="00E57499">
      <w:pPr>
        <w:widowControl/>
        <w:autoSpaceDE/>
        <w:autoSpaceDN/>
        <w:adjustRightInd/>
      </w:pPr>
    </w:p>
    <w:p w14:paraId="62D238F2" w14:textId="77777777" w:rsidR="003801F7" w:rsidRDefault="00EE21E5" w:rsidP="00E57499">
      <w:pPr>
        <w:widowControl/>
        <w:autoSpaceDE/>
        <w:autoSpaceDN/>
        <w:adjustRightInd/>
      </w:pPr>
      <w:r w:rsidRPr="21399711">
        <w:rPr>
          <w:b/>
          <w:bCs/>
        </w:rPr>
        <w:t>SAMM 11 – Average lapse time</w:t>
      </w:r>
      <w:r>
        <w:t xml:space="preserve"> </w:t>
      </w:r>
    </w:p>
    <w:p w14:paraId="59985491" w14:textId="689AE280" w:rsidR="003801F7" w:rsidRDefault="00EE21E5" w:rsidP="00E57499">
      <w:pPr>
        <w:widowControl/>
        <w:autoSpaceDE/>
        <w:autoSpaceDN/>
        <w:adjustRightInd/>
      </w:pPr>
      <w:r w:rsidRPr="21399711">
        <w:rPr>
          <w:b/>
          <w:bCs/>
        </w:rPr>
        <w:t>Discussion of State Plan Data and FRL:</w:t>
      </w:r>
      <w:r>
        <w:t xml:space="preserve"> The FRL for the average lapse time is +/-20% of </w:t>
      </w:r>
      <w:r w:rsidR="003D57B9">
        <w:t>54.58</w:t>
      </w:r>
      <w:r>
        <w:t xml:space="preserve"> days for safety inspections and +/-20% of 6</w:t>
      </w:r>
      <w:r w:rsidR="00D03599">
        <w:t>9.03</w:t>
      </w:r>
      <w:r>
        <w:t xml:space="preserve"> days for health inspections. SC OSHA initiated and completed safety inspections within an average of </w:t>
      </w:r>
      <w:r w:rsidR="003D57B9">
        <w:t>66.95</w:t>
      </w:r>
      <w:r>
        <w:t xml:space="preserve"> days, which was outside the FRL range o</w:t>
      </w:r>
      <w:r w:rsidR="003D57B9">
        <w:t>f 43.66</w:t>
      </w:r>
      <w:r>
        <w:t xml:space="preserve"> to </w:t>
      </w:r>
      <w:r w:rsidR="003D57B9">
        <w:t>65.50</w:t>
      </w:r>
      <w:r>
        <w:t>. SC OSHA initiated and completed health inspections within an average of 8</w:t>
      </w:r>
      <w:r w:rsidR="003D57B9">
        <w:t xml:space="preserve">7.04 </w:t>
      </w:r>
      <w:r>
        <w:t xml:space="preserve">days, which was outside the FRL range of </w:t>
      </w:r>
      <w:r w:rsidR="003D57B9">
        <w:t>55.22</w:t>
      </w:r>
      <w:r>
        <w:t xml:space="preserve"> to </w:t>
      </w:r>
      <w:r w:rsidR="003D57B9">
        <w:t>82.84</w:t>
      </w:r>
      <w:r>
        <w:t xml:space="preserve"> days. </w:t>
      </w:r>
    </w:p>
    <w:p w14:paraId="18F02BC8" w14:textId="77777777" w:rsidR="001D10A9" w:rsidRDefault="001D10A9" w:rsidP="00E57499">
      <w:pPr>
        <w:widowControl/>
        <w:autoSpaceDE/>
        <w:autoSpaceDN/>
        <w:adjustRightInd/>
      </w:pPr>
    </w:p>
    <w:p w14:paraId="4DD4CBB7" w14:textId="1ED8E64E" w:rsidR="00EE21E5" w:rsidRPr="001C1E47" w:rsidRDefault="00EE21E5" w:rsidP="00E57499">
      <w:pPr>
        <w:widowControl/>
        <w:autoSpaceDE/>
        <w:autoSpaceDN/>
        <w:adjustRightInd/>
        <w:rPr>
          <w:rFonts w:cs="Calibri"/>
        </w:rPr>
        <w:sectPr w:rsidR="00EE21E5" w:rsidRPr="001C1E47" w:rsidSect="00783189">
          <w:footerReference w:type="default" r:id="rId11"/>
          <w:footerReference w:type="first" r:id="rId12"/>
          <w:pgSz w:w="12240" w:h="15840"/>
          <w:pgMar w:top="1440" w:right="1260" w:bottom="1260" w:left="1440" w:header="720" w:footer="526" w:gutter="0"/>
          <w:pgNumType w:start="1"/>
          <w:cols w:space="720"/>
          <w:titlePg/>
          <w:docGrid w:linePitch="360"/>
        </w:sectPr>
      </w:pPr>
      <w:r w:rsidRPr="003801F7">
        <w:rPr>
          <w:b/>
          <w:bCs/>
        </w:rPr>
        <w:t>Explanation:</w:t>
      </w:r>
      <w:r>
        <w:t xml:space="preserve"> </w:t>
      </w:r>
      <w:r w:rsidR="00F641CA">
        <w:t>SC OSHA has engaged in a</w:t>
      </w:r>
      <w:r w:rsidR="007060AF">
        <w:t>n aggressive</w:t>
      </w:r>
      <w:r w:rsidR="00F641CA">
        <w:t xml:space="preserve"> hiring process to fill vacancies that will ease the workload, improve the review process, and increase case file </w:t>
      </w:r>
      <w:r w:rsidR="00A32D58">
        <w:t>management</w:t>
      </w:r>
      <w:r w:rsidR="00F73C87">
        <w:t xml:space="preserve">. </w:t>
      </w:r>
      <w:r w:rsidR="00D03599">
        <w:t xml:space="preserve">Safety inspections were 1.45 days outside the FRL, and </w:t>
      </w:r>
      <w:r w:rsidR="00737561">
        <w:t>h</w:t>
      </w:r>
      <w:r w:rsidR="00D03599">
        <w:t xml:space="preserve">ealth inspections were 4.2 days outside of the </w:t>
      </w:r>
      <w:r w:rsidR="0052272E">
        <w:t xml:space="preserve">FRL. </w:t>
      </w:r>
      <w:r w:rsidR="007060AF">
        <w:t>This issue will be a focus of next year’s on-site case file review</w:t>
      </w:r>
      <w:r w:rsidR="001A4389">
        <w:t>,</w:t>
      </w:r>
      <w:r w:rsidR="007060AF">
        <w:t xml:space="preserve"> during the FY 2023 Comprehensive FAME.  </w:t>
      </w:r>
    </w:p>
    <w:p w14:paraId="516D3ECD" w14:textId="77777777" w:rsidR="00B6741C" w:rsidRPr="0002572C" w:rsidRDefault="00B6741C" w:rsidP="000F63C1">
      <w:pPr>
        <w:pStyle w:val="Heading3"/>
        <w:numPr>
          <w:ilvl w:val="0"/>
          <w:numId w:val="0"/>
        </w:numPr>
      </w:pPr>
      <w:bookmarkStart w:id="28" w:name="_Toc118905017"/>
      <w:bookmarkStart w:id="29" w:name="_Toc119418669"/>
      <w:r w:rsidRPr="0002572C">
        <w:lastRenderedPageBreak/>
        <w:t>Appendix A – New and Continued Findings and Recommendations</w:t>
      </w:r>
      <w:bookmarkEnd w:id="28"/>
      <w:bookmarkEnd w:id="29"/>
    </w:p>
    <w:p w14:paraId="670F195C" w14:textId="47D4FB21" w:rsidR="00B6741C" w:rsidRPr="009A19D0" w:rsidRDefault="00B6741C" w:rsidP="00B6741C">
      <w:r w:rsidRPr="009A19D0">
        <w:t xml:space="preserve">FY 2022 </w:t>
      </w:r>
      <w:r w:rsidR="009A19D0" w:rsidRPr="009A19D0">
        <w:t>South Carolina</w:t>
      </w:r>
      <w:r w:rsidRPr="009A19D0">
        <w:t xml:space="preserve"> 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135"/>
        <w:gridCol w:w="5405"/>
        <w:gridCol w:w="1890"/>
      </w:tblGrid>
      <w:tr w:rsidR="00185C7D" w:rsidRPr="001C1E47" w14:paraId="0F6BB42C" w14:textId="77777777" w:rsidTr="00FE4AE9">
        <w:trPr>
          <w:trHeight w:val="350"/>
        </w:trPr>
        <w:tc>
          <w:tcPr>
            <w:tcW w:w="1440" w:type="dxa"/>
          </w:tcPr>
          <w:p w14:paraId="1F333F67" w14:textId="5D9263EE"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97058D">
              <w:rPr>
                <w:rFonts w:cs="Calibri"/>
                <w:b/>
              </w:rPr>
              <w:t>22</w:t>
            </w:r>
            <w:r w:rsidRPr="001C1E47">
              <w:rPr>
                <w:rFonts w:cs="Calibri"/>
                <w:b/>
              </w:rPr>
              <w:t>-</w:t>
            </w:r>
            <w:r w:rsidR="00BB0343" w:rsidRPr="001C1E47">
              <w:rPr>
                <w:rFonts w:cs="Calibri"/>
                <w:b/>
              </w:rPr>
              <w:t>#</w:t>
            </w:r>
          </w:p>
        </w:tc>
        <w:tc>
          <w:tcPr>
            <w:tcW w:w="4135"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5405"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77777777"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Pr="001C1E47">
              <w:rPr>
                <w:rFonts w:cs="Calibri"/>
                <w:b/>
              </w:rPr>
              <w:t xml:space="preserve">XX-# or </w:t>
            </w:r>
          </w:p>
          <w:p w14:paraId="3C61CFBF" w14:textId="77777777" w:rsidR="000A134A"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Pr="001C1E47">
              <w:rPr>
                <w:rFonts w:cs="Calibri"/>
                <w:b/>
              </w:rPr>
              <w:t>XX-OB-#</w:t>
            </w:r>
          </w:p>
        </w:tc>
      </w:tr>
      <w:tr w:rsidR="000A134A" w:rsidRPr="001C1E47" w14:paraId="5368CE16" w14:textId="77777777" w:rsidTr="00FE4AE9">
        <w:tc>
          <w:tcPr>
            <w:tcW w:w="1440" w:type="dxa"/>
          </w:tcPr>
          <w:p w14:paraId="39F370D3" w14:textId="64293F3C" w:rsidR="000A134A" w:rsidRPr="001C1E47" w:rsidRDefault="00FE4AE9" w:rsidP="00FE4AE9">
            <w:pPr>
              <w:widowControl/>
              <w:autoSpaceDE/>
              <w:autoSpaceDN/>
              <w:adjustRightInd/>
              <w:rPr>
                <w:rFonts w:cs="Calibri"/>
              </w:rPr>
            </w:pPr>
            <w:r>
              <w:t>Finding FY 2022-01</w:t>
            </w:r>
          </w:p>
        </w:tc>
        <w:tc>
          <w:tcPr>
            <w:tcW w:w="4135" w:type="dxa"/>
          </w:tcPr>
          <w:p w14:paraId="6F8F7A1D" w14:textId="1E26125E" w:rsidR="00047F95" w:rsidRPr="00047F95" w:rsidRDefault="00047F95" w:rsidP="00047F95">
            <w:pPr>
              <w:widowControl/>
              <w:autoSpaceDE/>
              <w:autoSpaceDN/>
              <w:adjustRightInd/>
              <w:rPr>
                <w:rFonts w:cs="Calibri"/>
              </w:rPr>
            </w:pPr>
            <w:r w:rsidRPr="00047F95">
              <w:rPr>
                <w:rFonts w:cs="Calibri"/>
              </w:rPr>
              <w:t>The percentage of health</w:t>
            </w:r>
            <w:r w:rsidR="00FE4AE9">
              <w:rPr>
                <w:rFonts w:cs="Calibri"/>
              </w:rPr>
              <w:t xml:space="preserve"> </w:t>
            </w:r>
            <w:r w:rsidRPr="00047F95">
              <w:rPr>
                <w:rFonts w:cs="Calibri"/>
              </w:rPr>
              <w:t>inspections (62.</w:t>
            </w:r>
            <w:r w:rsidR="00535815">
              <w:rPr>
                <w:rFonts w:cs="Calibri"/>
              </w:rPr>
              <w:t>2</w:t>
            </w:r>
            <w:r w:rsidRPr="00047F95">
              <w:rPr>
                <w:rFonts w:cs="Calibri"/>
              </w:rPr>
              <w:t>1%) that</w:t>
            </w:r>
            <w:r w:rsidR="00FE4AE9">
              <w:rPr>
                <w:rFonts w:cs="Calibri"/>
              </w:rPr>
              <w:t xml:space="preserve"> </w:t>
            </w:r>
            <w:r w:rsidRPr="00047F95">
              <w:rPr>
                <w:rFonts w:cs="Calibri"/>
              </w:rPr>
              <w:t>were in-compliance was</w:t>
            </w:r>
          </w:p>
          <w:p w14:paraId="63B7E9FE" w14:textId="7DB3CB64" w:rsidR="00047F95" w:rsidRPr="00047F95" w:rsidRDefault="00047F95" w:rsidP="00047F95">
            <w:pPr>
              <w:widowControl/>
              <w:autoSpaceDE/>
              <w:autoSpaceDN/>
              <w:adjustRightInd/>
              <w:rPr>
                <w:rFonts w:cs="Calibri"/>
              </w:rPr>
            </w:pPr>
            <w:r w:rsidRPr="00047F95">
              <w:rPr>
                <w:rFonts w:cs="Calibri"/>
              </w:rPr>
              <w:t>higher than the FRL of</w:t>
            </w:r>
            <w:r w:rsidR="00FE4AE9">
              <w:rPr>
                <w:rFonts w:cs="Calibri"/>
              </w:rPr>
              <w:t xml:space="preserve"> </w:t>
            </w:r>
            <w:r w:rsidRPr="00047F95">
              <w:rPr>
                <w:rFonts w:cs="Calibri"/>
              </w:rPr>
              <w:t>3</w:t>
            </w:r>
            <w:r w:rsidR="00535815">
              <w:rPr>
                <w:rFonts w:cs="Calibri"/>
              </w:rPr>
              <w:t>5</w:t>
            </w:r>
            <w:r w:rsidRPr="00047F95">
              <w:rPr>
                <w:rFonts w:cs="Calibri"/>
              </w:rPr>
              <w:t>.5</w:t>
            </w:r>
            <w:r w:rsidR="00535815">
              <w:rPr>
                <w:rFonts w:cs="Calibri"/>
              </w:rPr>
              <w:t>4</w:t>
            </w:r>
            <w:r w:rsidRPr="00047F95">
              <w:rPr>
                <w:rFonts w:cs="Calibri"/>
              </w:rPr>
              <w:t xml:space="preserve">% to </w:t>
            </w:r>
            <w:r w:rsidR="00535815">
              <w:rPr>
                <w:rFonts w:cs="Calibri"/>
              </w:rPr>
              <w:t>53.30%</w:t>
            </w:r>
            <w:r w:rsidRPr="00047F95">
              <w:rPr>
                <w:rFonts w:cs="Calibri"/>
              </w:rPr>
              <w:t xml:space="preserve"> for</w:t>
            </w:r>
            <w:r w:rsidR="00535815">
              <w:rPr>
                <w:rFonts w:cs="Calibri"/>
              </w:rPr>
              <w:t xml:space="preserve"> </w:t>
            </w:r>
            <w:r w:rsidRPr="00047F95">
              <w:rPr>
                <w:rFonts w:cs="Calibri"/>
              </w:rPr>
              <w:t>health.</w:t>
            </w:r>
          </w:p>
          <w:p w14:paraId="4B3C1E3A" w14:textId="3E472694" w:rsidR="000A134A" w:rsidRPr="001C1E47" w:rsidRDefault="000A134A" w:rsidP="00047F95">
            <w:pPr>
              <w:widowControl/>
              <w:autoSpaceDE/>
              <w:autoSpaceDN/>
              <w:adjustRightInd/>
              <w:rPr>
                <w:rFonts w:cs="Calibri"/>
              </w:rPr>
            </w:pPr>
          </w:p>
        </w:tc>
        <w:tc>
          <w:tcPr>
            <w:tcW w:w="5405" w:type="dxa"/>
          </w:tcPr>
          <w:p w14:paraId="622998DA" w14:textId="4DF4569A" w:rsidR="00047F95" w:rsidRPr="00047F95" w:rsidRDefault="00047F95" w:rsidP="00047F95">
            <w:pPr>
              <w:widowControl/>
              <w:autoSpaceDE/>
              <w:autoSpaceDN/>
              <w:adjustRightInd/>
              <w:rPr>
                <w:rFonts w:cs="Calibri"/>
              </w:rPr>
            </w:pPr>
            <w:r w:rsidRPr="00047F95">
              <w:rPr>
                <w:rFonts w:cs="Calibri"/>
              </w:rPr>
              <w:t>Ensure inspection resources are spent in workplaces that are exposing workers</w:t>
            </w:r>
            <w:r w:rsidR="00E3319D">
              <w:rPr>
                <w:rFonts w:cs="Calibri"/>
              </w:rPr>
              <w:t xml:space="preserve"> </w:t>
            </w:r>
            <w:r w:rsidRPr="00047F95">
              <w:rPr>
                <w:rFonts w:cs="Calibri"/>
              </w:rPr>
              <w:t>to hazards by implementing corrective actions in the most hazardous worksites</w:t>
            </w:r>
            <w:r w:rsidR="0052272E" w:rsidRPr="00047F95">
              <w:rPr>
                <w:rFonts w:cs="Calibri"/>
              </w:rPr>
              <w:t>.</w:t>
            </w:r>
            <w:r w:rsidR="0052272E">
              <w:rPr>
                <w:rFonts w:cs="Calibri"/>
              </w:rPr>
              <w:t xml:space="preserve"> </w:t>
            </w:r>
            <w:r w:rsidRPr="00047F95">
              <w:rPr>
                <w:rFonts w:cs="Calibri"/>
              </w:rPr>
              <w:t>Efforts should be focused on creating targeting lists and gaining entry to sites</w:t>
            </w:r>
          </w:p>
          <w:p w14:paraId="7A48B2C8" w14:textId="0288751C" w:rsidR="000A134A" w:rsidRPr="001C1E47" w:rsidRDefault="00047F95" w:rsidP="00E3319D">
            <w:pPr>
              <w:widowControl/>
              <w:autoSpaceDE/>
              <w:autoSpaceDN/>
              <w:adjustRightInd/>
              <w:rPr>
                <w:rFonts w:cs="Calibri"/>
              </w:rPr>
            </w:pPr>
            <w:r w:rsidRPr="00047F95">
              <w:rPr>
                <w:rFonts w:cs="Calibri"/>
              </w:rPr>
              <w:t>with the most hazards to best protect employees. Training should continue to</w:t>
            </w:r>
            <w:r w:rsidR="00E3319D">
              <w:rPr>
                <w:rFonts w:cs="Calibri"/>
              </w:rPr>
              <w:t xml:space="preserve"> </w:t>
            </w:r>
            <w:r w:rsidRPr="00047F95">
              <w:rPr>
                <w:rFonts w:cs="Calibri"/>
              </w:rPr>
              <w:t>address hazard recognition skills with health compliance staff.</w:t>
            </w:r>
          </w:p>
        </w:tc>
        <w:tc>
          <w:tcPr>
            <w:tcW w:w="1890" w:type="dxa"/>
          </w:tcPr>
          <w:p w14:paraId="51FF8A48" w14:textId="48B5F58B" w:rsidR="000A134A" w:rsidRPr="001C1E47" w:rsidRDefault="0000182D" w:rsidP="007A71AC">
            <w:pPr>
              <w:widowControl/>
              <w:autoSpaceDE/>
              <w:autoSpaceDN/>
              <w:adjustRightInd/>
              <w:rPr>
                <w:rFonts w:cs="Calibri"/>
              </w:rPr>
            </w:pPr>
            <w:r>
              <w:t>Finding FY 2021-01</w:t>
            </w:r>
          </w:p>
        </w:tc>
      </w:tr>
      <w:tr w:rsidR="000A134A" w:rsidRPr="001C1E47" w14:paraId="103CA6F2" w14:textId="77777777" w:rsidTr="00FE4AE9">
        <w:tc>
          <w:tcPr>
            <w:tcW w:w="1440" w:type="dxa"/>
          </w:tcPr>
          <w:p w14:paraId="76B70B57" w14:textId="1D6BCA4C" w:rsidR="000A134A" w:rsidRPr="001C1E47" w:rsidRDefault="00FE4AE9" w:rsidP="007A71AC">
            <w:pPr>
              <w:widowControl/>
              <w:autoSpaceDE/>
              <w:autoSpaceDN/>
              <w:adjustRightInd/>
              <w:rPr>
                <w:rFonts w:cs="Calibri"/>
              </w:rPr>
            </w:pPr>
            <w:r>
              <w:t>Finding FY 2022-02</w:t>
            </w:r>
          </w:p>
          <w:p w14:paraId="673AF147" w14:textId="77777777" w:rsidR="000A134A" w:rsidRPr="001C1E47" w:rsidRDefault="000A134A" w:rsidP="007A71AC">
            <w:pPr>
              <w:widowControl/>
              <w:autoSpaceDE/>
              <w:autoSpaceDN/>
              <w:adjustRightInd/>
              <w:rPr>
                <w:rFonts w:cs="Calibri"/>
              </w:rPr>
            </w:pPr>
          </w:p>
        </w:tc>
        <w:tc>
          <w:tcPr>
            <w:tcW w:w="4135" w:type="dxa"/>
          </w:tcPr>
          <w:p w14:paraId="5B47278E" w14:textId="359B54AD" w:rsidR="000A134A" w:rsidRPr="001C1E47" w:rsidRDefault="0000182D" w:rsidP="007A71AC">
            <w:pPr>
              <w:widowControl/>
              <w:autoSpaceDE/>
              <w:autoSpaceDN/>
              <w:adjustRightInd/>
              <w:rPr>
                <w:rFonts w:cs="Calibri"/>
              </w:rPr>
            </w:pPr>
            <w:r>
              <w:t>SC State Plan has failed to adopt OSHA’s initial FY 2016 maximum and minimum penalty increase and subsequent annual penalty amount increases.</w:t>
            </w:r>
          </w:p>
          <w:p w14:paraId="53C5489A" w14:textId="77777777" w:rsidR="000A134A" w:rsidRPr="001C1E47" w:rsidRDefault="000A134A" w:rsidP="007A71AC">
            <w:pPr>
              <w:widowControl/>
              <w:autoSpaceDE/>
              <w:autoSpaceDN/>
              <w:adjustRightInd/>
              <w:rPr>
                <w:rFonts w:cs="Calibri"/>
              </w:rPr>
            </w:pPr>
          </w:p>
        </w:tc>
        <w:tc>
          <w:tcPr>
            <w:tcW w:w="5405" w:type="dxa"/>
          </w:tcPr>
          <w:p w14:paraId="527F29DD" w14:textId="31AB2664" w:rsidR="000A134A" w:rsidRPr="001C1E47" w:rsidRDefault="000A134A" w:rsidP="007A71AC">
            <w:pPr>
              <w:widowControl/>
              <w:autoSpaceDE/>
              <w:autoSpaceDN/>
              <w:adjustRightInd/>
              <w:rPr>
                <w:rFonts w:cs="Calibri"/>
              </w:rPr>
            </w:pPr>
            <w:r w:rsidRPr="001C1E47">
              <w:rPr>
                <w:rFonts w:cs="Calibri"/>
              </w:rPr>
              <w:t xml:space="preserve"> </w:t>
            </w:r>
            <w:r w:rsidR="00FE4AE9">
              <w:t xml:space="preserve">SC OSHA should work with their </w:t>
            </w:r>
            <w:r w:rsidR="0087513E">
              <w:t>S</w:t>
            </w:r>
            <w:r w:rsidR="00FE4AE9">
              <w:t>tate authorities to complete the legislative changes necessary to enable it to adopt maximum and minimum penalty amounts that are at least as effective as OSHA’s maximum and minimum penalty levels.</w:t>
            </w:r>
          </w:p>
          <w:p w14:paraId="7375EF07" w14:textId="77777777" w:rsidR="000A134A" w:rsidRPr="001C1E47" w:rsidRDefault="000A134A" w:rsidP="007A71AC">
            <w:pPr>
              <w:widowControl/>
              <w:autoSpaceDE/>
              <w:autoSpaceDN/>
              <w:adjustRightInd/>
              <w:rPr>
                <w:rFonts w:cs="Calibri"/>
              </w:rPr>
            </w:pPr>
          </w:p>
        </w:tc>
        <w:tc>
          <w:tcPr>
            <w:tcW w:w="1890" w:type="dxa"/>
          </w:tcPr>
          <w:p w14:paraId="0E5FE764" w14:textId="5AA780FF" w:rsidR="000A134A" w:rsidRPr="001C1E47" w:rsidRDefault="00FE4AE9" w:rsidP="007A71AC">
            <w:pPr>
              <w:widowControl/>
              <w:autoSpaceDE/>
              <w:autoSpaceDN/>
              <w:adjustRightInd/>
              <w:rPr>
                <w:rFonts w:cs="Calibri"/>
              </w:rPr>
            </w:pPr>
            <w:r>
              <w:t>Finding FY 2021-02</w:t>
            </w:r>
          </w:p>
        </w:tc>
      </w:tr>
    </w:tbl>
    <w:p w14:paraId="3C1E0E19" w14:textId="67A0AF1A" w:rsidR="000A134A" w:rsidRDefault="000A134A" w:rsidP="007A71AC">
      <w:pPr>
        <w:widowControl/>
        <w:autoSpaceDE/>
        <w:autoSpaceDN/>
        <w:adjustRightInd/>
        <w:rPr>
          <w:rFonts w:cs="Calibri"/>
        </w:rPr>
      </w:pPr>
    </w:p>
    <w:p w14:paraId="1A6A7893" w14:textId="3E08F6A4" w:rsidR="00333818" w:rsidRDefault="00333818" w:rsidP="007A71AC">
      <w:pPr>
        <w:widowControl/>
        <w:autoSpaceDE/>
        <w:autoSpaceDN/>
        <w:adjustRightInd/>
        <w:rPr>
          <w:rFonts w:cs="Calibri"/>
        </w:rPr>
      </w:pPr>
    </w:p>
    <w:p w14:paraId="78EACC59" w14:textId="30D1AF7B" w:rsidR="00333818" w:rsidRDefault="00333818" w:rsidP="007A71AC">
      <w:pPr>
        <w:widowControl/>
        <w:autoSpaceDE/>
        <w:autoSpaceDN/>
        <w:adjustRightInd/>
        <w:rPr>
          <w:rFonts w:cs="Calibri"/>
        </w:rPr>
      </w:pPr>
    </w:p>
    <w:p w14:paraId="7745BFCC" w14:textId="31314A32" w:rsidR="00333818" w:rsidRDefault="00333818" w:rsidP="007A71AC">
      <w:pPr>
        <w:widowControl/>
        <w:autoSpaceDE/>
        <w:autoSpaceDN/>
        <w:adjustRightInd/>
        <w:rPr>
          <w:rFonts w:cs="Calibri"/>
        </w:rPr>
      </w:pPr>
    </w:p>
    <w:p w14:paraId="4AF82A91" w14:textId="3E200475" w:rsidR="00333818" w:rsidRDefault="00333818" w:rsidP="007A71AC">
      <w:pPr>
        <w:widowControl/>
        <w:autoSpaceDE/>
        <w:autoSpaceDN/>
        <w:adjustRightInd/>
        <w:rPr>
          <w:rFonts w:cs="Calibri"/>
        </w:rPr>
      </w:pPr>
    </w:p>
    <w:p w14:paraId="6D57D1D8" w14:textId="1D041EE6" w:rsidR="00A57DC7" w:rsidRDefault="00A57DC7" w:rsidP="007A71AC">
      <w:pPr>
        <w:widowControl/>
        <w:autoSpaceDE/>
        <w:autoSpaceDN/>
        <w:adjustRightInd/>
        <w:rPr>
          <w:rFonts w:cs="Calibri"/>
        </w:rPr>
      </w:pPr>
    </w:p>
    <w:p w14:paraId="42220E2F" w14:textId="77777777" w:rsidR="00A57DC7" w:rsidRDefault="00A57DC7" w:rsidP="007A71AC">
      <w:pPr>
        <w:widowControl/>
        <w:autoSpaceDE/>
        <w:autoSpaceDN/>
        <w:adjustRightInd/>
        <w:rPr>
          <w:rFonts w:cs="Calibri"/>
        </w:rPr>
      </w:pPr>
    </w:p>
    <w:p w14:paraId="3784C281" w14:textId="4B5C8238" w:rsidR="00333818" w:rsidRDefault="00333818" w:rsidP="007A71AC">
      <w:pPr>
        <w:widowControl/>
        <w:autoSpaceDE/>
        <w:autoSpaceDN/>
        <w:adjustRightInd/>
        <w:rPr>
          <w:rFonts w:cs="Calibri"/>
        </w:rPr>
      </w:pPr>
    </w:p>
    <w:p w14:paraId="36FC7CE7" w14:textId="3985094B" w:rsidR="00333818" w:rsidRDefault="00333818" w:rsidP="007A71AC">
      <w:pPr>
        <w:widowControl/>
        <w:autoSpaceDE/>
        <w:autoSpaceDN/>
        <w:adjustRightInd/>
        <w:rPr>
          <w:rFonts w:cs="Calibri"/>
        </w:rPr>
      </w:pPr>
    </w:p>
    <w:p w14:paraId="3FC25651" w14:textId="77777777" w:rsidR="00333818" w:rsidRPr="001C1E47" w:rsidRDefault="00333818" w:rsidP="007A71AC">
      <w:pPr>
        <w:widowControl/>
        <w:autoSpaceDE/>
        <w:autoSpaceDN/>
        <w:adjustRightInd/>
        <w:rPr>
          <w:rFonts w:cs="Calibri"/>
        </w:rPr>
      </w:pPr>
    </w:p>
    <w:p w14:paraId="72DA695E" w14:textId="77777777" w:rsidR="00B6741C" w:rsidRPr="0002572C" w:rsidRDefault="00B6741C" w:rsidP="000F63C1">
      <w:pPr>
        <w:pStyle w:val="Heading3"/>
        <w:numPr>
          <w:ilvl w:val="0"/>
          <w:numId w:val="0"/>
        </w:numPr>
      </w:pPr>
      <w:bookmarkStart w:id="30" w:name="_Toc118905018"/>
      <w:bookmarkStart w:id="31" w:name="_Toc119418670"/>
      <w:r w:rsidRPr="0002572C">
        <w:lastRenderedPageBreak/>
        <w:t>Appendix B – Observations Subject to Continued Monitoring</w:t>
      </w:r>
      <w:bookmarkEnd w:id="30"/>
      <w:bookmarkEnd w:id="31"/>
    </w:p>
    <w:p w14:paraId="73014EBD" w14:textId="62CAB0B0" w:rsidR="00B6741C" w:rsidRPr="00F0678A" w:rsidRDefault="00B6741C" w:rsidP="0002572C">
      <w:r>
        <w:t>FY 20</w:t>
      </w:r>
      <w:r w:rsidR="009A19D0">
        <w:t>22</w:t>
      </w:r>
      <w:r>
        <w:t xml:space="preserve"> </w:t>
      </w:r>
      <w:r w:rsidR="009A19D0">
        <w:t>South Carolina</w:t>
      </w:r>
      <w:r w:rsidRPr="00476C08">
        <w:rPr>
          <w:color w:val="0070C0"/>
        </w:rPr>
        <w:t xml:space="preserve"> </w:t>
      </w:r>
      <w:r>
        <w:t>Follow-up FAME Report</w:t>
      </w:r>
    </w:p>
    <w:p w14:paraId="75823E10" w14:textId="77777777" w:rsidR="00D86879" w:rsidRPr="001C1E47" w:rsidRDefault="00D86879" w:rsidP="007A71AC">
      <w:pPr>
        <w:widowControl/>
        <w:autoSpaceDE/>
        <w:autoSpaceDN/>
        <w:adjustRightInd/>
        <w:rPr>
          <w:rFonts w:cs="Calibri"/>
          <w:i/>
        </w:rPr>
      </w:pPr>
    </w:p>
    <w:tbl>
      <w:tblPr>
        <w:tblStyle w:val="TableGrid"/>
        <w:tblW w:w="0" w:type="auto"/>
        <w:tblLook w:val="04A0" w:firstRow="1" w:lastRow="0" w:firstColumn="1" w:lastColumn="0" w:noHBand="0" w:noVBand="1"/>
      </w:tblPr>
      <w:tblGrid>
        <w:gridCol w:w="1795"/>
        <w:gridCol w:w="1890"/>
        <w:gridCol w:w="3870"/>
        <w:gridCol w:w="3780"/>
        <w:gridCol w:w="1615"/>
      </w:tblGrid>
      <w:tr w:rsidR="00B6741C" w14:paraId="266E8016" w14:textId="4E26EFF8" w:rsidTr="00C015B4">
        <w:trPr>
          <w:cantSplit/>
          <w:tblHeader/>
        </w:trPr>
        <w:tc>
          <w:tcPr>
            <w:tcW w:w="1795" w:type="dxa"/>
          </w:tcPr>
          <w:p w14:paraId="5950BEA4"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 #</w:t>
            </w:r>
          </w:p>
          <w:p w14:paraId="09AE72D2" w14:textId="2AE974A9" w:rsidR="00B6741C" w:rsidRPr="001C1E47" w:rsidRDefault="00B6741C" w:rsidP="00B6741C">
            <w:pPr>
              <w:widowControl/>
              <w:autoSpaceDE/>
              <w:autoSpaceDN/>
              <w:adjustRightInd/>
              <w:rPr>
                <w:rFonts w:cs="Calibri"/>
                <w:b/>
                <w:sz w:val="22"/>
                <w:szCs w:val="22"/>
              </w:rPr>
            </w:pPr>
            <w:r w:rsidRPr="001C1E47">
              <w:rPr>
                <w:rFonts w:cs="Calibri"/>
                <w:b/>
                <w:sz w:val="22"/>
                <w:szCs w:val="22"/>
              </w:rPr>
              <w:t>FY 20</w:t>
            </w:r>
            <w:r w:rsidR="0097058D">
              <w:rPr>
                <w:rFonts w:cs="Calibri"/>
                <w:b/>
                <w:sz w:val="22"/>
                <w:szCs w:val="22"/>
              </w:rPr>
              <w:t>22</w:t>
            </w:r>
            <w:r w:rsidRPr="001C1E47">
              <w:rPr>
                <w:rFonts w:cs="Calibri"/>
                <w:b/>
                <w:sz w:val="22"/>
                <w:szCs w:val="22"/>
              </w:rPr>
              <w:t>-OB-#</w:t>
            </w:r>
          </w:p>
          <w:p w14:paraId="07702D17" w14:textId="77777777" w:rsidR="00B6741C" w:rsidRDefault="00B6741C" w:rsidP="00B6741C">
            <w:pPr>
              <w:widowControl/>
              <w:autoSpaceDE/>
              <w:autoSpaceDN/>
              <w:adjustRightInd/>
              <w:rPr>
                <w:rFonts w:cs="Calibri"/>
                <w:i/>
                <w:sz w:val="22"/>
                <w:szCs w:val="22"/>
              </w:rPr>
            </w:pPr>
          </w:p>
        </w:tc>
        <w:tc>
          <w:tcPr>
            <w:tcW w:w="1890" w:type="dxa"/>
          </w:tcPr>
          <w:p w14:paraId="5B8F9311"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w:t>
            </w:r>
          </w:p>
          <w:p w14:paraId="757E85A6" w14:textId="2E09DB1A" w:rsidR="00B6741C" w:rsidRDefault="00B6741C" w:rsidP="00B6741C">
            <w:pPr>
              <w:widowControl/>
              <w:autoSpaceDE/>
              <w:autoSpaceDN/>
              <w:adjustRightInd/>
              <w:rPr>
                <w:rFonts w:cs="Calibri"/>
                <w:i/>
                <w:sz w:val="22"/>
                <w:szCs w:val="22"/>
              </w:rPr>
            </w:pPr>
            <w:r w:rsidRPr="001C1E47">
              <w:rPr>
                <w:rFonts w:cs="Calibri"/>
                <w:b/>
                <w:sz w:val="22"/>
                <w:szCs w:val="22"/>
              </w:rPr>
              <w:t xml:space="preserve">FY 20XX-OB-# </w:t>
            </w:r>
            <w:r w:rsidRPr="001C1E47">
              <w:rPr>
                <w:rFonts w:cs="Calibri"/>
                <w:b/>
                <w:i/>
                <w:sz w:val="22"/>
                <w:szCs w:val="22"/>
              </w:rPr>
              <w:t>or</w:t>
            </w:r>
            <w:r w:rsidRPr="001C1E47">
              <w:rPr>
                <w:rFonts w:cs="Calibri"/>
                <w:b/>
                <w:sz w:val="22"/>
                <w:szCs w:val="22"/>
              </w:rPr>
              <w:t xml:space="preserve"> FY 20XX-#</w:t>
            </w:r>
          </w:p>
        </w:tc>
        <w:tc>
          <w:tcPr>
            <w:tcW w:w="3870" w:type="dxa"/>
          </w:tcPr>
          <w:p w14:paraId="11DA1749" w14:textId="7AE042CC" w:rsidR="00B6741C" w:rsidRDefault="00B6741C" w:rsidP="00B6741C">
            <w:pPr>
              <w:widowControl/>
              <w:autoSpaceDE/>
              <w:autoSpaceDN/>
              <w:adjustRightInd/>
              <w:rPr>
                <w:rFonts w:cs="Calibri"/>
                <w:i/>
                <w:sz w:val="22"/>
                <w:szCs w:val="22"/>
              </w:rPr>
            </w:pPr>
            <w:r w:rsidRPr="001C1E47">
              <w:rPr>
                <w:rFonts w:cs="Calibri"/>
                <w:b/>
                <w:sz w:val="22"/>
                <w:szCs w:val="22"/>
              </w:rPr>
              <w:t>Observation</w:t>
            </w:r>
          </w:p>
        </w:tc>
        <w:tc>
          <w:tcPr>
            <w:tcW w:w="3780" w:type="dxa"/>
          </w:tcPr>
          <w:p w14:paraId="76BC073C" w14:textId="70BBC1B0" w:rsidR="00B6741C" w:rsidRDefault="00B6741C" w:rsidP="00B6741C">
            <w:pPr>
              <w:widowControl/>
              <w:autoSpaceDE/>
              <w:autoSpaceDN/>
              <w:adjustRightInd/>
              <w:rPr>
                <w:rFonts w:cs="Calibri"/>
                <w:i/>
                <w:sz w:val="22"/>
                <w:szCs w:val="22"/>
              </w:rPr>
            </w:pPr>
            <w:r w:rsidRPr="001C1E47">
              <w:rPr>
                <w:rFonts w:cs="Calibri"/>
                <w:b/>
                <w:sz w:val="22"/>
                <w:szCs w:val="22"/>
              </w:rPr>
              <w:t>Federal Monitoring Plan</w:t>
            </w:r>
          </w:p>
        </w:tc>
        <w:tc>
          <w:tcPr>
            <w:tcW w:w="1615" w:type="dxa"/>
          </w:tcPr>
          <w:p w14:paraId="46D0EE63" w14:textId="4A2BA825" w:rsidR="00B6741C" w:rsidRPr="001C1E47" w:rsidRDefault="00B6741C" w:rsidP="00B6741C">
            <w:pPr>
              <w:widowControl/>
              <w:autoSpaceDE/>
              <w:autoSpaceDN/>
              <w:adjustRightInd/>
              <w:rPr>
                <w:rFonts w:cs="Calibri"/>
                <w:b/>
                <w:sz w:val="22"/>
                <w:szCs w:val="22"/>
              </w:rPr>
            </w:pPr>
            <w:r w:rsidRPr="001C1E47">
              <w:rPr>
                <w:rFonts w:cs="Calibri"/>
                <w:b/>
                <w:sz w:val="22"/>
                <w:szCs w:val="22"/>
              </w:rPr>
              <w:t>Current Status</w:t>
            </w:r>
          </w:p>
        </w:tc>
      </w:tr>
      <w:tr w:rsidR="00B6741C" w14:paraId="715083EB" w14:textId="58561804" w:rsidTr="00C015B4">
        <w:trPr>
          <w:cantSplit/>
        </w:trPr>
        <w:tc>
          <w:tcPr>
            <w:tcW w:w="1795" w:type="dxa"/>
          </w:tcPr>
          <w:p w14:paraId="7834860F" w14:textId="2DB5E305" w:rsidR="00B6741C" w:rsidRPr="00476C08" w:rsidRDefault="00196C35" w:rsidP="00B6741C">
            <w:pPr>
              <w:widowControl/>
              <w:autoSpaceDE/>
              <w:autoSpaceDN/>
              <w:adjustRightInd/>
              <w:rPr>
                <w:rFonts w:cs="Calibri"/>
                <w:iCs/>
                <w:color w:val="0070C0"/>
                <w:sz w:val="22"/>
                <w:szCs w:val="22"/>
              </w:rPr>
            </w:pPr>
            <w:r>
              <w:t xml:space="preserve">FY 2022-OB-01 </w:t>
            </w:r>
          </w:p>
        </w:tc>
        <w:tc>
          <w:tcPr>
            <w:tcW w:w="1890" w:type="dxa"/>
          </w:tcPr>
          <w:p w14:paraId="1207E4E3" w14:textId="3A841D4A" w:rsidR="00B6741C" w:rsidRPr="00476C08" w:rsidRDefault="00196C35" w:rsidP="00B6741C">
            <w:pPr>
              <w:widowControl/>
              <w:autoSpaceDE/>
              <w:autoSpaceDN/>
              <w:adjustRightInd/>
              <w:rPr>
                <w:rFonts w:cs="Calibri"/>
                <w:iCs/>
                <w:color w:val="0070C0"/>
                <w:sz w:val="22"/>
                <w:szCs w:val="22"/>
              </w:rPr>
            </w:pPr>
            <w:r>
              <w:t xml:space="preserve">FY 2021-OB-01 </w:t>
            </w:r>
          </w:p>
        </w:tc>
        <w:tc>
          <w:tcPr>
            <w:tcW w:w="3870" w:type="dxa"/>
          </w:tcPr>
          <w:p w14:paraId="53E4A09F" w14:textId="37E3A8DF" w:rsidR="00B6741C" w:rsidRPr="00476C08" w:rsidRDefault="00B027A7" w:rsidP="00B6741C">
            <w:pPr>
              <w:widowControl/>
              <w:autoSpaceDE/>
              <w:autoSpaceDN/>
              <w:adjustRightInd/>
              <w:rPr>
                <w:rFonts w:cs="Calibri"/>
                <w:iCs/>
                <w:color w:val="0070C0"/>
                <w:sz w:val="22"/>
                <w:szCs w:val="22"/>
              </w:rPr>
            </w:pPr>
            <w:r>
              <w:t>In FY 2021, six</w:t>
            </w:r>
            <w:r w:rsidR="0052272E">
              <w:t xml:space="preserve"> (6)</w:t>
            </w:r>
            <w:r>
              <w:t xml:space="preserve"> of 21 fatality investigations reviewed lacked documentation to determine the reason(s) an OSHA standard was not cited.</w:t>
            </w:r>
          </w:p>
        </w:tc>
        <w:tc>
          <w:tcPr>
            <w:tcW w:w="3780" w:type="dxa"/>
          </w:tcPr>
          <w:p w14:paraId="04F2CA88" w14:textId="70DB67F6" w:rsidR="00B6741C" w:rsidRPr="00244579" w:rsidRDefault="003E48FC" w:rsidP="00B6741C">
            <w:pPr>
              <w:widowControl/>
              <w:autoSpaceDE/>
              <w:autoSpaceDN/>
              <w:adjustRightInd/>
              <w:rPr>
                <w:rFonts w:cs="Calibri"/>
                <w:iCs/>
                <w:sz w:val="22"/>
                <w:szCs w:val="22"/>
              </w:rPr>
            </w:pPr>
            <w:r w:rsidRPr="001C1E47">
              <w:rPr>
                <w:rFonts w:cs="Calibri"/>
              </w:rPr>
              <w:t>A case file review is necessary to gather the facts needed to evaluate performance in relation to this observation. This observation will be a focus of next year’s on-site case file review during the FY 20</w:t>
            </w:r>
            <w:r>
              <w:rPr>
                <w:rFonts w:cs="Calibri"/>
              </w:rPr>
              <w:t>23</w:t>
            </w:r>
            <w:r w:rsidRPr="001C1E47">
              <w:rPr>
                <w:rFonts w:cs="Calibri"/>
              </w:rPr>
              <w:t xml:space="preserve"> comprehensive FAME.</w:t>
            </w:r>
            <w:r w:rsidRPr="001C1E47">
              <w:rPr>
                <w:rFonts w:cs="Calibri"/>
                <w:b/>
              </w:rPr>
              <w:t xml:space="preserve"> </w:t>
            </w:r>
          </w:p>
        </w:tc>
        <w:tc>
          <w:tcPr>
            <w:tcW w:w="1615" w:type="dxa"/>
          </w:tcPr>
          <w:p w14:paraId="79E4394D" w14:textId="69407FCD" w:rsidR="00B6741C" w:rsidRPr="00406553" w:rsidRDefault="00B6741C" w:rsidP="00B6741C">
            <w:pPr>
              <w:widowControl/>
              <w:autoSpaceDE/>
              <w:autoSpaceDN/>
              <w:adjustRightInd/>
              <w:rPr>
                <w:rFonts w:cs="Calibri"/>
                <w:iCs/>
              </w:rPr>
            </w:pPr>
            <w:r w:rsidRPr="00406553">
              <w:rPr>
                <w:rFonts w:cs="Calibri"/>
                <w:iCs/>
              </w:rPr>
              <w:t>Continued</w:t>
            </w:r>
          </w:p>
        </w:tc>
      </w:tr>
      <w:tr w:rsidR="00EE7082" w14:paraId="414575F4" w14:textId="437735BC" w:rsidTr="00C015B4">
        <w:trPr>
          <w:cantSplit/>
        </w:trPr>
        <w:tc>
          <w:tcPr>
            <w:tcW w:w="1795" w:type="dxa"/>
          </w:tcPr>
          <w:p w14:paraId="6F606482" w14:textId="35D2F5D5" w:rsidR="00857D3E" w:rsidRDefault="00857D3E" w:rsidP="00857D3E">
            <w:pPr>
              <w:widowControl/>
              <w:autoSpaceDE/>
              <w:autoSpaceDN/>
              <w:adjustRightInd/>
            </w:pPr>
            <w:r>
              <w:t>FY 2022-OB-0</w:t>
            </w:r>
            <w:r w:rsidR="00196C35">
              <w:t>2</w:t>
            </w:r>
          </w:p>
          <w:p w14:paraId="38E1B745" w14:textId="77777777" w:rsidR="00EE7082" w:rsidRPr="00476C08" w:rsidRDefault="00EE7082" w:rsidP="00EE7082">
            <w:pPr>
              <w:widowControl/>
              <w:autoSpaceDE/>
              <w:autoSpaceDN/>
              <w:adjustRightInd/>
              <w:rPr>
                <w:rFonts w:cs="Calibri"/>
                <w:iCs/>
                <w:color w:val="0070C0"/>
                <w:sz w:val="22"/>
                <w:szCs w:val="22"/>
              </w:rPr>
            </w:pPr>
          </w:p>
        </w:tc>
        <w:tc>
          <w:tcPr>
            <w:tcW w:w="1890" w:type="dxa"/>
          </w:tcPr>
          <w:p w14:paraId="44DAB464" w14:textId="4B8A25E8" w:rsidR="00EE7082" w:rsidRDefault="00EE7082" w:rsidP="00EE7082">
            <w:pPr>
              <w:widowControl/>
              <w:autoSpaceDE/>
              <w:autoSpaceDN/>
              <w:adjustRightInd/>
            </w:pPr>
            <w:r>
              <w:t>FY 2021-OB-02</w:t>
            </w:r>
          </w:p>
          <w:p w14:paraId="439879EC" w14:textId="77777777" w:rsidR="00857D3E" w:rsidRDefault="00857D3E" w:rsidP="00EE7082">
            <w:pPr>
              <w:widowControl/>
              <w:autoSpaceDE/>
              <w:autoSpaceDN/>
              <w:adjustRightInd/>
            </w:pPr>
            <w:r>
              <w:t xml:space="preserve">FY 2020-OB-01 </w:t>
            </w:r>
          </w:p>
          <w:p w14:paraId="4640B74B" w14:textId="178E27C5" w:rsidR="00857D3E" w:rsidRPr="00476C08" w:rsidRDefault="00857D3E" w:rsidP="00EE7082">
            <w:pPr>
              <w:widowControl/>
              <w:autoSpaceDE/>
              <w:autoSpaceDN/>
              <w:adjustRightInd/>
              <w:rPr>
                <w:rFonts w:cs="Calibri"/>
                <w:iCs/>
                <w:color w:val="0070C0"/>
                <w:sz w:val="22"/>
                <w:szCs w:val="22"/>
              </w:rPr>
            </w:pPr>
            <w:r>
              <w:t>FY 2019-OB-01</w:t>
            </w:r>
          </w:p>
        </w:tc>
        <w:tc>
          <w:tcPr>
            <w:tcW w:w="3870" w:type="dxa"/>
          </w:tcPr>
          <w:p w14:paraId="3BC4A14C" w14:textId="70A054FE" w:rsidR="00EE7082" w:rsidRPr="00476C08" w:rsidRDefault="00EE7082" w:rsidP="00EE7082">
            <w:pPr>
              <w:widowControl/>
              <w:autoSpaceDE/>
              <w:autoSpaceDN/>
              <w:adjustRightInd/>
              <w:rPr>
                <w:rFonts w:cs="Calibri"/>
                <w:iCs/>
                <w:color w:val="0070C0"/>
                <w:sz w:val="22"/>
                <w:szCs w:val="22"/>
              </w:rPr>
            </w:pPr>
            <w:r>
              <w:t>In FY 2021, missed violations or lack of a recommendation letter was noted in six</w:t>
            </w:r>
            <w:r w:rsidR="0052272E">
              <w:t xml:space="preserve"> (6)</w:t>
            </w:r>
            <w:r>
              <w:t xml:space="preserve"> out of 50 (12%) case files reviewed. Several examples include, personal protective equipment, hazard communication, OSHA 300 logs and face masks during the COVID pandemic.</w:t>
            </w:r>
          </w:p>
        </w:tc>
        <w:tc>
          <w:tcPr>
            <w:tcW w:w="3780" w:type="dxa"/>
          </w:tcPr>
          <w:p w14:paraId="016CAD6A" w14:textId="0366F78B" w:rsidR="00EE7082" w:rsidRPr="00D4544C" w:rsidRDefault="003E48FC" w:rsidP="00EE7082">
            <w:pPr>
              <w:widowControl/>
              <w:autoSpaceDE/>
              <w:autoSpaceDN/>
              <w:adjustRightInd/>
              <w:rPr>
                <w:rFonts w:cs="Calibri"/>
                <w:iCs/>
                <w:sz w:val="22"/>
                <w:szCs w:val="22"/>
              </w:rPr>
            </w:pPr>
            <w:r w:rsidRPr="001C1E47">
              <w:rPr>
                <w:rFonts w:cs="Calibri"/>
              </w:rPr>
              <w:t>A case file review is necessary to gather the facts needed to evaluate performance in relation to this observation. This observation will be a focus of next year’s on-site case file review during the FY 20</w:t>
            </w:r>
            <w:r>
              <w:rPr>
                <w:rFonts w:cs="Calibri"/>
              </w:rPr>
              <w:t>23</w:t>
            </w:r>
            <w:r w:rsidRPr="001C1E47">
              <w:rPr>
                <w:rFonts w:cs="Calibri"/>
              </w:rPr>
              <w:t xml:space="preserve"> comprehensive FAME.</w:t>
            </w:r>
            <w:r w:rsidRPr="001C1E47">
              <w:rPr>
                <w:rFonts w:cs="Calibri"/>
                <w:b/>
              </w:rPr>
              <w:t xml:space="preserve"> </w:t>
            </w:r>
          </w:p>
        </w:tc>
        <w:tc>
          <w:tcPr>
            <w:tcW w:w="1615" w:type="dxa"/>
          </w:tcPr>
          <w:p w14:paraId="4F554364" w14:textId="726C4305" w:rsidR="00EE7082" w:rsidRPr="00406553" w:rsidRDefault="00857D3E" w:rsidP="00EE7082">
            <w:pPr>
              <w:widowControl/>
              <w:autoSpaceDE/>
              <w:autoSpaceDN/>
              <w:adjustRightInd/>
              <w:rPr>
                <w:rFonts w:cs="Calibri"/>
                <w:iCs/>
              </w:rPr>
            </w:pPr>
            <w:r w:rsidRPr="00406553">
              <w:rPr>
                <w:rFonts w:cs="Calibri"/>
                <w:iCs/>
              </w:rPr>
              <w:t>Continued</w:t>
            </w:r>
          </w:p>
        </w:tc>
      </w:tr>
      <w:tr w:rsidR="00D4544C" w14:paraId="10713DB2" w14:textId="77777777" w:rsidTr="00C015B4">
        <w:trPr>
          <w:cantSplit/>
        </w:trPr>
        <w:tc>
          <w:tcPr>
            <w:tcW w:w="1795" w:type="dxa"/>
          </w:tcPr>
          <w:p w14:paraId="2A729F9D" w14:textId="39943B37" w:rsidR="00D4544C" w:rsidRDefault="00D4544C" w:rsidP="00D4544C">
            <w:pPr>
              <w:widowControl/>
              <w:autoSpaceDE/>
              <w:autoSpaceDN/>
              <w:adjustRightInd/>
            </w:pPr>
            <w:r>
              <w:t>FY 2022-OB-03</w:t>
            </w:r>
          </w:p>
        </w:tc>
        <w:tc>
          <w:tcPr>
            <w:tcW w:w="1890" w:type="dxa"/>
          </w:tcPr>
          <w:p w14:paraId="0A621138" w14:textId="6B9E10B2" w:rsidR="00D4544C" w:rsidRDefault="00D4544C" w:rsidP="00D4544C">
            <w:pPr>
              <w:widowControl/>
              <w:autoSpaceDE/>
              <w:autoSpaceDN/>
              <w:adjustRightInd/>
            </w:pPr>
            <w:r>
              <w:t>FY 2021-OB-03</w:t>
            </w:r>
          </w:p>
        </w:tc>
        <w:tc>
          <w:tcPr>
            <w:tcW w:w="3870" w:type="dxa"/>
          </w:tcPr>
          <w:p w14:paraId="6F3B5A3F" w14:textId="6D6272D7" w:rsidR="00D4544C" w:rsidRDefault="00D4544C" w:rsidP="00D4544C">
            <w:pPr>
              <w:widowControl/>
              <w:autoSpaceDE/>
              <w:autoSpaceDN/>
              <w:adjustRightInd/>
            </w:pPr>
            <w:r>
              <w:t>In 10 out of 50 (12%) investigations, it was identified that using the Gravity Base Penalty (GBP) of $7,000 was appropriate to achieve the necessary deterrent effect.</w:t>
            </w:r>
          </w:p>
        </w:tc>
        <w:tc>
          <w:tcPr>
            <w:tcW w:w="3780" w:type="dxa"/>
          </w:tcPr>
          <w:p w14:paraId="530218F9" w14:textId="0A8A913F" w:rsidR="00D4544C" w:rsidRPr="00476C08" w:rsidRDefault="003E48FC" w:rsidP="00D4544C">
            <w:pPr>
              <w:widowControl/>
              <w:autoSpaceDE/>
              <w:autoSpaceDN/>
              <w:adjustRightInd/>
              <w:rPr>
                <w:rFonts w:cs="Calibri"/>
                <w:iCs/>
                <w:color w:val="0070C0"/>
                <w:sz w:val="20"/>
                <w:szCs w:val="20"/>
              </w:rPr>
            </w:pPr>
            <w:r w:rsidRPr="001C1E47">
              <w:rPr>
                <w:rFonts w:cs="Calibri"/>
              </w:rPr>
              <w:t>A case file review is necessary to gather the facts needed to evaluate performance in relation to this observation. This observation will be a focus of next year’s on-site case file review during the FY 20</w:t>
            </w:r>
            <w:r>
              <w:rPr>
                <w:rFonts w:cs="Calibri"/>
              </w:rPr>
              <w:t>23</w:t>
            </w:r>
            <w:r w:rsidRPr="001C1E47">
              <w:rPr>
                <w:rFonts w:cs="Calibri"/>
              </w:rPr>
              <w:t xml:space="preserve"> comprehensive FAME.</w:t>
            </w:r>
            <w:r w:rsidRPr="001C1E47">
              <w:rPr>
                <w:rFonts w:cs="Calibri"/>
                <w:b/>
              </w:rPr>
              <w:t xml:space="preserve"> </w:t>
            </w:r>
          </w:p>
        </w:tc>
        <w:tc>
          <w:tcPr>
            <w:tcW w:w="1615" w:type="dxa"/>
          </w:tcPr>
          <w:p w14:paraId="1284EC7D" w14:textId="42ED7D1B" w:rsidR="00D4544C" w:rsidRPr="00406553" w:rsidRDefault="00D4544C" w:rsidP="00D4544C">
            <w:pPr>
              <w:widowControl/>
              <w:autoSpaceDE/>
              <w:autoSpaceDN/>
              <w:adjustRightInd/>
              <w:rPr>
                <w:rFonts w:cs="Calibri"/>
                <w:iCs/>
                <w:color w:val="0070C0"/>
              </w:rPr>
            </w:pPr>
            <w:r w:rsidRPr="00406553">
              <w:rPr>
                <w:rFonts w:cs="Calibri"/>
                <w:iCs/>
              </w:rPr>
              <w:t>Continued</w:t>
            </w:r>
          </w:p>
        </w:tc>
      </w:tr>
    </w:tbl>
    <w:p w14:paraId="66464679" w14:textId="2F86F67E" w:rsidR="004148C0" w:rsidRDefault="004148C0" w:rsidP="007A71AC">
      <w:pPr>
        <w:widowControl/>
        <w:autoSpaceDE/>
        <w:autoSpaceDN/>
        <w:adjustRightInd/>
        <w:rPr>
          <w:rFonts w:cs="Calibri"/>
          <w:b/>
          <w:iCs/>
          <w:color w:val="0070C0"/>
        </w:rPr>
      </w:pPr>
    </w:p>
    <w:p w14:paraId="67AB1C4F" w14:textId="77777777" w:rsidR="00A57DC7" w:rsidRPr="00476C08" w:rsidRDefault="00A57DC7" w:rsidP="007A71AC">
      <w:pPr>
        <w:widowControl/>
        <w:autoSpaceDE/>
        <w:autoSpaceDN/>
        <w:adjustRightInd/>
        <w:rPr>
          <w:rFonts w:cs="Calibri"/>
          <w:b/>
          <w:iCs/>
          <w:color w:val="0070C0"/>
        </w:rPr>
      </w:pPr>
    </w:p>
    <w:p w14:paraId="01176981" w14:textId="35D80729" w:rsidR="00747710" w:rsidRDefault="00747710" w:rsidP="000F63C1">
      <w:pPr>
        <w:pStyle w:val="Heading3"/>
        <w:numPr>
          <w:ilvl w:val="0"/>
          <w:numId w:val="0"/>
        </w:numPr>
      </w:pPr>
      <w:bookmarkStart w:id="32" w:name="_Toc118905019"/>
      <w:bookmarkStart w:id="33" w:name="_Toc119418671"/>
      <w:r w:rsidRPr="00747710">
        <w:lastRenderedPageBreak/>
        <w:t>Appendix C - Status of FY 20</w:t>
      </w:r>
      <w:r w:rsidR="00560E9C">
        <w:t>21</w:t>
      </w:r>
      <w:r w:rsidRPr="00747710">
        <w:t xml:space="preserve"> Findings and Recommendations</w:t>
      </w:r>
      <w:bookmarkEnd w:id="32"/>
      <w:bookmarkEnd w:id="33"/>
    </w:p>
    <w:p w14:paraId="45E6B5CB" w14:textId="2A69E90E" w:rsidR="005367D5" w:rsidRPr="00A57DC7" w:rsidRDefault="00747710" w:rsidP="00A57DC7">
      <w:r w:rsidRPr="00747710">
        <w:t>FY 2022</w:t>
      </w:r>
      <w:r w:rsidRPr="009A19D0">
        <w:t xml:space="preserve"> </w:t>
      </w:r>
      <w:r w:rsidR="009A19D0" w:rsidRPr="009A19D0">
        <w:t>South Carolina</w:t>
      </w:r>
      <w:r w:rsidRPr="00476C08">
        <w:rPr>
          <w:color w:val="0070C0"/>
        </w:rPr>
        <w:t xml:space="preserve"> </w:t>
      </w:r>
      <w:r w:rsidRPr="00747710">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255"/>
        <w:gridCol w:w="2070"/>
        <w:gridCol w:w="3240"/>
        <w:gridCol w:w="4050"/>
        <w:gridCol w:w="1440"/>
        <w:gridCol w:w="1530"/>
      </w:tblGrid>
      <w:tr w:rsidR="005367D5" w:rsidRPr="001C1E47" w14:paraId="04152CB8" w14:textId="77777777" w:rsidTr="0091579C">
        <w:trPr>
          <w:trHeight w:val="412"/>
        </w:trPr>
        <w:tc>
          <w:tcPr>
            <w:tcW w:w="1255" w:type="dxa"/>
          </w:tcPr>
          <w:p w14:paraId="0FAB4AA2" w14:textId="051BC974" w:rsidR="005367D5" w:rsidRPr="001C1E47" w:rsidRDefault="005367D5" w:rsidP="00D93CB3">
            <w:pPr>
              <w:rPr>
                <w:rFonts w:cs="Calibri"/>
                <w:b/>
              </w:rPr>
            </w:pPr>
            <w:r w:rsidRPr="001C1E47">
              <w:rPr>
                <w:rFonts w:cs="Calibri"/>
                <w:b/>
              </w:rPr>
              <w:t>FY 20</w:t>
            </w:r>
            <w:r w:rsidR="00A57DC7">
              <w:rPr>
                <w:rFonts w:cs="Calibri"/>
                <w:b/>
              </w:rPr>
              <w:t>21</w:t>
            </w:r>
            <w:r w:rsidRPr="001C1E47">
              <w:rPr>
                <w:rFonts w:cs="Calibri"/>
                <w:b/>
              </w:rPr>
              <w:t>-#</w:t>
            </w:r>
          </w:p>
        </w:tc>
        <w:tc>
          <w:tcPr>
            <w:tcW w:w="2070" w:type="dxa"/>
          </w:tcPr>
          <w:p w14:paraId="395AE41F" w14:textId="77777777" w:rsidR="005367D5" w:rsidRPr="001C1E47" w:rsidRDefault="005367D5" w:rsidP="00D93CB3">
            <w:pPr>
              <w:rPr>
                <w:rFonts w:cs="Calibri"/>
                <w:b/>
              </w:rPr>
            </w:pPr>
            <w:r w:rsidRPr="001C1E47">
              <w:rPr>
                <w:rFonts w:cs="Calibri"/>
                <w:b/>
              </w:rPr>
              <w:t>Finding</w:t>
            </w:r>
          </w:p>
        </w:tc>
        <w:tc>
          <w:tcPr>
            <w:tcW w:w="3240" w:type="dxa"/>
          </w:tcPr>
          <w:p w14:paraId="6EEE46BC" w14:textId="77777777" w:rsidR="005367D5" w:rsidRPr="001C1E47" w:rsidRDefault="005367D5" w:rsidP="00D93CB3">
            <w:pPr>
              <w:rPr>
                <w:rFonts w:cs="Calibri"/>
                <w:b/>
              </w:rPr>
            </w:pPr>
            <w:r w:rsidRPr="001C1E47">
              <w:rPr>
                <w:rFonts w:cs="Calibri"/>
                <w:b/>
              </w:rPr>
              <w:t>Recommendation</w:t>
            </w:r>
          </w:p>
        </w:tc>
        <w:tc>
          <w:tcPr>
            <w:tcW w:w="405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440" w:type="dxa"/>
          </w:tcPr>
          <w:p w14:paraId="5151BE67" w14:textId="77777777" w:rsidR="005367D5" w:rsidRPr="001C1E47" w:rsidRDefault="005367D5" w:rsidP="00D93CB3">
            <w:pPr>
              <w:rPr>
                <w:rFonts w:cs="Calibri"/>
                <w:b/>
              </w:rPr>
            </w:pPr>
            <w:r w:rsidRPr="001C1E47">
              <w:rPr>
                <w:rFonts w:cs="Calibri"/>
                <w:b/>
              </w:rPr>
              <w:t>Completion Date</w:t>
            </w:r>
          </w:p>
        </w:tc>
        <w:tc>
          <w:tcPr>
            <w:tcW w:w="153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136931" w:rsidRPr="001C1E47" w14:paraId="7244A508" w14:textId="77777777" w:rsidTr="0091579C">
        <w:trPr>
          <w:trHeight w:val="412"/>
        </w:trPr>
        <w:tc>
          <w:tcPr>
            <w:tcW w:w="1255" w:type="dxa"/>
          </w:tcPr>
          <w:p w14:paraId="3B6143AB" w14:textId="1A22B8A1" w:rsidR="00136931" w:rsidRPr="001C1E47" w:rsidRDefault="00136931" w:rsidP="0013693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bCs/>
                <w:sz w:val="22"/>
                <w:szCs w:val="22"/>
              </w:rPr>
            </w:pPr>
            <w:r>
              <w:t>Finding FY 2021-01</w:t>
            </w:r>
            <w:r w:rsidRPr="001C1E47">
              <w:rPr>
                <w:rFonts w:eastAsia="PMingLiU" w:cs="Calibri"/>
                <w:b/>
                <w:bCs/>
                <w:sz w:val="22"/>
                <w:szCs w:val="22"/>
              </w:rPr>
              <w:t> </w:t>
            </w:r>
          </w:p>
        </w:tc>
        <w:tc>
          <w:tcPr>
            <w:tcW w:w="2070" w:type="dxa"/>
          </w:tcPr>
          <w:p w14:paraId="1D6DD323" w14:textId="794DE400" w:rsidR="00136931" w:rsidRPr="001C1E47" w:rsidRDefault="00136931" w:rsidP="0013693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t>The percentage of health inspections (62.71%) that were in-compliance was higher than the FRL of 32.51% to 48.77% for health.</w:t>
            </w:r>
            <w:r w:rsidRPr="001C1E47">
              <w:rPr>
                <w:rFonts w:eastAsia="PMingLiU" w:cs="Calibri"/>
                <w:b/>
                <w:sz w:val="22"/>
                <w:szCs w:val="22"/>
              </w:rPr>
              <w:t> </w:t>
            </w:r>
          </w:p>
        </w:tc>
        <w:tc>
          <w:tcPr>
            <w:tcW w:w="3240" w:type="dxa"/>
          </w:tcPr>
          <w:p w14:paraId="19499B4B" w14:textId="1D64DE97" w:rsidR="00136931" w:rsidRPr="001C1E47" w:rsidRDefault="00136931" w:rsidP="00136931">
            <w:pPr>
              <w:tabs>
                <w:tab w:val="left" w:pos="0"/>
                <w:tab w:val="left" w:pos="225"/>
                <w:tab w:val="left" w:pos="412"/>
                <w:tab w:val="center" w:pos="1017"/>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t>Ensure inspection resources are spent in workplaces that are exposing workers to hazards by implementing corrective actions in the most hazardous worksites. Efforts should be focused on creating targeting lists and gaining entry to sites with the most hazards to best protect employees. Training should continue to address hazard recognition skills with health compliance staff.</w:t>
            </w:r>
            <w:r>
              <w:rPr>
                <w:rFonts w:eastAsia="PMingLiU" w:cs="Calibri"/>
                <w:b/>
                <w:sz w:val="22"/>
                <w:szCs w:val="22"/>
              </w:rPr>
              <w:tab/>
            </w:r>
            <w:r>
              <w:rPr>
                <w:rFonts w:eastAsia="PMingLiU" w:cs="Calibri"/>
                <w:b/>
                <w:sz w:val="22"/>
                <w:szCs w:val="22"/>
              </w:rPr>
              <w:tab/>
            </w:r>
            <w:r w:rsidRPr="001C1E47">
              <w:rPr>
                <w:rFonts w:eastAsia="PMingLiU" w:cs="Calibri"/>
                <w:b/>
                <w:sz w:val="22"/>
                <w:szCs w:val="22"/>
              </w:rPr>
              <w:t> </w:t>
            </w:r>
          </w:p>
        </w:tc>
        <w:tc>
          <w:tcPr>
            <w:tcW w:w="4050" w:type="dxa"/>
          </w:tcPr>
          <w:p w14:paraId="37D73ADA" w14:textId="19EEDFD2" w:rsidR="00136931" w:rsidRPr="00136931" w:rsidRDefault="00136931" w:rsidP="00136931">
            <w:pPr>
              <w:rPr>
                <w:rFonts w:eastAsia="PMingLiU"/>
              </w:rPr>
            </w:pPr>
            <w:r w:rsidRPr="00136931">
              <w:t xml:space="preserve">SC OSHA understands the need to respond to the FAME via the Corrective Action Plan (CAP); however, SC OSHA does not agree with this finding as it relates to effectiveness. Inspections were conducted according to SC OSHA’s high hazard planning guide and the number of unprogrammed inspections received. SC OSHA continues to review the NAICS that are assigned and determine which industries warrant enforcement, based on industry incidence rates. SC OSHA continues to provide additional training to CSHO’s to ensure that all potential violations are addressed.  </w:t>
            </w:r>
          </w:p>
        </w:tc>
        <w:tc>
          <w:tcPr>
            <w:tcW w:w="1440" w:type="dxa"/>
          </w:tcPr>
          <w:p w14:paraId="56F99649" w14:textId="77777777" w:rsidR="00136931" w:rsidRPr="001C1E47" w:rsidRDefault="00136931" w:rsidP="0013693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1530" w:type="dxa"/>
          </w:tcPr>
          <w:p w14:paraId="4007473C" w14:textId="4932B508" w:rsidR="00136931" w:rsidRPr="001C1E47" w:rsidRDefault="00136931" w:rsidP="0013693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t>Open- Continued for Health Inspections</w:t>
            </w:r>
            <w:r w:rsidRPr="001C1E47">
              <w:rPr>
                <w:rFonts w:eastAsia="PMingLiU" w:cs="Calibri"/>
                <w:b/>
                <w:sz w:val="22"/>
                <w:szCs w:val="22"/>
              </w:rPr>
              <w:t> </w:t>
            </w:r>
          </w:p>
        </w:tc>
      </w:tr>
      <w:tr w:rsidR="00136931" w:rsidRPr="001C1E47" w14:paraId="4703F521" w14:textId="77777777" w:rsidTr="0091579C">
        <w:trPr>
          <w:trHeight w:val="385"/>
        </w:trPr>
        <w:tc>
          <w:tcPr>
            <w:tcW w:w="1255" w:type="dxa"/>
          </w:tcPr>
          <w:p w14:paraId="4E7C14BF" w14:textId="6D3B7409" w:rsidR="00136931" w:rsidRPr="001C1E47" w:rsidRDefault="00136931" w:rsidP="0013693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bCs/>
                <w:sz w:val="22"/>
                <w:szCs w:val="22"/>
              </w:rPr>
            </w:pPr>
            <w:r>
              <w:t>Finding FY 2021-02</w:t>
            </w:r>
            <w:r w:rsidRPr="001C1E47">
              <w:rPr>
                <w:rFonts w:eastAsia="PMingLiU" w:cs="Calibri"/>
                <w:b/>
                <w:bCs/>
                <w:sz w:val="22"/>
                <w:szCs w:val="22"/>
              </w:rPr>
              <w:t> </w:t>
            </w:r>
          </w:p>
        </w:tc>
        <w:tc>
          <w:tcPr>
            <w:tcW w:w="2070" w:type="dxa"/>
          </w:tcPr>
          <w:p w14:paraId="0934D282" w14:textId="1FCAC142" w:rsidR="00136931" w:rsidRPr="001C1E47" w:rsidRDefault="00136931" w:rsidP="0013693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t>SC State Plan has failed to adopt OSHA’s initial FY 2016 maximum and minimum penalty increase and subsequent annual penalty amount increases.</w:t>
            </w:r>
            <w:r w:rsidRPr="001C1E47">
              <w:rPr>
                <w:rFonts w:eastAsia="PMingLiU" w:cs="Calibri"/>
                <w:b/>
                <w:sz w:val="22"/>
                <w:szCs w:val="22"/>
              </w:rPr>
              <w:t> </w:t>
            </w:r>
          </w:p>
        </w:tc>
        <w:tc>
          <w:tcPr>
            <w:tcW w:w="3240" w:type="dxa"/>
          </w:tcPr>
          <w:p w14:paraId="4A7C8703" w14:textId="361448BB" w:rsidR="00136931" w:rsidRPr="001C1E47" w:rsidRDefault="00136931" w:rsidP="0013693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t>SC OSHA should work with their state authorities to complete the legislative changes necessary to enable it to adopt maximum and minimum penalty amounts that are at least as effective as OSHA’s maximum and minimum penalty levels</w:t>
            </w:r>
            <w:r w:rsidRPr="001C1E47">
              <w:rPr>
                <w:rFonts w:eastAsia="PMingLiU" w:cs="Calibri"/>
                <w:b/>
                <w:sz w:val="22"/>
                <w:szCs w:val="22"/>
              </w:rPr>
              <w:t> </w:t>
            </w:r>
          </w:p>
        </w:tc>
        <w:tc>
          <w:tcPr>
            <w:tcW w:w="4050" w:type="dxa"/>
          </w:tcPr>
          <w:p w14:paraId="371E1C6C" w14:textId="48B17154" w:rsidR="00136931" w:rsidRPr="00A57DC7" w:rsidRDefault="00136931" w:rsidP="00136931">
            <w:pPr>
              <w:rPr>
                <w:rFonts w:asciiTheme="minorHAnsi" w:hAnsiTheme="minorHAnsi" w:cstheme="minorHAnsi"/>
              </w:rPr>
            </w:pPr>
            <w:r w:rsidRPr="00A57DC7">
              <w:rPr>
                <w:rFonts w:asciiTheme="minorHAnsi" w:eastAsia="PMingLiU" w:hAnsiTheme="minorHAnsi" w:cstheme="minorHAnsi"/>
                <w:b/>
                <w:sz w:val="22"/>
                <w:szCs w:val="22"/>
              </w:rPr>
              <w:t> </w:t>
            </w:r>
            <w:r w:rsidRPr="00A57DC7">
              <w:rPr>
                <w:rFonts w:asciiTheme="minorHAnsi" w:hAnsiTheme="minorHAnsi" w:cstheme="minorHAnsi"/>
              </w:rPr>
              <w:t xml:space="preserve">As to the specific finding regarding failure to adopt the increase in penalties, SC OSHA is </w:t>
            </w:r>
            <w:r w:rsidR="00981EFE">
              <w:rPr>
                <w:rFonts w:asciiTheme="minorHAnsi" w:hAnsiTheme="minorHAnsi" w:cstheme="minorHAnsi"/>
              </w:rPr>
              <w:t>working with their state authorities.</w:t>
            </w:r>
          </w:p>
          <w:p w14:paraId="26546A5D" w14:textId="19352E08" w:rsidR="00136931" w:rsidRPr="00A57DC7" w:rsidRDefault="00136931" w:rsidP="0013693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PMingLiU" w:hAnsiTheme="minorHAnsi" w:cstheme="minorHAnsi"/>
                <w:b/>
                <w:sz w:val="22"/>
                <w:szCs w:val="22"/>
              </w:rPr>
            </w:pPr>
          </w:p>
        </w:tc>
        <w:tc>
          <w:tcPr>
            <w:tcW w:w="1440" w:type="dxa"/>
          </w:tcPr>
          <w:p w14:paraId="0F813752" w14:textId="77777777" w:rsidR="00136931" w:rsidRPr="001C1E47" w:rsidRDefault="00136931" w:rsidP="0013693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1530" w:type="dxa"/>
          </w:tcPr>
          <w:p w14:paraId="255C0D05" w14:textId="6C7044F7" w:rsidR="00136931" w:rsidRPr="00FD2987" w:rsidRDefault="00136931" w:rsidP="0013693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sz w:val="22"/>
                <w:szCs w:val="22"/>
              </w:rPr>
            </w:pPr>
            <w:r w:rsidRPr="00FD2987">
              <w:rPr>
                <w:rFonts w:eastAsia="PMingLiU" w:cs="Calibri"/>
                <w:bCs/>
                <w:sz w:val="22"/>
                <w:szCs w:val="22"/>
              </w:rPr>
              <w:t>Open</w:t>
            </w:r>
          </w:p>
          <w:p w14:paraId="6B340DD8" w14:textId="18EBB3C3" w:rsidR="00136931" w:rsidRPr="001C1E47" w:rsidRDefault="00136931" w:rsidP="0013693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r>
    </w:tbl>
    <w:p w14:paraId="5A163C8E" w14:textId="61C09D63" w:rsidR="000A134A" w:rsidRPr="008164E8" w:rsidRDefault="000A134A" w:rsidP="008164E8">
      <w:pPr>
        <w:widowControl/>
        <w:tabs>
          <w:tab w:val="left" w:pos="630"/>
        </w:tabs>
        <w:autoSpaceDE/>
        <w:autoSpaceDN/>
        <w:adjustRightInd/>
        <w:ind w:left="720" w:hanging="360"/>
        <w:rPr>
          <w:rFonts w:cs="Calibri"/>
          <w:iCs/>
          <w:color w:val="0070C0"/>
        </w:rPr>
        <w:sectPr w:rsidR="000A134A" w:rsidRPr="008164E8" w:rsidSect="00476C08">
          <w:headerReference w:type="default" r:id="rId13"/>
          <w:headerReference w:type="first" r:id="rId14"/>
          <w:footerReference w:type="first" r:id="rId15"/>
          <w:pgSz w:w="15840" w:h="12240" w:orient="landscape"/>
          <w:pgMar w:top="1440" w:right="1440" w:bottom="1440" w:left="1440" w:header="630" w:footer="720" w:gutter="0"/>
          <w:cols w:space="720"/>
          <w:titlePg/>
          <w:docGrid w:linePitch="360"/>
        </w:sectPr>
      </w:pPr>
    </w:p>
    <w:p w14:paraId="1B0B407C" w14:textId="77777777" w:rsidR="00690C0D" w:rsidRPr="00D93CB3" w:rsidRDefault="00690C0D" w:rsidP="000F63C1">
      <w:pPr>
        <w:pStyle w:val="Heading3"/>
        <w:numPr>
          <w:ilvl w:val="0"/>
          <w:numId w:val="0"/>
        </w:numPr>
        <w:rPr>
          <w:color w:val="0070C0"/>
        </w:rPr>
      </w:pPr>
      <w:bookmarkStart w:id="34" w:name="_Toc119418672"/>
      <w:r w:rsidRPr="00D93CB3">
        <w:lastRenderedPageBreak/>
        <w:t xml:space="preserve">Appendix D – </w:t>
      </w:r>
      <w:bookmarkStart w:id="35" w:name="_Hlk119349018"/>
      <w:r w:rsidRPr="00D93CB3">
        <w:t>FY 2022 State Activity Mandated Measures (SAMM) Report</w:t>
      </w:r>
      <w:bookmarkEnd w:id="34"/>
      <w:bookmarkEnd w:id="35"/>
    </w:p>
    <w:p w14:paraId="19B594E3" w14:textId="7EC4166A" w:rsidR="00690C0D" w:rsidRPr="000767C0" w:rsidRDefault="00690C0D" w:rsidP="00476C08">
      <w:pPr>
        <w:pStyle w:val="Header"/>
      </w:pPr>
      <w:r w:rsidRPr="00042327">
        <w:t xml:space="preserve">FY </w:t>
      </w:r>
      <w:r>
        <w:t>2022</w:t>
      </w:r>
      <w:r w:rsidRPr="00042327">
        <w:t xml:space="preserve"> </w:t>
      </w:r>
      <w:r w:rsidR="009A19D0">
        <w:t>South Carolina</w:t>
      </w:r>
      <w:r w:rsidRPr="00476C08">
        <w:rPr>
          <w:color w:val="0070C0"/>
        </w:rPr>
        <w:t xml:space="preserve">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1"/>
        <w:tblW w:w="10350" w:type="dxa"/>
        <w:tblInd w:w="-365" w:type="dxa"/>
        <w:tblLook w:val="06A0" w:firstRow="1" w:lastRow="0" w:firstColumn="1" w:lastColumn="0" w:noHBand="1" w:noVBand="1"/>
        <w:tblCaption w:val="FY 20XX SAMM Report"/>
        <w:tblDescription w:val="Appendix D"/>
      </w:tblPr>
      <w:tblGrid>
        <w:gridCol w:w="1034"/>
        <w:gridCol w:w="2206"/>
        <w:gridCol w:w="1289"/>
        <w:gridCol w:w="1411"/>
        <w:gridCol w:w="4410"/>
      </w:tblGrid>
      <w:tr w:rsidR="009F3F8A" w:rsidRPr="004E492F" w14:paraId="511C0BBA" w14:textId="77777777" w:rsidTr="213997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27219EAB"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000000"/>
              </w:rPr>
            </w:pPr>
            <w:r w:rsidRPr="004E492F">
              <w:rPr>
                <w:rFonts w:eastAsia="PMingLiU" w:cs="Calibri"/>
                <w:color w:val="000000"/>
              </w:rPr>
              <w:t>SAMM Number</w:t>
            </w:r>
          </w:p>
        </w:tc>
        <w:tc>
          <w:tcPr>
            <w:tcW w:w="2206" w:type="dxa"/>
            <w:tcBorders>
              <w:left w:val="single" w:sz="4" w:space="0" w:color="000000" w:themeColor="text1"/>
              <w:right w:val="single" w:sz="4" w:space="0" w:color="000000" w:themeColor="text1"/>
            </w:tcBorders>
            <w:shd w:val="clear" w:color="auto" w:fill="auto"/>
          </w:tcPr>
          <w:p w14:paraId="4FD0DE4E"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4E492F">
              <w:rPr>
                <w:rFonts w:eastAsia="PMingLiU" w:cs="Calibri"/>
                <w:color w:val="000000"/>
              </w:rPr>
              <w:t>SAMM Name</w:t>
            </w:r>
          </w:p>
        </w:tc>
        <w:tc>
          <w:tcPr>
            <w:tcW w:w="1289" w:type="dxa"/>
            <w:tcBorders>
              <w:left w:val="single" w:sz="4" w:space="0" w:color="000000" w:themeColor="text1"/>
              <w:right w:val="single" w:sz="4" w:space="0" w:color="000000" w:themeColor="text1"/>
            </w:tcBorders>
            <w:shd w:val="clear" w:color="auto" w:fill="auto"/>
          </w:tcPr>
          <w:p w14:paraId="1AED3D8D"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4E492F">
              <w:rPr>
                <w:rFonts w:eastAsia="PMingLiU" w:cs="Calibri"/>
                <w:color w:val="000000"/>
              </w:rPr>
              <w:t>State Plan Data</w:t>
            </w:r>
          </w:p>
        </w:tc>
        <w:tc>
          <w:tcPr>
            <w:tcW w:w="1411" w:type="dxa"/>
            <w:tcBorders>
              <w:left w:val="single" w:sz="4" w:space="0" w:color="000000" w:themeColor="text1"/>
              <w:right w:val="single" w:sz="4" w:space="0" w:color="000000" w:themeColor="text1"/>
            </w:tcBorders>
            <w:shd w:val="clear" w:color="auto" w:fill="auto"/>
          </w:tcPr>
          <w:p w14:paraId="1A5F18E6" w14:textId="77777777" w:rsidR="009F3F8A" w:rsidRPr="004E492F" w:rsidRDefault="009F3F8A" w:rsidP="157F7C7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21399711">
              <w:rPr>
                <w:rFonts w:eastAsia="PMingLiU" w:cs="Calibri"/>
                <w:color w:val="000000" w:themeColor="text1"/>
              </w:rPr>
              <w:t>Further Review Level</w:t>
            </w:r>
          </w:p>
        </w:tc>
        <w:tc>
          <w:tcPr>
            <w:tcW w:w="4410" w:type="dxa"/>
            <w:tcBorders>
              <w:left w:val="single" w:sz="4" w:space="0" w:color="000000" w:themeColor="text1"/>
            </w:tcBorders>
            <w:shd w:val="clear" w:color="auto" w:fill="auto"/>
          </w:tcPr>
          <w:p w14:paraId="4D4AFEC1"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4E492F">
              <w:rPr>
                <w:rFonts w:eastAsia="PMingLiU" w:cs="Calibri"/>
                <w:color w:val="000000"/>
              </w:rPr>
              <w:t>Notes</w:t>
            </w:r>
          </w:p>
        </w:tc>
      </w:tr>
      <w:tr w:rsidR="009F3F8A" w:rsidRPr="004E492F" w14:paraId="15CC329D"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3BFAC1B3"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1a</w:t>
            </w:r>
          </w:p>
        </w:tc>
        <w:tc>
          <w:tcPr>
            <w:tcW w:w="2206" w:type="dxa"/>
          </w:tcPr>
          <w:p w14:paraId="1DE5D5C8" w14:textId="2CAFD1EA"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Average number of </w:t>
            </w:r>
            <w:r w:rsidR="001B7D0B" w:rsidRPr="00EE16A8">
              <w:rPr>
                <w:rFonts w:asciiTheme="minorHAnsi" w:hAnsiTheme="minorHAnsi" w:cstheme="minorHAnsi"/>
              </w:rPr>
              <w:t>workdays</w:t>
            </w:r>
            <w:r w:rsidRPr="00EE16A8">
              <w:rPr>
                <w:rFonts w:asciiTheme="minorHAnsi" w:hAnsiTheme="minorHAnsi" w:cstheme="minorHAnsi"/>
              </w:rPr>
              <w:t xml:space="preserve"> to initiate complaint inspections (state formula)</w:t>
            </w:r>
          </w:p>
        </w:tc>
        <w:tc>
          <w:tcPr>
            <w:tcW w:w="1289" w:type="dxa"/>
          </w:tcPr>
          <w:p w14:paraId="154726C3"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19.97</w:t>
            </w:r>
          </w:p>
        </w:tc>
        <w:tc>
          <w:tcPr>
            <w:tcW w:w="1411" w:type="dxa"/>
          </w:tcPr>
          <w:p w14:paraId="65A6B6CB"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7</w:t>
            </w:r>
          </w:p>
        </w:tc>
        <w:tc>
          <w:tcPr>
            <w:tcW w:w="4410" w:type="dxa"/>
          </w:tcPr>
          <w:p w14:paraId="47BF6D2D"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negotiated by OSHA and the State Plan.</w:t>
            </w:r>
          </w:p>
        </w:tc>
      </w:tr>
      <w:tr w:rsidR="009F3F8A" w:rsidRPr="004E492F" w14:paraId="253518DF"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55BE6DA7"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1b</w:t>
            </w:r>
          </w:p>
        </w:tc>
        <w:tc>
          <w:tcPr>
            <w:tcW w:w="2206" w:type="dxa"/>
          </w:tcPr>
          <w:p w14:paraId="0581777D" w14:textId="6AE8AEA8"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Average number of </w:t>
            </w:r>
            <w:r w:rsidR="001B7D0B" w:rsidRPr="00EE16A8">
              <w:rPr>
                <w:rFonts w:asciiTheme="minorHAnsi" w:hAnsiTheme="minorHAnsi" w:cstheme="minorHAnsi"/>
              </w:rPr>
              <w:t>workdays</w:t>
            </w:r>
            <w:r w:rsidRPr="00EE16A8">
              <w:rPr>
                <w:rFonts w:asciiTheme="minorHAnsi" w:hAnsiTheme="minorHAnsi" w:cstheme="minorHAnsi"/>
              </w:rPr>
              <w:t xml:space="preserve"> to initiate complaint inspections (federal formula)</w:t>
            </w:r>
          </w:p>
        </w:tc>
        <w:tc>
          <w:tcPr>
            <w:tcW w:w="1289" w:type="dxa"/>
          </w:tcPr>
          <w:p w14:paraId="52D1A564"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6.91</w:t>
            </w:r>
          </w:p>
        </w:tc>
        <w:tc>
          <w:tcPr>
            <w:tcW w:w="1411" w:type="dxa"/>
          </w:tcPr>
          <w:p w14:paraId="4FC2C2E5"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N/A</w:t>
            </w:r>
          </w:p>
        </w:tc>
        <w:tc>
          <w:tcPr>
            <w:tcW w:w="4410" w:type="dxa"/>
          </w:tcPr>
          <w:p w14:paraId="7DBBB5A9"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This measure is for informational purposes only and is not a mandated measure.</w:t>
            </w:r>
          </w:p>
        </w:tc>
      </w:tr>
      <w:tr w:rsidR="009F3F8A" w:rsidRPr="004E492F" w14:paraId="15113247"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0107DBE3"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2a</w:t>
            </w:r>
          </w:p>
        </w:tc>
        <w:tc>
          <w:tcPr>
            <w:tcW w:w="2206" w:type="dxa"/>
          </w:tcPr>
          <w:p w14:paraId="258B41C6" w14:textId="2BA0DF60"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Average number of </w:t>
            </w:r>
            <w:r w:rsidR="001B7D0B" w:rsidRPr="00EE16A8">
              <w:rPr>
                <w:rFonts w:asciiTheme="minorHAnsi" w:hAnsiTheme="minorHAnsi" w:cstheme="minorHAnsi"/>
              </w:rPr>
              <w:t>workdays</w:t>
            </w:r>
            <w:r w:rsidRPr="00EE16A8">
              <w:rPr>
                <w:rFonts w:asciiTheme="minorHAnsi" w:hAnsiTheme="minorHAnsi" w:cstheme="minorHAnsi"/>
              </w:rPr>
              <w:t xml:space="preserve"> to initiate complaint investigations (state formula)</w:t>
            </w:r>
          </w:p>
        </w:tc>
        <w:tc>
          <w:tcPr>
            <w:tcW w:w="1289" w:type="dxa"/>
          </w:tcPr>
          <w:p w14:paraId="6A670625"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18.43</w:t>
            </w:r>
          </w:p>
        </w:tc>
        <w:tc>
          <w:tcPr>
            <w:tcW w:w="1411" w:type="dxa"/>
          </w:tcPr>
          <w:p w14:paraId="0D63AE25"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5</w:t>
            </w:r>
          </w:p>
        </w:tc>
        <w:tc>
          <w:tcPr>
            <w:tcW w:w="4410" w:type="dxa"/>
          </w:tcPr>
          <w:p w14:paraId="441C846D"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negotiated by OSHA and the State Plan.</w:t>
            </w:r>
          </w:p>
        </w:tc>
      </w:tr>
      <w:tr w:rsidR="009F3F8A" w:rsidRPr="004E492F" w14:paraId="5F13F0B2"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4FC277C1"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2b</w:t>
            </w:r>
          </w:p>
        </w:tc>
        <w:tc>
          <w:tcPr>
            <w:tcW w:w="2206" w:type="dxa"/>
          </w:tcPr>
          <w:p w14:paraId="7278F629" w14:textId="64BC2E9A"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Average number of </w:t>
            </w:r>
            <w:r w:rsidR="001B7D0B" w:rsidRPr="00EE16A8">
              <w:rPr>
                <w:rFonts w:asciiTheme="minorHAnsi" w:hAnsiTheme="minorHAnsi" w:cstheme="minorHAnsi"/>
              </w:rPr>
              <w:t>workdays</w:t>
            </w:r>
            <w:r w:rsidRPr="00EE16A8">
              <w:rPr>
                <w:rFonts w:asciiTheme="minorHAnsi" w:hAnsiTheme="minorHAnsi" w:cstheme="minorHAnsi"/>
              </w:rPr>
              <w:t xml:space="preserve"> to initiate complaint investigations (federal formula)</w:t>
            </w:r>
          </w:p>
        </w:tc>
        <w:tc>
          <w:tcPr>
            <w:tcW w:w="1289" w:type="dxa"/>
          </w:tcPr>
          <w:p w14:paraId="258874F0"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2.38</w:t>
            </w:r>
          </w:p>
        </w:tc>
        <w:tc>
          <w:tcPr>
            <w:tcW w:w="1411" w:type="dxa"/>
          </w:tcPr>
          <w:p w14:paraId="7EFAE058"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N/A</w:t>
            </w:r>
          </w:p>
        </w:tc>
        <w:tc>
          <w:tcPr>
            <w:tcW w:w="4410" w:type="dxa"/>
          </w:tcPr>
          <w:p w14:paraId="797D82E8"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This measure is for informational purposes only and is not a mandated measure.</w:t>
            </w:r>
          </w:p>
        </w:tc>
      </w:tr>
      <w:tr w:rsidR="009F3F8A" w:rsidRPr="004E492F" w14:paraId="5DBD0986"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1B05C498"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3</w:t>
            </w:r>
          </w:p>
        </w:tc>
        <w:tc>
          <w:tcPr>
            <w:tcW w:w="2206" w:type="dxa"/>
          </w:tcPr>
          <w:p w14:paraId="4753AC39"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Percent of complaints and referrals responded to within one workday (imminent danger)</w:t>
            </w:r>
          </w:p>
        </w:tc>
        <w:tc>
          <w:tcPr>
            <w:tcW w:w="1289" w:type="dxa"/>
          </w:tcPr>
          <w:p w14:paraId="7002D89A"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1411" w:type="dxa"/>
          </w:tcPr>
          <w:p w14:paraId="383C7A3E"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100%</w:t>
            </w:r>
          </w:p>
        </w:tc>
        <w:tc>
          <w:tcPr>
            <w:tcW w:w="4410" w:type="dxa"/>
          </w:tcPr>
          <w:p w14:paraId="032A5E64" w14:textId="77777777" w:rsidR="009F3F8A"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39AB">
              <w:rPr>
                <w:rFonts w:asciiTheme="minorHAnsi" w:hAnsiTheme="minorHAnsi" w:cstheme="minorHAnsi"/>
              </w:rPr>
              <w:t>N/A – The State Plan did not receive any imminent danger complaints or referrals in FY 2022.</w:t>
            </w:r>
          </w:p>
          <w:p w14:paraId="0B73C8D8" w14:textId="77777777" w:rsidR="009F3F8A"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3ECC7E1"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fixed for all State Plans.</w:t>
            </w:r>
          </w:p>
        </w:tc>
      </w:tr>
      <w:tr w:rsidR="009F3F8A" w:rsidRPr="004E492F" w14:paraId="45E0812C"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382341E8"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4</w:t>
            </w:r>
          </w:p>
        </w:tc>
        <w:tc>
          <w:tcPr>
            <w:tcW w:w="2206" w:type="dxa"/>
          </w:tcPr>
          <w:p w14:paraId="3BA42E29"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Number of denials where entry not obtained</w:t>
            </w:r>
          </w:p>
        </w:tc>
        <w:tc>
          <w:tcPr>
            <w:tcW w:w="1289" w:type="dxa"/>
          </w:tcPr>
          <w:p w14:paraId="248B9C4F"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w:t>
            </w:r>
          </w:p>
        </w:tc>
        <w:tc>
          <w:tcPr>
            <w:tcW w:w="1411" w:type="dxa"/>
          </w:tcPr>
          <w:p w14:paraId="1AF84C22"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0</w:t>
            </w:r>
          </w:p>
        </w:tc>
        <w:tc>
          <w:tcPr>
            <w:tcW w:w="4410" w:type="dxa"/>
          </w:tcPr>
          <w:p w14:paraId="428D6821"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fixed for all State Plans.</w:t>
            </w:r>
          </w:p>
        </w:tc>
      </w:tr>
      <w:tr w:rsidR="009F3F8A" w:rsidRPr="004E492F" w14:paraId="3B5B192B" w14:textId="77777777" w:rsidTr="21399711">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50C83DE4"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5a</w:t>
            </w:r>
          </w:p>
        </w:tc>
        <w:tc>
          <w:tcPr>
            <w:tcW w:w="2206" w:type="dxa"/>
          </w:tcPr>
          <w:p w14:paraId="2CFB238E"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Average number of violations per inspection with violations by violation type (SWRU)</w:t>
            </w:r>
          </w:p>
        </w:tc>
        <w:tc>
          <w:tcPr>
            <w:tcW w:w="1289" w:type="dxa"/>
          </w:tcPr>
          <w:p w14:paraId="398FBC41"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2.11</w:t>
            </w:r>
          </w:p>
        </w:tc>
        <w:tc>
          <w:tcPr>
            <w:tcW w:w="1411" w:type="dxa"/>
          </w:tcPr>
          <w:p w14:paraId="5A35CFE5"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5D756C91"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1.77</w:t>
            </w:r>
          </w:p>
          <w:p w14:paraId="7CD2D17C"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3EBB87F2"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 xml:space="preserve">The further review level is based on a three-year national average.  The range of acceptable data not requiring further review is from 1.42 to 2.12 for SWRU. </w:t>
            </w:r>
          </w:p>
        </w:tc>
      </w:tr>
      <w:tr w:rsidR="009F3F8A" w:rsidRPr="004E492F" w14:paraId="26C753FA"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30E160B0"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5b</w:t>
            </w:r>
          </w:p>
        </w:tc>
        <w:tc>
          <w:tcPr>
            <w:tcW w:w="2206" w:type="dxa"/>
          </w:tcPr>
          <w:p w14:paraId="51470026"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Average number of violations per </w:t>
            </w:r>
            <w:r w:rsidRPr="00EE16A8">
              <w:rPr>
                <w:rFonts w:asciiTheme="minorHAnsi" w:hAnsiTheme="minorHAnsi" w:cstheme="minorHAnsi"/>
              </w:rPr>
              <w:lastRenderedPageBreak/>
              <w:t>inspection with violations by violation type (other)</w:t>
            </w:r>
          </w:p>
        </w:tc>
        <w:tc>
          <w:tcPr>
            <w:tcW w:w="1289" w:type="dxa"/>
          </w:tcPr>
          <w:p w14:paraId="2BDDA532"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lastRenderedPageBreak/>
              <w:t>0.43</w:t>
            </w:r>
          </w:p>
        </w:tc>
        <w:tc>
          <w:tcPr>
            <w:tcW w:w="1411" w:type="dxa"/>
          </w:tcPr>
          <w:p w14:paraId="71173E83"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23C60F25"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0.90</w:t>
            </w:r>
          </w:p>
        </w:tc>
        <w:tc>
          <w:tcPr>
            <w:tcW w:w="4410" w:type="dxa"/>
          </w:tcPr>
          <w:p w14:paraId="003FB31F"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 xml:space="preserve">The further review level is based on a three-year national average.  The range of </w:t>
            </w:r>
            <w:r w:rsidRPr="00EE16A8">
              <w:rPr>
                <w:rFonts w:asciiTheme="minorHAnsi" w:eastAsia="PMingLiU" w:hAnsiTheme="minorHAnsi" w:cstheme="minorHAnsi"/>
              </w:rPr>
              <w:lastRenderedPageBreak/>
              <w:t>acceptable data not requiring further review is from 0.72 to 1.08 for OTS.</w:t>
            </w:r>
          </w:p>
        </w:tc>
      </w:tr>
      <w:tr w:rsidR="009F3F8A" w:rsidRPr="004E492F" w14:paraId="79B7CC38"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47ED5BA3"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lastRenderedPageBreak/>
              <w:t>6</w:t>
            </w:r>
          </w:p>
        </w:tc>
        <w:tc>
          <w:tcPr>
            <w:tcW w:w="2206" w:type="dxa"/>
          </w:tcPr>
          <w:p w14:paraId="77E15ED1"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Percent of total inspections in state and local government workplaces</w:t>
            </w:r>
          </w:p>
        </w:tc>
        <w:tc>
          <w:tcPr>
            <w:tcW w:w="1289" w:type="dxa"/>
          </w:tcPr>
          <w:p w14:paraId="1BFF79A1"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3.14</w:t>
            </w:r>
            <w:r w:rsidRPr="00EE16A8">
              <w:rPr>
                <w:rFonts w:asciiTheme="minorHAnsi" w:hAnsiTheme="minorHAnsi" w:cstheme="minorHAnsi"/>
              </w:rPr>
              <w:t>%</w:t>
            </w:r>
          </w:p>
        </w:tc>
        <w:tc>
          <w:tcPr>
            <w:tcW w:w="1411" w:type="dxa"/>
          </w:tcPr>
          <w:p w14:paraId="32E9D926"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+/- 5% of</w:t>
            </w:r>
          </w:p>
          <w:p w14:paraId="503C6178"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3.95</w:t>
            </w:r>
            <w:r w:rsidRPr="00EE16A8">
              <w:rPr>
                <w:rFonts w:asciiTheme="minorHAnsi" w:hAnsiTheme="minorHAnsi" w:cstheme="minorHAnsi"/>
              </w:rPr>
              <w:t>%</w:t>
            </w:r>
          </w:p>
        </w:tc>
        <w:tc>
          <w:tcPr>
            <w:tcW w:w="4410" w:type="dxa"/>
          </w:tcPr>
          <w:p w14:paraId="37740A31"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 xml:space="preserve">The further review level is based on a number negotiated by OSHA and the State Plan through the grant application.  The range of acceptable data not requiring further review is from </w:t>
            </w:r>
            <w:r>
              <w:rPr>
                <w:rFonts w:asciiTheme="minorHAnsi" w:eastAsia="PMingLiU" w:hAnsiTheme="minorHAnsi" w:cstheme="minorHAnsi"/>
              </w:rPr>
              <w:t>3.75</w:t>
            </w:r>
            <w:r w:rsidRPr="00EE16A8">
              <w:rPr>
                <w:rFonts w:asciiTheme="minorHAnsi" w:eastAsia="PMingLiU" w:hAnsiTheme="minorHAnsi" w:cstheme="minorHAnsi"/>
              </w:rPr>
              <w:t xml:space="preserve">% to </w:t>
            </w:r>
            <w:r>
              <w:rPr>
                <w:rFonts w:asciiTheme="minorHAnsi" w:eastAsia="PMingLiU" w:hAnsiTheme="minorHAnsi" w:cstheme="minorHAnsi"/>
              </w:rPr>
              <w:t>4.14</w:t>
            </w:r>
            <w:r w:rsidRPr="00EE16A8">
              <w:rPr>
                <w:rFonts w:asciiTheme="minorHAnsi" w:eastAsia="PMingLiU" w:hAnsiTheme="minorHAnsi" w:cstheme="minorHAnsi"/>
              </w:rPr>
              <w:t>%.</w:t>
            </w:r>
          </w:p>
        </w:tc>
      </w:tr>
      <w:tr w:rsidR="009F3F8A" w:rsidRPr="004E492F" w14:paraId="67AA8960"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1B22790E"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7a</w:t>
            </w:r>
          </w:p>
        </w:tc>
        <w:tc>
          <w:tcPr>
            <w:tcW w:w="2206" w:type="dxa"/>
          </w:tcPr>
          <w:p w14:paraId="148AD98B"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Planned v. actual inspections (safety)</w:t>
            </w:r>
          </w:p>
        </w:tc>
        <w:tc>
          <w:tcPr>
            <w:tcW w:w="1289" w:type="dxa"/>
          </w:tcPr>
          <w:p w14:paraId="2DC8599A"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210</w:t>
            </w:r>
          </w:p>
        </w:tc>
        <w:tc>
          <w:tcPr>
            <w:tcW w:w="1411" w:type="dxa"/>
          </w:tcPr>
          <w:p w14:paraId="7A2233F2"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+/- 5% of </w:t>
            </w:r>
          </w:p>
          <w:p w14:paraId="0D2FC44D"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300</w:t>
            </w:r>
          </w:p>
        </w:tc>
        <w:tc>
          <w:tcPr>
            <w:tcW w:w="4410" w:type="dxa"/>
          </w:tcPr>
          <w:p w14:paraId="7C8A7B56"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The further review level is based on a number negotiated by OSHA and the State Plan through the grant application.  The range of acceptable data not requiring further review is from </w:t>
            </w:r>
            <w:r>
              <w:rPr>
                <w:rFonts w:asciiTheme="minorHAnsi" w:hAnsiTheme="minorHAnsi" w:cstheme="minorHAnsi"/>
              </w:rPr>
              <w:t>285</w:t>
            </w:r>
            <w:r w:rsidRPr="00EE16A8">
              <w:rPr>
                <w:rFonts w:asciiTheme="minorHAnsi" w:hAnsiTheme="minorHAnsi" w:cstheme="minorHAnsi"/>
              </w:rPr>
              <w:t xml:space="preserve"> to </w:t>
            </w:r>
            <w:r>
              <w:rPr>
                <w:rFonts w:asciiTheme="minorHAnsi" w:hAnsiTheme="minorHAnsi" w:cstheme="minorHAnsi"/>
              </w:rPr>
              <w:t>315</w:t>
            </w:r>
            <w:r w:rsidRPr="00EE16A8">
              <w:rPr>
                <w:rFonts w:asciiTheme="minorHAnsi" w:hAnsiTheme="minorHAnsi" w:cstheme="minorHAnsi"/>
              </w:rPr>
              <w:t xml:space="preserve"> for safety.</w:t>
            </w:r>
          </w:p>
        </w:tc>
      </w:tr>
      <w:tr w:rsidR="009F3F8A" w:rsidRPr="004E492F" w14:paraId="74E3033D"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146520E3"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7b</w:t>
            </w:r>
          </w:p>
        </w:tc>
        <w:tc>
          <w:tcPr>
            <w:tcW w:w="2206" w:type="dxa"/>
          </w:tcPr>
          <w:p w14:paraId="06AB655B"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Planned v. actual inspections (health)</w:t>
            </w:r>
          </w:p>
        </w:tc>
        <w:tc>
          <w:tcPr>
            <w:tcW w:w="1289" w:type="dxa"/>
          </w:tcPr>
          <w:p w14:paraId="785C1312"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77</w:t>
            </w:r>
          </w:p>
        </w:tc>
        <w:tc>
          <w:tcPr>
            <w:tcW w:w="1411" w:type="dxa"/>
          </w:tcPr>
          <w:p w14:paraId="7F549086"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+/- 5% of </w:t>
            </w:r>
          </w:p>
          <w:p w14:paraId="6A394F9A"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80</w:t>
            </w:r>
          </w:p>
        </w:tc>
        <w:tc>
          <w:tcPr>
            <w:tcW w:w="4410" w:type="dxa"/>
          </w:tcPr>
          <w:p w14:paraId="33AFA894"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The further review level is based on a number negotiated by OSHA and the State Plan through the grant application.  The range of acceptable data not requiring further review is from </w:t>
            </w:r>
            <w:r>
              <w:rPr>
                <w:rFonts w:asciiTheme="minorHAnsi" w:hAnsiTheme="minorHAnsi" w:cstheme="minorHAnsi"/>
              </w:rPr>
              <w:t>76</w:t>
            </w:r>
            <w:r w:rsidRPr="00EE16A8">
              <w:rPr>
                <w:rFonts w:asciiTheme="minorHAnsi" w:hAnsiTheme="minorHAnsi" w:cstheme="minorHAnsi"/>
              </w:rPr>
              <w:t xml:space="preserve"> to </w:t>
            </w:r>
            <w:r>
              <w:rPr>
                <w:rFonts w:asciiTheme="minorHAnsi" w:hAnsiTheme="minorHAnsi" w:cstheme="minorHAnsi"/>
              </w:rPr>
              <w:t>84</w:t>
            </w:r>
            <w:r w:rsidRPr="00EE16A8">
              <w:rPr>
                <w:rFonts w:asciiTheme="minorHAnsi" w:hAnsiTheme="minorHAnsi" w:cstheme="minorHAnsi"/>
              </w:rPr>
              <w:t xml:space="preserve"> for health.</w:t>
            </w:r>
          </w:p>
        </w:tc>
      </w:tr>
      <w:tr w:rsidR="009F3F8A" w:rsidRPr="004E492F" w14:paraId="7F1A006A"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44003452"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8</w:t>
            </w:r>
          </w:p>
        </w:tc>
        <w:tc>
          <w:tcPr>
            <w:tcW w:w="2206" w:type="dxa"/>
          </w:tcPr>
          <w:p w14:paraId="56E3FCB0"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Average current serious penalty in private sector - total (1 to greater than 250 workers)</w:t>
            </w:r>
          </w:p>
        </w:tc>
        <w:tc>
          <w:tcPr>
            <w:tcW w:w="1289" w:type="dxa"/>
          </w:tcPr>
          <w:p w14:paraId="0361D00C"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739AB">
              <w:rPr>
                <w:rFonts w:asciiTheme="minorHAnsi" w:eastAsia="PMingLiU" w:hAnsiTheme="minorHAnsi" w:cstheme="minorHAnsi"/>
              </w:rPr>
              <w:t>$2,018.68</w:t>
            </w:r>
          </w:p>
        </w:tc>
        <w:tc>
          <w:tcPr>
            <w:tcW w:w="1411" w:type="dxa"/>
          </w:tcPr>
          <w:p w14:paraId="5A77033F"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22C46C25"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$3,259.35</w:t>
            </w:r>
          </w:p>
          <w:p w14:paraId="64757C44"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0A2D18B8" w14:textId="77777777" w:rsidR="009F3F8A" w:rsidRPr="00EE16A8" w:rsidRDefault="009F3F8A" w:rsidP="009A31C9">
            <w:pPr>
              <w:ind w:right="13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$2,444.51 to $4,074.19.</w:t>
            </w:r>
          </w:p>
        </w:tc>
      </w:tr>
      <w:tr w:rsidR="009F3F8A" w:rsidRPr="004E492F" w14:paraId="22A0C13E"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238EDDD8"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3AE15A58" w14:textId="77777777" w:rsidR="009F3F8A" w:rsidRPr="00EE16A8" w:rsidRDefault="009F3F8A" w:rsidP="009A31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a</w:t>
            </w:r>
            <w:r w:rsidRPr="00EE16A8">
              <w:rPr>
                <w:rFonts w:asciiTheme="minorHAnsi" w:hAnsiTheme="minorHAnsi" w:cstheme="minorHAnsi"/>
              </w:rPr>
              <w:t>.  Average current serious penalty in private sector</w:t>
            </w:r>
          </w:p>
          <w:p w14:paraId="7253C89E"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(1-25 workers)</w:t>
            </w:r>
          </w:p>
        </w:tc>
        <w:tc>
          <w:tcPr>
            <w:tcW w:w="1289" w:type="dxa"/>
          </w:tcPr>
          <w:p w14:paraId="13444FC2"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739AB">
              <w:rPr>
                <w:rFonts w:asciiTheme="minorHAnsi" w:eastAsia="PMingLiU" w:hAnsiTheme="minorHAnsi" w:cstheme="minorHAnsi"/>
              </w:rPr>
              <w:t>$1,154.00</w:t>
            </w:r>
          </w:p>
        </w:tc>
        <w:tc>
          <w:tcPr>
            <w:tcW w:w="1411" w:type="dxa"/>
          </w:tcPr>
          <w:p w14:paraId="3EB490C8"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30231130"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$2,145.46</w:t>
            </w:r>
          </w:p>
          <w:p w14:paraId="4C5731AF"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4819D8D8"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$1,609.10 to $2,681.83.</w:t>
            </w:r>
          </w:p>
        </w:tc>
      </w:tr>
      <w:tr w:rsidR="009F3F8A" w:rsidRPr="004E492F" w14:paraId="16DFFE44"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0C223B26"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1843C932" w14:textId="77777777" w:rsidR="009F3F8A" w:rsidRPr="00EE16A8" w:rsidRDefault="009F3F8A" w:rsidP="009A31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b</w:t>
            </w:r>
            <w:r w:rsidRPr="00EE16A8">
              <w:rPr>
                <w:rFonts w:asciiTheme="minorHAnsi" w:hAnsiTheme="minorHAnsi" w:cstheme="minorHAnsi"/>
              </w:rPr>
              <w:t xml:space="preserve">. Average current serious penalty in private sector </w:t>
            </w:r>
          </w:p>
          <w:p w14:paraId="7B8A32F7"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(26-100 workers</w:t>
            </w:r>
            <w:r w:rsidRPr="00EE16A8">
              <w:rPr>
                <w:rFonts w:asciiTheme="minorHAnsi" w:hAnsiTheme="minorHAnsi" w:cstheme="minorHAnsi"/>
                <w:b/>
              </w:rPr>
              <w:t>)</w:t>
            </w:r>
          </w:p>
        </w:tc>
        <w:tc>
          <w:tcPr>
            <w:tcW w:w="1289" w:type="dxa"/>
          </w:tcPr>
          <w:p w14:paraId="7FD22995"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739AB">
              <w:rPr>
                <w:rFonts w:asciiTheme="minorHAnsi" w:eastAsia="PMingLiU" w:hAnsiTheme="minorHAnsi" w:cstheme="minorHAnsi"/>
              </w:rPr>
              <w:t>$1,842.93</w:t>
            </w:r>
          </w:p>
        </w:tc>
        <w:tc>
          <w:tcPr>
            <w:tcW w:w="1411" w:type="dxa"/>
          </w:tcPr>
          <w:p w14:paraId="3C924313"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5223F2D0"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$3,818.56</w:t>
            </w:r>
          </w:p>
          <w:p w14:paraId="4826F745"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19E8E683"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$2,863.92 to $4,773.20.</w:t>
            </w:r>
          </w:p>
        </w:tc>
      </w:tr>
      <w:tr w:rsidR="009F3F8A" w:rsidRPr="004E492F" w14:paraId="78683C8D"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2A2A45E7"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32C88889" w14:textId="77777777" w:rsidR="009F3F8A" w:rsidRPr="00EE16A8" w:rsidRDefault="009F3F8A" w:rsidP="009A31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c</w:t>
            </w:r>
            <w:r w:rsidRPr="00EE16A8">
              <w:rPr>
                <w:rFonts w:asciiTheme="minorHAnsi" w:hAnsiTheme="minorHAnsi" w:cstheme="minorHAnsi"/>
              </w:rPr>
              <w:t>. Average current serious penalty in private sector</w:t>
            </w:r>
          </w:p>
          <w:p w14:paraId="522AAC89"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(101-250 workers)</w:t>
            </w:r>
          </w:p>
        </w:tc>
        <w:tc>
          <w:tcPr>
            <w:tcW w:w="1289" w:type="dxa"/>
          </w:tcPr>
          <w:p w14:paraId="4A29E986"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739AB">
              <w:rPr>
                <w:rFonts w:asciiTheme="minorHAnsi" w:eastAsia="PMingLiU" w:hAnsiTheme="minorHAnsi" w:cstheme="minorHAnsi"/>
              </w:rPr>
              <w:t>$2,647.73</w:t>
            </w:r>
          </w:p>
        </w:tc>
        <w:tc>
          <w:tcPr>
            <w:tcW w:w="1411" w:type="dxa"/>
          </w:tcPr>
          <w:p w14:paraId="44F086C8"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5A6F7CF9"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$5,469.60</w:t>
            </w:r>
          </w:p>
          <w:p w14:paraId="021A3FE4"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4411C2BA"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$4,102.20 to $6,837.00.</w:t>
            </w:r>
          </w:p>
        </w:tc>
      </w:tr>
      <w:tr w:rsidR="009F3F8A" w:rsidRPr="004E492F" w14:paraId="0448C391"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51E7DC0A"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p>
        </w:tc>
        <w:tc>
          <w:tcPr>
            <w:tcW w:w="2206" w:type="dxa"/>
          </w:tcPr>
          <w:p w14:paraId="46F15E59" w14:textId="77777777" w:rsidR="009F3F8A" w:rsidRPr="00EE16A8" w:rsidRDefault="009F3F8A" w:rsidP="009A31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b/>
              </w:rPr>
              <w:t>d</w:t>
            </w:r>
            <w:r w:rsidRPr="00EE16A8">
              <w:rPr>
                <w:rFonts w:asciiTheme="minorHAnsi" w:hAnsiTheme="minorHAnsi" w:cstheme="minorHAnsi"/>
              </w:rPr>
              <w:t xml:space="preserve">. Average current serious penalty in </w:t>
            </w:r>
            <w:r w:rsidRPr="00EE16A8">
              <w:rPr>
                <w:rFonts w:asciiTheme="minorHAnsi" w:hAnsiTheme="minorHAnsi" w:cstheme="minorHAnsi"/>
              </w:rPr>
              <w:lastRenderedPageBreak/>
              <w:t>private sector</w:t>
            </w:r>
          </w:p>
          <w:p w14:paraId="34BD59B2" w14:textId="2507DD1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w:t>
            </w:r>
            <w:r w:rsidR="001B7D0B" w:rsidRPr="00EE16A8">
              <w:rPr>
                <w:rFonts w:asciiTheme="minorHAnsi" w:hAnsiTheme="minorHAnsi" w:cstheme="minorHAnsi"/>
              </w:rPr>
              <w:t>Greater</w:t>
            </w:r>
            <w:r w:rsidRPr="00EE16A8">
              <w:rPr>
                <w:rFonts w:asciiTheme="minorHAnsi" w:hAnsiTheme="minorHAnsi" w:cstheme="minorHAnsi"/>
              </w:rPr>
              <w:t xml:space="preserve"> than 250 workers)</w:t>
            </w:r>
          </w:p>
        </w:tc>
        <w:tc>
          <w:tcPr>
            <w:tcW w:w="1289" w:type="dxa"/>
          </w:tcPr>
          <w:p w14:paraId="5F26C194"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739AB">
              <w:rPr>
                <w:rFonts w:asciiTheme="minorHAnsi" w:eastAsia="PMingLiU" w:hAnsiTheme="minorHAnsi" w:cstheme="minorHAnsi"/>
              </w:rPr>
              <w:lastRenderedPageBreak/>
              <w:t>$3,890.66</w:t>
            </w:r>
          </w:p>
        </w:tc>
        <w:tc>
          <w:tcPr>
            <w:tcW w:w="1411" w:type="dxa"/>
          </w:tcPr>
          <w:p w14:paraId="6CDD2248"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+/- 25% of </w:t>
            </w:r>
          </w:p>
          <w:p w14:paraId="7A7903FC"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$6,725.78</w:t>
            </w:r>
          </w:p>
          <w:p w14:paraId="0F9AE70A"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449E344A"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lastRenderedPageBreak/>
              <w:t xml:space="preserve">The further review level is based on a three-year national average.  The range of </w:t>
            </w:r>
            <w:r w:rsidRPr="00EE16A8">
              <w:rPr>
                <w:rFonts w:asciiTheme="minorHAnsi" w:hAnsiTheme="minorHAnsi" w:cstheme="minorHAnsi"/>
              </w:rPr>
              <w:lastRenderedPageBreak/>
              <w:t>acceptable data not requiring further review is from $5,044.34 to $8,407.23.</w:t>
            </w:r>
          </w:p>
        </w:tc>
      </w:tr>
      <w:tr w:rsidR="009F3F8A" w:rsidRPr="004E492F" w14:paraId="06090832"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76834C7E"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lastRenderedPageBreak/>
              <w:t>9a</w:t>
            </w:r>
          </w:p>
        </w:tc>
        <w:tc>
          <w:tcPr>
            <w:tcW w:w="2206" w:type="dxa"/>
          </w:tcPr>
          <w:p w14:paraId="261A6E2B"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in compliance (safety)</w:t>
            </w:r>
          </w:p>
        </w:tc>
        <w:tc>
          <w:tcPr>
            <w:tcW w:w="1289" w:type="dxa"/>
          </w:tcPr>
          <w:p w14:paraId="5F012CC7"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31.41</w:t>
            </w:r>
            <w:r w:rsidRPr="00EE16A8">
              <w:rPr>
                <w:rFonts w:asciiTheme="minorHAnsi" w:eastAsia="PMingLiU" w:hAnsiTheme="minorHAnsi" w:cstheme="minorHAnsi"/>
              </w:rPr>
              <w:t>%</w:t>
            </w:r>
          </w:p>
        </w:tc>
        <w:tc>
          <w:tcPr>
            <w:tcW w:w="1411" w:type="dxa"/>
          </w:tcPr>
          <w:p w14:paraId="4B1FC13C"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1C44E6B4"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32.25%</w:t>
            </w:r>
          </w:p>
        </w:tc>
        <w:tc>
          <w:tcPr>
            <w:tcW w:w="4410" w:type="dxa"/>
          </w:tcPr>
          <w:p w14:paraId="1A533AF2"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25.80% to 38.70% for safety.</w:t>
            </w:r>
          </w:p>
        </w:tc>
      </w:tr>
      <w:tr w:rsidR="009F3F8A" w:rsidRPr="004E492F" w14:paraId="2798FFD7"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238C1512"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9b</w:t>
            </w:r>
          </w:p>
        </w:tc>
        <w:tc>
          <w:tcPr>
            <w:tcW w:w="2206" w:type="dxa"/>
          </w:tcPr>
          <w:p w14:paraId="50112223"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in compliance (health)</w:t>
            </w:r>
          </w:p>
        </w:tc>
        <w:tc>
          <w:tcPr>
            <w:tcW w:w="1289" w:type="dxa"/>
          </w:tcPr>
          <w:p w14:paraId="3C57874F"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67.21</w:t>
            </w:r>
            <w:r w:rsidRPr="00EE16A8">
              <w:rPr>
                <w:rFonts w:asciiTheme="minorHAnsi" w:eastAsia="PMingLiU" w:hAnsiTheme="minorHAnsi" w:cstheme="minorHAnsi"/>
              </w:rPr>
              <w:t>%</w:t>
            </w:r>
          </w:p>
        </w:tc>
        <w:tc>
          <w:tcPr>
            <w:tcW w:w="1411" w:type="dxa"/>
          </w:tcPr>
          <w:p w14:paraId="04EEBF70"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+/- 20% of</w:t>
            </w:r>
          </w:p>
          <w:p w14:paraId="5632E814"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44.42%</w:t>
            </w:r>
          </w:p>
        </w:tc>
        <w:tc>
          <w:tcPr>
            <w:tcW w:w="4410" w:type="dxa"/>
          </w:tcPr>
          <w:p w14:paraId="79FE3089"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35.54% to 53.30% for health.</w:t>
            </w:r>
          </w:p>
        </w:tc>
      </w:tr>
      <w:tr w:rsidR="009F3F8A" w:rsidRPr="004E492F" w14:paraId="7D63C9AB"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339BAF8D"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10</w:t>
            </w:r>
          </w:p>
        </w:tc>
        <w:tc>
          <w:tcPr>
            <w:tcW w:w="2206" w:type="dxa"/>
          </w:tcPr>
          <w:p w14:paraId="76AA82E5"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of work-related fatalities responded to in one workday</w:t>
            </w:r>
          </w:p>
        </w:tc>
        <w:tc>
          <w:tcPr>
            <w:tcW w:w="1289" w:type="dxa"/>
          </w:tcPr>
          <w:p w14:paraId="066C80C2"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100</w:t>
            </w:r>
            <w:r w:rsidRPr="00EE16A8">
              <w:rPr>
                <w:rFonts w:asciiTheme="minorHAnsi" w:eastAsia="PMingLiU" w:hAnsiTheme="minorHAnsi" w:cstheme="minorHAnsi"/>
              </w:rPr>
              <w:t>%</w:t>
            </w:r>
          </w:p>
        </w:tc>
        <w:tc>
          <w:tcPr>
            <w:tcW w:w="1411" w:type="dxa"/>
          </w:tcPr>
          <w:p w14:paraId="0B9445CE"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eastAsia="PMingLiU" w:hAnsiTheme="minorHAnsi" w:cstheme="minorHAnsi"/>
              </w:rPr>
              <w:t>100%</w:t>
            </w:r>
          </w:p>
        </w:tc>
        <w:tc>
          <w:tcPr>
            <w:tcW w:w="4410" w:type="dxa"/>
          </w:tcPr>
          <w:p w14:paraId="5246B392"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fixed for all State Plans.</w:t>
            </w:r>
          </w:p>
        </w:tc>
      </w:tr>
      <w:tr w:rsidR="009F3F8A" w:rsidRPr="004E492F" w14:paraId="7B4200FD"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783C98F5"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11a</w:t>
            </w:r>
          </w:p>
        </w:tc>
        <w:tc>
          <w:tcPr>
            <w:tcW w:w="2206" w:type="dxa"/>
          </w:tcPr>
          <w:p w14:paraId="47C4E850"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Average lapse time (safety)</w:t>
            </w:r>
          </w:p>
        </w:tc>
        <w:tc>
          <w:tcPr>
            <w:tcW w:w="1289" w:type="dxa"/>
          </w:tcPr>
          <w:p w14:paraId="681121E6"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66.95</w:t>
            </w:r>
          </w:p>
        </w:tc>
        <w:tc>
          <w:tcPr>
            <w:tcW w:w="1411" w:type="dxa"/>
          </w:tcPr>
          <w:p w14:paraId="744E506A"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+/- 20% of </w:t>
            </w:r>
          </w:p>
          <w:p w14:paraId="7B6FE6DE"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54.58</w:t>
            </w:r>
          </w:p>
        </w:tc>
        <w:tc>
          <w:tcPr>
            <w:tcW w:w="4410" w:type="dxa"/>
          </w:tcPr>
          <w:p w14:paraId="0EF8D64D"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43.66 to 65.50 for safety.</w:t>
            </w:r>
          </w:p>
        </w:tc>
      </w:tr>
      <w:tr w:rsidR="009F3F8A" w:rsidRPr="004E492F" w14:paraId="29FA473A"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2E2CF2E1"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11b</w:t>
            </w:r>
          </w:p>
        </w:tc>
        <w:tc>
          <w:tcPr>
            <w:tcW w:w="2206" w:type="dxa"/>
          </w:tcPr>
          <w:p w14:paraId="0D6E7D14"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Average lapse time (health)</w:t>
            </w:r>
          </w:p>
        </w:tc>
        <w:tc>
          <w:tcPr>
            <w:tcW w:w="1289" w:type="dxa"/>
          </w:tcPr>
          <w:p w14:paraId="62C12BD9"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87.04</w:t>
            </w:r>
          </w:p>
        </w:tc>
        <w:tc>
          <w:tcPr>
            <w:tcW w:w="1411" w:type="dxa"/>
          </w:tcPr>
          <w:p w14:paraId="27BC1DE4"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+/- 20% of </w:t>
            </w:r>
          </w:p>
          <w:p w14:paraId="76D3898B"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69.03</w:t>
            </w:r>
          </w:p>
        </w:tc>
        <w:tc>
          <w:tcPr>
            <w:tcW w:w="4410" w:type="dxa"/>
          </w:tcPr>
          <w:p w14:paraId="2C5091E8"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55.22 to 82.84 for health.</w:t>
            </w:r>
          </w:p>
        </w:tc>
      </w:tr>
      <w:tr w:rsidR="009F3F8A" w:rsidRPr="004E492F" w14:paraId="4893B6F8"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018B3CAA"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12</w:t>
            </w:r>
          </w:p>
        </w:tc>
        <w:tc>
          <w:tcPr>
            <w:tcW w:w="2206" w:type="dxa"/>
          </w:tcPr>
          <w:p w14:paraId="55A2E8E6"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penalty retained</w:t>
            </w:r>
          </w:p>
        </w:tc>
        <w:tc>
          <w:tcPr>
            <w:tcW w:w="1289" w:type="dxa"/>
          </w:tcPr>
          <w:p w14:paraId="65CDA0A9"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85.23</w:t>
            </w:r>
            <w:r w:rsidRPr="00EE16A8">
              <w:rPr>
                <w:rFonts w:asciiTheme="minorHAnsi" w:hAnsiTheme="minorHAnsi" w:cstheme="minorHAnsi"/>
              </w:rPr>
              <w:t>%</w:t>
            </w:r>
          </w:p>
        </w:tc>
        <w:tc>
          <w:tcPr>
            <w:tcW w:w="1411" w:type="dxa"/>
          </w:tcPr>
          <w:p w14:paraId="1C996849"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+/- 15% of</w:t>
            </w:r>
          </w:p>
          <w:p w14:paraId="444279C8"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69.97%</w:t>
            </w:r>
          </w:p>
        </w:tc>
        <w:tc>
          <w:tcPr>
            <w:tcW w:w="4410" w:type="dxa"/>
          </w:tcPr>
          <w:p w14:paraId="4546CF83"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based on a three-year national average.  The range of acceptable data not requiring further review is from 59.47% to 80.47%.</w:t>
            </w:r>
          </w:p>
        </w:tc>
      </w:tr>
      <w:tr w:rsidR="009F3F8A" w:rsidRPr="004E492F" w14:paraId="565C0298"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65DF34E3"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13</w:t>
            </w:r>
          </w:p>
        </w:tc>
        <w:tc>
          <w:tcPr>
            <w:tcW w:w="2206" w:type="dxa"/>
          </w:tcPr>
          <w:p w14:paraId="3EFCDEC7"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of initial inspections with worker walk-around representation or worker interview</w:t>
            </w:r>
          </w:p>
        </w:tc>
        <w:tc>
          <w:tcPr>
            <w:tcW w:w="1289" w:type="dxa"/>
          </w:tcPr>
          <w:p w14:paraId="05FB4ADE"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100</w:t>
            </w:r>
            <w:r w:rsidRPr="00EE16A8">
              <w:rPr>
                <w:rFonts w:asciiTheme="minorHAnsi" w:hAnsiTheme="minorHAnsi" w:cstheme="minorHAnsi"/>
              </w:rPr>
              <w:t>%</w:t>
            </w:r>
          </w:p>
        </w:tc>
        <w:tc>
          <w:tcPr>
            <w:tcW w:w="1411" w:type="dxa"/>
          </w:tcPr>
          <w:p w14:paraId="1473E092"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100%</w:t>
            </w:r>
          </w:p>
        </w:tc>
        <w:tc>
          <w:tcPr>
            <w:tcW w:w="4410" w:type="dxa"/>
          </w:tcPr>
          <w:p w14:paraId="3C7B042D"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The further review level is fixed for all State Plans.</w:t>
            </w:r>
          </w:p>
        </w:tc>
      </w:tr>
      <w:tr w:rsidR="009F3F8A" w:rsidRPr="004E492F" w14:paraId="6F47254F"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22DC6FAA"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14</w:t>
            </w:r>
          </w:p>
        </w:tc>
        <w:tc>
          <w:tcPr>
            <w:tcW w:w="2206" w:type="dxa"/>
          </w:tcPr>
          <w:p w14:paraId="7DB49C8E"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xml:space="preserve">Percent of 11(c) investigations completed within </w:t>
            </w:r>
            <w:r w:rsidRPr="00EE16A8">
              <w:rPr>
                <w:rFonts w:asciiTheme="minorHAnsi" w:hAnsiTheme="minorHAnsi" w:cstheme="minorHAnsi"/>
              </w:rPr>
              <w:lastRenderedPageBreak/>
              <w:t>90 days</w:t>
            </w:r>
          </w:p>
        </w:tc>
        <w:tc>
          <w:tcPr>
            <w:tcW w:w="1289" w:type="dxa"/>
          </w:tcPr>
          <w:p w14:paraId="14E6DE96"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lastRenderedPageBreak/>
              <w:t>N/A*</w:t>
            </w:r>
          </w:p>
        </w:tc>
        <w:tc>
          <w:tcPr>
            <w:tcW w:w="1411" w:type="dxa"/>
          </w:tcPr>
          <w:p w14:paraId="77F5E2A7"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4410" w:type="dxa"/>
          </w:tcPr>
          <w:p w14:paraId="2F05096B"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This measure is not being reported for FY 2022. Please see note below.</w:t>
            </w:r>
          </w:p>
        </w:tc>
      </w:tr>
      <w:tr w:rsidR="009F3F8A" w:rsidRPr="004E492F" w14:paraId="2E4452B0"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176F46EE"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15</w:t>
            </w:r>
          </w:p>
        </w:tc>
        <w:tc>
          <w:tcPr>
            <w:tcW w:w="2206" w:type="dxa"/>
          </w:tcPr>
          <w:p w14:paraId="2300DC6C"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of 11(c) complaints that are meritorious</w:t>
            </w:r>
          </w:p>
        </w:tc>
        <w:tc>
          <w:tcPr>
            <w:tcW w:w="1289" w:type="dxa"/>
          </w:tcPr>
          <w:p w14:paraId="7314EB68"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N/A*</w:t>
            </w:r>
          </w:p>
        </w:tc>
        <w:tc>
          <w:tcPr>
            <w:tcW w:w="1411" w:type="dxa"/>
          </w:tcPr>
          <w:p w14:paraId="0497DC43"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4410" w:type="dxa"/>
          </w:tcPr>
          <w:p w14:paraId="50E9A3F8"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82B43">
              <w:rPr>
                <w:rFonts w:asciiTheme="minorHAnsi" w:hAnsiTheme="minorHAnsi" w:cstheme="minorHAnsi"/>
              </w:rPr>
              <w:t>This measure is not being reported for FY 2022. Please see note below.</w:t>
            </w:r>
            <w:r>
              <w:rPr>
                <w:rFonts w:asciiTheme="minorHAnsi" w:hAnsiTheme="minorHAnsi" w:cstheme="minorHAnsi"/>
              </w:rPr>
              <w:t xml:space="preserve"> </w:t>
            </w:r>
          </w:p>
        </w:tc>
      </w:tr>
      <w:tr w:rsidR="009F3F8A" w:rsidRPr="004E492F" w14:paraId="1B3BEA8D"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0E24EB81"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16</w:t>
            </w:r>
          </w:p>
        </w:tc>
        <w:tc>
          <w:tcPr>
            <w:tcW w:w="2206" w:type="dxa"/>
          </w:tcPr>
          <w:p w14:paraId="396B64DE"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Average number of calendar days to complete an 11(c) investigation</w:t>
            </w:r>
          </w:p>
        </w:tc>
        <w:tc>
          <w:tcPr>
            <w:tcW w:w="1289" w:type="dxa"/>
          </w:tcPr>
          <w:p w14:paraId="68096A8B"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eastAsia="PMingLiU" w:hAnsiTheme="minorHAnsi" w:cstheme="minorHAnsi"/>
              </w:rPr>
              <w:t>N/A*</w:t>
            </w:r>
          </w:p>
        </w:tc>
        <w:tc>
          <w:tcPr>
            <w:tcW w:w="1411" w:type="dxa"/>
            <w:shd w:val="clear" w:color="auto" w:fill="auto"/>
          </w:tcPr>
          <w:p w14:paraId="4C4944CA"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N/A*</w:t>
            </w:r>
          </w:p>
        </w:tc>
        <w:tc>
          <w:tcPr>
            <w:tcW w:w="4410" w:type="dxa"/>
          </w:tcPr>
          <w:p w14:paraId="31E0E19C"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B50BA9">
              <w:rPr>
                <w:rFonts w:asciiTheme="minorHAnsi" w:eastAsia="PMingLiU" w:hAnsiTheme="minorHAnsi" w:cstheme="minorHAnsi"/>
              </w:rPr>
              <w:t>This measure is not being reported for FY 2022. Please see note below.</w:t>
            </w:r>
          </w:p>
        </w:tc>
      </w:tr>
      <w:tr w:rsidR="009F3F8A" w:rsidRPr="004E492F" w14:paraId="1A27EC54" w14:textId="77777777" w:rsidTr="21399711">
        <w:tc>
          <w:tcPr>
            <w:cnfStyle w:val="001000000000" w:firstRow="0" w:lastRow="0" w:firstColumn="1" w:lastColumn="0" w:oddVBand="0" w:evenVBand="0" w:oddHBand="0" w:evenHBand="0" w:firstRowFirstColumn="0" w:firstRowLastColumn="0" w:lastRowFirstColumn="0" w:lastRowLastColumn="0"/>
            <w:tcW w:w="1034" w:type="dxa"/>
          </w:tcPr>
          <w:p w14:paraId="64A1E4A2" w14:textId="77777777" w:rsidR="009F3F8A" w:rsidRPr="004E492F"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E492F">
              <w:rPr>
                <w:rFonts w:eastAsia="PMingLiU" w:cs="Calibri"/>
              </w:rPr>
              <w:t>17</w:t>
            </w:r>
          </w:p>
        </w:tc>
        <w:tc>
          <w:tcPr>
            <w:tcW w:w="2206" w:type="dxa"/>
          </w:tcPr>
          <w:p w14:paraId="31CD0AA5"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Percent of enforcement presence</w:t>
            </w:r>
          </w:p>
        </w:tc>
        <w:tc>
          <w:tcPr>
            <w:tcW w:w="1289" w:type="dxa"/>
          </w:tcPr>
          <w:p w14:paraId="221E3615"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0.32</w:t>
            </w:r>
            <w:r w:rsidRPr="00EE16A8">
              <w:rPr>
                <w:rFonts w:asciiTheme="minorHAnsi" w:hAnsiTheme="minorHAnsi" w:cstheme="minorHAnsi"/>
              </w:rPr>
              <w:t>%</w:t>
            </w:r>
          </w:p>
        </w:tc>
        <w:tc>
          <w:tcPr>
            <w:tcW w:w="1411" w:type="dxa"/>
          </w:tcPr>
          <w:p w14:paraId="7C0D8ACF" w14:textId="77777777" w:rsidR="009F3F8A" w:rsidRPr="00EE16A8" w:rsidRDefault="009F3F8A" w:rsidP="009A31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+/- 25% of</w:t>
            </w:r>
          </w:p>
          <w:p w14:paraId="2E931678"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1.64</w:t>
            </w:r>
            <w:r w:rsidRPr="00EE16A8">
              <w:rPr>
                <w:rFonts w:asciiTheme="minorHAnsi" w:hAnsiTheme="minorHAnsi" w:cstheme="minorHAnsi"/>
              </w:rPr>
              <w:t>%</w:t>
            </w:r>
          </w:p>
        </w:tc>
        <w:tc>
          <w:tcPr>
            <w:tcW w:w="4410" w:type="dxa"/>
          </w:tcPr>
          <w:p w14:paraId="5BD1C964" w14:textId="77777777" w:rsidR="009F3F8A" w:rsidRPr="00EE16A8" w:rsidRDefault="009F3F8A" w:rsidP="009A31C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EE16A8">
              <w:rPr>
                <w:rFonts w:asciiTheme="minorHAnsi" w:hAnsiTheme="minorHAnsi" w:cstheme="minorHAnsi"/>
              </w:rPr>
              <w:t xml:space="preserve">The further review level is based on a three-year national average.  The range of acceptable data not requiring further review is from </w:t>
            </w:r>
            <w:r>
              <w:rPr>
                <w:rFonts w:asciiTheme="minorHAnsi" w:hAnsiTheme="minorHAnsi" w:cstheme="minorHAnsi"/>
              </w:rPr>
              <w:t>1.23</w:t>
            </w:r>
            <w:r w:rsidRPr="00EE16A8">
              <w:rPr>
                <w:rFonts w:asciiTheme="minorHAnsi" w:hAnsiTheme="minorHAnsi" w:cstheme="minorHAnsi"/>
              </w:rPr>
              <w:t xml:space="preserve">% to </w:t>
            </w:r>
            <w:r>
              <w:rPr>
                <w:rFonts w:asciiTheme="minorHAnsi" w:hAnsiTheme="minorHAnsi" w:cstheme="minorHAnsi"/>
              </w:rPr>
              <w:t>2.05</w:t>
            </w:r>
            <w:r w:rsidRPr="00EE16A8">
              <w:rPr>
                <w:rFonts w:asciiTheme="minorHAnsi" w:hAnsiTheme="minorHAnsi" w:cstheme="minorHAnsi"/>
              </w:rPr>
              <w:t>%.</w:t>
            </w:r>
          </w:p>
        </w:tc>
      </w:tr>
    </w:tbl>
    <w:p w14:paraId="5FA5D5D7" w14:textId="77777777" w:rsidR="009F3F8A" w:rsidRDefault="009F3F8A" w:rsidP="009F3F8A"/>
    <w:p w14:paraId="6C10A21B" w14:textId="383BC514" w:rsidR="009F3F8A" w:rsidRDefault="009F3F8A" w:rsidP="009F3F8A">
      <w:r w:rsidRPr="004E492F">
        <w:t xml:space="preserve">NOTE:  The national averages in this report are three-year rolling averages.  Unless otherwise noted, the data contained in this Appendix D </w:t>
      </w:r>
      <w:r>
        <w:t>are</w:t>
      </w:r>
      <w:r w:rsidRPr="004E492F">
        <w:t xml:space="preserve"> pulled from the State Activity Mandated Measures (SAMM) Report in OIS run on November 14, 2022, as part of OSHA’s official end-of-year data run.</w:t>
      </w:r>
    </w:p>
    <w:p w14:paraId="680466F5" w14:textId="77777777" w:rsidR="001D10A9" w:rsidRDefault="001D10A9" w:rsidP="009F3F8A"/>
    <w:p w14:paraId="5527C605" w14:textId="77777777" w:rsidR="009F3F8A" w:rsidRDefault="009F3F8A" w:rsidP="009F3F8A">
      <w:r>
        <w:t xml:space="preserve">*Due to the transition of 11(c) data from IMIS to OIS, SAMMs 14, 15, and 16 are not being reported for FY 2022. </w:t>
      </w:r>
    </w:p>
    <w:p w14:paraId="1EF1EE4F" w14:textId="77777777" w:rsidR="005F128A" w:rsidRPr="001C1E47" w:rsidRDefault="005F128A" w:rsidP="00F40413">
      <w:pPr>
        <w:widowControl/>
        <w:autoSpaceDE/>
        <w:autoSpaceDN/>
        <w:adjustRightInd/>
        <w:ind w:left="1080"/>
        <w:rPr>
          <w:rFonts w:cs="Calibri"/>
        </w:rPr>
      </w:pPr>
    </w:p>
    <w:p w14:paraId="6573BAF6" w14:textId="3FAD77B0" w:rsidR="00634539" w:rsidRPr="001C1E47" w:rsidRDefault="00634539" w:rsidP="00634539">
      <w:pPr>
        <w:tabs>
          <w:tab w:val="left" w:pos="3405"/>
        </w:tabs>
        <w:rPr>
          <w:rFonts w:cs="Calibri"/>
        </w:rPr>
      </w:pPr>
    </w:p>
    <w:sectPr w:rsidR="00634539" w:rsidRPr="001C1E47" w:rsidSect="00480A58">
      <w:headerReference w:type="default" r:id="rId16"/>
      <w:pgSz w:w="12240" w:h="15840" w:code="1"/>
      <w:pgMar w:top="1440" w:right="1440" w:bottom="1440" w:left="1440" w:header="720" w:footer="720" w:gutter="0"/>
      <w:pgNumType w:start="1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2894" w14:textId="77777777" w:rsidR="00A539F7" w:rsidRDefault="00A539F7" w:rsidP="00C872A0">
      <w:r>
        <w:separator/>
      </w:r>
    </w:p>
  </w:endnote>
  <w:endnote w:type="continuationSeparator" w:id="0">
    <w:p w14:paraId="3CF1702B" w14:textId="77777777" w:rsidR="00A539F7" w:rsidRDefault="00A539F7"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auto"/>
    <w:pitch w:val="fixed"/>
    <w:sig w:usb0="00000001" w:usb1="09060000" w:usb2="00000010" w:usb3="00000000" w:csb0="00080000" w:csb1="00000000"/>
  </w:font>
  <w:font w:name="MS Mincho">
    <w:altName w:val="Yu Gothic"/>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p w14:paraId="2409E6FE" w14:textId="77777777" w:rsidR="00780E29" w:rsidRDefault="00780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70B5" w14:textId="77777777" w:rsidR="00A539F7" w:rsidRDefault="00A539F7" w:rsidP="00C872A0">
      <w:r>
        <w:separator/>
      </w:r>
    </w:p>
  </w:footnote>
  <w:footnote w:type="continuationSeparator" w:id="0">
    <w:p w14:paraId="69254266" w14:textId="77777777" w:rsidR="00A539F7" w:rsidRDefault="00A539F7"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0A117B51" w:rsidR="00780E29" w:rsidRPr="006F2309" w:rsidRDefault="00780E29" w:rsidP="006F2309">
    <w:pPr>
      <w:pStyle w:val="Header"/>
    </w:pPr>
    <w:r w:rsidRPr="006F230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5DF35FF"/>
    <w:multiLevelType w:val="hybridMultilevel"/>
    <w:tmpl w:val="1F2E7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8935DA"/>
    <w:multiLevelType w:val="hybridMultilevel"/>
    <w:tmpl w:val="78248694"/>
    <w:lvl w:ilvl="0" w:tplc="26E6AB72">
      <w:start w:val="1"/>
      <w:numFmt w:val="upperRoman"/>
      <w:pStyle w:val="Heading2"/>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7C44535"/>
    <w:multiLevelType w:val="multilevel"/>
    <w:tmpl w:val="6846D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F2F03E4"/>
    <w:multiLevelType w:val="multilevel"/>
    <w:tmpl w:val="E40EA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A8142B"/>
    <w:multiLevelType w:val="hybridMultilevel"/>
    <w:tmpl w:val="9CA29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454762">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59089387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831405244">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584461921">
    <w:abstractNumId w:val="32"/>
  </w:num>
  <w:num w:numId="5" w16cid:durableId="500197654">
    <w:abstractNumId w:val="29"/>
  </w:num>
  <w:num w:numId="6" w16cid:durableId="1883638003">
    <w:abstractNumId w:val="26"/>
  </w:num>
  <w:num w:numId="7" w16cid:durableId="515460172">
    <w:abstractNumId w:val="27"/>
  </w:num>
  <w:num w:numId="8" w16cid:durableId="1742799456">
    <w:abstractNumId w:val="31"/>
  </w:num>
  <w:num w:numId="9" w16cid:durableId="2137680371">
    <w:abstractNumId w:val="28"/>
  </w:num>
  <w:num w:numId="10" w16cid:durableId="743137729">
    <w:abstractNumId w:val="33"/>
  </w:num>
  <w:num w:numId="11" w16cid:durableId="836386771">
    <w:abstractNumId w:val="23"/>
  </w:num>
  <w:num w:numId="12" w16cid:durableId="157620128">
    <w:abstractNumId w:val="25"/>
  </w:num>
  <w:num w:numId="13" w16cid:durableId="18436602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7977950">
    <w:abstractNumId w:val="24"/>
  </w:num>
  <w:num w:numId="15" w16cid:durableId="530581430">
    <w:abstractNumId w:val="30"/>
  </w:num>
  <w:num w:numId="16" w16cid:durableId="1956474132">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182D"/>
    <w:rsid w:val="0000201A"/>
    <w:rsid w:val="00002B73"/>
    <w:rsid w:val="000036AB"/>
    <w:rsid w:val="00004200"/>
    <w:rsid w:val="00007781"/>
    <w:rsid w:val="00010475"/>
    <w:rsid w:val="000116C0"/>
    <w:rsid w:val="00011FF8"/>
    <w:rsid w:val="00012CE9"/>
    <w:rsid w:val="000141DB"/>
    <w:rsid w:val="00014C7A"/>
    <w:rsid w:val="00016214"/>
    <w:rsid w:val="00016803"/>
    <w:rsid w:val="0001706D"/>
    <w:rsid w:val="00017349"/>
    <w:rsid w:val="00021274"/>
    <w:rsid w:val="000217D1"/>
    <w:rsid w:val="00021FE0"/>
    <w:rsid w:val="00022BEE"/>
    <w:rsid w:val="00023E67"/>
    <w:rsid w:val="000248F0"/>
    <w:rsid w:val="0002572C"/>
    <w:rsid w:val="00025F57"/>
    <w:rsid w:val="000264EE"/>
    <w:rsid w:val="00026D63"/>
    <w:rsid w:val="00027093"/>
    <w:rsid w:val="0003442F"/>
    <w:rsid w:val="00034A4E"/>
    <w:rsid w:val="00035083"/>
    <w:rsid w:val="0003567C"/>
    <w:rsid w:val="00036865"/>
    <w:rsid w:val="00036BF8"/>
    <w:rsid w:val="00036EB4"/>
    <w:rsid w:val="00036F0D"/>
    <w:rsid w:val="000370FD"/>
    <w:rsid w:val="00037F48"/>
    <w:rsid w:val="000404ED"/>
    <w:rsid w:val="00041A0A"/>
    <w:rsid w:val="00042327"/>
    <w:rsid w:val="00043515"/>
    <w:rsid w:val="00044436"/>
    <w:rsid w:val="000447C9"/>
    <w:rsid w:val="000449F8"/>
    <w:rsid w:val="00045479"/>
    <w:rsid w:val="00045BD6"/>
    <w:rsid w:val="00045C51"/>
    <w:rsid w:val="00046151"/>
    <w:rsid w:val="000468C6"/>
    <w:rsid w:val="00046BEE"/>
    <w:rsid w:val="00046E13"/>
    <w:rsid w:val="000470EE"/>
    <w:rsid w:val="00047F95"/>
    <w:rsid w:val="0005007B"/>
    <w:rsid w:val="00050FEB"/>
    <w:rsid w:val="000517FA"/>
    <w:rsid w:val="00052B36"/>
    <w:rsid w:val="00053A2C"/>
    <w:rsid w:val="00054416"/>
    <w:rsid w:val="00054900"/>
    <w:rsid w:val="00055243"/>
    <w:rsid w:val="000552ED"/>
    <w:rsid w:val="00055B40"/>
    <w:rsid w:val="00055F2C"/>
    <w:rsid w:val="00057840"/>
    <w:rsid w:val="00060D39"/>
    <w:rsid w:val="00061875"/>
    <w:rsid w:val="000625FB"/>
    <w:rsid w:val="0006398D"/>
    <w:rsid w:val="00065AB2"/>
    <w:rsid w:val="0006611A"/>
    <w:rsid w:val="00066A7B"/>
    <w:rsid w:val="00066C52"/>
    <w:rsid w:val="000701E4"/>
    <w:rsid w:val="0007073F"/>
    <w:rsid w:val="0007157F"/>
    <w:rsid w:val="00071E71"/>
    <w:rsid w:val="000724F1"/>
    <w:rsid w:val="0007306B"/>
    <w:rsid w:val="000743D1"/>
    <w:rsid w:val="00074876"/>
    <w:rsid w:val="000760CB"/>
    <w:rsid w:val="00076601"/>
    <w:rsid w:val="000767C0"/>
    <w:rsid w:val="00077410"/>
    <w:rsid w:val="00077C60"/>
    <w:rsid w:val="00083A76"/>
    <w:rsid w:val="00085230"/>
    <w:rsid w:val="00086882"/>
    <w:rsid w:val="00086F2F"/>
    <w:rsid w:val="0008759E"/>
    <w:rsid w:val="00087EE9"/>
    <w:rsid w:val="00090155"/>
    <w:rsid w:val="000902ED"/>
    <w:rsid w:val="0009134A"/>
    <w:rsid w:val="00091ABD"/>
    <w:rsid w:val="00091AE2"/>
    <w:rsid w:val="00091B54"/>
    <w:rsid w:val="000923E0"/>
    <w:rsid w:val="00092555"/>
    <w:rsid w:val="000929B5"/>
    <w:rsid w:val="00092F1B"/>
    <w:rsid w:val="00093239"/>
    <w:rsid w:val="0009535D"/>
    <w:rsid w:val="0009583F"/>
    <w:rsid w:val="000969E2"/>
    <w:rsid w:val="000A134A"/>
    <w:rsid w:val="000A1CE9"/>
    <w:rsid w:val="000A2DE7"/>
    <w:rsid w:val="000A3878"/>
    <w:rsid w:val="000A40EC"/>
    <w:rsid w:val="000A55DB"/>
    <w:rsid w:val="000A658C"/>
    <w:rsid w:val="000A7279"/>
    <w:rsid w:val="000A7A05"/>
    <w:rsid w:val="000B07D7"/>
    <w:rsid w:val="000B1A5B"/>
    <w:rsid w:val="000B1ECC"/>
    <w:rsid w:val="000B22E4"/>
    <w:rsid w:val="000B3A37"/>
    <w:rsid w:val="000B440B"/>
    <w:rsid w:val="000B4852"/>
    <w:rsid w:val="000B6A8A"/>
    <w:rsid w:val="000C04C6"/>
    <w:rsid w:val="000C0E15"/>
    <w:rsid w:val="000C12C6"/>
    <w:rsid w:val="000C12FD"/>
    <w:rsid w:val="000C1882"/>
    <w:rsid w:val="000C1ED8"/>
    <w:rsid w:val="000C295F"/>
    <w:rsid w:val="000C2E74"/>
    <w:rsid w:val="000C368E"/>
    <w:rsid w:val="000C38BD"/>
    <w:rsid w:val="000C4141"/>
    <w:rsid w:val="000C43DE"/>
    <w:rsid w:val="000C46E4"/>
    <w:rsid w:val="000C5C82"/>
    <w:rsid w:val="000C7C9A"/>
    <w:rsid w:val="000D343F"/>
    <w:rsid w:val="000D4560"/>
    <w:rsid w:val="000D4A64"/>
    <w:rsid w:val="000D67B6"/>
    <w:rsid w:val="000D750A"/>
    <w:rsid w:val="000D7AAD"/>
    <w:rsid w:val="000E0408"/>
    <w:rsid w:val="000E07E7"/>
    <w:rsid w:val="000E0DD1"/>
    <w:rsid w:val="000E1AA2"/>
    <w:rsid w:val="000E20A2"/>
    <w:rsid w:val="000E46F3"/>
    <w:rsid w:val="000E5C64"/>
    <w:rsid w:val="000E6466"/>
    <w:rsid w:val="000E7F42"/>
    <w:rsid w:val="000F1D68"/>
    <w:rsid w:val="000F1E49"/>
    <w:rsid w:val="000F3415"/>
    <w:rsid w:val="000F38C6"/>
    <w:rsid w:val="000F46ED"/>
    <w:rsid w:val="000F4DA3"/>
    <w:rsid w:val="000F5631"/>
    <w:rsid w:val="000F5A36"/>
    <w:rsid w:val="000F63C1"/>
    <w:rsid w:val="000F6A5C"/>
    <w:rsid w:val="000F7ECC"/>
    <w:rsid w:val="001039FA"/>
    <w:rsid w:val="001056A7"/>
    <w:rsid w:val="0011011A"/>
    <w:rsid w:val="00110CB0"/>
    <w:rsid w:val="001113A1"/>
    <w:rsid w:val="00112C81"/>
    <w:rsid w:val="0011326F"/>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5065"/>
    <w:rsid w:val="00125345"/>
    <w:rsid w:val="00125C8A"/>
    <w:rsid w:val="00126880"/>
    <w:rsid w:val="001315C8"/>
    <w:rsid w:val="00131F65"/>
    <w:rsid w:val="00132862"/>
    <w:rsid w:val="00132F71"/>
    <w:rsid w:val="001330E6"/>
    <w:rsid w:val="001341FE"/>
    <w:rsid w:val="00134F5C"/>
    <w:rsid w:val="00134F5D"/>
    <w:rsid w:val="001358F0"/>
    <w:rsid w:val="00136931"/>
    <w:rsid w:val="00136DA3"/>
    <w:rsid w:val="001376D1"/>
    <w:rsid w:val="00140C21"/>
    <w:rsid w:val="00141758"/>
    <w:rsid w:val="0014199D"/>
    <w:rsid w:val="00141D40"/>
    <w:rsid w:val="00142198"/>
    <w:rsid w:val="00143ACD"/>
    <w:rsid w:val="0014420A"/>
    <w:rsid w:val="00144A53"/>
    <w:rsid w:val="00145BC1"/>
    <w:rsid w:val="001469F6"/>
    <w:rsid w:val="001471B8"/>
    <w:rsid w:val="001472A1"/>
    <w:rsid w:val="00147B01"/>
    <w:rsid w:val="00147F8B"/>
    <w:rsid w:val="0015009D"/>
    <w:rsid w:val="00150F03"/>
    <w:rsid w:val="001515BB"/>
    <w:rsid w:val="00151CFD"/>
    <w:rsid w:val="00152207"/>
    <w:rsid w:val="00155591"/>
    <w:rsid w:val="00156CD6"/>
    <w:rsid w:val="00156E0C"/>
    <w:rsid w:val="00157520"/>
    <w:rsid w:val="001602E4"/>
    <w:rsid w:val="00161129"/>
    <w:rsid w:val="00161740"/>
    <w:rsid w:val="0016336D"/>
    <w:rsid w:val="00163E90"/>
    <w:rsid w:val="00172085"/>
    <w:rsid w:val="00173853"/>
    <w:rsid w:val="0017552C"/>
    <w:rsid w:val="00176DF8"/>
    <w:rsid w:val="00177A1E"/>
    <w:rsid w:val="00177D70"/>
    <w:rsid w:val="0018221D"/>
    <w:rsid w:val="00182B5C"/>
    <w:rsid w:val="00182CE0"/>
    <w:rsid w:val="001843E2"/>
    <w:rsid w:val="00184E43"/>
    <w:rsid w:val="00185C7D"/>
    <w:rsid w:val="001861B8"/>
    <w:rsid w:val="00187065"/>
    <w:rsid w:val="0018706A"/>
    <w:rsid w:val="00187182"/>
    <w:rsid w:val="001902FE"/>
    <w:rsid w:val="001927A4"/>
    <w:rsid w:val="00192881"/>
    <w:rsid w:val="00192C14"/>
    <w:rsid w:val="00193E53"/>
    <w:rsid w:val="001941DE"/>
    <w:rsid w:val="00195153"/>
    <w:rsid w:val="001958C8"/>
    <w:rsid w:val="00196C35"/>
    <w:rsid w:val="001A2967"/>
    <w:rsid w:val="001A335E"/>
    <w:rsid w:val="001A3671"/>
    <w:rsid w:val="001A4389"/>
    <w:rsid w:val="001A45D2"/>
    <w:rsid w:val="001A6B79"/>
    <w:rsid w:val="001A7BB9"/>
    <w:rsid w:val="001A7F60"/>
    <w:rsid w:val="001B0219"/>
    <w:rsid w:val="001B02D7"/>
    <w:rsid w:val="001B0632"/>
    <w:rsid w:val="001B0AF1"/>
    <w:rsid w:val="001B160F"/>
    <w:rsid w:val="001B284A"/>
    <w:rsid w:val="001B346B"/>
    <w:rsid w:val="001B6DA7"/>
    <w:rsid w:val="001B77A2"/>
    <w:rsid w:val="001B7D0B"/>
    <w:rsid w:val="001C154D"/>
    <w:rsid w:val="001C1E47"/>
    <w:rsid w:val="001C2B11"/>
    <w:rsid w:val="001C3276"/>
    <w:rsid w:val="001C44E8"/>
    <w:rsid w:val="001C4810"/>
    <w:rsid w:val="001C560E"/>
    <w:rsid w:val="001C58C2"/>
    <w:rsid w:val="001C5E64"/>
    <w:rsid w:val="001C620B"/>
    <w:rsid w:val="001D10A9"/>
    <w:rsid w:val="001D1819"/>
    <w:rsid w:val="001D1A16"/>
    <w:rsid w:val="001D5102"/>
    <w:rsid w:val="001D6530"/>
    <w:rsid w:val="001D681F"/>
    <w:rsid w:val="001D6D59"/>
    <w:rsid w:val="001D7428"/>
    <w:rsid w:val="001D7613"/>
    <w:rsid w:val="001D7A5D"/>
    <w:rsid w:val="001E0B4D"/>
    <w:rsid w:val="001E0EFF"/>
    <w:rsid w:val="001E1B35"/>
    <w:rsid w:val="001E1C5D"/>
    <w:rsid w:val="001E1FD1"/>
    <w:rsid w:val="001E2906"/>
    <w:rsid w:val="001E2D62"/>
    <w:rsid w:val="001E2FBB"/>
    <w:rsid w:val="001E4F8A"/>
    <w:rsid w:val="001E5ABD"/>
    <w:rsid w:val="001E5C43"/>
    <w:rsid w:val="001E5D64"/>
    <w:rsid w:val="001E5FE4"/>
    <w:rsid w:val="001E71BA"/>
    <w:rsid w:val="001F0B51"/>
    <w:rsid w:val="001F1D8A"/>
    <w:rsid w:val="001F359C"/>
    <w:rsid w:val="001F3750"/>
    <w:rsid w:val="001F40E1"/>
    <w:rsid w:val="001F58B8"/>
    <w:rsid w:val="00200D27"/>
    <w:rsid w:val="002011AC"/>
    <w:rsid w:val="00201EB9"/>
    <w:rsid w:val="00202BD7"/>
    <w:rsid w:val="002048CC"/>
    <w:rsid w:val="0020506D"/>
    <w:rsid w:val="00205391"/>
    <w:rsid w:val="00205A99"/>
    <w:rsid w:val="00205B95"/>
    <w:rsid w:val="00205CE0"/>
    <w:rsid w:val="0020733F"/>
    <w:rsid w:val="00207B94"/>
    <w:rsid w:val="00210E15"/>
    <w:rsid w:val="00211626"/>
    <w:rsid w:val="0021277A"/>
    <w:rsid w:val="00212BC7"/>
    <w:rsid w:val="0021380C"/>
    <w:rsid w:val="00213FCA"/>
    <w:rsid w:val="00216621"/>
    <w:rsid w:val="00216B0E"/>
    <w:rsid w:val="00217361"/>
    <w:rsid w:val="00217433"/>
    <w:rsid w:val="00217437"/>
    <w:rsid w:val="00222350"/>
    <w:rsid w:val="002231D3"/>
    <w:rsid w:val="002235F3"/>
    <w:rsid w:val="002247E7"/>
    <w:rsid w:val="00224804"/>
    <w:rsid w:val="0022537C"/>
    <w:rsid w:val="0022685E"/>
    <w:rsid w:val="00227868"/>
    <w:rsid w:val="00230915"/>
    <w:rsid w:val="00230D53"/>
    <w:rsid w:val="0023191B"/>
    <w:rsid w:val="002337B2"/>
    <w:rsid w:val="00233C64"/>
    <w:rsid w:val="002375A2"/>
    <w:rsid w:val="002404BA"/>
    <w:rsid w:val="002427F7"/>
    <w:rsid w:val="00243015"/>
    <w:rsid w:val="0024338F"/>
    <w:rsid w:val="00244579"/>
    <w:rsid w:val="00245A30"/>
    <w:rsid w:val="002511A8"/>
    <w:rsid w:val="002511E9"/>
    <w:rsid w:val="002512E8"/>
    <w:rsid w:val="00251BE5"/>
    <w:rsid w:val="00251FA2"/>
    <w:rsid w:val="002523FB"/>
    <w:rsid w:val="002529E8"/>
    <w:rsid w:val="00253249"/>
    <w:rsid w:val="002536CB"/>
    <w:rsid w:val="00253775"/>
    <w:rsid w:val="0025526A"/>
    <w:rsid w:val="00255EA4"/>
    <w:rsid w:val="00260A89"/>
    <w:rsid w:val="00260C9F"/>
    <w:rsid w:val="00261A11"/>
    <w:rsid w:val="00262A51"/>
    <w:rsid w:val="00262DDC"/>
    <w:rsid w:val="002648FC"/>
    <w:rsid w:val="00265778"/>
    <w:rsid w:val="002658D0"/>
    <w:rsid w:val="002679E5"/>
    <w:rsid w:val="00270695"/>
    <w:rsid w:val="002707B8"/>
    <w:rsid w:val="0027084D"/>
    <w:rsid w:val="002725BC"/>
    <w:rsid w:val="002731DE"/>
    <w:rsid w:val="002735F9"/>
    <w:rsid w:val="00273CD1"/>
    <w:rsid w:val="00274463"/>
    <w:rsid w:val="00274E69"/>
    <w:rsid w:val="0027502F"/>
    <w:rsid w:val="00277C24"/>
    <w:rsid w:val="0028166F"/>
    <w:rsid w:val="00281733"/>
    <w:rsid w:val="0028174D"/>
    <w:rsid w:val="00281A30"/>
    <w:rsid w:val="002823D9"/>
    <w:rsid w:val="002831C6"/>
    <w:rsid w:val="00283FF9"/>
    <w:rsid w:val="00284B8A"/>
    <w:rsid w:val="00290B29"/>
    <w:rsid w:val="00292313"/>
    <w:rsid w:val="00294168"/>
    <w:rsid w:val="00294245"/>
    <w:rsid w:val="002948AE"/>
    <w:rsid w:val="00294FD0"/>
    <w:rsid w:val="002954DC"/>
    <w:rsid w:val="00295883"/>
    <w:rsid w:val="0029647F"/>
    <w:rsid w:val="00296B1E"/>
    <w:rsid w:val="00297ABC"/>
    <w:rsid w:val="002A2421"/>
    <w:rsid w:val="002A40A1"/>
    <w:rsid w:val="002A4594"/>
    <w:rsid w:val="002A4934"/>
    <w:rsid w:val="002A50A7"/>
    <w:rsid w:val="002A65C4"/>
    <w:rsid w:val="002A6CAA"/>
    <w:rsid w:val="002A6EA8"/>
    <w:rsid w:val="002B020A"/>
    <w:rsid w:val="002B334F"/>
    <w:rsid w:val="002B3E37"/>
    <w:rsid w:val="002B4100"/>
    <w:rsid w:val="002B4250"/>
    <w:rsid w:val="002B429D"/>
    <w:rsid w:val="002B43F3"/>
    <w:rsid w:val="002B4830"/>
    <w:rsid w:val="002B4F49"/>
    <w:rsid w:val="002B63FA"/>
    <w:rsid w:val="002B7D36"/>
    <w:rsid w:val="002C1E78"/>
    <w:rsid w:val="002C21A1"/>
    <w:rsid w:val="002C4E8C"/>
    <w:rsid w:val="002C57FE"/>
    <w:rsid w:val="002C65D1"/>
    <w:rsid w:val="002D0261"/>
    <w:rsid w:val="002D1D1E"/>
    <w:rsid w:val="002D3088"/>
    <w:rsid w:val="002D473A"/>
    <w:rsid w:val="002D4F37"/>
    <w:rsid w:val="002D54B7"/>
    <w:rsid w:val="002D61CE"/>
    <w:rsid w:val="002D6E03"/>
    <w:rsid w:val="002E030B"/>
    <w:rsid w:val="002E211F"/>
    <w:rsid w:val="002E397D"/>
    <w:rsid w:val="002E43B7"/>
    <w:rsid w:val="002E4405"/>
    <w:rsid w:val="002E4FDC"/>
    <w:rsid w:val="002E50F9"/>
    <w:rsid w:val="002E516E"/>
    <w:rsid w:val="002E5F0C"/>
    <w:rsid w:val="002E6386"/>
    <w:rsid w:val="002E6E73"/>
    <w:rsid w:val="002E6F5E"/>
    <w:rsid w:val="002E78FC"/>
    <w:rsid w:val="002E799C"/>
    <w:rsid w:val="002F140C"/>
    <w:rsid w:val="002F313C"/>
    <w:rsid w:val="002F4FA0"/>
    <w:rsid w:val="002F5F07"/>
    <w:rsid w:val="002F78C9"/>
    <w:rsid w:val="002F7F47"/>
    <w:rsid w:val="0030105C"/>
    <w:rsid w:val="00304846"/>
    <w:rsid w:val="00304930"/>
    <w:rsid w:val="00304F15"/>
    <w:rsid w:val="0030523E"/>
    <w:rsid w:val="00306137"/>
    <w:rsid w:val="00312D97"/>
    <w:rsid w:val="00312FDE"/>
    <w:rsid w:val="0031493F"/>
    <w:rsid w:val="00315E58"/>
    <w:rsid w:val="0031748C"/>
    <w:rsid w:val="00320A32"/>
    <w:rsid w:val="00322518"/>
    <w:rsid w:val="00322C51"/>
    <w:rsid w:val="003235C8"/>
    <w:rsid w:val="003249AC"/>
    <w:rsid w:val="0032597C"/>
    <w:rsid w:val="00327926"/>
    <w:rsid w:val="00327E12"/>
    <w:rsid w:val="003306BF"/>
    <w:rsid w:val="00331F49"/>
    <w:rsid w:val="00333818"/>
    <w:rsid w:val="00334155"/>
    <w:rsid w:val="00336613"/>
    <w:rsid w:val="00336FF6"/>
    <w:rsid w:val="0033715B"/>
    <w:rsid w:val="00337978"/>
    <w:rsid w:val="003400CE"/>
    <w:rsid w:val="003403AC"/>
    <w:rsid w:val="00340ED2"/>
    <w:rsid w:val="00341DD1"/>
    <w:rsid w:val="00343604"/>
    <w:rsid w:val="00344186"/>
    <w:rsid w:val="00344D3F"/>
    <w:rsid w:val="0034504D"/>
    <w:rsid w:val="00345174"/>
    <w:rsid w:val="0034562A"/>
    <w:rsid w:val="003478A8"/>
    <w:rsid w:val="00351ABE"/>
    <w:rsid w:val="00351DAD"/>
    <w:rsid w:val="0035483B"/>
    <w:rsid w:val="0035620E"/>
    <w:rsid w:val="0035765D"/>
    <w:rsid w:val="00360812"/>
    <w:rsid w:val="00360CDE"/>
    <w:rsid w:val="003625AF"/>
    <w:rsid w:val="00363176"/>
    <w:rsid w:val="00363AF6"/>
    <w:rsid w:val="0036420B"/>
    <w:rsid w:val="00366FCA"/>
    <w:rsid w:val="003675BA"/>
    <w:rsid w:val="00371330"/>
    <w:rsid w:val="00372332"/>
    <w:rsid w:val="00373067"/>
    <w:rsid w:val="00373624"/>
    <w:rsid w:val="00374643"/>
    <w:rsid w:val="00374E61"/>
    <w:rsid w:val="0037554E"/>
    <w:rsid w:val="003759CE"/>
    <w:rsid w:val="00375AFE"/>
    <w:rsid w:val="003801F7"/>
    <w:rsid w:val="00380246"/>
    <w:rsid w:val="0038038C"/>
    <w:rsid w:val="00380D61"/>
    <w:rsid w:val="00380DBE"/>
    <w:rsid w:val="003810F0"/>
    <w:rsid w:val="003822A8"/>
    <w:rsid w:val="00382632"/>
    <w:rsid w:val="00383151"/>
    <w:rsid w:val="00383223"/>
    <w:rsid w:val="00384D3F"/>
    <w:rsid w:val="00385EE5"/>
    <w:rsid w:val="003861AB"/>
    <w:rsid w:val="0038622A"/>
    <w:rsid w:val="00386454"/>
    <w:rsid w:val="00386A92"/>
    <w:rsid w:val="00387B03"/>
    <w:rsid w:val="00387C8A"/>
    <w:rsid w:val="0039036E"/>
    <w:rsid w:val="00391D6F"/>
    <w:rsid w:val="00392C0A"/>
    <w:rsid w:val="0039497C"/>
    <w:rsid w:val="00395A18"/>
    <w:rsid w:val="0039632A"/>
    <w:rsid w:val="00396CFB"/>
    <w:rsid w:val="003A15AE"/>
    <w:rsid w:val="003A1B6F"/>
    <w:rsid w:val="003A1E5E"/>
    <w:rsid w:val="003A1F58"/>
    <w:rsid w:val="003A20DA"/>
    <w:rsid w:val="003A2119"/>
    <w:rsid w:val="003A4A2C"/>
    <w:rsid w:val="003A4F3E"/>
    <w:rsid w:val="003A53CD"/>
    <w:rsid w:val="003A6DB0"/>
    <w:rsid w:val="003A79DB"/>
    <w:rsid w:val="003B2977"/>
    <w:rsid w:val="003B3314"/>
    <w:rsid w:val="003B3D85"/>
    <w:rsid w:val="003B3DD0"/>
    <w:rsid w:val="003B572B"/>
    <w:rsid w:val="003B5B99"/>
    <w:rsid w:val="003B7931"/>
    <w:rsid w:val="003C24E4"/>
    <w:rsid w:val="003C25AC"/>
    <w:rsid w:val="003C45C1"/>
    <w:rsid w:val="003C553A"/>
    <w:rsid w:val="003C5C8B"/>
    <w:rsid w:val="003C664A"/>
    <w:rsid w:val="003C70C3"/>
    <w:rsid w:val="003C75DB"/>
    <w:rsid w:val="003D0C21"/>
    <w:rsid w:val="003D248B"/>
    <w:rsid w:val="003D2F9B"/>
    <w:rsid w:val="003D4ED4"/>
    <w:rsid w:val="003D53B8"/>
    <w:rsid w:val="003D57B9"/>
    <w:rsid w:val="003D5D7B"/>
    <w:rsid w:val="003D6D33"/>
    <w:rsid w:val="003D750D"/>
    <w:rsid w:val="003E01A1"/>
    <w:rsid w:val="003E1251"/>
    <w:rsid w:val="003E2170"/>
    <w:rsid w:val="003E375A"/>
    <w:rsid w:val="003E4294"/>
    <w:rsid w:val="003E48FC"/>
    <w:rsid w:val="003E4B5E"/>
    <w:rsid w:val="003E6165"/>
    <w:rsid w:val="003E6A8F"/>
    <w:rsid w:val="003E6E8B"/>
    <w:rsid w:val="003E7A6E"/>
    <w:rsid w:val="003E7AEA"/>
    <w:rsid w:val="003F0994"/>
    <w:rsid w:val="003F0FB1"/>
    <w:rsid w:val="003F19F7"/>
    <w:rsid w:val="003F2C9D"/>
    <w:rsid w:val="003F2E2D"/>
    <w:rsid w:val="003F46FA"/>
    <w:rsid w:val="003F6C61"/>
    <w:rsid w:val="003F7844"/>
    <w:rsid w:val="003F78C1"/>
    <w:rsid w:val="003F7A1E"/>
    <w:rsid w:val="004007AC"/>
    <w:rsid w:val="00401DF0"/>
    <w:rsid w:val="0040227E"/>
    <w:rsid w:val="00403606"/>
    <w:rsid w:val="00403973"/>
    <w:rsid w:val="00403ADC"/>
    <w:rsid w:val="0040424A"/>
    <w:rsid w:val="00406553"/>
    <w:rsid w:val="004103CD"/>
    <w:rsid w:val="00410A18"/>
    <w:rsid w:val="00410CBE"/>
    <w:rsid w:val="004119E8"/>
    <w:rsid w:val="00411E44"/>
    <w:rsid w:val="004134D7"/>
    <w:rsid w:val="004138A5"/>
    <w:rsid w:val="00414885"/>
    <w:rsid w:val="004148C0"/>
    <w:rsid w:val="00414F98"/>
    <w:rsid w:val="0041560D"/>
    <w:rsid w:val="00416112"/>
    <w:rsid w:val="00422070"/>
    <w:rsid w:val="0042395F"/>
    <w:rsid w:val="004248F3"/>
    <w:rsid w:val="0042552E"/>
    <w:rsid w:val="0042568D"/>
    <w:rsid w:val="00425EE1"/>
    <w:rsid w:val="00426918"/>
    <w:rsid w:val="0042694A"/>
    <w:rsid w:val="00426E26"/>
    <w:rsid w:val="00430741"/>
    <w:rsid w:val="00431115"/>
    <w:rsid w:val="00431F6C"/>
    <w:rsid w:val="004329A8"/>
    <w:rsid w:val="00434CA0"/>
    <w:rsid w:val="00435253"/>
    <w:rsid w:val="004359BB"/>
    <w:rsid w:val="00440DF1"/>
    <w:rsid w:val="004419F6"/>
    <w:rsid w:val="00443054"/>
    <w:rsid w:val="00443D46"/>
    <w:rsid w:val="00446455"/>
    <w:rsid w:val="0045049B"/>
    <w:rsid w:val="00451D3D"/>
    <w:rsid w:val="00451DA6"/>
    <w:rsid w:val="00454277"/>
    <w:rsid w:val="00454FE1"/>
    <w:rsid w:val="00456A58"/>
    <w:rsid w:val="00456AB3"/>
    <w:rsid w:val="00456C45"/>
    <w:rsid w:val="00457149"/>
    <w:rsid w:val="0046047E"/>
    <w:rsid w:val="00464590"/>
    <w:rsid w:val="00464C75"/>
    <w:rsid w:val="004658D1"/>
    <w:rsid w:val="00466B8D"/>
    <w:rsid w:val="00470794"/>
    <w:rsid w:val="00471DCC"/>
    <w:rsid w:val="004729E0"/>
    <w:rsid w:val="00473850"/>
    <w:rsid w:val="00473A4D"/>
    <w:rsid w:val="00473DD7"/>
    <w:rsid w:val="00473E98"/>
    <w:rsid w:val="004740E8"/>
    <w:rsid w:val="004745DA"/>
    <w:rsid w:val="00474896"/>
    <w:rsid w:val="00475E79"/>
    <w:rsid w:val="00476C08"/>
    <w:rsid w:val="0047789A"/>
    <w:rsid w:val="00480A58"/>
    <w:rsid w:val="00480BEA"/>
    <w:rsid w:val="004811CE"/>
    <w:rsid w:val="00483334"/>
    <w:rsid w:val="004834B7"/>
    <w:rsid w:val="00483779"/>
    <w:rsid w:val="0048380E"/>
    <w:rsid w:val="00486665"/>
    <w:rsid w:val="0048668C"/>
    <w:rsid w:val="00486971"/>
    <w:rsid w:val="00486BE3"/>
    <w:rsid w:val="00487D91"/>
    <w:rsid w:val="00490395"/>
    <w:rsid w:val="0049137F"/>
    <w:rsid w:val="00491ECF"/>
    <w:rsid w:val="00492379"/>
    <w:rsid w:val="004923EB"/>
    <w:rsid w:val="0049240B"/>
    <w:rsid w:val="0049342D"/>
    <w:rsid w:val="0049420B"/>
    <w:rsid w:val="0049474F"/>
    <w:rsid w:val="004954D4"/>
    <w:rsid w:val="00497316"/>
    <w:rsid w:val="00497C0D"/>
    <w:rsid w:val="00497CF7"/>
    <w:rsid w:val="004A17E0"/>
    <w:rsid w:val="004A42D1"/>
    <w:rsid w:val="004A5225"/>
    <w:rsid w:val="004A57F6"/>
    <w:rsid w:val="004A5A2F"/>
    <w:rsid w:val="004A613F"/>
    <w:rsid w:val="004B0D97"/>
    <w:rsid w:val="004B106A"/>
    <w:rsid w:val="004B31ED"/>
    <w:rsid w:val="004B394F"/>
    <w:rsid w:val="004B3D81"/>
    <w:rsid w:val="004C1432"/>
    <w:rsid w:val="004C3ECD"/>
    <w:rsid w:val="004C4576"/>
    <w:rsid w:val="004C5E86"/>
    <w:rsid w:val="004C641B"/>
    <w:rsid w:val="004C7EFC"/>
    <w:rsid w:val="004D0505"/>
    <w:rsid w:val="004D05C8"/>
    <w:rsid w:val="004D0B18"/>
    <w:rsid w:val="004D0DD0"/>
    <w:rsid w:val="004D194A"/>
    <w:rsid w:val="004D321E"/>
    <w:rsid w:val="004D4A2C"/>
    <w:rsid w:val="004D7611"/>
    <w:rsid w:val="004E11D8"/>
    <w:rsid w:val="004E22AA"/>
    <w:rsid w:val="004E3225"/>
    <w:rsid w:val="004E40FD"/>
    <w:rsid w:val="004E4C79"/>
    <w:rsid w:val="004E505A"/>
    <w:rsid w:val="004E58BC"/>
    <w:rsid w:val="004E6043"/>
    <w:rsid w:val="004E72DE"/>
    <w:rsid w:val="004E7417"/>
    <w:rsid w:val="004E7689"/>
    <w:rsid w:val="004F402D"/>
    <w:rsid w:val="004F4B9A"/>
    <w:rsid w:val="004F4D6A"/>
    <w:rsid w:val="004F5900"/>
    <w:rsid w:val="004F5FF4"/>
    <w:rsid w:val="004F706D"/>
    <w:rsid w:val="004F7483"/>
    <w:rsid w:val="004F7758"/>
    <w:rsid w:val="0050077F"/>
    <w:rsid w:val="00500DEF"/>
    <w:rsid w:val="00501CB0"/>
    <w:rsid w:val="00502D50"/>
    <w:rsid w:val="00503952"/>
    <w:rsid w:val="00504547"/>
    <w:rsid w:val="0051107A"/>
    <w:rsid w:val="00511BBB"/>
    <w:rsid w:val="00512339"/>
    <w:rsid w:val="005128CD"/>
    <w:rsid w:val="005129C3"/>
    <w:rsid w:val="005133E4"/>
    <w:rsid w:val="00513906"/>
    <w:rsid w:val="00513BF3"/>
    <w:rsid w:val="0051489E"/>
    <w:rsid w:val="00514AFF"/>
    <w:rsid w:val="00516517"/>
    <w:rsid w:val="005175EF"/>
    <w:rsid w:val="005179A1"/>
    <w:rsid w:val="00521191"/>
    <w:rsid w:val="005218C3"/>
    <w:rsid w:val="00522159"/>
    <w:rsid w:val="0052272E"/>
    <w:rsid w:val="0052483D"/>
    <w:rsid w:val="00525623"/>
    <w:rsid w:val="0052595D"/>
    <w:rsid w:val="00525BC3"/>
    <w:rsid w:val="0052604A"/>
    <w:rsid w:val="00531978"/>
    <w:rsid w:val="005353EA"/>
    <w:rsid w:val="00535815"/>
    <w:rsid w:val="005367D5"/>
    <w:rsid w:val="00536FF5"/>
    <w:rsid w:val="00537E35"/>
    <w:rsid w:val="00540A1E"/>
    <w:rsid w:val="00540D4C"/>
    <w:rsid w:val="00541BE6"/>
    <w:rsid w:val="00542FFC"/>
    <w:rsid w:val="00543D20"/>
    <w:rsid w:val="00543F37"/>
    <w:rsid w:val="00545AD4"/>
    <w:rsid w:val="005461C0"/>
    <w:rsid w:val="00547B1C"/>
    <w:rsid w:val="005504BC"/>
    <w:rsid w:val="00551791"/>
    <w:rsid w:val="00552EB3"/>
    <w:rsid w:val="00553AA5"/>
    <w:rsid w:val="005543E0"/>
    <w:rsid w:val="00555259"/>
    <w:rsid w:val="005556B2"/>
    <w:rsid w:val="00560E9C"/>
    <w:rsid w:val="005612FF"/>
    <w:rsid w:val="00561459"/>
    <w:rsid w:val="00561B12"/>
    <w:rsid w:val="0056204C"/>
    <w:rsid w:val="00562433"/>
    <w:rsid w:val="00562F0E"/>
    <w:rsid w:val="005647C8"/>
    <w:rsid w:val="00565D72"/>
    <w:rsid w:val="00565F80"/>
    <w:rsid w:val="005660FD"/>
    <w:rsid w:val="005672B5"/>
    <w:rsid w:val="005700FC"/>
    <w:rsid w:val="0057146E"/>
    <w:rsid w:val="00571660"/>
    <w:rsid w:val="0057283B"/>
    <w:rsid w:val="00575AC0"/>
    <w:rsid w:val="00575B51"/>
    <w:rsid w:val="00576178"/>
    <w:rsid w:val="0057789C"/>
    <w:rsid w:val="005806DA"/>
    <w:rsid w:val="005819C5"/>
    <w:rsid w:val="005824E9"/>
    <w:rsid w:val="005837BD"/>
    <w:rsid w:val="0058464C"/>
    <w:rsid w:val="00584756"/>
    <w:rsid w:val="00584FA2"/>
    <w:rsid w:val="005860FD"/>
    <w:rsid w:val="00587EE4"/>
    <w:rsid w:val="00590091"/>
    <w:rsid w:val="0059072C"/>
    <w:rsid w:val="005915D6"/>
    <w:rsid w:val="00591A40"/>
    <w:rsid w:val="00591F96"/>
    <w:rsid w:val="005931EF"/>
    <w:rsid w:val="00594F37"/>
    <w:rsid w:val="00597441"/>
    <w:rsid w:val="005A0888"/>
    <w:rsid w:val="005A1AFE"/>
    <w:rsid w:val="005A2F63"/>
    <w:rsid w:val="005A2F6F"/>
    <w:rsid w:val="005A573D"/>
    <w:rsid w:val="005A59F4"/>
    <w:rsid w:val="005A5B9A"/>
    <w:rsid w:val="005A5C27"/>
    <w:rsid w:val="005A5EDE"/>
    <w:rsid w:val="005A5EEE"/>
    <w:rsid w:val="005A6B9B"/>
    <w:rsid w:val="005A7708"/>
    <w:rsid w:val="005B0F17"/>
    <w:rsid w:val="005B368D"/>
    <w:rsid w:val="005B3E2A"/>
    <w:rsid w:val="005B3E85"/>
    <w:rsid w:val="005B50B8"/>
    <w:rsid w:val="005B5B2D"/>
    <w:rsid w:val="005B5BFC"/>
    <w:rsid w:val="005B6250"/>
    <w:rsid w:val="005B7C09"/>
    <w:rsid w:val="005C138B"/>
    <w:rsid w:val="005C1BFC"/>
    <w:rsid w:val="005C3F96"/>
    <w:rsid w:val="005C489D"/>
    <w:rsid w:val="005C59CE"/>
    <w:rsid w:val="005C5F99"/>
    <w:rsid w:val="005C6529"/>
    <w:rsid w:val="005D027D"/>
    <w:rsid w:val="005D1B1B"/>
    <w:rsid w:val="005D1F76"/>
    <w:rsid w:val="005D1FFE"/>
    <w:rsid w:val="005D25EC"/>
    <w:rsid w:val="005D2ABC"/>
    <w:rsid w:val="005D2D13"/>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CEF"/>
    <w:rsid w:val="005E3EFB"/>
    <w:rsid w:val="005E56E6"/>
    <w:rsid w:val="005E5AD2"/>
    <w:rsid w:val="005E61ED"/>
    <w:rsid w:val="005F128A"/>
    <w:rsid w:val="005F1373"/>
    <w:rsid w:val="005F2924"/>
    <w:rsid w:val="005F4085"/>
    <w:rsid w:val="005F5933"/>
    <w:rsid w:val="005F70AA"/>
    <w:rsid w:val="00600B02"/>
    <w:rsid w:val="00600D22"/>
    <w:rsid w:val="00601444"/>
    <w:rsid w:val="006025A4"/>
    <w:rsid w:val="00602EF3"/>
    <w:rsid w:val="006036FD"/>
    <w:rsid w:val="006049B0"/>
    <w:rsid w:val="006109F6"/>
    <w:rsid w:val="0061177B"/>
    <w:rsid w:val="006124DB"/>
    <w:rsid w:val="0061276B"/>
    <w:rsid w:val="0061362E"/>
    <w:rsid w:val="00615341"/>
    <w:rsid w:val="0061616D"/>
    <w:rsid w:val="006163AE"/>
    <w:rsid w:val="00616ADA"/>
    <w:rsid w:val="006175A7"/>
    <w:rsid w:val="006220FA"/>
    <w:rsid w:val="006239C7"/>
    <w:rsid w:val="00623BE6"/>
    <w:rsid w:val="0062454B"/>
    <w:rsid w:val="006252C6"/>
    <w:rsid w:val="0062576C"/>
    <w:rsid w:val="00626033"/>
    <w:rsid w:val="00626256"/>
    <w:rsid w:val="00630505"/>
    <w:rsid w:val="00630922"/>
    <w:rsid w:val="00630E11"/>
    <w:rsid w:val="00631143"/>
    <w:rsid w:val="00631459"/>
    <w:rsid w:val="00631C17"/>
    <w:rsid w:val="006323DE"/>
    <w:rsid w:val="0063248E"/>
    <w:rsid w:val="006324CB"/>
    <w:rsid w:val="00632CF0"/>
    <w:rsid w:val="00632E7D"/>
    <w:rsid w:val="006331B0"/>
    <w:rsid w:val="0063415D"/>
    <w:rsid w:val="00634539"/>
    <w:rsid w:val="006345B2"/>
    <w:rsid w:val="006360DB"/>
    <w:rsid w:val="00636B85"/>
    <w:rsid w:val="006375CA"/>
    <w:rsid w:val="00643DC9"/>
    <w:rsid w:val="006460B8"/>
    <w:rsid w:val="0064646B"/>
    <w:rsid w:val="006479EF"/>
    <w:rsid w:val="006514A3"/>
    <w:rsid w:val="006529AA"/>
    <w:rsid w:val="00654707"/>
    <w:rsid w:val="0065519B"/>
    <w:rsid w:val="0066010E"/>
    <w:rsid w:val="00660D00"/>
    <w:rsid w:val="006616EE"/>
    <w:rsid w:val="00664D23"/>
    <w:rsid w:val="0066658E"/>
    <w:rsid w:val="006668D8"/>
    <w:rsid w:val="00666D5A"/>
    <w:rsid w:val="006672E3"/>
    <w:rsid w:val="00667656"/>
    <w:rsid w:val="00670051"/>
    <w:rsid w:val="00670523"/>
    <w:rsid w:val="00670587"/>
    <w:rsid w:val="00672D7A"/>
    <w:rsid w:val="0067419C"/>
    <w:rsid w:val="00675794"/>
    <w:rsid w:val="006765F9"/>
    <w:rsid w:val="0067674E"/>
    <w:rsid w:val="00680333"/>
    <w:rsid w:val="00680A21"/>
    <w:rsid w:val="00680E08"/>
    <w:rsid w:val="00681DA9"/>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AE2"/>
    <w:rsid w:val="006A01D7"/>
    <w:rsid w:val="006A424B"/>
    <w:rsid w:val="006A6EF2"/>
    <w:rsid w:val="006A7B6C"/>
    <w:rsid w:val="006B16CD"/>
    <w:rsid w:val="006B22CB"/>
    <w:rsid w:val="006B2C36"/>
    <w:rsid w:val="006B3423"/>
    <w:rsid w:val="006B4C20"/>
    <w:rsid w:val="006B5FC7"/>
    <w:rsid w:val="006B664F"/>
    <w:rsid w:val="006B72DC"/>
    <w:rsid w:val="006B7DB5"/>
    <w:rsid w:val="006C0489"/>
    <w:rsid w:val="006C0DF1"/>
    <w:rsid w:val="006C13E4"/>
    <w:rsid w:val="006C19FF"/>
    <w:rsid w:val="006C4152"/>
    <w:rsid w:val="006C4B0D"/>
    <w:rsid w:val="006C4E8C"/>
    <w:rsid w:val="006C5C95"/>
    <w:rsid w:val="006C70ED"/>
    <w:rsid w:val="006D045D"/>
    <w:rsid w:val="006D05F8"/>
    <w:rsid w:val="006D219A"/>
    <w:rsid w:val="006D2FCF"/>
    <w:rsid w:val="006D3126"/>
    <w:rsid w:val="006D3407"/>
    <w:rsid w:val="006D34ED"/>
    <w:rsid w:val="006D44D3"/>
    <w:rsid w:val="006D49F8"/>
    <w:rsid w:val="006D526E"/>
    <w:rsid w:val="006D52C6"/>
    <w:rsid w:val="006D64A8"/>
    <w:rsid w:val="006D68FE"/>
    <w:rsid w:val="006D6F0C"/>
    <w:rsid w:val="006E02C8"/>
    <w:rsid w:val="006E0832"/>
    <w:rsid w:val="006E11C5"/>
    <w:rsid w:val="006E2139"/>
    <w:rsid w:val="006E2E96"/>
    <w:rsid w:val="006E31DC"/>
    <w:rsid w:val="006E4ADC"/>
    <w:rsid w:val="006E54EE"/>
    <w:rsid w:val="006E5B1C"/>
    <w:rsid w:val="006E6CC3"/>
    <w:rsid w:val="006F01DD"/>
    <w:rsid w:val="006F10FB"/>
    <w:rsid w:val="006F1799"/>
    <w:rsid w:val="006F1912"/>
    <w:rsid w:val="006F1D5E"/>
    <w:rsid w:val="006F22ED"/>
    <w:rsid w:val="006F2309"/>
    <w:rsid w:val="006F4D78"/>
    <w:rsid w:val="006F511E"/>
    <w:rsid w:val="006F5CBA"/>
    <w:rsid w:val="006F5D72"/>
    <w:rsid w:val="00700807"/>
    <w:rsid w:val="00702538"/>
    <w:rsid w:val="007025D9"/>
    <w:rsid w:val="00702E24"/>
    <w:rsid w:val="0070369D"/>
    <w:rsid w:val="00704431"/>
    <w:rsid w:val="007052B7"/>
    <w:rsid w:val="00705A09"/>
    <w:rsid w:val="007060AF"/>
    <w:rsid w:val="00710360"/>
    <w:rsid w:val="00714CC3"/>
    <w:rsid w:val="00716505"/>
    <w:rsid w:val="0072002A"/>
    <w:rsid w:val="0072015A"/>
    <w:rsid w:val="00720230"/>
    <w:rsid w:val="00720865"/>
    <w:rsid w:val="00723121"/>
    <w:rsid w:val="007232E0"/>
    <w:rsid w:val="007249B2"/>
    <w:rsid w:val="00724A9A"/>
    <w:rsid w:val="00725BBB"/>
    <w:rsid w:val="007270F4"/>
    <w:rsid w:val="00731276"/>
    <w:rsid w:val="00733729"/>
    <w:rsid w:val="00733D36"/>
    <w:rsid w:val="007340FB"/>
    <w:rsid w:val="00737561"/>
    <w:rsid w:val="00737B21"/>
    <w:rsid w:val="007408CB"/>
    <w:rsid w:val="00740F2A"/>
    <w:rsid w:val="00742CA2"/>
    <w:rsid w:val="0074312B"/>
    <w:rsid w:val="007434D3"/>
    <w:rsid w:val="007443F6"/>
    <w:rsid w:val="007453B6"/>
    <w:rsid w:val="007458FA"/>
    <w:rsid w:val="007467DE"/>
    <w:rsid w:val="00747710"/>
    <w:rsid w:val="00747E84"/>
    <w:rsid w:val="00750ADF"/>
    <w:rsid w:val="00753357"/>
    <w:rsid w:val="00753C0F"/>
    <w:rsid w:val="00755256"/>
    <w:rsid w:val="007552CC"/>
    <w:rsid w:val="00755907"/>
    <w:rsid w:val="007562DA"/>
    <w:rsid w:val="0075756B"/>
    <w:rsid w:val="00757C70"/>
    <w:rsid w:val="00757E6B"/>
    <w:rsid w:val="0076059A"/>
    <w:rsid w:val="00760A5D"/>
    <w:rsid w:val="00760D35"/>
    <w:rsid w:val="007627D2"/>
    <w:rsid w:val="00762C7C"/>
    <w:rsid w:val="00762FBE"/>
    <w:rsid w:val="007634A9"/>
    <w:rsid w:val="0076356B"/>
    <w:rsid w:val="007651EA"/>
    <w:rsid w:val="007664E4"/>
    <w:rsid w:val="00766A7A"/>
    <w:rsid w:val="00771BAB"/>
    <w:rsid w:val="00771C54"/>
    <w:rsid w:val="007740BD"/>
    <w:rsid w:val="007747BE"/>
    <w:rsid w:val="00775886"/>
    <w:rsid w:val="007768DF"/>
    <w:rsid w:val="007768FB"/>
    <w:rsid w:val="00776F99"/>
    <w:rsid w:val="00777C67"/>
    <w:rsid w:val="007802AD"/>
    <w:rsid w:val="0078047F"/>
    <w:rsid w:val="00780E29"/>
    <w:rsid w:val="00781203"/>
    <w:rsid w:val="00781312"/>
    <w:rsid w:val="00781F73"/>
    <w:rsid w:val="00782FF3"/>
    <w:rsid w:val="00783189"/>
    <w:rsid w:val="00783BB5"/>
    <w:rsid w:val="007845E1"/>
    <w:rsid w:val="00784ACA"/>
    <w:rsid w:val="00784C55"/>
    <w:rsid w:val="00785927"/>
    <w:rsid w:val="00785982"/>
    <w:rsid w:val="00785B2E"/>
    <w:rsid w:val="00787686"/>
    <w:rsid w:val="00787E50"/>
    <w:rsid w:val="0079063F"/>
    <w:rsid w:val="00792788"/>
    <w:rsid w:val="00793D9F"/>
    <w:rsid w:val="00793EE6"/>
    <w:rsid w:val="00795EF2"/>
    <w:rsid w:val="007968B8"/>
    <w:rsid w:val="00796B1B"/>
    <w:rsid w:val="007A0B2C"/>
    <w:rsid w:val="007A0FEC"/>
    <w:rsid w:val="007A12C9"/>
    <w:rsid w:val="007A17BB"/>
    <w:rsid w:val="007A272C"/>
    <w:rsid w:val="007A2B3E"/>
    <w:rsid w:val="007A2EE6"/>
    <w:rsid w:val="007A584C"/>
    <w:rsid w:val="007A6EEF"/>
    <w:rsid w:val="007A71AC"/>
    <w:rsid w:val="007A7AF1"/>
    <w:rsid w:val="007B18D0"/>
    <w:rsid w:val="007B1F3E"/>
    <w:rsid w:val="007B21AB"/>
    <w:rsid w:val="007B2E9D"/>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79A2"/>
    <w:rsid w:val="007D1457"/>
    <w:rsid w:val="007D1D5D"/>
    <w:rsid w:val="007D2511"/>
    <w:rsid w:val="007D354A"/>
    <w:rsid w:val="007D41D8"/>
    <w:rsid w:val="007D4FDA"/>
    <w:rsid w:val="007D5AD8"/>
    <w:rsid w:val="007D6269"/>
    <w:rsid w:val="007D62F3"/>
    <w:rsid w:val="007D6425"/>
    <w:rsid w:val="007D6E79"/>
    <w:rsid w:val="007D7696"/>
    <w:rsid w:val="007E01D5"/>
    <w:rsid w:val="007E120E"/>
    <w:rsid w:val="007E3D81"/>
    <w:rsid w:val="007E48CF"/>
    <w:rsid w:val="007F00FF"/>
    <w:rsid w:val="007F035B"/>
    <w:rsid w:val="007F1946"/>
    <w:rsid w:val="007F2D88"/>
    <w:rsid w:val="007F31B2"/>
    <w:rsid w:val="007F34B6"/>
    <w:rsid w:val="007F352D"/>
    <w:rsid w:val="007F3FA7"/>
    <w:rsid w:val="007F446E"/>
    <w:rsid w:val="007F469A"/>
    <w:rsid w:val="007F497E"/>
    <w:rsid w:val="007F549E"/>
    <w:rsid w:val="007F607A"/>
    <w:rsid w:val="007F6FB1"/>
    <w:rsid w:val="007F71DF"/>
    <w:rsid w:val="0080076A"/>
    <w:rsid w:val="008008A1"/>
    <w:rsid w:val="00801EB3"/>
    <w:rsid w:val="00803052"/>
    <w:rsid w:val="008033C2"/>
    <w:rsid w:val="0080342B"/>
    <w:rsid w:val="00803AF3"/>
    <w:rsid w:val="00803DB8"/>
    <w:rsid w:val="00804AA4"/>
    <w:rsid w:val="00805FBE"/>
    <w:rsid w:val="00806A19"/>
    <w:rsid w:val="00806A3A"/>
    <w:rsid w:val="00807073"/>
    <w:rsid w:val="00810570"/>
    <w:rsid w:val="00812232"/>
    <w:rsid w:val="008129D3"/>
    <w:rsid w:val="00812AA1"/>
    <w:rsid w:val="008131FA"/>
    <w:rsid w:val="008133C0"/>
    <w:rsid w:val="00813467"/>
    <w:rsid w:val="00814A3A"/>
    <w:rsid w:val="00815A3E"/>
    <w:rsid w:val="008164E8"/>
    <w:rsid w:val="008177EE"/>
    <w:rsid w:val="00820BED"/>
    <w:rsid w:val="00821692"/>
    <w:rsid w:val="00821B54"/>
    <w:rsid w:val="00822091"/>
    <w:rsid w:val="00822725"/>
    <w:rsid w:val="00822A6D"/>
    <w:rsid w:val="00823311"/>
    <w:rsid w:val="00823C69"/>
    <w:rsid w:val="008246E3"/>
    <w:rsid w:val="008259CF"/>
    <w:rsid w:val="00825E35"/>
    <w:rsid w:val="00826040"/>
    <w:rsid w:val="00827686"/>
    <w:rsid w:val="00827EC4"/>
    <w:rsid w:val="00830CC4"/>
    <w:rsid w:val="0083168B"/>
    <w:rsid w:val="00831D33"/>
    <w:rsid w:val="00832D88"/>
    <w:rsid w:val="00832F6E"/>
    <w:rsid w:val="0083338D"/>
    <w:rsid w:val="00833722"/>
    <w:rsid w:val="00833FB6"/>
    <w:rsid w:val="00834BC3"/>
    <w:rsid w:val="00840114"/>
    <w:rsid w:val="00842FE7"/>
    <w:rsid w:val="00844277"/>
    <w:rsid w:val="00844434"/>
    <w:rsid w:val="00844F3B"/>
    <w:rsid w:val="008455EF"/>
    <w:rsid w:val="00845891"/>
    <w:rsid w:val="0084695A"/>
    <w:rsid w:val="008474EE"/>
    <w:rsid w:val="00850E16"/>
    <w:rsid w:val="00852018"/>
    <w:rsid w:val="008543E8"/>
    <w:rsid w:val="00856121"/>
    <w:rsid w:val="00857D3E"/>
    <w:rsid w:val="00860AF0"/>
    <w:rsid w:val="008618B2"/>
    <w:rsid w:val="008626CE"/>
    <w:rsid w:val="00862760"/>
    <w:rsid w:val="00867A25"/>
    <w:rsid w:val="008700BA"/>
    <w:rsid w:val="00873666"/>
    <w:rsid w:val="0087426E"/>
    <w:rsid w:val="00874736"/>
    <w:rsid w:val="008748B4"/>
    <w:rsid w:val="0087513E"/>
    <w:rsid w:val="008751F6"/>
    <w:rsid w:val="00875CD5"/>
    <w:rsid w:val="00876854"/>
    <w:rsid w:val="00876986"/>
    <w:rsid w:val="008769F5"/>
    <w:rsid w:val="008804BC"/>
    <w:rsid w:val="00880D1A"/>
    <w:rsid w:val="00880D91"/>
    <w:rsid w:val="00881041"/>
    <w:rsid w:val="00881D81"/>
    <w:rsid w:val="00881E2C"/>
    <w:rsid w:val="00882F2B"/>
    <w:rsid w:val="00883566"/>
    <w:rsid w:val="008849FF"/>
    <w:rsid w:val="00884ED9"/>
    <w:rsid w:val="008859AC"/>
    <w:rsid w:val="008869C8"/>
    <w:rsid w:val="00886AC3"/>
    <w:rsid w:val="00896574"/>
    <w:rsid w:val="008979C1"/>
    <w:rsid w:val="008A0025"/>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52FC"/>
    <w:rsid w:val="008B6B71"/>
    <w:rsid w:val="008C0158"/>
    <w:rsid w:val="008C0BB1"/>
    <w:rsid w:val="008C152A"/>
    <w:rsid w:val="008C174F"/>
    <w:rsid w:val="008C3F3A"/>
    <w:rsid w:val="008C4902"/>
    <w:rsid w:val="008C5042"/>
    <w:rsid w:val="008C544B"/>
    <w:rsid w:val="008D1581"/>
    <w:rsid w:val="008D1BAD"/>
    <w:rsid w:val="008D1C55"/>
    <w:rsid w:val="008D33E2"/>
    <w:rsid w:val="008D4019"/>
    <w:rsid w:val="008D51F3"/>
    <w:rsid w:val="008D696A"/>
    <w:rsid w:val="008E051D"/>
    <w:rsid w:val="008E0F34"/>
    <w:rsid w:val="008E1E03"/>
    <w:rsid w:val="008E2B3B"/>
    <w:rsid w:val="008E4A0D"/>
    <w:rsid w:val="008E7142"/>
    <w:rsid w:val="008F093F"/>
    <w:rsid w:val="008F1B64"/>
    <w:rsid w:val="008F2A12"/>
    <w:rsid w:val="008F33B4"/>
    <w:rsid w:val="008F431C"/>
    <w:rsid w:val="008F43B7"/>
    <w:rsid w:val="008F4901"/>
    <w:rsid w:val="008F5289"/>
    <w:rsid w:val="008F5430"/>
    <w:rsid w:val="008F6AD8"/>
    <w:rsid w:val="008F79E8"/>
    <w:rsid w:val="0090108A"/>
    <w:rsid w:val="00901219"/>
    <w:rsid w:val="00901BA6"/>
    <w:rsid w:val="00901E2F"/>
    <w:rsid w:val="009042CC"/>
    <w:rsid w:val="00904571"/>
    <w:rsid w:val="00906134"/>
    <w:rsid w:val="00907160"/>
    <w:rsid w:val="009076A8"/>
    <w:rsid w:val="00907EF2"/>
    <w:rsid w:val="00910D95"/>
    <w:rsid w:val="009127A4"/>
    <w:rsid w:val="00912AE9"/>
    <w:rsid w:val="00913360"/>
    <w:rsid w:val="00913D5F"/>
    <w:rsid w:val="00914A3B"/>
    <w:rsid w:val="0091579C"/>
    <w:rsid w:val="009159B2"/>
    <w:rsid w:val="0091664A"/>
    <w:rsid w:val="0091695C"/>
    <w:rsid w:val="00916A3B"/>
    <w:rsid w:val="009179D3"/>
    <w:rsid w:val="00917B96"/>
    <w:rsid w:val="00920BBD"/>
    <w:rsid w:val="00921D13"/>
    <w:rsid w:val="00925876"/>
    <w:rsid w:val="00925A66"/>
    <w:rsid w:val="0092646E"/>
    <w:rsid w:val="009310B5"/>
    <w:rsid w:val="00931611"/>
    <w:rsid w:val="009329AE"/>
    <w:rsid w:val="00933C53"/>
    <w:rsid w:val="00934C83"/>
    <w:rsid w:val="009369AE"/>
    <w:rsid w:val="00941FA2"/>
    <w:rsid w:val="0094439D"/>
    <w:rsid w:val="00944AFA"/>
    <w:rsid w:val="00945650"/>
    <w:rsid w:val="00945FE2"/>
    <w:rsid w:val="0094621D"/>
    <w:rsid w:val="00946B1E"/>
    <w:rsid w:val="00950727"/>
    <w:rsid w:val="009508E4"/>
    <w:rsid w:val="00951FDB"/>
    <w:rsid w:val="009522DA"/>
    <w:rsid w:val="00953E02"/>
    <w:rsid w:val="00954323"/>
    <w:rsid w:val="00954BC2"/>
    <w:rsid w:val="009558B1"/>
    <w:rsid w:val="009567B8"/>
    <w:rsid w:val="00957E7E"/>
    <w:rsid w:val="00960D34"/>
    <w:rsid w:val="00960F47"/>
    <w:rsid w:val="009611D2"/>
    <w:rsid w:val="009621A0"/>
    <w:rsid w:val="00962BC2"/>
    <w:rsid w:val="00964224"/>
    <w:rsid w:val="0096696A"/>
    <w:rsid w:val="00967201"/>
    <w:rsid w:val="009678FA"/>
    <w:rsid w:val="00967C74"/>
    <w:rsid w:val="0097058D"/>
    <w:rsid w:val="00971FDA"/>
    <w:rsid w:val="009722A8"/>
    <w:rsid w:val="00972548"/>
    <w:rsid w:val="009728FF"/>
    <w:rsid w:val="00974888"/>
    <w:rsid w:val="00974B47"/>
    <w:rsid w:val="00974D53"/>
    <w:rsid w:val="00974D5D"/>
    <w:rsid w:val="00975648"/>
    <w:rsid w:val="009760C4"/>
    <w:rsid w:val="00976E27"/>
    <w:rsid w:val="009772A5"/>
    <w:rsid w:val="00977550"/>
    <w:rsid w:val="00980A56"/>
    <w:rsid w:val="00980B5D"/>
    <w:rsid w:val="00981173"/>
    <w:rsid w:val="00981A75"/>
    <w:rsid w:val="00981EFE"/>
    <w:rsid w:val="00981F83"/>
    <w:rsid w:val="009841A8"/>
    <w:rsid w:val="009868BE"/>
    <w:rsid w:val="00986B64"/>
    <w:rsid w:val="00986EFA"/>
    <w:rsid w:val="009876A4"/>
    <w:rsid w:val="009917E9"/>
    <w:rsid w:val="00992416"/>
    <w:rsid w:val="00993789"/>
    <w:rsid w:val="0099484E"/>
    <w:rsid w:val="00994B4C"/>
    <w:rsid w:val="00994F61"/>
    <w:rsid w:val="00996057"/>
    <w:rsid w:val="00996394"/>
    <w:rsid w:val="00996C89"/>
    <w:rsid w:val="009979B9"/>
    <w:rsid w:val="009A03C7"/>
    <w:rsid w:val="009A0703"/>
    <w:rsid w:val="009A0E0B"/>
    <w:rsid w:val="009A1399"/>
    <w:rsid w:val="009A19D0"/>
    <w:rsid w:val="009A22FD"/>
    <w:rsid w:val="009A2ED6"/>
    <w:rsid w:val="009A31E7"/>
    <w:rsid w:val="009A3490"/>
    <w:rsid w:val="009A546A"/>
    <w:rsid w:val="009A621C"/>
    <w:rsid w:val="009A6677"/>
    <w:rsid w:val="009A6C66"/>
    <w:rsid w:val="009A6EF9"/>
    <w:rsid w:val="009A7BBC"/>
    <w:rsid w:val="009B2A11"/>
    <w:rsid w:val="009B5581"/>
    <w:rsid w:val="009B5940"/>
    <w:rsid w:val="009B63ED"/>
    <w:rsid w:val="009B710D"/>
    <w:rsid w:val="009C3862"/>
    <w:rsid w:val="009C4171"/>
    <w:rsid w:val="009C475C"/>
    <w:rsid w:val="009C5878"/>
    <w:rsid w:val="009C60A5"/>
    <w:rsid w:val="009C75C9"/>
    <w:rsid w:val="009D113D"/>
    <w:rsid w:val="009D1492"/>
    <w:rsid w:val="009D169E"/>
    <w:rsid w:val="009D17E7"/>
    <w:rsid w:val="009D2602"/>
    <w:rsid w:val="009D3234"/>
    <w:rsid w:val="009D41B7"/>
    <w:rsid w:val="009D5CA7"/>
    <w:rsid w:val="009D65CD"/>
    <w:rsid w:val="009D6E2E"/>
    <w:rsid w:val="009D7298"/>
    <w:rsid w:val="009D738A"/>
    <w:rsid w:val="009E03C7"/>
    <w:rsid w:val="009E12B5"/>
    <w:rsid w:val="009E21DC"/>
    <w:rsid w:val="009E3C1C"/>
    <w:rsid w:val="009E3F6F"/>
    <w:rsid w:val="009E6ACB"/>
    <w:rsid w:val="009F024A"/>
    <w:rsid w:val="009F1043"/>
    <w:rsid w:val="009F186D"/>
    <w:rsid w:val="009F2D78"/>
    <w:rsid w:val="009F36CA"/>
    <w:rsid w:val="009F3F8A"/>
    <w:rsid w:val="009F4FE2"/>
    <w:rsid w:val="009F58F9"/>
    <w:rsid w:val="009F6167"/>
    <w:rsid w:val="009F752A"/>
    <w:rsid w:val="00A003BE"/>
    <w:rsid w:val="00A00512"/>
    <w:rsid w:val="00A00C31"/>
    <w:rsid w:val="00A00EE1"/>
    <w:rsid w:val="00A022AB"/>
    <w:rsid w:val="00A02B33"/>
    <w:rsid w:val="00A03435"/>
    <w:rsid w:val="00A03567"/>
    <w:rsid w:val="00A0385F"/>
    <w:rsid w:val="00A06C2D"/>
    <w:rsid w:val="00A079D0"/>
    <w:rsid w:val="00A11132"/>
    <w:rsid w:val="00A11756"/>
    <w:rsid w:val="00A11969"/>
    <w:rsid w:val="00A155D4"/>
    <w:rsid w:val="00A157B9"/>
    <w:rsid w:val="00A158FB"/>
    <w:rsid w:val="00A1670B"/>
    <w:rsid w:val="00A1712E"/>
    <w:rsid w:val="00A17F2D"/>
    <w:rsid w:val="00A20667"/>
    <w:rsid w:val="00A221BE"/>
    <w:rsid w:val="00A22348"/>
    <w:rsid w:val="00A243D6"/>
    <w:rsid w:val="00A24C62"/>
    <w:rsid w:val="00A254EC"/>
    <w:rsid w:val="00A25F51"/>
    <w:rsid w:val="00A26182"/>
    <w:rsid w:val="00A30382"/>
    <w:rsid w:val="00A30B9E"/>
    <w:rsid w:val="00A30CEC"/>
    <w:rsid w:val="00A32604"/>
    <w:rsid w:val="00A32D58"/>
    <w:rsid w:val="00A32EF3"/>
    <w:rsid w:val="00A33959"/>
    <w:rsid w:val="00A35312"/>
    <w:rsid w:val="00A354C8"/>
    <w:rsid w:val="00A407E6"/>
    <w:rsid w:val="00A417AE"/>
    <w:rsid w:val="00A42D8A"/>
    <w:rsid w:val="00A43345"/>
    <w:rsid w:val="00A447E6"/>
    <w:rsid w:val="00A463E3"/>
    <w:rsid w:val="00A50AD6"/>
    <w:rsid w:val="00A50D0F"/>
    <w:rsid w:val="00A50E2B"/>
    <w:rsid w:val="00A5138D"/>
    <w:rsid w:val="00A51495"/>
    <w:rsid w:val="00A539F7"/>
    <w:rsid w:val="00A54097"/>
    <w:rsid w:val="00A5429B"/>
    <w:rsid w:val="00A57661"/>
    <w:rsid w:val="00A57DC7"/>
    <w:rsid w:val="00A60399"/>
    <w:rsid w:val="00A60E34"/>
    <w:rsid w:val="00A62074"/>
    <w:rsid w:val="00A62606"/>
    <w:rsid w:val="00A62EA7"/>
    <w:rsid w:val="00A6459E"/>
    <w:rsid w:val="00A64686"/>
    <w:rsid w:val="00A64CAE"/>
    <w:rsid w:val="00A6578C"/>
    <w:rsid w:val="00A71A0A"/>
    <w:rsid w:val="00A72227"/>
    <w:rsid w:val="00A72CC1"/>
    <w:rsid w:val="00A73E12"/>
    <w:rsid w:val="00A74381"/>
    <w:rsid w:val="00A748F2"/>
    <w:rsid w:val="00A74939"/>
    <w:rsid w:val="00A76AED"/>
    <w:rsid w:val="00A76FC0"/>
    <w:rsid w:val="00A77B52"/>
    <w:rsid w:val="00A77BE7"/>
    <w:rsid w:val="00A80044"/>
    <w:rsid w:val="00A81845"/>
    <w:rsid w:val="00A8271D"/>
    <w:rsid w:val="00A82B34"/>
    <w:rsid w:val="00A83611"/>
    <w:rsid w:val="00A8499C"/>
    <w:rsid w:val="00A84B21"/>
    <w:rsid w:val="00A8580C"/>
    <w:rsid w:val="00A85A45"/>
    <w:rsid w:val="00A85F3E"/>
    <w:rsid w:val="00A86A92"/>
    <w:rsid w:val="00A86CEB"/>
    <w:rsid w:val="00A90AA5"/>
    <w:rsid w:val="00A912BA"/>
    <w:rsid w:val="00A924F3"/>
    <w:rsid w:val="00A92AF0"/>
    <w:rsid w:val="00A93E88"/>
    <w:rsid w:val="00A94369"/>
    <w:rsid w:val="00A95B9E"/>
    <w:rsid w:val="00A97923"/>
    <w:rsid w:val="00AA04BF"/>
    <w:rsid w:val="00AA0E31"/>
    <w:rsid w:val="00AA1803"/>
    <w:rsid w:val="00AA20EA"/>
    <w:rsid w:val="00AA446F"/>
    <w:rsid w:val="00AA4CC6"/>
    <w:rsid w:val="00AA59A6"/>
    <w:rsid w:val="00AA739B"/>
    <w:rsid w:val="00AB0713"/>
    <w:rsid w:val="00AB0D80"/>
    <w:rsid w:val="00AB16D9"/>
    <w:rsid w:val="00AB1C49"/>
    <w:rsid w:val="00AB1FC8"/>
    <w:rsid w:val="00AB284D"/>
    <w:rsid w:val="00AB2F02"/>
    <w:rsid w:val="00AB304E"/>
    <w:rsid w:val="00AB6C17"/>
    <w:rsid w:val="00AC0A9D"/>
    <w:rsid w:val="00AC0C9E"/>
    <w:rsid w:val="00AC20C0"/>
    <w:rsid w:val="00AC2876"/>
    <w:rsid w:val="00AC3349"/>
    <w:rsid w:val="00AC33C8"/>
    <w:rsid w:val="00AC449A"/>
    <w:rsid w:val="00AC4C13"/>
    <w:rsid w:val="00AC4C74"/>
    <w:rsid w:val="00AC4CD2"/>
    <w:rsid w:val="00AC5D5B"/>
    <w:rsid w:val="00AC7BE1"/>
    <w:rsid w:val="00AD059B"/>
    <w:rsid w:val="00AD102A"/>
    <w:rsid w:val="00AD1502"/>
    <w:rsid w:val="00AD1796"/>
    <w:rsid w:val="00AD1974"/>
    <w:rsid w:val="00AD2353"/>
    <w:rsid w:val="00AD239A"/>
    <w:rsid w:val="00AD26D4"/>
    <w:rsid w:val="00AD3102"/>
    <w:rsid w:val="00AD3EDC"/>
    <w:rsid w:val="00AD4AB8"/>
    <w:rsid w:val="00AD4BF1"/>
    <w:rsid w:val="00AD505E"/>
    <w:rsid w:val="00AD59B3"/>
    <w:rsid w:val="00AD5CCC"/>
    <w:rsid w:val="00AD6CC5"/>
    <w:rsid w:val="00AD713A"/>
    <w:rsid w:val="00AD7E0B"/>
    <w:rsid w:val="00AE0E58"/>
    <w:rsid w:val="00AE3393"/>
    <w:rsid w:val="00AE4BBB"/>
    <w:rsid w:val="00AE594A"/>
    <w:rsid w:val="00AF0189"/>
    <w:rsid w:val="00AF061D"/>
    <w:rsid w:val="00AF12CE"/>
    <w:rsid w:val="00AF3FE0"/>
    <w:rsid w:val="00AF45EB"/>
    <w:rsid w:val="00AF4794"/>
    <w:rsid w:val="00AF695E"/>
    <w:rsid w:val="00AF6B7E"/>
    <w:rsid w:val="00AF7191"/>
    <w:rsid w:val="00AF7C74"/>
    <w:rsid w:val="00B001EB"/>
    <w:rsid w:val="00B00265"/>
    <w:rsid w:val="00B004D7"/>
    <w:rsid w:val="00B00586"/>
    <w:rsid w:val="00B00972"/>
    <w:rsid w:val="00B0098B"/>
    <w:rsid w:val="00B0271B"/>
    <w:rsid w:val="00B027A7"/>
    <w:rsid w:val="00B041BF"/>
    <w:rsid w:val="00B06B70"/>
    <w:rsid w:val="00B16A33"/>
    <w:rsid w:val="00B17AC0"/>
    <w:rsid w:val="00B17B7B"/>
    <w:rsid w:val="00B17D41"/>
    <w:rsid w:val="00B17F40"/>
    <w:rsid w:val="00B21333"/>
    <w:rsid w:val="00B24AD9"/>
    <w:rsid w:val="00B25959"/>
    <w:rsid w:val="00B267CA"/>
    <w:rsid w:val="00B301A4"/>
    <w:rsid w:val="00B32A7C"/>
    <w:rsid w:val="00B34E96"/>
    <w:rsid w:val="00B3572E"/>
    <w:rsid w:val="00B40734"/>
    <w:rsid w:val="00B40C90"/>
    <w:rsid w:val="00B414F8"/>
    <w:rsid w:val="00B41FAA"/>
    <w:rsid w:val="00B43615"/>
    <w:rsid w:val="00B44EFF"/>
    <w:rsid w:val="00B46F12"/>
    <w:rsid w:val="00B5134D"/>
    <w:rsid w:val="00B516F5"/>
    <w:rsid w:val="00B5413B"/>
    <w:rsid w:val="00B54341"/>
    <w:rsid w:val="00B559F2"/>
    <w:rsid w:val="00B57130"/>
    <w:rsid w:val="00B57816"/>
    <w:rsid w:val="00B57D82"/>
    <w:rsid w:val="00B6087C"/>
    <w:rsid w:val="00B60C00"/>
    <w:rsid w:val="00B60E4E"/>
    <w:rsid w:val="00B61973"/>
    <w:rsid w:val="00B61ED6"/>
    <w:rsid w:val="00B62E41"/>
    <w:rsid w:val="00B6403E"/>
    <w:rsid w:val="00B65E5A"/>
    <w:rsid w:val="00B66C2A"/>
    <w:rsid w:val="00B6741C"/>
    <w:rsid w:val="00B70AD6"/>
    <w:rsid w:val="00B710C6"/>
    <w:rsid w:val="00B71940"/>
    <w:rsid w:val="00B72D36"/>
    <w:rsid w:val="00B735E5"/>
    <w:rsid w:val="00B743E8"/>
    <w:rsid w:val="00B75FEC"/>
    <w:rsid w:val="00B76239"/>
    <w:rsid w:val="00B775F5"/>
    <w:rsid w:val="00B77971"/>
    <w:rsid w:val="00B808E4"/>
    <w:rsid w:val="00B80E01"/>
    <w:rsid w:val="00B810C9"/>
    <w:rsid w:val="00B81A7D"/>
    <w:rsid w:val="00B823A3"/>
    <w:rsid w:val="00B83729"/>
    <w:rsid w:val="00B8381C"/>
    <w:rsid w:val="00B839FB"/>
    <w:rsid w:val="00B83DFF"/>
    <w:rsid w:val="00B84A9F"/>
    <w:rsid w:val="00B85C12"/>
    <w:rsid w:val="00B8620B"/>
    <w:rsid w:val="00B909F2"/>
    <w:rsid w:val="00B911B2"/>
    <w:rsid w:val="00B928DE"/>
    <w:rsid w:val="00B92912"/>
    <w:rsid w:val="00B92BEA"/>
    <w:rsid w:val="00B955B5"/>
    <w:rsid w:val="00B95605"/>
    <w:rsid w:val="00B968AA"/>
    <w:rsid w:val="00B96B6A"/>
    <w:rsid w:val="00BA0943"/>
    <w:rsid w:val="00BA0C81"/>
    <w:rsid w:val="00BA1F04"/>
    <w:rsid w:val="00BA21E1"/>
    <w:rsid w:val="00BA23ED"/>
    <w:rsid w:val="00BA423F"/>
    <w:rsid w:val="00BA64E8"/>
    <w:rsid w:val="00BA6512"/>
    <w:rsid w:val="00BA75BB"/>
    <w:rsid w:val="00BA7CD8"/>
    <w:rsid w:val="00BB0343"/>
    <w:rsid w:val="00BB09F8"/>
    <w:rsid w:val="00BB0DD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37FD"/>
    <w:rsid w:val="00BC6254"/>
    <w:rsid w:val="00BD05FC"/>
    <w:rsid w:val="00BD1A6A"/>
    <w:rsid w:val="00BD2B8D"/>
    <w:rsid w:val="00BD3834"/>
    <w:rsid w:val="00BD5923"/>
    <w:rsid w:val="00BD593A"/>
    <w:rsid w:val="00BD6750"/>
    <w:rsid w:val="00BD7018"/>
    <w:rsid w:val="00BD7A6B"/>
    <w:rsid w:val="00BD7D58"/>
    <w:rsid w:val="00BD7DD0"/>
    <w:rsid w:val="00BE0493"/>
    <w:rsid w:val="00BE638F"/>
    <w:rsid w:val="00BF42C2"/>
    <w:rsid w:val="00BF4442"/>
    <w:rsid w:val="00BF487A"/>
    <w:rsid w:val="00BF5642"/>
    <w:rsid w:val="00BF5B48"/>
    <w:rsid w:val="00BF640F"/>
    <w:rsid w:val="00BF7129"/>
    <w:rsid w:val="00BF7195"/>
    <w:rsid w:val="00C015B4"/>
    <w:rsid w:val="00C033E7"/>
    <w:rsid w:val="00C04166"/>
    <w:rsid w:val="00C07DF4"/>
    <w:rsid w:val="00C10836"/>
    <w:rsid w:val="00C11FD0"/>
    <w:rsid w:val="00C122BA"/>
    <w:rsid w:val="00C12D78"/>
    <w:rsid w:val="00C14885"/>
    <w:rsid w:val="00C15234"/>
    <w:rsid w:val="00C15A52"/>
    <w:rsid w:val="00C15E83"/>
    <w:rsid w:val="00C1632D"/>
    <w:rsid w:val="00C170C0"/>
    <w:rsid w:val="00C17DE9"/>
    <w:rsid w:val="00C204A6"/>
    <w:rsid w:val="00C2197D"/>
    <w:rsid w:val="00C22DAC"/>
    <w:rsid w:val="00C2352A"/>
    <w:rsid w:val="00C2372E"/>
    <w:rsid w:val="00C23BD1"/>
    <w:rsid w:val="00C300E4"/>
    <w:rsid w:val="00C303A9"/>
    <w:rsid w:val="00C303F0"/>
    <w:rsid w:val="00C306A7"/>
    <w:rsid w:val="00C30CD3"/>
    <w:rsid w:val="00C310C0"/>
    <w:rsid w:val="00C31569"/>
    <w:rsid w:val="00C31905"/>
    <w:rsid w:val="00C31AF7"/>
    <w:rsid w:val="00C33CFA"/>
    <w:rsid w:val="00C344E9"/>
    <w:rsid w:val="00C350E8"/>
    <w:rsid w:val="00C35219"/>
    <w:rsid w:val="00C35F90"/>
    <w:rsid w:val="00C36BFD"/>
    <w:rsid w:val="00C37C60"/>
    <w:rsid w:val="00C42588"/>
    <w:rsid w:val="00C443EA"/>
    <w:rsid w:val="00C449C8"/>
    <w:rsid w:val="00C451D8"/>
    <w:rsid w:val="00C4636A"/>
    <w:rsid w:val="00C4663F"/>
    <w:rsid w:val="00C51EEC"/>
    <w:rsid w:val="00C5303D"/>
    <w:rsid w:val="00C53328"/>
    <w:rsid w:val="00C53BC4"/>
    <w:rsid w:val="00C55A51"/>
    <w:rsid w:val="00C55A71"/>
    <w:rsid w:val="00C608B8"/>
    <w:rsid w:val="00C610FD"/>
    <w:rsid w:val="00C632AD"/>
    <w:rsid w:val="00C6348B"/>
    <w:rsid w:val="00C63620"/>
    <w:rsid w:val="00C66BC5"/>
    <w:rsid w:val="00C67434"/>
    <w:rsid w:val="00C70077"/>
    <w:rsid w:val="00C704AA"/>
    <w:rsid w:val="00C71652"/>
    <w:rsid w:val="00C7184D"/>
    <w:rsid w:val="00C72DC0"/>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3677"/>
    <w:rsid w:val="00C94FA3"/>
    <w:rsid w:val="00C9589E"/>
    <w:rsid w:val="00C95F1F"/>
    <w:rsid w:val="00C95FC8"/>
    <w:rsid w:val="00C97809"/>
    <w:rsid w:val="00C97DDC"/>
    <w:rsid w:val="00CA0FBF"/>
    <w:rsid w:val="00CA1905"/>
    <w:rsid w:val="00CA2E36"/>
    <w:rsid w:val="00CA396C"/>
    <w:rsid w:val="00CA3D17"/>
    <w:rsid w:val="00CA4857"/>
    <w:rsid w:val="00CA5380"/>
    <w:rsid w:val="00CA5A9F"/>
    <w:rsid w:val="00CB04A3"/>
    <w:rsid w:val="00CB0B25"/>
    <w:rsid w:val="00CB1B3B"/>
    <w:rsid w:val="00CB28CD"/>
    <w:rsid w:val="00CB5257"/>
    <w:rsid w:val="00CB52E3"/>
    <w:rsid w:val="00CB540B"/>
    <w:rsid w:val="00CC014E"/>
    <w:rsid w:val="00CC1054"/>
    <w:rsid w:val="00CC16C1"/>
    <w:rsid w:val="00CC22A8"/>
    <w:rsid w:val="00CC4104"/>
    <w:rsid w:val="00CC665E"/>
    <w:rsid w:val="00CC6E87"/>
    <w:rsid w:val="00CC79E0"/>
    <w:rsid w:val="00CD059B"/>
    <w:rsid w:val="00CD0640"/>
    <w:rsid w:val="00CD1748"/>
    <w:rsid w:val="00CD251B"/>
    <w:rsid w:val="00CD25B8"/>
    <w:rsid w:val="00CD5E06"/>
    <w:rsid w:val="00CD670F"/>
    <w:rsid w:val="00CE0290"/>
    <w:rsid w:val="00CE0BF0"/>
    <w:rsid w:val="00CE0EF4"/>
    <w:rsid w:val="00CE0FA9"/>
    <w:rsid w:val="00CE1258"/>
    <w:rsid w:val="00CE2BEB"/>
    <w:rsid w:val="00CE3842"/>
    <w:rsid w:val="00CE3A5A"/>
    <w:rsid w:val="00CE4800"/>
    <w:rsid w:val="00CE51EE"/>
    <w:rsid w:val="00CE57AA"/>
    <w:rsid w:val="00CE7F54"/>
    <w:rsid w:val="00CF0BB6"/>
    <w:rsid w:val="00CF2BA3"/>
    <w:rsid w:val="00CF3423"/>
    <w:rsid w:val="00CF4C38"/>
    <w:rsid w:val="00CF599A"/>
    <w:rsid w:val="00CF7CBA"/>
    <w:rsid w:val="00D00224"/>
    <w:rsid w:val="00D00330"/>
    <w:rsid w:val="00D0089D"/>
    <w:rsid w:val="00D00FD6"/>
    <w:rsid w:val="00D012B0"/>
    <w:rsid w:val="00D027E6"/>
    <w:rsid w:val="00D02E83"/>
    <w:rsid w:val="00D03079"/>
    <w:rsid w:val="00D03599"/>
    <w:rsid w:val="00D03616"/>
    <w:rsid w:val="00D03F7E"/>
    <w:rsid w:val="00D04179"/>
    <w:rsid w:val="00D05841"/>
    <w:rsid w:val="00D05C27"/>
    <w:rsid w:val="00D05D30"/>
    <w:rsid w:val="00D05D85"/>
    <w:rsid w:val="00D05F8E"/>
    <w:rsid w:val="00D07BB7"/>
    <w:rsid w:val="00D10BDF"/>
    <w:rsid w:val="00D110CF"/>
    <w:rsid w:val="00D1186B"/>
    <w:rsid w:val="00D11C10"/>
    <w:rsid w:val="00D12DCB"/>
    <w:rsid w:val="00D132FA"/>
    <w:rsid w:val="00D144D9"/>
    <w:rsid w:val="00D1582D"/>
    <w:rsid w:val="00D15D33"/>
    <w:rsid w:val="00D1749C"/>
    <w:rsid w:val="00D17CB4"/>
    <w:rsid w:val="00D202A1"/>
    <w:rsid w:val="00D20CE3"/>
    <w:rsid w:val="00D214C1"/>
    <w:rsid w:val="00D228CE"/>
    <w:rsid w:val="00D23477"/>
    <w:rsid w:val="00D23754"/>
    <w:rsid w:val="00D24728"/>
    <w:rsid w:val="00D25027"/>
    <w:rsid w:val="00D254BA"/>
    <w:rsid w:val="00D256CC"/>
    <w:rsid w:val="00D2585B"/>
    <w:rsid w:val="00D26A31"/>
    <w:rsid w:val="00D305E7"/>
    <w:rsid w:val="00D31519"/>
    <w:rsid w:val="00D31E7C"/>
    <w:rsid w:val="00D32C28"/>
    <w:rsid w:val="00D3428F"/>
    <w:rsid w:val="00D3493F"/>
    <w:rsid w:val="00D34D18"/>
    <w:rsid w:val="00D35071"/>
    <w:rsid w:val="00D37B8F"/>
    <w:rsid w:val="00D37D8A"/>
    <w:rsid w:val="00D40574"/>
    <w:rsid w:val="00D41A52"/>
    <w:rsid w:val="00D44789"/>
    <w:rsid w:val="00D4544C"/>
    <w:rsid w:val="00D46800"/>
    <w:rsid w:val="00D46C7E"/>
    <w:rsid w:val="00D46D6E"/>
    <w:rsid w:val="00D4786B"/>
    <w:rsid w:val="00D50B41"/>
    <w:rsid w:val="00D50E0E"/>
    <w:rsid w:val="00D51662"/>
    <w:rsid w:val="00D519B7"/>
    <w:rsid w:val="00D51D7E"/>
    <w:rsid w:val="00D54C49"/>
    <w:rsid w:val="00D55598"/>
    <w:rsid w:val="00D557BF"/>
    <w:rsid w:val="00D56517"/>
    <w:rsid w:val="00D569AE"/>
    <w:rsid w:val="00D571B4"/>
    <w:rsid w:val="00D60C9C"/>
    <w:rsid w:val="00D6289E"/>
    <w:rsid w:val="00D6337A"/>
    <w:rsid w:val="00D63C8B"/>
    <w:rsid w:val="00D63CFD"/>
    <w:rsid w:val="00D641D6"/>
    <w:rsid w:val="00D65888"/>
    <w:rsid w:val="00D66301"/>
    <w:rsid w:val="00D701DD"/>
    <w:rsid w:val="00D707FC"/>
    <w:rsid w:val="00D70B1F"/>
    <w:rsid w:val="00D717AD"/>
    <w:rsid w:val="00D72659"/>
    <w:rsid w:val="00D72C6E"/>
    <w:rsid w:val="00D72DDD"/>
    <w:rsid w:val="00D7419B"/>
    <w:rsid w:val="00D742B5"/>
    <w:rsid w:val="00D74D0C"/>
    <w:rsid w:val="00D7654E"/>
    <w:rsid w:val="00D80209"/>
    <w:rsid w:val="00D8047B"/>
    <w:rsid w:val="00D81445"/>
    <w:rsid w:val="00D82509"/>
    <w:rsid w:val="00D825EA"/>
    <w:rsid w:val="00D82A17"/>
    <w:rsid w:val="00D831A0"/>
    <w:rsid w:val="00D83995"/>
    <w:rsid w:val="00D83CC0"/>
    <w:rsid w:val="00D83D8F"/>
    <w:rsid w:val="00D84607"/>
    <w:rsid w:val="00D84901"/>
    <w:rsid w:val="00D86250"/>
    <w:rsid w:val="00D8651C"/>
    <w:rsid w:val="00D86879"/>
    <w:rsid w:val="00D87EFC"/>
    <w:rsid w:val="00D91654"/>
    <w:rsid w:val="00D93CB3"/>
    <w:rsid w:val="00D95665"/>
    <w:rsid w:val="00D96D6A"/>
    <w:rsid w:val="00D96F97"/>
    <w:rsid w:val="00D97421"/>
    <w:rsid w:val="00D97481"/>
    <w:rsid w:val="00D97C66"/>
    <w:rsid w:val="00DA10A4"/>
    <w:rsid w:val="00DA1B90"/>
    <w:rsid w:val="00DA42B5"/>
    <w:rsid w:val="00DA5B20"/>
    <w:rsid w:val="00DA70B4"/>
    <w:rsid w:val="00DA78F5"/>
    <w:rsid w:val="00DB0CC6"/>
    <w:rsid w:val="00DB1A2A"/>
    <w:rsid w:val="00DB32BF"/>
    <w:rsid w:val="00DB3ABE"/>
    <w:rsid w:val="00DB5B03"/>
    <w:rsid w:val="00DB6078"/>
    <w:rsid w:val="00DB63A4"/>
    <w:rsid w:val="00DB76D9"/>
    <w:rsid w:val="00DB7A60"/>
    <w:rsid w:val="00DC0E99"/>
    <w:rsid w:val="00DC162F"/>
    <w:rsid w:val="00DC2E09"/>
    <w:rsid w:val="00DC330A"/>
    <w:rsid w:val="00DC3E4A"/>
    <w:rsid w:val="00DC4A62"/>
    <w:rsid w:val="00DC6559"/>
    <w:rsid w:val="00DC6563"/>
    <w:rsid w:val="00DC6A5E"/>
    <w:rsid w:val="00DC7221"/>
    <w:rsid w:val="00DD0F62"/>
    <w:rsid w:val="00DD20B7"/>
    <w:rsid w:val="00DD229F"/>
    <w:rsid w:val="00DD233A"/>
    <w:rsid w:val="00DD254F"/>
    <w:rsid w:val="00DD2820"/>
    <w:rsid w:val="00DD54CA"/>
    <w:rsid w:val="00DD57EB"/>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3D9"/>
    <w:rsid w:val="00DE48E2"/>
    <w:rsid w:val="00DE6CFB"/>
    <w:rsid w:val="00DE7017"/>
    <w:rsid w:val="00DE76B9"/>
    <w:rsid w:val="00DF0540"/>
    <w:rsid w:val="00DF1356"/>
    <w:rsid w:val="00DF43A1"/>
    <w:rsid w:val="00DF505B"/>
    <w:rsid w:val="00DF631B"/>
    <w:rsid w:val="00DF78FB"/>
    <w:rsid w:val="00E005BB"/>
    <w:rsid w:val="00E006CC"/>
    <w:rsid w:val="00E00849"/>
    <w:rsid w:val="00E00B06"/>
    <w:rsid w:val="00E019D5"/>
    <w:rsid w:val="00E02095"/>
    <w:rsid w:val="00E05350"/>
    <w:rsid w:val="00E05851"/>
    <w:rsid w:val="00E05AD0"/>
    <w:rsid w:val="00E11F9C"/>
    <w:rsid w:val="00E125C6"/>
    <w:rsid w:val="00E162B6"/>
    <w:rsid w:val="00E1739F"/>
    <w:rsid w:val="00E1762B"/>
    <w:rsid w:val="00E179DC"/>
    <w:rsid w:val="00E20610"/>
    <w:rsid w:val="00E210FF"/>
    <w:rsid w:val="00E24AAC"/>
    <w:rsid w:val="00E258BC"/>
    <w:rsid w:val="00E25EE0"/>
    <w:rsid w:val="00E25FA3"/>
    <w:rsid w:val="00E30C19"/>
    <w:rsid w:val="00E3116D"/>
    <w:rsid w:val="00E3319D"/>
    <w:rsid w:val="00E349D2"/>
    <w:rsid w:val="00E37663"/>
    <w:rsid w:val="00E3787C"/>
    <w:rsid w:val="00E37E61"/>
    <w:rsid w:val="00E43E68"/>
    <w:rsid w:val="00E44556"/>
    <w:rsid w:val="00E44D46"/>
    <w:rsid w:val="00E454E2"/>
    <w:rsid w:val="00E4581C"/>
    <w:rsid w:val="00E458FF"/>
    <w:rsid w:val="00E46472"/>
    <w:rsid w:val="00E46890"/>
    <w:rsid w:val="00E46E66"/>
    <w:rsid w:val="00E4787F"/>
    <w:rsid w:val="00E50592"/>
    <w:rsid w:val="00E50A96"/>
    <w:rsid w:val="00E50ECC"/>
    <w:rsid w:val="00E523AE"/>
    <w:rsid w:val="00E52E82"/>
    <w:rsid w:val="00E52F76"/>
    <w:rsid w:val="00E537FF"/>
    <w:rsid w:val="00E556FA"/>
    <w:rsid w:val="00E557C1"/>
    <w:rsid w:val="00E565FB"/>
    <w:rsid w:val="00E56885"/>
    <w:rsid w:val="00E56AC9"/>
    <w:rsid w:val="00E57499"/>
    <w:rsid w:val="00E577BF"/>
    <w:rsid w:val="00E60DC6"/>
    <w:rsid w:val="00E61319"/>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4807"/>
    <w:rsid w:val="00E759AB"/>
    <w:rsid w:val="00E75ACD"/>
    <w:rsid w:val="00E76ADF"/>
    <w:rsid w:val="00E77207"/>
    <w:rsid w:val="00E81AA1"/>
    <w:rsid w:val="00E821BF"/>
    <w:rsid w:val="00E835E9"/>
    <w:rsid w:val="00E83AD9"/>
    <w:rsid w:val="00E840AA"/>
    <w:rsid w:val="00E85252"/>
    <w:rsid w:val="00E85665"/>
    <w:rsid w:val="00E858C0"/>
    <w:rsid w:val="00E8692D"/>
    <w:rsid w:val="00E87299"/>
    <w:rsid w:val="00E909DF"/>
    <w:rsid w:val="00E90EE0"/>
    <w:rsid w:val="00E92647"/>
    <w:rsid w:val="00E940B0"/>
    <w:rsid w:val="00E950BC"/>
    <w:rsid w:val="00E95510"/>
    <w:rsid w:val="00E95FC7"/>
    <w:rsid w:val="00E97FFE"/>
    <w:rsid w:val="00EA120A"/>
    <w:rsid w:val="00EA1480"/>
    <w:rsid w:val="00EA2ABA"/>
    <w:rsid w:val="00EA2E4C"/>
    <w:rsid w:val="00EA2E7A"/>
    <w:rsid w:val="00EA3BAC"/>
    <w:rsid w:val="00EA4B05"/>
    <w:rsid w:val="00EA5046"/>
    <w:rsid w:val="00EA546C"/>
    <w:rsid w:val="00EA5653"/>
    <w:rsid w:val="00EA5B26"/>
    <w:rsid w:val="00EA5B42"/>
    <w:rsid w:val="00EA70FF"/>
    <w:rsid w:val="00EA7911"/>
    <w:rsid w:val="00EA7C36"/>
    <w:rsid w:val="00EB1E97"/>
    <w:rsid w:val="00EB1EB7"/>
    <w:rsid w:val="00EB264B"/>
    <w:rsid w:val="00EB30C9"/>
    <w:rsid w:val="00EB31F4"/>
    <w:rsid w:val="00EB37BB"/>
    <w:rsid w:val="00EB4370"/>
    <w:rsid w:val="00EB5A71"/>
    <w:rsid w:val="00EB6D36"/>
    <w:rsid w:val="00EC26B0"/>
    <w:rsid w:val="00EC3897"/>
    <w:rsid w:val="00EC3E42"/>
    <w:rsid w:val="00EC3E4C"/>
    <w:rsid w:val="00EC4745"/>
    <w:rsid w:val="00EC4FED"/>
    <w:rsid w:val="00EC5A36"/>
    <w:rsid w:val="00EC6B24"/>
    <w:rsid w:val="00EC7073"/>
    <w:rsid w:val="00EC7600"/>
    <w:rsid w:val="00ED3388"/>
    <w:rsid w:val="00ED440C"/>
    <w:rsid w:val="00EE15CE"/>
    <w:rsid w:val="00EE1C69"/>
    <w:rsid w:val="00EE21E5"/>
    <w:rsid w:val="00EE2BC4"/>
    <w:rsid w:val="00EE3379"/>
    <w:rsid w:val="00EE52D6"/>
    <w:rsid w:val="00EE62D7"/>
    <w:rsid w:val="00EE6C9E"/>
    <w:rsid w:val="00EE7082"/>
    <w:rsid w:val="00EE77F7"/>
    <w:rsid w:val="00EE7DB4"/>
    <w:rsid w:val="00EF0435"/>
    <w:rsid w:val="00EF11AE"/>
    <w:rsid w:val="00EF1969"/>
    <w:rsid w:val="00EF2589"/>
    <w:rsid w:val="00EF25EC"/>
    <w:rsid w:val="00EF28C0"/>
    <w:rsid w:val="00EF34B9"/>
    <w:rsid w:val="00EF383F"/>
    <w:rsid w:val="00EF5378"/>
    <w:rsid w:val="00EF573C"/>
    <w:rsid w:val="00EF6541"/>
    <w:rsid w:val="00EF6550"/>
    <w:rsid w:val="00F02B7B"/>
    <w:rsid w:val="00F04C0F"/>
    <w:rsid w:val="00F0678A"/>
    <w:rsid w:val="00F074BF"/>
    <w:rsid w:val="00F077A8"/>
    <w:rsid w:val="00F07B5E"/>
    <w:rsid w:val="00F102CD"/>
    <w:rsid w:val="00F1048B"/>
    <w:rsid w:val="00F10951"/>
    <w:rsid w:val="00F10B61"/>
    <w:rsid w:val="00F12A26"/>
    <w:rsid w:val="00F132A8"/>
    <w:rsid w:val="00F1394D"/>
    <w:rsid w:val="00F142FD"/>
    <w:rsid w:val="00F15947"/>
    <w:rsid w:val="00F177C2"/>
    <w:rsid w:val="00F201B9"/>
    <w:rsid w:val="00F218B7"/>
    <w:rsid w:val="00F21A48"/>
    <w:rsid w:val="00F24E6F"/>
    <w:rsid w:val="00F25BBC"/>
    <w:rsid w:val="00F26294"/>
    <w:rsid w:val="00F31BDD"/>
    <w:rsid w:val="00F320DA"/>
    <w:rsid w:val="00F32B9F"/>
    <w:rsid w:val="00F33550"/>
    <w:rsid w:val="00F338E7"/>
    <w:rsid w:val="00F33973"/>
    <w:rsid w:val="00F35F68"/>
    <w:rsid w:val="00F3765A"/>
    <w:rsid w:val="00F40413"/>
    <w:rsid w:val="00F40E31"/>
    <w:rsid w:val="00F42E3D"/>
    <w:rsid w:val="00F43B23"/>
    <w:rsid w:val="00F5030C"/>
    <w:rsid w:val="00F52C95"/>
    <w:rsid w:val="00F5367B"/>
    <w:rsid w:val="00F5387B"/>
    <w:rsid w:val="00F5467E"/>
    <w:rsid w:val="00F54BA5"/>
    <w:rsid w:val="00F54BE0"/>
    <w:rsid w:val="00F54FF0"/>
    <w:rsid w:val="00F57CFE"/>
    <w:rsid w:val="00F60A49"/>
    <w:rsid w:val="00F60F45"/>
    <w:rsid w:val="00F63864"/>
    <w:rsid w:val="00F6407E"/>
    <w:rsid w:val="00F641CA"/>
    <w:rsid w:val="00F6697F"/>
    <w:rsid w:val="00F66D2D"/>
    <w:rsid w:val="00F71596"/>
    <w:rsid w:val="00F7399D"/>
    <w:rsid w:val="00F73C87"/>
    <w:rsid w:val="00F73E5E"/>
    <w:rsid w:val="00F74C40"/>
    <w:rsid w:val="00F76033"/>
    <w:rsid w:val="00F7618B"/>
    <w:rsid w:val="00F761E6"/>
    <w:rsid w:val="00F7699A"/>
    <w:rsid w:val="00F8252F"/>
    <w:rsid w:val="00F8391F"/>
    <w:rsid w:val="00F83B13"/>
    <w:rsid w:val="00F84339"/>
    <w:rsid w:val="00F846A9"/>
    <w:rsid w:val="00F8554C"/>
    <w:rsid w:val="00F856E9"/>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69A5"/>
    <w:rsid w:val="00FA6B86"/>
    <w:rsid w:val="00FA759D"/>
    <w:rsid w:val="00FB2849"/>
    <w:rsid w:val="00FB2C32"/>
    <w:rsid w:val="00FB37FF"/>
    <w:rsid w:val="00FB5436"/>
    <w:rsid w:val="00FB57A6"/>
    <w:rsid w:val="00FB5905"/>
    <w:rsid w:val="00FB6104"/>
    <w:rsid w:val="00FC0D89"/>
    <w:rsid w:val="00FC0FA3"/>
    <w:rsid w:val="00FC1E77"/>
    <w:rsid w:val="00FC41C1"/>
    <w:rsid w:val="00FC4360"/>
    <w:rsid w:val="00FC6328"/>
    <w:rsid w:val="00FC6FB3"/>
    <w:rsid w:val="00FD0B7B"/>
    <w:rsid w:val="00FD1787"/>
    <w:rsid w:val="00FD20F9"/>
    <w:rsid w:val="00FD2772"/>
    <w:rsid w:val="00FD2987"/>
    <w:rsid w:val="00FD31FF"/>
    <w:rsid w:val="00FD7337"/>
    <w:rsid w:val="00FE00B5"/>
    <w:rsid w:val="00FE027F"/>
    <w:rsid w:val="00FE2EE5"/>
    <w:rsid w:val="00FE32C0"/>
    <w:rsid w:val="00FE4440"/>
    <w:rsid w:val="00FE4AE9"/>
    <w:rsid w:val="00FE581D"/>
    <w:rsid w:val="00FE6F63"/>
    <w:rsid w:val="00FE71B9"/>
    <w:rsid w:val="00FE76F1"/>
    <w:rsid w:val="00FF01BC"/>
    <w:rsid w:val="00FF15AD"/>
    <w:rsid w:val="00FF1BB7"/>
    <w:rsid w:val="00FF2778"/>
    <w:rsid w:val="00FF2BC5"/>
    <w:rsid w:val="00FF3188"/>
    <w:rsid w:val="00FF4AE2"/>
    <w:rsid w:val="00FF50FC"/>
    <w:rsid w:val="00FF6714"/>
    <w:rsid w:val="00FF6828"/>
    <w:rsid w:val="00FF7058"/>
    <w:rsid w:val="00FF738C"/>
    <w:rsid w:val="00FF7B28"/>
    <w:rsid w:val="00FF7DEE"/>
    <w:rsid w:val="03453495"/>
    <w:rsid w:val="09CA7748"/>
    <w:rsid w:val="1561E442"/>
    <w:rsid w:val="157F7C73"/>
    <w:rsid w:val="204212B6"/>
    <w:rsid w:val="212A772C"/>
    <w:rsid w:val="21399711"/>
    <w:rsid w:val="2568251E"/>
    <w:rsid w:val="298EEC9D"/>
    <w:rsid w:val="312F26BA"/>
    <w:rsid w:val="340E66A3"/>
    <w:rsid w:val="34FA47CD"/>
    <w:rsid w:val="3AB7B69F"/>
    <w:rsid w:val="413F8908"/>
    <w:rsid w:val="42BD307C"/>
    <w:rsid w:val="4534D3E9"/>
    <w:rsid w:val="4EA60749"/>
    <w:rsid w:val="50C967A8"/>
    <w:rsid w:val="51F8D33E"/>
    <w:rsid w:val="53BC117B"/>
    <w:rsid w:val="61EC0B87"/>
    <w:rsid w:val="688FD296"/>
    <w:rsid w:val="6A0FC17F"/>
    <w:rsid w:val="6C5064F2"/>
    <w:rsid w:val="6F1C16E6"/>
    <w:rsid w:val="6F92A09D"/>
    <w:rsid w:val="7232C340"/>
    <w:rsid w:val="7BC91637"/>
    <w:rsid w:val="7EA3C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1D5102"/>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5102"/>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table" w:customStyle="1" w:styleId="GridTable41">
    <w:name w:val="Grid Table 41"/>
    <w:basedOn w:val="TableNormal"/>
    <w:next w:val="GridTable4"/>
    <w:uiPriority w:val="49"/>
    <w:rsid w:val="009F3F8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ableParagraph">
    <w:name w:val="Table Paragraph"/>
    <w:basedOn w:val="Normal"/>
    <w:uiPriority w:val="1"/>
    <w:rsid w:val="00A1670B"/>
    <w:pPr>
      <w:widowControl/>
      <w:adjustRightInd/>
    </w:pPr>
    <w:rPr>
      <w:rFonts w:ascii="Times New Roman" w:eastAsiaTheme="minorHAnsi" w:hAnsi="Times New Roman"/>
      <w:sz w:val="22"/>
      <w:szCs w:val="22"/>
    </w:rPr>
  </w:style>
  <w:style w:type="paragraph" w:customStyle="1" w:styleId="articlectactalinkcontainer2ywlb">
    <w:name w:val="articlecta_ctalinkcontainer_2ywlb"/>
    <w:basedOn w:val="Normal"/>
    <w:rsid w:val="00360812"/>
    <w:pPr>
      <w:widowControl/>
      <w:autoSpaceDE/>
      <w:autoSpaceDN/>
      <w:adjustRightInd/>
      <w:spacing w:before="100" w:beforeAutospacing="1" w:after="100" w:afterAutospacing="1"/>
    </w:pPr>
    <w:rPr>
      <w:rFonts w:ascii="Times New Roman" w:hAnsi="Times New Roman"/>
    </w:rPr>
  </w:style>
  <w:style w:type="paragraph" w:styleId="BodyTextIndent">
    <w:name w:val="Body Text Indent"/>
    <w:basedOn w:val="Normal"/>
    <w:link w:val="BodyTextIndentChar"/>
    <w:unhideWhenUsed/>
    <w:rsid w:val="00E4581C"/>
    <w:pPr>
      <w:ind w:firstLine="720"/>
      <w:jc w:val="both"/>
    </w:pPr>
    <w:rPr>
      <w:rFonts w:ascii="Times New Roman" w:hAnsi="Times New Roman"/>
    </w:rPr>
  </w:style>
  <w:style w:type="character" w:customStyle="1" w:styleId="BodyTextIndentChar">
    <w:name w:val="Body Text Indent Char"/>
    <w:basedOn w:val="DefaultParagraphFont"/>
    <w:link w:val="BodyTextIndent"/>
    <w:rsid w:val="00E4581C"/>
    <w:rPr>
      <w:rFonts w:ascii="Times New Roman" w:hAnsi="Times New Roman"/>
      <w:sz w:val="24"/>
      <w:szCs w:val="24"/>
    </w:rPr>
  </w:style>
  <w:style w:type="character" w:customStyle="1" w:styleId="blueten">
    <w:name w:val="blueten"/>
    <w:basedOn w:val="DefaultParagraphFont"/>
    <w:rsid w:val="00E4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9826">
      <w:bodyDiv w:val="1"/>
      <w:marLeft w:val="0"/>
      <w:marRight w:val="0"/>
      <w:marTop w:val="0"/>
      <w:marBottom w:val="0"/>
      <w:divBdr>
        <w:top w:val="none" w:sz="0" w:space="0" w:color="auto"/>
        <w:left w:val="none" w:sz="0" w:space="0" w:color="auto"/>
        <w:bottom w:val="none" w:sz="0" w:space="0" w:color="auto"/>
        <w:right w:val="none" w:sz="0" w:space="0" w:color="auto"/>
      </w:divBdr>
    </w:div>
    <w:div w:id="117073690">
      <w:bodyDiv w:val="1"/>
      <w:marLeft w:val="0"/>
      <w:marRight w:val="0"/>
      <w:marTop w:val="0"/>
      <w:marBottom w:val="0"/>
      <w:divBdr>
        <w:top w:val="none" w:sz="0" w:space="0" w:color="auto"/>
        <w:left w:val="none" w:sz="0" w:space="0" w:color="auto"/>
        <w:bottom w:val="none" w:sz="0" w:space="0" w:color="auto"/>
        <w:right w:val="none" w:sz="0" w:space="0" w:color="auto"/>
      </w:divBdr>
    </w:div>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053306707">
      <w:bodyDiv w:val="1"/>
      <w:marLeft w:val="0"/>
      <w:marRight w:val="0"/>
      <w:marTop w:val="0"/>
      <w:marBottom w:val="0"/>
      <w:divBdr>
        <w:top w:val="none" w:sz="0" w:space="0" w:color="auto"/>
        <w:left w:val="none" w:sz="0" w:space="0" w:color="auto"/>
        <w:bottom w:val="none" w:sz="0" w:space="0" w:color="auto"/>
        <w:right w:val="none" w:sz="0" w:space="0" w:color="auto"/>
      </w:divBdr>
      <w:divsChild>
        <w:div w:id="2144345857">
          <w:marLeft w:val="0"/>
          <w:marRight w:val="0"/>
          <w:marTop w:val="0"/>
          <w:marBottom w:val="0"/>
          <w:divBdr>
            <w:top w:val="none" w:sz="0" w:space="0" w:color="auto"/>
            <w:left w:val="none" w:sz="0" w:space="0" w:color="auto"/>
            <w:bottom w:val="none" w:sz="0" w:space="0" w:color="auto"/>
            <w:right w:val="none" w:sz="0" w:space="0" w:color="auto"/>
          </w:divBdr>
          <w:divsChild>
            <w:div w:id="2129885199">
              <w:marLeft w:val="0"/>
              <w:marRight w:val="0"/>
              <w:marTop w:val="0"/>
              <w:marBottom w:val="0"/>
              <w:divBdr>
                <w:top w:val="none" w:sz="0" w:space="0" w:color="auto"/>
                <w:left w:val="none" w:sz="0" w:space="0" w:color="auto"/>
                <w:bottom w:val="none" w:sz="0" w:space="0" w:color="auto"/>
                <w:right w:val="none" w:sz="0" w:space="0" w:color="auto"/>
              </w:divBdr>
              <w:divsChild>
                <w:div w:id="20747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3778">
          <w:marLeft w:val="0"/>
          <w:marRight w:val="0"/>
          <w:marTop w:val="360"/>
          <w:marBottom w:val="240"/>
          <w:divBdr>
            <w:top w:val="none" w:sz="0" w:space="0" w:color="auto"/>
            <w:left w:val="none" w:sz="0" w:space="0" w:color="auto"/>
            <w:bottom w:val="none" w:sz="0" w:space="0" w:color="auto"/>
            <w:right w:val="none" w:sz="0" w:space="0" w:color="auto"/>
          </w:divBdr>
          <w:divsChild>
            <w:div w:id="837770488">
              <w:marLeft w:val="0"/>
              <w:marRight w:val="0"/>
              <w:marTop w:val="0"/>
              <w:marBottom w:val="0"/>
              <w:divBdr>
                <w:top w:val="none" w:sz="0" w:space="0" w:color="auto"/>
                <w:left w:val="none" w:sz="0" w:space="0" w:color="auto"/>
                <w:bottom w:val="none" w:sz="0" w:space="0" w:color="auto"/>
                <w:right w:val="none" w:sz="0" w:space="0" w:color="auto"/>
              </w:divBdr>
              <w:divsChild>
                <w:div w:id="17510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192956022">
      <w:bodyDiv w:val="1"/>
      <w:marLeft w:val="0"/>
      <w:marRight w:val="0"/>
      <w:marTop w:val="0"/>
      <w:marBottom w:val="0"/>
      <w:divBdr>
        <w:top w:val="none" w:sz="0" w:space="0" w:color="auto"/>
        <w:left w:val="none" w:sz="0" w:space="0" w:color="auto"/>
        <w:bottom w:val="none" w:sz="0" w:space="0" w:color="auto"/>
        <w:right w:val="none" w:sz="0" w:space="0" w:color="auto"/>
      </w:divBdr>
    </w:div>
    <w:div w:id="160649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D9D36-DDA7-46DB-99CE-BAB67851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4658</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2023-06-09T16:38:00Z</dcterms:created>
  <dcterms:modified xsi:type="dcterms:W3CDTF">2023-06-12T15:49:00Z</dcterms:modified>
</cp:coreProperties>
</file>