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FD7AB" w14:textId="2543D727" w:rsidR="000A134A" w:rsidRPr="00F63749" w:rsidRDefault="002511E9" w:rsidP="00120C6D">
      <w:pPr>
        <w:pStyle w:val="Heading1"/>
      </w:pPr>
      <w:bookmarkStart w:id="0" w:name="_Toc118900169"/>
      <w:bookmarkStart w:id="1" w:name="_Toc118905008"/>
      <w:r w:rsidRPr="00F63749">
        <w:t>FY 20</w:t>
      </w:r>
      <w:r w:rsidR="00185C7D" w:rsidRPr="00F63749">
        <w:t>22</w:t>
      </w:r>
      <w:r w:rsidR="001C1E47" w:rsidRPr="00F63749">
        <w:t xml:space="preserve"> </w:t>
      </w:r>
      <w:r w:rsidR="000A134A" w:rsidRPr="00F63749">
        <w:t xml:space="preserve">Follow-up </w:t>
      </w:r>
      <w:r w:rsidR="00626033" w:rsidRPr="00F63749">
        <w:t>Federal Annual Monitoring</w:t>
      </w:r>
      <w:r w:rsidR="000A134A" w:rsidRPr="00F63749">
        <w:t xml:space="preserve"> Evaluation (FAME) Report</w:t>
      </w:r>
      <w:bookmarkEnd w:id="0"/>
      <w:bookmarkEnd w:id="1"/>
    </w:p>
    <w:p w14:paraId="5D01BB79" w14:textId="77777777" w:rsidR="000A134A" w:rsidRPr="00F63749" w:rsidRDefault="000A134A" w:rsidP="0061177B">
      <w:pPr>
        <w:widowControl/>
        <w:autoSpaceDE/>
        <w:autoSpaceDN/>
        <w:adjustRightInd/>
        <w:rPr>
          <w:rFonts w:asciiTheme="minorHAnsi" w:hAnsiTheme="minorHAnsi" w:cstheme="minorHAnsi"/>
          <w:bCs/>
          <w:iCs/>
        </w:rPr>
      </w:pPr>
    </w:p>
    <w:p w14:paraId="2681F091" w14:textId="77777777" w:rsidR="000A134A" w:rsidRPr="00F63749" w:rsidRDefault="000A134A" w:rsidP="007A71AC">
      <w:pPr>
        <w:widowControl/>
        <w:autoSpaceDE/>
        <w:autoSpaceDN/>
        <w:adjustRightInd/>
        <w:jc w:val="center"/>
        <w:rPr>
          <w:rFonts w:asciiTheme="minorHAnsi" w:hAnsiTheme="minorHAnsi" w:cstheme="minorHAnsi"/>
        </w:rPr>
      </w:pPr>
      <w:r w:rsidRPr="00F63749">
        <w:rPr>
          <w:rFonts w:asciiTheme="minorHAnsi" w:hAnsiTheme="minorHAnsi" w:cstheme="minorHAnsi"/>
        </w:rPr>
        <w:t xml:space="preserve"> </w:t>
      </w:r>
    </w:p>
    <w:p w14:paraId="61F6BBD2" w14:textId="77777777" w:rsidR="000A134A" w:rsidRPr="00F63749" w:rsidRDefault="000A134A" w:rsidP="0061177B">
      <w:pPr>
        <w:widowControl/>
        <w:autoSpaceDE/>
        <w:autoSpaceDN/>
        <w:adjustRightInd/>
        <w:rPr>
          <w:rFonts w:asciiTheme="minorHAnsi" w:hAnsiTheme="minorHAnsi" w:cstheme="minorHAnsi"/>
          <w:b/>
        </w:rPr>
      </w:pPr>
    </w:p>
    <w:p w14:paraId="6677117F" w14:textId="77777777" w:rsidR="00073B38" w:rsidRPr="00F63749" w:rsidRDefault="00073B38" w:rsidP="00073B38">
      <w:pPr>
        <w:pStyle w:val="Default"/>
        <w:rPr>
          <w:rFonts w:asciiTheme="minorHAnsi" w:hAnsiTheme="minorHAnsi" w:cstheme="minorHAnsi"/>
        </w:rPr>
      </w:pPr>
    </w:p>
    <w:p w14:paraId="00E720F6" w14:textId="08229920" w:rsidR="00073B38" w:rsidRPr="00F63749" w:rsidRDefault="00073B38" w:rsidP="00120C6D">
      <w:pPr>
        <w:pStyle w:val="Default"/>
        <w:rPr>
          <w:rFonts w:asciiTheme="minorHAnsi" w:hAnsiTheme="minorHAnsi" w:cstheme="minorHAnsi"/>
          <w:sz w:val="23"/>
          <w:szCs w:val="23"/>
        </w:rPr>
      </w:pPr>
      <w:r w:rsidRPr="00F63749">
        <w:rPr>
          <w:rFonts w:asciiTheme="minorHAnsi" w:hAnsiTheme="minorHAnsi" w:cstheme="minorHAnsi"/>
          <w:b/>
          <w:bCs/>
          <w:sz w:val="23"/>
          <w:szCs w:val="23"/>
        </w:rPr>
        <w:t>TENNESSEE</w:t>
      </w:r>
    </w:p>
    <w:p w14:paraId="3DE83F74" w14:textId="32590F02" w:rsidR="00073B38" w:rsidRPr="00F63749" w:rsidRDefault="00073B38" w:rsidP="00120C6D">
      <w:pPr>
        <w:pStyle w:val="Default"/>
        <w:rPr>
          <w:rFonts w:asciiTheme="minorHAnsi" w:hAnsiTheme="minorHAnsi" w:cstheme="minorHAnsi"/>
          <w:sz w:val="23"/>
          <w:szCs w:val="23"/>
        </w:rPr>
      </w:pPr>
      <w:r w:rsidRPr="00F63749">
        <w:rPr>
          <w:rFonts w:asciiTheme="minorHAnsi" w:hAnsiTheme="minorHAnsi" w:cstheme="minorHAnsi"/>
          <w:b/>
          <w:bCs/>
          <w:sz w:val="23"/>
          <w:szCs w:val="23"/>
        </w:rPr>
        <w:t>DEPARTMENT OF LABOR AND WORKFORCE DEVELOPMENT,</w:t>
      </w:r>
    </w:p>
    <w:p w14:paraId="2A3E5133" w14:textId="11D726ED" w:rsidR="000A134A" w:rsidRPr="00F63749" w:rsidRDefault="00073B38" w:rsidP="00120C6D">
      <w:pPr>
        <w:widowControl/>
        <w:autoSpaceDE/>
        <w:autoSpaceDN/>
        <w:adjustRightInd/>
        <w:rPr>
          <w:rFonts w:asciiTheme="minorHAnsi" w:hAnsiTheme="minorHAnsi" w:cstheme="minorHAnsi"/>
          <w:bCs/>
        </w:rPr>
      </w:pPr>
      <w:r w:rsidRPr="00F63749">
        <w:rPr>
          <w:rFonts w:asciiTheme="minorHAnsi" w:hAnsiTheme="minorHAnsi" w:cstheme="minorHAnsi"/>
          <w:b/>
          <w:bCs/>
          <w:sz w:val="23"/>
          <w:szCs w:val="23"/>
        </w:rPr>
        <w:t>DIVISION OF OCCUPATIONAL SAFETY AND HEALTH</w:t>
      </w:r>
    </w:p>
    <w:p w14:paraId="3A440A60" w14:textId="77777777" w:rsidR="00073B38" w:rsidRPr="00F63749" w:rsidRDefault="00073B38" w:rsidP="00120C6D">
      <w:pPr>
        <w:widowControl/>
        <w:autoSpaceDE/>
        <w:autoSpaceDN/>
        <w:adjustRightInd/>
        <w:rPr>
          <w:rFonts w:asciiTheme="minorHAnsi" w:hAnsiTheme="minorHAnsi" w:cstheme="minorHAnsi"/>
          <w:bCs/>
        </w:rPr>
      </w:pPr>
    </w:p>
    <w:p w14:paraId="33BDDAA9" w14:textId="77777777" w:rsidR="000A134A" w:rsidRPr="00F63749" w:rsidRDefault="000A134A" w:rsidP="00120C6D">
      <w:pPr>
        <w:widowControl/>
        <w:autoSpaceDE/>
        <w:autoSpaceDN/>
        <w:adjustRightInd/>
        <w:rPr>
          <w:rFonts w:asciiTheme="minorHAnsi" w:hAnsiTheme="minorHAnsi" w:cstheme="minorHAnsi"/>
          <w:bCs/>
        </w:rPr>
      </w:pPr>
    </w:p>
    <w:p w14:paraId="157A43AA" w14:textId="17410A64" w:rsidR="000A134A" w:rsidRPr="00F63749" w:rsidRDefault="00073B38" w:rsidP="00120C6D">
      <w:pPr>
        <w:widowControl/>
        <w:autoSpaceDE/>
        <w:autoSpaceDN/>
        <w:adjustRightInd/>
        <w:rPr>
          <w:rFonts w:asciiTheme="minorHAnsi" w:hAnsiTheme="minorHAnsi" w:cstheme="minorHAnsi"/>
          <w:bCs/>
          <w:color w:val="0070C0"/>
        </w:rPr>
      </w:pPr>
      <w:r w:rsidRPr="00F63749">
        <w:rPr>
          <w:rFonts w:asciiTheme="minorHAnsi" w:hAnsiTheme="minorHAnsi" w:cstheme="minorHAnsi"/>
          <w:bCs/>
          <w:noProof/>
          <w:color w:val="0070C0"/>
        </w:rPr>
        <w:drawing>
          <wp:inline distT="0" distB="0" distL="0" distR="0" wp14:anchorId="4E8CE281" wp14:editId="0A2F04DD">
            <wp:extent cx="3744604" cy="1062149"/>
            <wp:effectExtent l="0" t="0" r="0" b="5080"/>
            <wp:docPr id="1" name="Picture 1" descr="Tennessee State OSHA P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nnessee State OSHA Pla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9666" cy="1077767"/>
                    </a:xfrm>
                    <a:prstGeom prst="rect">
                      <a:avLst/>
                    </a:prstGeom>
                    <a:noFill/>
                    <a:ln>
                      <a:noFill/>
                    </a:ln>
                  </pic:spPr>
                </pic:pic>
              </a:graphicData>
            </a:graphic>
          </wp:inline>
        </w:drawing>
      </w:r>
    </w:p>
    <w:p w14:paraId="0E828210" w14:textId="77777777" w:rsidR="000A134A" w:rsidRPr="00F63749" w:rsidRDefault="000A134A" w:rsidP="0061177B">
      <w:pPr>
        <w:widowControl/>
        <w:autoSpaceDE/>
        <w:autoSpaceDN/>
        <w:adjustRightInd/>
        <w:rPr>
          <w:rFonts w:asciiTheme="minorHAnsi" w:hAnsiTheme="minorHAnsi" w:cstheme="minorHAnsi"/>
          <w:bCs/>
        </w:rPr>
      </w:pPr>
    </w:p>
    <w:p w14:paraId="3FC46738" w14:textId="77777777" w:rsidR="000A134A" w:rsidRPr="00F63749" w:rsidRDefault="000A134A" w:rsidP="0061177B">
      <w:pPr>
        <w:widowControl/>
        <w:autoSpaceDE/>
        <w:autoSpaceDN/>
        <w:adjustRightInd/>
        <w:rPr>
          <w:rFonts w:asciiTheme="minorHAnsi" w:hAnsiTheme="minorHAnsi" w:cstheme="minorHAnsi"/>
          <w:b/>
        </w:rPr>
      </w:pPr>
    </w:p>
    <w:p w14:paraId="6CB8AD27" w14:textId="7356AD48" w:rsidR="000A134A" w:rsidRPr="00F63749" w:rsidRDefault="000A134A" w:rsidP="00120C6D">
      <w:pPr>
        <w:widowControl/>
        <w:tabs>
          <w:tab w:val="left" w:pos="720"/>
          <w:tab w:val="left" w:pos="1440"/>
          <w:tab w:val="left" w:pos="2160"/>
        </w:tabs>
        <w:autoSpaceDE/>
        <w:autoSpaceDN/>
        <w:adjustRightInd/>
        <w:rPr>
          <w:rFonts w:asciiTheme="minorHAnsi" w:eastAsia="Batang" w:hAnsiTheme="minorHAnsi" w:cstheme="minorHAnsi"/>
          <w:b/>
          <w:sz w:val="28"/>
          <w:szCs w:val="28"/>
        </w:rPr>
      </w:pPr>
      <w:r w:rsidRPr="00F63749">
        <w:rPr>
          <w:rFonts w:asciiTheme="minorHAnsi" w:eastAsia="Batang" w:hAnsiTheme="minorHAnsi" w:cstheme="minorHAnsi"/>
          <w:b/>
          <w:sz w:val="28"/>
          <w:szCs w:val="28"/>
        </w:rPr>
        <w:t>Ev</w:t>
      </w:r>
      <w:r w:rsidR="00882F2B" w:rsidRPr="00F63749">
        <w:rPr>
          <w:rFonts w:asciiTheme="minorHAnsi" w:eastAsia="Batang" w:hAnsiTheme="minorHAnsi" w:cstheme="minorHAnsi"/>
          <w:b/>
          <w:sz w:val="28"/>
          <w:szCs w:val="28"/>
        </w:rPr>
        <w:t>aluation Period: October 1, 20</w:t>
      </w:r>
      <w:r w:rsidR="00F54BE0" w:rsidRPr="00F63749">
        <w:rPr>
          <w:rFonts w:asciiTheme="minorHAnsi" w:eastAsia="Batang" w:hAnsiTheme="minorHAnsi" w:cstheme="minorHAnsi"/>
          <w:b/>
          <w:sz w:val="28"/>
          <w:szCs w:val="28"/>
        </w:rPr>
        <w:t>21</w:t>
      </w:r>
      <w:r w:rsidRPr="00F63749">
        <w:rPr>
          <w:rFonts w:asciiTheme="minorHAnsi" w:eastAsia="Batang" w:hAnsiTheme="minorHAnsi" w:cstheme="minorHAnsi"/>
          <w:b/>
          <w:sz w:val="28"/>
          <w:szCs w:val="28"/>
        </w:rPr>
        <w:t xml:space="preserve"> –</w:t>
      </w:r>
      <w:r w:rsidR="00882F2B" w:rsidRPr="00F63749">
        <w:rPr>
          <w:rFonts w:asciiTheme="minorHAnsi" w:eastAsia="Batang" w:hAnsiTheme="minorHAnsi" w:cstheme="minorHAnsi"/>
          <w:b/>
          <w:sz w:val="28"/>
          <w:szCs w:val="28"/>
        </w:rPr>
        <w:t xml:space="preserve"> September 30, 20</w:t>
      </w:r>
      <w:r w:rsidR="00F54BE0" w:rsidRPr="00F63749">
        <w:rPr>
          <w:rFonts w:asciiTheme="minorHAnsi" w:eastAsia="Batang" w:hAnsiTheme="minorHAnsi" w:cstheme="minorHAnsi"/>
          <w:b/>
          <w:sz w:val="28"/>
          <w:szCs w:val="28"/>
        </w:rPr>
        <w:t>22</w:t>
      </w:r>
    </w:p>
    <w:p w14:paraId="03D79AE5" w14:textId="77777777" w:rsidR="000A134A" w:rsidRPr="00F63749" w:rsidRDefault="000A134A" w:rsidP="007A71AC">
      <w:pPr>
        <w:widowControl/>
        <w:autoSpaceDE/>
        <w:autoSpaceDN/>
        <w:adjustRightInd/>
        <w:jc w:val="center"/>
        <w:rPr>
          <w:rFonts w:asciiTheme="minorHAnsi" w:hAnsiTheme="minorHAnsi" w:cstheme="minorHAnsi"/>
        </w:rPr>
      </w:pPr>
    </w:p>
    <w:p w14:paraId="015E020F" w14:textId="77777777" w:rsidR="000A134A" w:rsidRPr="00F63749" w:rsidRDefault="000A134A" w:rsidP="0061177B">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rPr>
          <w:rFonts w:asciiTheme="minorHAnsi" w:hAnsiTheme="minorHAnsi" w:cstheme="minorHAnsi"/>
        </w:rPr>
      </w:pPr>
    </w:p>
    <w:p w14:paraId="0E81BC24" w14:textId="77777777" w:rsidR="000A134A" w:rsidRPr="00F63749" w:rsidRDefault="000A134A" w:rsidP="007A71AC">
      <w:pPr>
        <w:widowControl/>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rPr>
          <w:rFonts w:asciiTheme="minorHAnsi" w:hAnsiTheme="minorHAnsi" w:cstheme="minorHAnsi"/>
        </w:rPr>
      </w:pPr>
    </w:p>
    <w:p w14:paraId="221B5785" w14:textId="77777777" w:rsidR="000A134A" w:rsidRPr="00F63749" w:rsidRDefault="000A134A" w:rsidP="007A71AC">
      <w:pPr>
        <w:widowControl/>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rPr>
          <w:rFonts w:asciiTheme="minorHAnsi" w:hAnsiTheme="minorHAnsi" w:cstheme="minorHAnsi"/>
          <w:b/>
        </w:rPr>
      </w:pPr>
    </w:p>
    <w:p w14:paraId="0DF94F44" w14:textId="0B83D683" w:rsidR="000A134A" w:rsidRPr="00F63749" w:rsidRDefault="000A134A" w:rsidP="00120C6D">
      <w:pPr>
        <w:widowControl/>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rPr>
          <w:rFonts w:asciiTheme="minorHAnsi" w:eastAsia="Batang" w:hAnsiTheme="minorHAnsi" w:cstheme="minorHAnsi"/>
          <w:b/>
        </w:rPr>
      </w:pPr>
      <w:r w:rsidRPr="00F63749">
        <w:rPr>
          <w:rFonts w:asciiTheme="minorHAnsi" w:eastAsia="Batang" w:hAnsiTheme="minorHAnsi" w:cstheme="minorHAnsi"/>
          <w:b/>
        </w:rPr>
        <w:t xml:space="preserve">Initial Approval Date:  </w:t>
      </w:r>
      <w:r w:rsidR="00073B38" w:rsidRPr="00F63749">
        <w:rPr>
          <w:rFonts w:asciiTheme="minorHAnsi" w:eastAsia="Batang" w:hAnsiTheme="minorHAnsi" w:cstheme="minorHAnsi"/>
          <w:b/>
        </w:rPr>
        <w:t>June 28,1973</w:t>
      </w:r>
    </w:p>
    <w:p w14:paraId="3062998A" w14:textId="67A65BB2" w:rsidR="000A134A" w:rsidRPr="00F63749" w:rsidRDefault="000A134A" w:rsidP="00120C6D">
      <w:pPr>
        <w:widowControl/>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rPr>
          <w:rFonts w:asciiTheme="minorHAnsi" w:eastAsia="Batang" w:hAnsiTheme="minorHAnsi" w:cstheme="minorHAnsi"/>
          <w:b/>
        </w:rPr>
      </w:pPr>
      <w:r w:rsidRPr="00F63749">
        <w:rPr>
          <w:rFonts w:asciiTheme="minorHAnsi" w:eastAsia="Batang" w:hAnsiTheme="minorHAnsi" w:cstheme="minorHAnsi"/>
          <w:b/>
        </w:rPr>
        <w:t>Program Certification Date:</w:t>
      </w:r>
      <w:r w:rsidR="00073B38" w:rsidRPr="00F63749">
        <w:rPr>
          <w:rFonts w:asciiTheme="minorHAnsi" w:eastAsia="Batang" w:hAnsiTheme="minorHAnsi" w:cstheme="minorHAnsi"/>
          <w:b/>
        </w:rPr>
        <w:t xml:space="preserve">  May 3, 1978</w:t>
      </w:r>
    </w:p>
    <w:p w14:paraId="51A91D4F" w14:textId="5094C63C" w:rsidR="000A134A" w:rsidRPr="00F63749" w:rsidRDefault="000A134A" w:rsidP="00120C6D">
      <w:pPr>
        <w:widowControl/>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rPr>
          <w:rFonts w:asciiTheme="minorHAnsi" w:hAnsiTheme="minorHAnsi" w:cstheme="minorHAnsi"/>
          <w:b/>
        </w:rPr>
      </w:pPr>
      <w:r w:rsidRPr="00F63749">
        <w:rPr>
          <w:rFonts w:asciiTheme="minorHAnsi" w:eastAsia="Batang" w:hAnsiTheme="minorHAnsi" w:cstheme="minorHAnsi"/>
          <w:b/>
        </w:rPr>
        <w:t xml:space="preserve">Final Approval Date: </w:t>
      </w:r>
      <w:r w:rsidR="00073B38" w:rsidRPr="00F63749">
        <w:rPr>
          <w:rFonts w:asciiTheme="minorHAnsi" w:eastAsia="Batang" w:hAnsiTheme="minorHAnsi" w:cstheme="minorHAnsi"/>
          <w:b/>
        </w:rPr>
        <w:t xml:space="preserve"> July 22, 1985</w:t>
      </w:r>
    </w:p>
    <w:p w14:paraId="5FD63D8C" w14:textId="77777777" w:rsidR="000A134A" w:rsidRPr="00F63749" w:rsidRDefault="000A134A" w:rsidP="0061177B">
      <w:pPr>
        <w:widowControl/>
        <w:autoSpaceDE/>
        <w:autoSpaceDN/>
        <w:adjustRightInd/>
        <w:rPr>
          <w:rFonts w:asciiTheme="minorHAnsi" w:hAnsiTheme="minorHAnsi" w:cstheme="minorHAnsi"/>
          <w:b/>
          <w:bCs/>
        </w:rPr>
      </w:pPr>
    </w:p>
    <w:p w14:paraId="69312D4F" w14:textId="77777777" w:rsidR="000A134A" w:rsidRPr="00F63749" w:rsidRDefault="000A134A" w:rsidP="0061177B">
      <w:pPr>
        <w:widowControl/>
        <w:tabs>
          <w:tab w:val="right" w:pos="9720"/>
        </w:tabs>
        <w:autoSpaceDE/>
        <w:autoSpaceDN/>
        <w:adjustRightInd/>
        <w:rPr>
          <w:rFonts w:asciiTheme="minorHAnsi" w:hAnsiTheme="minorHAnsi" w:cstheme="minorHAnsi"/>
          <w:b/>
          <w:bCs/>
        </w:rPr>
      </w:pPr>
    </w:p>
    <w:p w14:paraId="1EA42317" w14:textId="77777777" w:rsidR="000A134A" w:rsidRPr="00F63749" w:rsidRDefault="000A134A" w:rsidP="0061177B">
      <w:pPr>
        <w:widowControl/>
        <w:tabs>
          <w:tab w:val="right" w:pos="9720"/>
        </w:tabs>
        <w:autoSpaceDE/>
        <w:autoSpaceDN/>
        <w:adjustRightInd/>
        <w:rPr>
          <w:rFonts w:asciiTheme="minorHAnsi" w:hAnsiTheme="minorHAnsi" w:cstheme="minorHAnsi"/>
          <w:b/>
          <w:bCs/>
        </w:rPr>
      </w:pPr>
    </w:p>
    <w:p w14:paraId="19E2F8B5" w14:textId="77777777" w:rsidR="000A134A" w:rsidRPr="00F63749" w:rsidRDefault="000A134A" w:rsidP="0061177B">
      <w:pPr>
        <w:widowControl/>
        <w:autoSpaceDE/>
        <w:autoSpaceDN/>
        <w:adjustRightInd/>
        <w:rPr>
          <w:rFonts w:asciiTheme="minorHAnsi" w:hAnsiTheme="minorHAnsi" w:cstheme="minorHAnsi"/>
          <w:bCs/>
          <w:iCs/>
        </w:rPr>
      </w:pPr>
    </w:p>
    <w:p w14:paraId="336BF8F1" w14:textId="77777777" w:rsidR="000A134A" w:rsidRPr="00F63749" w:rsidRDefault="000A134A" w:rsidP="00120C6D">
      <w:pPr>
        <w:widowControl/>
        <w:autoSpaceDE/>
        <w:autoSpaceDN/>
        <w:adjustRightInd/>
        <w:rPr>
          <w:rFonts w:asciiTheme="minorHAnsi" w:hAnsiTheme="minorHAnsi" w:cstheme="minorHAnsi"/>
          <w:b/>
        </w:rPr>
      </w:pPr>
      <w:r w:rsidRPr="00F63749">
        <w:rPr>
          <w:rFonts w:asciiTheme="minorHAnsi" w:hAnsiTheme="minorHAnsi" w:cstheme="minorHAnsi"/>
          <w:b/>
        </w:rPr>
        <w:t>Prepared by:</w:t>
      </w:r>
    </w:p>
    <w:p w14:paraId="503A1070" w14:textId="7A323786" w:rsidR="000A134A" w:rsidRPr="00F63749" w:rsidRDefault="000A134A" w:rsidP="00120C6D">
      <w:pPr>
        <w:widowControl/>
        <w:autoSpaceDE/>
        <w:autoSpaceDN/>
        <w:adjustRightInd/>
        <w:rPr>
          <w:rFonts w:asciiTheme="minorHAnsi" w:hAnsiTheme="minorHAnsi" w:cstheme="minorHAnsi"/>
          <w:b/>
        </w:rPr>
      </w:pPr>
      <w:r w:rsidRPr="00F63749">
        <w:rPr>
          <w:rFonts w:asciiTheme="minorHAnsi" w:hAnsiTheme="minorHAnsi" w:cstheme="minorHAnsi"/>
          <w:b/>
        </w:rPr>
        <w:t>U. S. Department of Labor</w:t>
      </w:r>
    </w:p>
    <w:p w14:paraId="5E957F30" w14:textId="77777777" w:rsidR="000A134A" w:rsidRPr="00F63749" w:rsidRDefault="000A134A" w:rsidP="00120C6D">
      <w:pPr>
        <w:widowControl/>
        <w:autoSpaceDE/>
        <w:autoSpaceDN/>
        <w:adjustRightInd/>
        <w:rPr>
          <w:rFonts w:asciiTheme="minorHAnsi" w:hAnsiTheme="minorHAnsi" w:cstheme="minorHAnsi"/>
          <w:b/>
        </w:rPr>
      </w:pPr>
      <w:r w:rsidRPr="00F63749">
        <w:rPr>
          <w:rFonts w:asciiTheme="minorHAnsi" w:hAnsiTheme="minorHAnsi" w:cstheme="minorHAnsi"/>
          <w:b/>
        </w:rPr>
        <w:t>Occupational Safety and Health Administration</w:t>
      </w:r>
    </w:p>
    <w:p w14:paraId="283D40DC" w14:textId="5BABFEF5" w:rsidR="000A134A" w:rsidRPr="00F63749" w:rsidRDefault="000A134A" w:rsidP="00120C6D">
      <w:pPr>
        <w:widowControl/>
        <w:autoSpaceDE/>
        <w:autoSpaceDN/>
        <w:adjustRightInd/>
        <w:rPr>
          <w:rFonts w:asciiTheme="minorHAnsi" w:hAnsiTheme="minorHAnsi" w:cstheme="minorHAnsi"/>
          <w:b/>
        </w:rPr>
      </w:pPr>
      <w:r w:rsidRPr="00F63749">
        <w:rPr>
          <w:rFonts w:asciiTheme="minorHAnsi" w:hAnsiTheme="minorHAnsi" w:cstheme="minorHAnsi"/>
          <w:b/>
        </w:rPr>
        <w:t xml:space="preserve">Region </w:t>
      </w:r>
      <w:r w:rsidR="00073B38" w:rsidRPr="00F63749">
        <w:rPr>
          <w:rFonts w:asciiTheme="minorHAnsi" w:hAnsiTheme="minorHAnsi" w:cstheme="minorHAnsi"/>
          <w:b/>
        </w:rPr>
        <w:t>IV</w:t>
      </w:r>
    </w:p>
    <w:p w14:paraId="50EE0B64" w14:textId="42B58971" w:rsidR="000A134A" w:rsidRPr="00F63749" w:rsidRDefault="00073B38" w:rsidP="00120C6D">
      <w:pPr>
        <w:widowControl/>
        <w:autoSpaceDE/>
        <w:autoSpaceDN/>
        <w:adjustRightInd/>
        <w:rPr>
          <w:rFonts w:asciiTheme="minorHAnsi" w:hAnsiTheme="minorHAnsi" w:cstheme="minorHAnsi"/>
          <w:b/>
        </w:rPr>
      </w:pPr>
      <w:r w:rsidRPr="00F63749">
        <w:rPr>
          <w:rFonts w:asciiTheme="minorHAnsi" w:hAnsiTheme="minorHAnsi" w:cstheme="minorHAnsi"/>
          <w:b/>
        </w:rPr>
        <w:t>Atlanta, GA</w:t>
      </w:r>
    </w:p>
    <w:p w14:paraId="5737E281" w14:textId="77777777" w:rsidR="000A134A" w:rsidRPr="00F63749" w:rsidRDefault="000A134A" w:rsidP="007A71AC">
      <w:pPr>
        <w:widowControl/>
        <w:autoSpaceDE/>
        <w:autoSpaceDN/>
        <w:adjustRightInd/>
        <w:jc w:val="center"/>
        <w:rPr>
          <w:rFonts w:asciiTheme="minorHAnsi" w:hAnsiTheme="minorHAnsi" w:cstheme="minorHAnsi"/>
          <w:b/>
        </w:rPr>
      </w:pPr>
    </w:p>
    <w:p w14:paraId="15F94D47" w14:textId="77777777" w:rsidR="000A134A" w:rsidRPr="00F63749" w:rsidRDefault="000A134A" w:rsidP="007A71AC">
      <w:pPr>
        <w:widowControl/>
        <w:autoSpaceDE/>
        <w:autoSpaceDN/>
        <w:adjustRightInd/>
        <w:jc w:val="center"/>
        <w:rPr>
          <w:rFonts w:asciiTheme="minorHAnsi" w:hAnsiTheme="minorHAnsi" w:cstheme="minorHAnsi"/>
          <w:b/>
        </w:rPr>
      </w:pPr>
    </w:p>
    <w:p w14:paraId="41EC6729" w14:textId="77777777" w:rsidR="000A134A" w:rsidRPr="00F63749" w:rsidRDefault="000A134A" w:rsidP="007A71AC">
      <w:pPr>
        <w:widowControl/>
        <w:autoSpaceDE/>
        <w:autoSpaceDN/>
        <w:adjustRightInd/>
        <w:jc w:val="center"/>
        <w:rPr>
          <w:rFonts w:asciiTheme="minorHAnsi" w:hAnsiTheme="minorHAnsi" w:cstheme="minorHAnsi"/>
          <w:b/>
          <w:sz w:val="40"/>
          <w:szCs w:val="40"/>
        </w:rPr>
      </w:pPr>
      <w:r w:rsidRPr="00F63749">
        <w:rPr>
          <w:rFonts w:asciiTheme="minorHAnsi" w:hAnsiTheme="minorHAnsi" w:cstheme="minorHAnsi"/>
          <w:noProof/>
        </w:rPr>
        <w:drawing>
          <wp:inline distT="0" distB="0" distL="0" distR="0" wp14:anchorId="1D849888" wp14:editId="02DC62B1">
            <wp:extent cx="1600200" cy="1009650"/>
            <wp:effectExtent l="0" t="0" r="0" b="0"/>
            <wp:docPr id="4" name="Picture 4" descr="center_col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_col_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009650"/>
                    </a:xfrm>
                    <a:prstGeom prst="rect">
                      <a:avLst/>
                    </a:prstGeom>
                    <a:noFill/>
                    <a:ln>
                      <a:noFill/>
                    </a:ln>
                  </pic:spPr>
                </pic:pic>
              </a:graphicData>
            </a:graphic>
          </wp:inline>
        </w:drawing>
      </w:r>
    </w:p>
    <w:p w14:paraId="253E64F1" w14:textId="73891067" w:rsidR="002A6CAA" w:rsidRPr="00F63749" w:rsidRDefault="00F43B23">
      <w:pPr>
        <w:widowControl/>
        <w:autoSpaceDE/>
        <w:autoSpaceDN/>
        <w:adjustRightInd/>
        <w:rPr>
          <w:rFonts w:asciiTheme="minorHAnsi" w:hAnsiTheme="minorHAnsi" w:cstheme="minorHAnsi"/>
          <w:b/>
          <w:sz w:val="28"/>
          <w:szCs w:val="28"/>
        </w:rPr>
      </w:pPr>
      <w:r w:rsidRPr="00F63749">
        <w:rPr>
          <w:rFonts w:asciiTheme="minorHAnsi" w:hAnsiTheme="minorHAnsi" w:cstheme="minorHAnsi"/>
          <w:b/>
          <w:sz w:val="40"/>
          <w:szCs w:val="40"/>
        </w:rPr>
        <w:br w:type="page"/>
      </w:r>
      <w:r w:rsidRPr="00F63749">
        <w:rPr>
          <w:rFonts w:asciiTheme="minorHAnsi" w:hAnsiTheme="minorHAnsi" w:cstheme="minorHAnsi"/>
          <w:b/>
          <w:sz w:val="28"/>
          <w:szCs w:val="28"/>
        </w:rPr>
        <w:lastRenderedPageBreak/>
        <w:t>Table of Contents</w:t>
      </w:r>
    </w:p>
    <w:p w14:paraId="5E7DD602" w14:textId="5E7B5601" w:rsidR="00694B40" w:rsidRPr="0092393F" w:rsidRDefault="000F63C1">
      <w:pPr>
        <w:pStyle w:val="TOC2"/>
        <w:tabs>
          <w:tab w:val="left" w:pos="480"/>
          <w:tab w:val="right" w:leader="dot" w:pos="9530"/>
        </w:tabs>
        <w:rPr>
          <w:rFonts w:eastAsiaTheme="minorEastAsia"/>
          <w:bCs w:val="0"/>
          <w:noProof/>
          <w:sz w:val="22"/>
          <w:szCs w:val="22"/>
        </w:rPr>
      </w:pPr>
      <w:r w:rsidRPr="00F63749">
        <w:fldChar w:fldCharType="begin"/>
      </w:r>
      <w:r w:rsidRPr="0092393F">
        <w:instrText xml:space="preserve"> TOC \o "2-3" \h \z \u \t "Level 1,1" </w:instrText>
      </w:r>
      <w:r w:rsidRPr="00F63749">
        <w:fldChar w:fldCharType="separate"/>
      </w:r>
      <w:hyperlink w:anchor="_Toc128482008" w:history="1">
        <w:r w:rsidR="00694B40" w:rsidRPr="0092393F">
          <w:rPr>
            <w:rStyle w:val="Hyperlink"/>
            <w:rFonts w:cstheme="minorHAnsi"/>
            <w:noProof/>
          </w:rPr>
          <w:t>I.</w:t>
        </w:r>
        <w:r w:rsidR="00694B40" w:rsidRPr="0092393F">
          <w:rPr>
            <w:rFonts w:eastAsiaTheme="minorEastAsia"/>
            <w:bCs w:val="0"/>
            <w:noProof/>
            <w:sz w:val="22"/>
            <w:szCs w:val="22"/>
          </w:rPr>
          <w:tab/>
        </w:r>
        <w:r w:rsidR="00694B40" w:rsidRPr="0092393F">
          <w:rPr>
            <w:rStyle w:val="Hyperlink"/>
            <w:rFonts w:cstheme="minorHAnsi"/>
            <w:noProof/>
          </w:rPr>
          <w:t>Executive Summary</w:t>
        </w:r>
        <w:r w:rsidR="00694B40" w:rsidRPr="0092393F">
          <w:rPr>
            <w:noProof/>
            <w:webHidden/>
          </w:rPr>
          <w:tab/>
        </w:r>
        <w:r w:rsidR="00694B40" w:rsidRPr="0092393F">
          <w:rPr>
            <w:noProof/>
            <w:webHidden/>
          </w:rPr>
          <w:fldChar w:fldCharType="begin"/>
        </w:r>
        <w:r w:rsidR="00694B40" w:rsidRPr="0092393F">
          <w:rPr>
            <w:noProof/>
            <w:webHidden/>
          </w:rPr>
          <w:instrText xml:space="preserve"> PAGEREF _Toc128482008 \h </w:instrText>
        </w:r>
        <w:r w:rsidR="00694B40" w:rsidRPr="0092393F">
          <w:rPr>
            <w:noProof/>
            <w:webHidden/>
          </w:rPr>
        </w:r>
        <w:r w:rsidR="00694B40" w:rsidRPr="0092393F">
          <w:rPr>
            <w:noProof/>
            <w:webHidden/>
          </w:rPr>
          <w:fldChar w:fldCharType="separate"/>
        </w:r>
        <w:r w:rsidR="00694B40" w:rsidRPr="0092393F">
          <w:rPr>
            <w:noProof/>
            <w:webHidden/>
          </w:rPr>
          <w:t>3</w:t>
        </w:r>
        <w:r w:rsidR="00694B40" w:rsidRPr="0092393F">
          <w:rPr>
            <w:noProof/>
            <w:webHidden/>
          </w:rPr>
          <w:fldChar w:fldCharType="end"/>
        </w:r>
      </w:hyperlink>
    </w:p>
    <w:p w14:paraId="1C87FD98" w14:textId="42D15DC2" w:rsidR="00694B40" w:rsidRPr="0092393F" w:rsidRDefault="00120C6D">
      <w:pPr>
        <w:pStyle w:val="TOC2"/>
        <w:tabs>
          <w:tab w:val="left" w:pos="480"/>
          <w:tab w:val="right" w:leader="dot" w:pos="9530"/>
        </w:tabs>
        <w:rPr>
          <w:rFonts w:eastAsiaTheme="minorEastAsia"/>
          <w:bCs w:val="0"/>
          <w:noProof/>
          <w:sz w:val="22"/>
          <w:szCs w:val="22"/>
        </w:rPr>
      </w:pPr>
      <w:hyperlink w:anchor="_Toc128482009" w:history="1">
        <w:r w:rsidR="00694B40" w:rsidRPr="0092393F">
          <w:rPr>
            <w:rStyle w:val="Hyperlink"/>
            <w:rFonts w:cstheme="minorHAnsi"/>
            <w:noProof/>
          </w:rPr>
          <w:t>II.</w:t>
        </w:r>
        <w:r w:rsidR="00694B40" w:rsidRPr="0092393F">
          <w:rPr>
            <w:rFonts w:eastAsiaTheme="minorEastAsia"/>
            <w:bCs w:val="0"/>
            <w:noProof/>
            <w:sz w:val="22"/>
            <w:szCs w:val="22"/>
          </w:rPr>
          <w:tab/>
        </w:r>
        <w:r w:rsidR="00694B40" w:rsidRPr="0092393F">
          <w:rPr>
            <w:rStyle w:val="Hyperlink"/>
            <w:rFonts w:cstheme="minorHAnsi"/>
            <w:noProof/>
          </w:rPr>
          <w:t>State Plan Background</w:t>
        </w:r>
        <w:r w:rsidR="00694B40" w:rsidRPr="0092393F">
          <w:rPr>
            <w:noProof/>
            <w:webHidden/>
          </w:rPr>
          <w:tab/>
        </w:r>
        <w:r w:rsidR="00694B40" w:rsidRPr="0092393F">
          <w:rPr>
            <w:noProof/>
            <w:webHidden/>
          </w:rPr>
          <w:fldChar w:fldCharType="begin"/>
        </w:r>
        <w:r w:rsidR="00694B40" w:rsidRPr="0092393F">
          <w:rPr>
            <w:noProof/>
            <w:webHidden/>
          </w:rPr>
          <w:instrText xml:space="preserve"> PAGEREF _Toc128482009 \h </w:instrText>
        </w:r>
        <w:r w:rsidR="00694B40" w:rsidRPr="0092393F">
          <w:rPr>
            <w:noProof/>
            <w:webHidden/>
          </w:rPr>
        </w:r>
        <w:r w:rsidR="00694B40" w:rsidRPr="0092393F">
          <w:rPr>
            <w:noProof/>
            <w:webHidden/>
          </w:rPr>
          <w:fldChar w:fldCharType="separate"/>
        </w:r>
        <w:r w:rsidR="00694B40" w:rsidRPr="0092393F">
          <w:rPr>
            <w:noProof/>
            <w:webHidden/>
          </w:rPr>
          <w:t>3</w:t>
        </w:r>
        <w:r w:rsidR="00694B40" w:rsidRPr="0092393F">
          <w:rPr>
            <w:noProof/>
            <w:webHidden/>
          </w:rPr>
          <w:fldChar w:fldCharType="end"/>
        </w:r>
      </w:hyperlink>
    </w:p>
    <w:p w14:paraId="2818809E" w14:textId="5949F7CE" w:rsidR="00694B40" w:rsidRPr="0092393F" w:rsidRDefault="00120C6D">
      <w:pPr>
        <w:pStyle w:val="TOC2"/>
        <w:tabs>
          <w:tab w:val="left" w:pos="720"/>
          <w:tab w:val="right" w:leader="dot" w:pos="9530"/>
        </w:tabs>
        <w:rPr>
          <w:rFonts w:eastAsiaTheme="minorEastAsia"/>
          <w:bCs w:val="0"/>
          <w:noProof/>
          <w:sz w:val="22"/>
          <w:szCs w:val="22"/>
        </w:rPr>
      </w:pPr>
      <w:hyperlink w:anchor="_Toc128482010" w:history="1">
        <w:r w:rsidR="00694B40" w:rsidRPr="0092393F">
          <w:rPr>
            <w:rStyle w:val="Hyperlink"/>
            <w:rFonts w:cstheme="minorHAnsi"/>
            <w:noProof/>
          </w:rPr>
          <w:t>III.</w:t>
        </w:r>
        <w:r w:rsidR="00694B40" w:rsidRPr="0092393F">
          <w:rPr>
            <w:rFonts w:eastAsiaTheme="minorEastAsia"/>
            <w:bCs w:val="0"/>
            <w:noProof/>
            <w:sz w:val="22"/>
            <w:szCs w:val="22"/>
          </w:rPr>
          <w:tab/>
        </w:r>
        <w:r w:rsidR="00694B40" w:rsidRPr="0092393F">
          <w:rPr>
            <w:rStyle w:val="Hyperlink"/>
            <w:rFonts w:cstheme="minorHAnsi"/>
            <w:noProof/>
          </w:rPr>
          <w:t>Assessment of State Plan Progress and Performance</w:t>
        </w:r>
        <w:r w:rsidR="00694B40" w:rsidRPr="0092393F">
          <w:rPr>
            <w:noProof/>
            <w:webHidden/>
          </w:rPr>
          <w:tab/>
        </w:r>
        <w:r w:rsidR="00694B40" w:rsidRPr="0092393F">
          <w:rPr>
            <w:noProof/>
            <w:webHidden/>
          </w:rPr>
          <w:fldChar w:fldCharType="begin"/>
        </w:r>
        <w:r w:rsidR="00694B40" w:rsidRPr="0092393F">
          <w:rPr>
            <w:noProof/>
            <w:webHidden/>
          </w:rPr>
          <w:instrText xml:space="preserve"> PAGEREF _Toc128482010 \h </w:instrText>
        </w:r>
        <w:r w:rsidR="00694B40" w:rsidRPr="0092393F">
          <w:rPr>
            <w:noProof/>
            <w:webHidden/>
          </w:rPr>
        </w:r>
        <w:r w:rsidR="00694B40" w:rsidRPr="0092393F">
          <w:rPr>
            <w:noProof/>
            <w:webHidden/>
          </w:rPr>
          <w:fldChar w:fldCharType="separate"/>
        </w:r>
        <w:r w:rsidR="00694B40" w:rsidRPr="0092393F">
          <w:rPr>
            <w:noProof/>
            <w:webHidden/>
          </w:rPr>
          <w:t>5</w:t>
        </w:r>
        <w:r w:rsidR="00694B40" w:rsidRPr="0092393F">
          <w:rPr>
            <w:noProof/>
            <w:webHidden/>
          </w:rPr>
          <w:fldChar w:fldCharType="end"/>
        </w:r>
      </w:hyperlink>
    </w:p>
    <w:p w14:paraId="4F0B036A" w14:textId="546C6ED6" w:rsidR="00694B40" w:rsidRPr="0092393F" w:rsidRDefault="0092393F" w:rsidP="0092393F">
      <w:pPr>
        <w:pStyle w:val="TOC3"/>
        <w:rPr>
          <w:rFonts w:eastAsiaTheme="minorEastAsia"/>
          <w:noProof/>
          <w:sz w:val="22"/>
          <w:szCs w:val="22"/>
        </w:rPr>
      </w:pPr>
      <w:r w:rsidRPr="00F63749">
        <w:rPr>
          <w:rStyle w:val="Hyperlink"/>
          <w:rFonts w:cstheme="minorHAnsi"/>
          <w:noProof/>
          <w:color w:val="auto"/>
        </w:rPr>
        <w:t>A.</w:t>
      </w:r>
      <w:r w:rsidRPr="0092393F">
        <w:t xml:space="preserve"> </w:t>
      </w:r>
      <w:hyperlink w:anchor="_Toc128482011" w:history="1">
        <w:r w:rsidR="00694B40" w:rsidRPr="0092393F">
          <w:rPr>
            <w:rStyle w:val="Hyperlink"/>
            <w:rFonts w:cstheme="minorHAnsi"/>
            <w:noProof/>
          </w:rPr>
          <w:t>Data and Methodology</w:t>
        </w:r>
        <w:r w:rsidR="00694B40" w:rsidRPr="0092393F">
          <w:rPr>
            <w:noProof/>
            <w:webHidden/>
          </w:rPr>
          <w:tab/>
        </w:r>
        <w:r w:rsidR="00694B40" w:rsidRPr="0092393F">
          <w:rPr>
            <w:noProof/>
            <w:webHidden/>
          </w:rPr>
          <w:fldChar w:fldCharType="begin"/>
        </w:r>
        <w:r w:rsidR="00694B40" w:rsidRPr="0092393F">
          <w:rPr>
            <w:noProof/>
            <w:webHidden/>
          </w:rPr>
          <w:instrText xml:space="preserve"> PAGEREF _Toc128482011 \h </w:instrText>
        </w:r>
        <w:r w:rsidR="00694B40" w:rsidRPr="0092393F">
          <w:rPr>
            <w:noProof/>
            <w:webHidden/>
          </w:rPr>
        </w:r>
        <w:r w:rsidR="00694B40" w:rsidRPr="0092393F">
          <w:rPr>
            <w:noProof/>
            <w:webHidden/>
          </w:rPr>
          <w:fldChar w:fldCharType="separate"/>
        </w:r>
        <w:r w:rsidR="00694B40" w:rsidRPr="0092393F">
          <w:rPr>
            <w:noProof/>
            <w:webHidden/>
          </w:rPr>
          <w:t>5</w:t>
        </w:r>
        <w:r w:rsidR="00694B40" w:rsidRPr="0092393F">
          <w:rPr>
            <w:noProof/>
            <w:webHidden/>
          </w:rPr>
          <w:fldChar w:fldCharType="end"/>
        </w:r>
      </w:hyperlink>
    </w:p>
    <w:p w14:paraId="748EE76D" w14:textId="5EE4DF7B" w:rsidR="00694B40" w:rsidRPr="0092393F" w:rsidRDefault="00120C6D" w:rsidP="0092393F">
      <w:pPr>
        <w:pStyle w:val="TOC3"/>
        <w:rPr>
          <w:rFonts w:eastAsiaTheme="minorEastAsia"/>
          <w:noProof/>
          <w:sz w:val="22"/>
          <w:szCs w:val="22"/>
        </w:rPr>
      </w:pPr>
      <w:hyperlink w:anchor="_Toc128482012" w:history="1">
        <w:r w:rsidR="00694B40" w:rsidRPr="00F63749">
          <w:rPr>
            <w:rStyle w:val="Hyperlink"/>
            <w:rFonts w:cstheme="minorHAnsi"/>
            <w:noProof/>
          </w:rPr>
          <w:t>B.</w:t>
        </w:r>
        <w:r w:rsidR="0092393F" w:rsidRPr="0092393F" w:rsidDel="0092393F">
          <w:rPr>
            <w:rFonts w:eastAsiaTheme="minorEastAsia"/>
            <w:noProof/>
            <w:sz w:val="22"/>
            <w:szCs w:val="22"/>
          </w:rPr>
          <w:t xml:space="preserve"> </w:t>
        </w:r>
        <w:r w:rsidR="00694B40" w:rsidRPr="0092393F">
          <w:rPr>
            <w:rStyle w:val="Hyperlink"/>
            <w:rFonts w:cstheme="minorHAnsi"/>
            <w:noProof/>
          </w:rPr>
          <w:t>Findings and Observations</w:t>
        </w:r>
        <w:r w:rsidR="00694B40" w:rsidRPr="0092393F">
          <w:rPr>
            <w:noProof/>
            <w:webHidden/>
          </w:rPr>
          <w:tab/>
        </w:r>
        <w:r w:rsidR="00694B40" w:rsidRPr="0092393F">
          <w:rPr>
            <w:noProof/>
            <w:webHidden/>
          </w:rPr>
          <w:fldChar w:fldCharType="begin"/>
        </w:r>
        <w:r w:rsidR="00694B40" w:rsidRPr="0092393F">
          <w:rPr>
            <w:noProof/>
            <w:webHidden/>
          </w:rPr>
          <w:instrText xml:space="preserve"> PAGEREF _Toc128482012 \h </w:instrText>
        </w:r>
        <w:r w:rsidR="00694B40" w:rsidRPr="0092393F">
          <w:rPr>
            <w:noProof/>
            <w:webHidden/>
          </w:rPr>
        </w:r>
        <w:r w:rsidR="00694B40" w:rsidRPr="0092393F">
          <w:rPr>
            <w:noProof/>
            <w:webHidden/>
          </w:rPr>
          <w:fldChar w:fldCharType="separate"/>
        </w:r>
        <w:r w:rsidR="00694B40" w:rsidRPr="0092393F">
          <w:rPr>
            <w:noProof/>
            <w:webHidden/>
          </w:rPr>
          <w:t>5</w:t>
        </w:r>
        <w:r w:rsidR="00694B40" w:rsidRPr="0092393F">
          <w:rPr>
            <w:noProof/>
            <w:webHidden/>
          </w:rPr>
          <w:fldChar w:fldCharType="end"/>
        </w:r>
      </w:hyperlink>
    </w:p>
    <w:p w14:paraId="29512C59" w14:textId="0D5E666D" w:rsidR="00694B40" w:rsidRPr="0092393F" w:rsidRDefault="00120C6D" w:rsidP="0092393F">
      <w:pPr>
        <w:pStyle w:val="TOC3"/>
        <w:rPr>
          <w:rFonts w:eastAsiaTheme="minorEastAsia"/>
          <w:noProof/>
          <w:sz w:val="22"/>
          <w:szCs w:val="22"/>
        </w:rPr>
      </w:pPr>
      <w:hyperlink w:anchor="_Toc128482013" w:history="1">
        <w:r w:rsidR="00694B40" w:rsidRPr="00F63749">
          <w:rPr>
            <w:rStyle w:val="Hyperlink"/>
            <w:rFonts w:cstheme="minorHAnsi"/>
            <w:noProof/>
          </w:rPr>
          <w:t>C.</w:t>
        </w:r>
        <w:r w:rsidR="0092393F" w:rsidRPr="0092393F" w:rsidDel="0092393F">
          <w:rPr>
            <w:rFonts w:eastAsiaTheme="minorEastAsia"/>
            <w:noProof/>
            <w:sz w:val="22"/>
            <w:szCs w:val="22"/>
          </w:rPr>
          <w:t xml:space="preserve"> </w:t>
        </w:r>
        <w:r w:rsidR="00694B40" w:rsidRPr="0092393F">
          <w:rPr>
            <w:rStyle w:val="Hyperlink"/>
            <w:rFonts w:cstheme="minorHAnsi"/>
            <w:noProof/>
          </w:rPr>
          <w:t>State Activity Mandated Measures (SAMM) Highlights</w:t>
        </w:r>
        <w:r w:rsidR="00694B40" w:rsidRPr="0092393F">
          <w:rPr>
            <w:noProof/>
            <w:webHidden/>
          </w:rPr>
          <w:tab/>
        </w:r>
        <w:r w:rsidR="00694B40" w:rsidRPr="0092393F">
          <w:rPr>
            <w:noProof/>
            <w:webHidden/>
          </w:rPr>
          <w:fldChar w:fldCharType="begin"/>
        </w:r>
        <w:r w:rsidR="00694B40" w:rsidRPr="0092393F">
          <w:rPr>
            <w:noProof/>
            <w:webHidden/>
          </w:rPr>
          <w:instrText xml:space="preserve"> PAGEREF _Toc128482013 \h </w:instrText>
        </w:r>
        <w:r w:rsidR="00694B40" w:rsidRPr="0092393F">
          <w:rPr>
            <w:noProof/>
            <w:webHidden/>
          </w:rPr>
        </w:r>
        <w:r w:rsidR="00694B40" w:rsidRPr="0092393F">
          <w:rPr>
            <w:noProof/>
            <w:webHidden/>
          </w:rPr>
          <w:fldChar w:fldCharType="separate"/>
        </w:r>
        <w:r w:rsidR="00694B40" w:rsidRPr="0092393F">
          <w:rPr>
            <w:noProof/>
            <w:webHidden/>
          </w:rPr>
          <w:t>7</w:t>
        </w:r>
        <w:r w:rsidR="00694B40" w:rsidRPr="0092393F">
          <w:rPr>
            <w:noProof/>
            <w:webHidden/>
          </w:rPr>
          <w:fldChar w:fldCharType="end"/>
        </w:r>
      </w:hyperlink>
    </w:p>
    <w:p w14:paraId="2A1F0D9A" w14:textId="2AA6A3B0" w:rsidR="00694B40" w:rsidRPr="0092393F" w:rsidRDefault="00120C6D" w:rsidP="0092393F">
      <w:pPr>
        <w:pStyle w:val="TOC3"/>
        <w:rPr>
          <w:rFonts w:eastAsiaTheme="minorEastAsia"/>
          <w:noProof/>
          <w:sz w:val="22"/>
          <w:szCs w:val="22"/>
        </w:rPr>
      </w:pPr>
      <w:hyperlink w:anchor="_Toc128482014" w:history="1">
        <w:r w:rsidR="00694B40" w:rsidRPr="0092393F">
          <w:rPr>
            <w:rStyle w:val="Hyperlink"/>
            <w:rFonts w:cstheme="minorHAnsi"/>
            <w:noProof/>
          </w:rPr>
          <w:t>Appendix A – New and Continued Findings and Recommendations</w:t>
        </w:r>
        <w:r w:rsidR="00694B40" w:rsidRPr="0092393F">
          <w:rPr>
            <w:noProof/>
            <w:webHidden/>
          </w:rPr>
          <w:tab/>
        </w:r>
        <w:r w:rsidR="00694B40" w:rsidRPr="0092393F">
          <w:rPr>
            <w:noProof/>
            <w:webHidden/>
          </w:rPr>
          <w:fldChar w:fldCharType="begin"/>
        </w:r>
        <w:r w:rsidR="00694B40" w:rsidRPr="0092393F">
          <w:rPr>
            <w:noProof/>
            <w:webHidden/>
          </w:rPr>
          <w:instrText xml:space="preserve"> PAGEREF _Toc128482014 \h </w:instrText>
        </w:r>
        <w:r w:rsidR="00694B40" w:rsidRPr="0092393F">
          <w:rPr>
            <w:noProof/>
            <w:webHidden/>
          </w:rPr>
        </w:r>
        <w:r w:rsidR="00694B40" w:rsidRPr="0092393F">
          <w:rPr>
            <w:noProof/>
            <w:webHidden/>
          </w:rPr>
          <w:fldChar w:fldCharType="separate"/>
        </w:r>
        <w:r w:rsidR="00694B40" w:rsidRPr="0092393F">
          <w:rPr>
            <w:noProof/>
            <w:webHidden/>
          </w:rPr>
          <w:t>9</w:t>
        </w:r>
        <w:r w:rsidR="00694B40" w:rsidRPr="0092393F">
          <w:rPr>
            <w:noProof/>
            <w:webHidden/>
          </w:rPr>
          <w:fldChar w:fldCharType="end"/>
        </w:r>
      </w:hyperlink>
    </w:p>
    <w:p w14:paraId="04599A6D" w14:textId="6082522E" w:rsidR="00694B40" w:rsidRPr="0092393F" w:rsidRDefault="00120C6D" w:rsidP="0092393F">
      <w:pPr>
        <w:pStyle w:val="TOC3"/>
        <w:rPr>
          <w:rFonts w:eastAsiaTheme="minorEastAsia"/>
          <w:noProof/>
          <w:sz w:val="22"/>
          <w:szCs w:val="22"/>
        </w:rPr>
      </w:pPr>
      <w:hyperlink w:anchor="_Toc128482015" w:history="1">
        <w:r w:rsidR="00694B40" w:rsidRPr="0092393F">
          <w:rPr>
            <w:rStyle w:val="Hyperlink"/>
            <w:rFonts w:cstheme="minorHAnsi"/>
            <w:noProof/>
          </w:rPr>
          <w:t>Appendix B – Observations Subject to Continued Monitoring</w:t>
        </w:r>
        <w:r w:rsidR="00694B40" w:rsidRPr="0092393F">
          <w:rPr>
            <w:noProof/>
            <w:webHidden/>
          </w:rPr>
          <w:tab/>
        </w:r>
        <w:r w:rsidR="00694B40" w:rsidRPr="0092393F">
          <w:rPr>
            <w:noProof/>
            <w:webHidden/>
          </w:rPr>
          <w:fldChar w:fldCharType="begin"/>
        </w:r>
        <w:r w:rsidR="00694B40" w:rsidRPr="0092393F">
          <w:rPr>
            <w:noProof/>
            <w:webHidden/>
          </w:rPr>
          <w:instrText xml:space="preserve"> PAGEREF _Toc128482015 \h </w:instrText>
        </w:r>
        <w:r w:rsidR="00694B40" w:rsidRPr="0092393F">
          <w:rPr>
            <w:noProof/>
            <w:webHidden/>
          </w:rPr>
        </w:r>
        <w:r w:rsidR="00694B40" w:rsidRPr="0092393F">
          <w:rPr>
            <w:noProof/>
            <w:webHidden/>
          </w:rPr>
          <w:fldChar w:fldCharType="separate"/>
        </w:r>
        <w:r w:rsidR="00694B40" w:rsidRPr="0092393F">
          <w:rPr>
            <w:noProof/>
            <w:webHidden/>
          </w:rPr>
          <w:t>10</w:t>
        </w:r>
        <w:r w:rsidR="00694B40" w:rsidRPr="0092393F">
          <w:rPr>
            <w:noProof/>
            <w:webHidden/>
          </w:rPr>
          <w:fldChar w:fldCharType="end"/>
        </w:r>
      </w:hyperlink>
    </w:p>
    <w:p w14:paraId="7C85F407" w14:textId="60172DF1" w:rsidR="00694B40" w:rsidRPr="0092393F" w:rsidRDefault="00120C6D" w:rsidP="0092393F">
      <w:pPr>
        <w:pStyle w:val="TOC3"/>
        <w:rPr>
          <w:rFonts w:eastAsiaTheme="minorEastAsia"/>
          <w:noProof/>
          <w:sz w:val="22"/>
          <w:szCs w:val="22"/>
        </w:rPr>
      </w:pPr>
      <w:hyperlink w:anchor="_Toc128482016" w:history="1">
        <w:r w:rsidR="00694B40" w:rsidRPr="0092393F">
          <w:rPr>
            <w:rStyle w:val="Hyperlink"/>
            <w:rFonts w:cstheme="minorHAnsi"/>
            <w:noProof/>
          </w:rPr>
          <w:t>Appendix C - Status of FY 2021 Findings and Recommendations</w:t>
        </w:r>
        <w:r w:rsidR="00694B40" w:rsidRPr="0092393F">
          <w:rPr>
            <w:noProof/>
            <w:webHidden/>
          </w:rPr>
          <w:tab/>
        </w:r>
        <w:r w:rsidR="00694B40" w:rsidRPr="0092393F">
          <w:rPr>
            <w:noProof/>
            <w:webHidden/>
          </w:rPr>
          <w:fldChar w:fldCharType="begin"/>
        </w:r>
        <w:r w:rsidR="00694B40" w:rsidRPr="0092393F">
          <w:rPr>
            <w:noProof/>
            <w:webHidden/>
          </w:rPr>
          <w:instrText xml:space="preserve"> PAGEREF _Toc128482016 \h </w:instrText>
        </w:r>
        <w:r w:rsidR="00694B40" w:rsidRPr="0092393F">
          <w:rPr>
            <w:noProof/>
            <w:webHidden/>
          </w:rPr>
        </w:r>
        <w:r w:rsidR="00694B40" w:rsidRPr="0092393F">
          <w:rPr>
            <w:noProof/>
            <w:webHidden/>
          </w:rPr>
          <w:fldChar w:fldCharType="separate"/>
        </w:r>
        <w:r w:rsidR="00694B40" w:rsidRPr="0092393F">
          <w:rPr>
            <w:noProof/>
            <w:webHidden/>
          </w:rPr>
          <w:t>12</w:t>
        </w:r>
        <w:r w:rsidR="00694B40" w:rsidRPr="0092393F">
          <w:rPr>
            <w:noProof/>
            <w:webHidden/>
          </w:rPr>
          <w:fldChar w:fldCharType="end"/>
        </w:r>
      </w:hyperlink>
    </w:p>
    <w:p w14:paraId="39EFA5BB" w14:textId="4D96B9E8" w:rsidR="00694B40" w:rsidRPr="0092393F" w:rsidRDefault="00120C6D" w:rsidP="0092393F">
      <w:pPr>
        <w:pStyle w:val="TOC3"/>
        <w:rPr>
          <w:rFonts w:eastAsiaTheme="minorEastAsia"/>
          <w:noProof/>
          <w:sz w:val="22"/>
          <w:szCs w:val="22"/>
        </w:rPr>
      </w:pPr>
      <w:hyperlink w:anchor="_Toc128482017" w:history="1">
        <w:r w:rsidR="00694B40" w:rsidRPr="0092393F">
          <w:rPr>
            <w:rStyle w:val="Hyperlink"/>
            <w:rFonts w:cstheme="minorHAnsi"/>
            <w:noProof/>
          </w:rPr>
          <w:t>Appendix D – FY 2022 State Activity Mandated Measures (SAMM) Report</w:t>
        </w:r>
        <w:r w:rsidR="00694B40" w:rsidRPr="0092393F">
          <w:rPr>
            <w:noProof/>
            <w:webHidden/>
          </w:rPr>
          <w:tab/>
        </w:r>
        <w:r w:rsidR="00694B40" w:rsidRPr="0092393F">
          <w:rPr>
            <w:noProof/>
            <w:webHidden/>
          </w:rPr>
          <w:fldChar w:fldCharType="begin"/>
        </w:r>
        <w:r w:rsidR="00694B40" w:rsidRPr="0092393F">
          <w:rPr>
            <w:noProof/>
            <w:webHidden/>
          </w:rPr>
          <w:instrText xml:space="preserve"> PAGEREF _Toc128482017 \h </w:instrText>
        </w:r>
        <w:r w:rsidR="00694B40" w:rsidRPr="0092393F">
          <w:rPr>
            <w:noProof/>
            <w:webHidden/>
          </w:rPr>
        </w:r>
        <w:r w:rsidR="00694B40" w:rsidRPr="0092393F">
          <w:rPr>
            <w:noProof/>
            <w:webHidden/>
          </w:rPr>
          <w:fldChar w:fldCharType="separate"/>
        </w:r>
        <w:r w:rsidR="00694B40" w:rsidRPr="0092393F">
          <w:rPr>
            <w:noProof/>
            <w:webHidden/>
          </w:rPr>
          <w:t>1</w:t>
        </w:r>
        <w:r w:rsidR="00877E49" w:rsidRPr="0092393F">
          <w:rPr>
            <w:noProof/>
            <w:webHidden/>
          </w:rPr>
          <w:t>4</w:t>
        </w:r>
        <w:r w:rsidR="00694B40" w:rsidRPr="0092393F">
          <w:rPr>
            <w:noProof/>
            <w:webHidden/>
          </w:rPr>
          <w:fldChar w:fldCharType="end"/>
        </w:r>
      </w:hyperlink>
    </w:p>
    <w:p w14:paraId="2A952C03" w14:textId="39B5D412" w:rsidR="00B823A3" w:rsidRPr="00F63749" w:rsidRDefault="000F63C1" w:rsidP="000F63C1">
      <w:pPr>
        <w:rPr>
          <w:rFonts w:asciiTheme="minorHAnsi" w:hAnsiTheme="minorHAnsi" w:cstheme="minorHAnsi"/>
        </w:rPr>
      </w:pPr>
      <w:r w:rsidRPr="00F63749">
        <w:rPr>
          <w:rFonts w:asciiTheme="minorHAnsi" w:hAnsiTheme="minorHAnsi" w:cstheme="minorHAnsi"/>
        </w:rPr>
        <w:fldChar w:fldCharType="end"/>
      </w:r>
      <w:r w:rsidR="00B823A3" w:rsidRPr="00F63749">
        <w:rPr>
          <w:rFonts w:asciiTheme="minorHAnsi" w:hAnsiTheme="minorHAnsi" w:cstheme="minorHAnsi"/>
        </w:rPr>
        <w:br w:type="page"/>
      </w:r>
    </w:p>
    <w:p w14:paraId="57C8B837" w14:textId="77777777" w:rsidR="000A134A" w:rsidRPr="0092393F" w:rsidRDefault="000A134A" w:rsidP="00FE739D">
      <w:pPr>
        <w:pStyle w:val="Heading2"/>
        <w:spacing w:before="0"/>
      </w:pPr>
      <w:bookmarkStart w:id="2" w:name="_Toc338764303"/>
      <w:bookmarkStart w:id="3" w:name="_Toc118900170"/>
      <w:bookmarkStart w:id="4" w:name="_Toc118905009"/>
      <w:bookmarkStart w:id="5" w:name="_Toc128482008"/>
      <w:r w:rsidRPr="0092393F">
        <w:lastRenderedPageBreak/>
        <w:t>Executive Summary</w:t>
      </w:r>
      <w:bookmarkEnd w:id="2"/>
      <w:bookmarkEnd w:id="3"/>
      <w:bookmarkEnd w:id="4"/>
      <w:bookmarkEnd w:id="5"/>
    </w:p>
    <w:p w14:paraId="4A4FF058" w14:textId="77777777" w:rsidR="000A134A" w:rsidRPr="00F63749" w:rsidRDefault="000A134A" w:rsidP="00FE739D">
      <w:pPr>
        <w:widowControl/>
        <w:autoSpaceDE/>
        <w:autoSpaceDN/>
        <w:adjustRightInd/>
        <w:rPr>
          <w:rFonts w:asciiTheme="minorHAnsi" w:hAnsiTheme="minorHAnsi" w:cstheme="minorHAnsi"/>
          <w:b/>
        </w:rPr>
      </w:pPr>
    </w:p>
    <w:p w14:paraId="06C5381F" w14:textId="77777777" w:rsidR="00073B38" w:rsidRPr="00F63749" w:rsidRDefault="00073B38" w:rsidP="00FE739D">
      <w:pPr>
        <w:pStyle w:val="NoSpacing"/>
        <w:rPr>
          <w:rFonts w:asciiTheme="minorHAnsi" w:hAnsiTheme="minorHAnsi" w:cstheme="minorHAnsi"/>
          <w:sz w:val="24"/>
          <w:szCs w:val="24"/>
        </w:rPr>
      </w:pPr>
      <w:r w:rsidRPr="00F63749">
        <w:rPr>
          <w:rFonts w:asciiTheme="minorHAnsi" w:hAnsiTheme="minorHAnsi" w:cstheme="minorHAnsi"/>
          <w:sz w:val="24"/>
          <w:szCs w:val="24"/>
        </w:rPr>
        <w:t>This primary purpose of this report is to assess the Tennessee Occupational Safety and Health Administration (TOSHA) State Plan’s progress in Fiscal Year (FY) 2022, in resolving outstanding findings and observations from the FY 2021 Comprehensive FAME Report.  In addition, this report assesses TOSHA’s performance, and it is based on the results of quarterly onsite monitoring visits, the FY 2022 State Office Annual Report (SOAR), and the FY 2022 State Activity Mandated Measures (SAMM) Report.  A review of the SAMM data indicated that TOSHA’s performance levels have positively exceeded the federal activity results for most of the SAMMs.  This data is explained in this report.</w:t>
      </w:r>
    </w:p>
    <w:p w14:paraId="5706B0E3" w14:textId="77777777" w:rsidR="00073B38" w:rsidRPr="00F63749" w:rsidRDefault="00073B38" w:rsidP="00FE739D">
      <w:pPr>
        <w:pStyle w:val="NoSpacing"/>
        <w:rPr>
          <w:rFonts w:asciiTheme="minorHAnsi" w:hAnsiTheme="minorHAnsi" w:cstheme="minorHAnsi"/>
          <w:sz w:val="24"/>
          <w:szCs w:val="24"/>
        </w:rPr>
      </w:pPr>
    </w:p>
    <w:p w14:paraId="36BCD413" w14:textId="5B155A85" w:rsidR="00073B38" w:rsidRPr="00F63749" w:rsidRDefault="00073B38" w:rsidP="00FE739D">
      <w:pPr>
        <w:pStyle w:val="NoSpacing"/>
        <w:rPr>
          <w:rFonts w:asciiTheme="minorHAnsi" w:hAnsiTheme="minorHAnsi" w:cstheme="minorHAnsi"/>
          <w:sz w:val="24"/>
          <w:szCs w:val="24"/>
        </w:rPr>
      </w:pPr>
      <w:r w:rsidRPr="00F63749">
        <w:rPr>
          <w:rFonts w:asciiTheme="minorHAnsi" w:hAnsiTheme="minorHAnsi" w:cstheme="minorHAnsi"/>
          <w:sz w:val="24"/>
          <w:szCs w:val="24"/>
        </w:rPr>
        <w:t>TOSHA made progress in addressing the two findings and three observations previously noted in the FY 2021 Comprehensive FAME Report, and no new findings were identified</w:t>
      </w:r>
      <w:r w:rsidR="00397D49" w:rsidRPr="00F63749">
        <w:rPr>
          <w:rFonts w:asciiTheme="minorHAnsi" w:hAnsiTheme="minorHAnsi" w:cstheme="minorHAnsi"/>
          <w:sz w:val="24"/>
          <w:szCs w:val="24"/>
        </w:rPr>
        <w:t>;</w:t>
      </w:r>
      <w:r w:rsidRPr="00F63749">
        <w:rPr>
          <w:rFonts w:asciiTheme="minorHAnsi" w:hAnsiTheme="minorHAnsi" w:cstheme="minorHAnsi"/>
          <w:sz w:val="24"/>
          <w:szCs w:val="24"/>
        </w:rPr>
        <w:t xml:space="preserve"> however</w:t>
      </w:r>
      <w:r w:rsidR="00397D49" w:rsidRPr="00F63749">
        <w:rPr>
          <w:rFonts w:asciiTheme="minorHAnsi" w:hAnsiTheme="minorHAnsi" w:cstheme="minorHAnsi"/>
          <w:sz w:val="24"/>
          <w:szCs w:val="24"/>
        </w:rPr>
        <w:t>,</w:t>
      </w:r>
      <w:r w:rsidRPr="00F63749">
        <w:rPr>
          <w:rFonts w:asciiTheme="minorHAnsi" w:hAnsiTheme="minorHAnsi" w:cstheme="minorHAnsi"/>
          <w:sz w:val="24"/>
          <w:szCs w:val="24"/>
        </w:rPr>
        <w:t xml:space="preserve"> one new observation was identified.  The two findings and two of the observations were continued and will be carried over to the FY 2022 FAME.  One of the three observations was addressed and closed.  The findings concerned documentation of employer knowledge and penalty adoption.  The </w:t>
      </w:r>
      <w:r w:rsidR="31D3D235" w:rsidRPr="00F63749">
        <w:rPr>
          <w:rFonts w:asciiTheme="minorHAnsi" w:hAnsiTheme="minorHAnsi" w:cstheme="minorHAnsi"/>
          <w:sz w:val="24"/>
          <w:szCs w:val="24"/>
        </w:rPr>
        <w:t xml:space="preserve">continued </w:t>
      </w:r>
      <w:r w:rsidRPr="00F63749">
        <w:rPr>
          <w:rFonts w:asciiTheme="minorHAnsi" w:hAnsiTheme="minorHAnsi" w:cstheme="minorHAnsi"/>
          <w:sz w:val="24"/>
          <w:szCs w:val="24"/>
        </w:rPr>
        <w:t>observations concern the State Plan’s practice in destroying case file notes;</w:t>
      </w:r>
      <w:r w:rsidR="0D3E7C66" w:rsidRPr="00F63749">
        <w:rPr>
          <w:rFonts w:asciiTheme="minorHAnsi" w:hAnsiTheme="minorHAnsi" w:cstheme="minorHAnsi"/>
          <w:sz w:val="24"/>
          <w:szCs w:val="24"/>
        </w:rPr>
        <w:t xml:space="preserve"> and</w:t>
      </w:r>
      <w:r w:rsidRPr="00F63749">
        <w:rPr>
          <w:rFonts w:asciiTheme="minorHAnsi" w:hAnsiTheme="minorHAnsi" w:cstheme="minorHAnsi"/>
          <w:sz w:val="24"/>
          <w:szCs w:val="24"/>
        </w:rPr>
        <w:t xml:space="preserve"> incorrect/inconsistent usage of cases administratively closed and case withdrawal procedures for whistleblower cases</w:t>
      </w:r>
      <w:r w:rsidR="735E3398" w:rsidRPr="00F63749">
        <w:rPr>
          <w:rFonts w:asciiTheme="minorHAnsi" w:hAnsiTheme="minorHAnsi" w:cstheme="minorHAnsi"/>
          <w:sz w:val="24"/>
          <w:szCs w:val="24"/>
        </w:rPr>
        <w:t xml:space="preserve">. </w:t>
      </w:r>
      <w:r w:rsidRPr="00F63749">
        <w:rPr>
          <w:rFonts w:asciiTheme="minorHAnsi" w:hAnsiTheme="minorHAnsi" w:cstheme="minorHAnsi"/>
          <w:sz w:val="24"/>
          <w:szCs w:val="24"/>
        </w:rPr>
        <w:t xml:space="preserve"> </w:t>
      </w:r>
      <w:r w:rsidR="7CFDB8F9" w:rsidRPr="00F63749">
        <w:rPr>
          <w:rFonts w:asciiTheme="minorHAnsi" w:hAnsiTheme="minorHAnsi" w:cstheme="minorHAnsi"/>
          <w:sz w:val="24"/>
          <w:szCs w:val="24"/>
        </w:rPr>
        <w:t>T</w:t>
      </w:r>
      <w:r w:rsidRPr="00F63749">
        <w:rPr>
          <w:rFonts w:asciiTheme="minorHAnsi" w:hAnsiTheme="minorHAnsi" w:cstheme="minorHAnsi"/>
          <w:sz w:val="24"/>
          <w:szCs w:val="24"/>
        </w:rPr>
        <w:t>he</w:t>
      </w:r>
      <w:r w:rsidR="48A0DF64" w:rsidRPr="00F63749">
        <w:rPr>
          <w:rFonts w:asciiTheme="minorHAnsi" w:hAnsiTheme="minorHAnsi" w:cstheme="minorHAnsi"/>
          <w:sz w:val="24"/>
          <w:szCs w:val="24"/>
        </w:rPr>
        <w:t xml:space="preserve"> new observation concerns the</w:t>
      </w:r>
      <w:r w:rsidRPr="00F63749">
        <w:rPr>
          <w:rFonts w:asciiTheme="minorHAnsi" w:hAnsiTheme="minorHAnsi" w:cstheme="minorHAnsi"/>
          <w:sz w:val="24"/>
          <w:szCs w:val="24"/>
        </w:rPr>
        <w:t xml:space="preserve"> number of health inspections conducted.  The closed observation, which was </w:t>
      </w:r>
      <w:r w:rsidR="00FE739D" w:rsidRPr="00F63749">
        <w:rPr>
          <w:rFonts w:asciiTheme="minorHAnsi" w:hAnsiTheme="minorHAnsi" w:cstheme="minorHAnsi"/>
          <w:sz w:val="24"/>
          <w:szCs w:val="24"/>
        </w:rPr>
        <w:t>addressed,</w:t>
      </w:r>
      <w:r w:rsidRPr="00F63749">
        <w:rPr>
          <w:rFonts w:asciiTheme="minorHAnsi" w:hAnsiTheme="minorHAnsi" w:cstheme="minorHAnsi"/>
          <w:sz w:val="24"/>
          <w:szCs w:val="24"/>
        </w:rPr>
        <w:t xml:space="preserve"> and corrective action was taken, concerned Tennessee’s issuance of willful violations.</w:t>
      </w:r>
    </w:p>
    <w:p w14:paraId="6A7D671B" w14:textId="073148D5" w:rsidR="00783189" w:rsidRPr="00F63749" w:rsidRDefault="00783189" w:rsidP="00FE739D">
      <w:pPr>
        <w:widowControl/>
        <w:autoSpaceDE/>
        <w:autoSpaceDN/>
        <w:adjustRightInd/>
        <w:rPr>
          <w:rFonts w:asciiTheme="minorHAnsi" w:hAnsiTheme="minorHAnsi" w:cstheme="minorHAnsi"/>
        </w:rPr>
      </w:pPr>
    </w:p>
    <w:p w14:paraId="67E95E6F" w14:textId="6755D6C3" w:rsidR="000A134A" w:rsidRPr="0092393F" w:rsidRDefault="001E71BA" w:rsidP="00FE739D">
      <w:pPr>
        <w:pStyle w:val="Heading2"/>
        <w:spacing w:before="0"/>
      </w:pPr>
      <w:bookmarkStart w:id="6" w:name="_Toc118900171"/>
      <w:bookmarkStart w:id="7" w:name="_Toc118905010"/>
      <w:bookmarkStart w:id="8" w:name="_Toc128482009"/>
      <w:r w:rsidRPr="0092393F">
        <w:t>State Plan Background</w:t>
      </w:r>
      <w:bookmarkEnd w:id="6"/>
      <w:bookmarkEnd w:id="7"/>
      <w:bookmarkEnd w:id="8"/>
    </w:p>
    <w:p w14:paraId="7ED8AA2D" w14:textId="77777777" w:rsidR="000A134A" w:rsidRPr="00F63749" w:rsidRDefault="000A134A" w:rsidP="00FE739D">
      <w:pPr>
        <w:widowControl/>
        <w:autoSpaceDE/>
        <w:autoSpaceDN/>
        <w:adjustRightInd/>
        <w:rPr>
          <w:rFonts w:asciiTheme="minorHAnsi" w:hAnsiTheme="minorHAnsi" w:cstheme="minorHAnsi"/>
          <w:i/>
        </w:rPr>
      </w:pPr>
    </w:p>
    <w:p w14:paraId="72C22BF9" w14:textId="28522571" w:rsidR="00073B38" w:rsidRPr="00F63749" w:rsidRDefault="00073B38" w:rsidP="00FE739D">
      <w:pPr>
        <w:pStyle w:val="NoSpacing"/>
        <w:rPr>
          <w:rFonts w:asciiTheme="minorHAnsi" w:hAnsiTheme="minorHAnsi" w:cstheme="minorHAnsi"/>
          <w:sz w:val="24"/>
          <w:szCs w:val="24"/>
        </w:rPr>
      </w:pPr>
      <w:r w:rsidRPr="00F63749">
        <w:rPr>
          <w:rFonts w:asciiTheme="minorHAnsi" w:hAnsiTheme="minorHAnsi" w:cstheme="minorHAnsi"/>
          <w:sz w:val="24"/>
          <w:szCs w:val="24"/>
        </w:rPr>
        <w:t xml:space="preserve">TOSHA was created by legislation in 1972 and became operational on July 5, 1973.  The program operated as a dual designee with the health functions housed in the Tennessee Department of Health and the safety functions in the Department of Labor until July 1977.  At that time, the General Assembly enacted legislation to transfer the health functions to the Department of Labor.  The Tennessee Occupational Safety and Health Administration program was certified in May 1978 and received final 18(e) approval on July 22, 1985.  During the review period, the </w:t>
      </w:r>
      <w:r w:rsidR="00575B5C" w:rsidRPr="00F63749">
        <w:rPr>
          <w:rFonts w:asciiTheme="minorHAnsi" w:hAnsiTheme="minorHAnsi" w:cstheme="minorHAnsi"/>
          <w:sz w:val="24"/>
          <w:szCs w:val="24"/>
        </w:rPr>
        <w:t xml:space="preserve">Tennessee Department of </w:t>
      </w:r>
      <w:proofErr w:type="gramStart"/>
      <w:r w:rsidR="00575B5C" w:rsidRPr="00F63749">
        <w:rPr>
          <w:rFonts w:asciiTheme="minorHAnsi" w:hAnsiTheme="minorHAnsi" w:cstheme="minorHAnsi"/>
          <w:sz w:val="24"/>
          <w:szCs w:val="24"/>
        </w:rPr>
        <w:t>Labor</w:t>
      </w:r>
      <w:proofErr w:type="gramEnd"/>
      <w:r w:rsidR="00575B5C" w:rsidRPr="00F63749">
        <w:rPr>
          <w:rFonts w:asciiTheme="minorHAnsi" w:hAnsiTheme="minorHAnsi" w:cstheme="minorHAnsi"/>
          <w:sz w:val="24"/>
          <w:szCs w:val="24"/>
        </w:rPr>
        <w:t xml:space="preserve"> and Workforce Development, which oversees the Tennessee State Plan was under the leadership of </w:t>
      </w:r>
      <w:r w:rsidRPr="00F63749">
        <w:rPr>
          <w:rFonts w:asciiTheme="minorHAnsi" w:hAnsiTheme="minorHAnsi" w:cstheme="minorHAnsi"/>
          <w:sz w:val="24"/>
          <w:szCs w:val="24"/>
        </w:rPr>
        <w:t xml:space="preserve">Commissioner </w:t>
      </w:r>
      <w:r w:rsidR="00575B5C" w:rsidRPr="00F63749">
        <w:rPr>
          <w:rFonts w:asciiTheme="minorHAnsi" w:hAnsiTheme="minorHAnsi" w:cstheme="minorHAnsi"/>
          <w:sz w:val="24"/>
          <w:szCs w:val="24"/>
        </w:rPr>
        <w:t xml:space="preserve">Jeff McCord, </w:t>
      </w:r>
      <w:r w:rsidRPr="00F63749">
        <w:rPr>
          <w:rFonts w:asciiTheme="minorHAnsi" w:hAnsiTheme="minorHAnsi" w:cstheme="minorHAnsi"/>
          <w:sz w:val="24"/>
          <w:szCs w:val="24"/>
        </w:rPr>
        <w:t>Deputy Commissioner</w:t>
      </w:r>
      <w:r w:rsidR="00575B5C" w:rsidRPr="00F63749">
        <w:rPr>
          <w:rFonts w:asciiTheme="minorHAnsi" w:hAnsiTheme="minorHAnsi" w:cstheme="minorHAnsi"/>
          <w:sz w:val="24"/>
          <w:szCs w:val="24"/>
        </w:rPr>
        <w:t xml:space="preserve">, </w:t>
      </w:r>
      <w:r w:rsidRPr="00F63749">
        <w:rPr>
          <w:rFonts w:asciiTheme="minorHAnsi" w:hAnsiTheme="minorHAnsi" w:cstheme="minorHAnsi"/>
          <w:sz w:val="24"/>
          <w:szCs w:val="24"/>
        </w:rPr>
        <w:t xml:space="preserve">Dewayne Scott, </w:t>
      </w:r>
      <w:r w:rsidR="00575B5C" w:rsidRPr="00F63749">
        <w:rPr>
          <w:rFonts w:asciiTheme="minorHAnsi" w:hAnsiTheme="minorHAnsi" w:cstheme="minorHAnsi"/>
          <w:sz w:val="24"/>
          <w:szCs w:val="24"/>
        </w:rPr>
        <w:t>and Assistant</w:t>
      </w:r>
      <w:r w:rsidRPr="00F63749">
        <w:rPr>
          <w:rFonts w:asciiTheme="minorHAnsi" w:hAnsiTheme="minorHAnsi" w:cstheme="minorHAnsi"/>
          <w:sz w:val="24"/>
          <w:szCs w:val="24"/>
        </w:rPr>
        <w:t xml:space="preserve"> Commissioner</w:t>
      </w:r>
      <w:r w:rsidR="00575B5C" w:rsidRPr="00F63749">
        <w:rPr>
          <w:rFonts w:asciiTheme="minorHAnsi" w:hAnsiTheme="minorHAnsi" w:cstheme="minorHAnsi"/>
          <w:sz w:val="24"/>
          <w:szCs w:val="24"/>
        </w:rPr>
        <w:t xml:space="preserve">/Program </w:t>
      </w:r>
      <w:r w:rsidRPr="00F63749">
        <w:rPr>
          <w:rFonts w:asciiTheme="minorHAnsi" w:hAnsiTheme="minorHAnsi" w:cstheme="minorHAnsi"/>
          <w:sz w:val="24"/>
          <w:szCs w:val="24"/>
        </w:rPr>
        <w:t>Administrator Wendy Fisher.</w:t>
      </w:r>
    </w:p>
    <w:p w14:paraId="1E1DEC4A" w14:textId="77777777" w:rsidR="00073B38" w:rsidRPr="00F63749" w:rsidRDefault="00073B38" w:rsidP="00FE739D">
      <w:pPr>
        <w:pStyle w:val="NoSpacing"/>
        <w:rPr>
          <w:rFonts w:asciiTheme="minorHAnsi" w:hAnsiTheme="minorHAnsi" w:cstheme="minorHAnsi"/>
          <w:sz w:val="24"/>
          <w:szCs w:val="24"/>
        </w:rPr>
      </w:pPr>
    </w:p>
    <w:p w14:paraId="7CFE9E08" w14:textId="09AD0458" w:rsidR="00073B38" w:rsidRPr="00F63749" w:rsidRDefault="00073B38" w:rsidP="00FE739D">
      <w:pPr>
        <w:pStyle w:val="NoSpacing"/>
        <w:rPr>
          <w:rFonts w:asciiTheme="minorHAnsi" w:hAnsiTheme="minorHAnsi" w:cstheme="minorHAnsi"/>
          <w:sz w:val="24"/>
          <w:szCs w:val="24"/>
        </w:rPr>
      </w:pPr>
      <w:r w:rsidRPr="00F63749">
        <w:rPr>
          <w:rFonts w:asciiTheme="minorHAnsi" w:hAnsiTheme="minorHAnsi" w:cstheme="minorHAnsi"/>
          <w:sz w:val="24"/>
          <w:szCs w:val="24"/>
        </w:rPr>
        <w:t>TOSHA is comprised of nine sections: Safety Compliance Section, Health Compliance</w:t>
      </w:r>
      <w:r w:rsidR="00575B5C" w:rsidRPr="00F63749">
        <w:rPr>
          <w:rFonts w:asciiTheme="minorHAnsi" w:hAnsiTheme="minorHAnsi" w:cstheme="minorHAnsi"/>
          <w:sz w:val="24"/>
          <w:szCs w:val="24"/>
        </w:rPr>
        <w:t>;</w:t>
      </w:r>
      <w:r w:rsidRPr="00F63749">
        <w:rPr>
          <w:rFonts w:asciiTheme="minorHAnsi" w:hAnsiTheme="minorHAnsi" w:cstheme="minorHAnsi"/>
          <w:sz w:val="24"/>
          <w:szCs w:val="24"/>
        </w:rPr>
        <w:t xml:space="preserve"> Public Sector Compliance</w:t>
      </w:r>
      <w:r w:rsidR="00575B5C" w:rsidRPr="00F63749">
        <w:rPr>
          <w:rFonts w:asciiTheme="minorHAnsi" w:hAnsiTheme="minorHAnsi" w:cstheme="minorHAnsi"/>
          <w:sz w:val="24"/>
          <w:szCs w:val="24"/>
        </w:rPr>
        <w:t>;</w:t>
      </w:r>
      <w:r w:rsidRPr="00F63749">
        <w:rPr>
          <w:rFonts w:asciiTheme="minorHAnsi" w:hAnsiTheme="minorHAnsi" w:cstheme="minorHAnsi"/>
          <w:sz w:val="24"/>
          <w:szCs w:val="24"/>
        </w:rPr>
        <w:t xml:space="preserve"> Standards </w:t>
      </w:r>
      <w:r w:rsidR="00575B5C" w:rsidRPr="00F63749">
        <w:rPr>
          <w:rFonts w:asciiTheme="minorHAnsi" w:hAnsiTheme="minorHAnsi" w:cstheme="minorHAnsi"/>
          <w:sz w:val="24"/>
          <w:szCs w:val="24"/>
        </w:rPr>
        <w:t xml:space="preserve">and </w:t>
      </w:r>
      <w:r w:rsidRPr="00F63749">
        <w:rPr>
          <w:rFonts w:asciiTheme="minorHAnsi" w:hAnsiTheme="minorHAnsi" w:cstheme="minorHAnsi"/>
          <w:sz w:val="24"/>
          <w:szCs w:val="24"/>
        </w:rPr>
        <w:t>Procedures</w:t>
      </w:r>
      <w:r w:rsidR="00575B5C" w:rsidRPr="00F63749">
        <w:rPr>
          <w:rFonts w:asciiTheme="minorHAnsi" w:hAnsiTheme="minorHAnsi" w:cstheme="minorHAnsi"/>
          <w:sz w:val="24"/>
          <w:szCs w:val="24"/>
        </w:rPr>
        <w:t>;</w:t>
      </w:r>
      <w:r w:rsidRPr="00F63749">
        <w:rPr>
          <w:rFonts w:asciiTheme="minorHAnsi" w:hAnsiTheme="minorHAnsi" w:cstheme="minorHAnsi"/>
          <w:sz w:val="24"/>
          <w:szCs w:val="24"/>
        </w:rPr>
        <w:t xml:space="preserve"> Consultation Services</w:t>
      </w:r>
      <w:r w:rsidR="00575B5C" w:rsidRPr="00F63749">
        <w:rPr>
          <w:rFonts w:asciiTheme="minorHAnsi" w:hAnsiTheme="minorHAnsi" w:cstheme="minorHAnsi"/>
          <w:sz w:val="24"/>
          <w:szCs w:val="24"/>
        </w:rPr>
        <w:t>;</w:t>
      </w:r>
      <w:r w:rsidRPr="00F63749">
        <w:rPr>
          <w:rFonts w:asciiTheme="minorHAnsi" w:hAnsiTheme="minorHAnsi" w:cstheme="minorHAnsi"/>
          <w:sz w:val="24"/>
          <w:szCs w:val="24"/>
        </w:rPr>
        <w:t xml:space="preserve"> Administration</w:t>
      </w:r>
      <w:r w:rsidR="00575B5C" w:rsidRPr="00F63749">
        <w:rPr>
          <w:rFonts w:asciiTheme="minorHAnsi" w:hAnsiTheme="minorHAnsi" w:cstheme="minorHAnsi"/>
          <w:sz w:val="24"/>
          <w:szCs w:val="24"/>
        </w:rPr>
        <w:t>;</w:t>
      </w:r>
      <w:r w:rsidRPr="00F63749">
        <w:rPr>
          <w:rFonts w:asciiTheme="minorHAnsi" w:hAnsiTheme="minorHAnsi" w:cstheme="minorHAnsi"/>
          <w:sz w:val="24"/>
          <w:szCs w:val="24"/>
        </w:rPr>
        <w:t xml:space="preserve"> Training and Education</w:t>
      </w:r>
      <w:r w:rsidR="00575B5C" w:rsidRPr="00F63749">
        <w:rPr>
          <w:rFonts w:asciiTheme="minorHAnsi" w:hAnsiTheme="minorHAnsi" w:cstheme="minorHAnsi"/>
          <w:sz w:val="24"/>
          <w:szCs w:val="24"/>
        </w:rPr>
        <w:t>;</w:t>
      </w:r>
      <w:r w:rsidRPr="00F63749">
        <w:rPr>
          <w:rFonts w:asciiTheme="minorHAnsi" w:hAnsiTheme="minorHAnsi" w:cstheme="minorHAnsi"/>
          <w:sz w:val="24"/>
          <w:szCs w:val="24"/>
        </w:rPr>
        <w:t xml:space="preserve"> Voluntary Protection Program (VPP)</w:t>
      </w:r>
      <w:r w:rsidR="00575B5C" w:rsidRPr="00F63749">
        <w:rPr>
          <w:rFonts w:asciiTheme="minorHAnsi" w:hAnsiTheme="minorHAnsi" w:cstheme="minorHAnsi"/>
          <w:sz w:val="24"/>
          <w:szCs w:val="24"/>
        </w:rPr>
        <w:t>;</w:t>
      </w:r>
      <w:r w:rsidRPr="00F63749">
        <w:rPr>
          <w:rFonts w:asciiTheme="minorHAnsi" w:hAnsiTheme="minorHAnsi" w:cstheme="minorHAnsi"/>
          <w:sz w:val="24"/>
          <w:szCs w:val="24"/>
        </w:rPr>
        <w:t xml:space="preserve"> and Whistleblower Protection.  The Safety, Health, and Public Sector Compliance Sections are responsible for the enforcement of the Tennessee Occupational Safety and Health Act of 1972.  The Standards and Procedures section are responsible for the adoption and development of standards, guidance, and procedures</w:t>
      </w:r>
      <w:r w:rsidR="00575B5C" w:rsidRPr="00F63749">
        <w:rPr>
          <w:rFonts w:asciiTheme="minorHAnsi" w:hAnsiTheme="minorHAnsi" w:cstheme="minorHAnsi"/>
          <w:sz w:val="24"/>
          <w:szCs w:val="24"/>
        </w:rPr>
        <w:t>,</w:t>
      </w:r>
      <w:r w:rsidRPr="00F63749">
        <w:rPr>
          <w:rFonts w:asciiTheme="minorHAnsi" w:hAnsiTheme="minorHAnsi" w:cstheme="minorHAnsi"/>
          <w:sz w:val="24"/>
          <w:szCs w:val="24"/>
        </w:rPr>
        <w:t xml:space="preserve"> as well as providing standard interpretations.  The Consultative Services Section offers a free consulting program to smaller employers, who seek safe and healthful working conditions for their workers. The Administration section is responsible for </w:t>
      </w:r>
      <w:r w:rsidR="00575B5C" w:rsidRPr="00F63749">
        <w:rPr>
          <w:rFonts w:asciiTheme="minorHAnsi" w:hAnsiTheme="minorHAnsi" w:cstheme="minorHAnsi"/>
          <w:sz w:val="24"/>
          <w:szCs w:val="24"/>
        </w:rPr>
        <w:t xml:space="preserve">the following: </w:t>
      </w:r>
      <w:r w:rsidRPr="00F63749">
        <w:rPr>
          <w:rFonts w:asciiTheme="minorHAnsi" w:hAnsiTheme="minorHAnsi" w:cstheme="minorHAnsi"/>
          <w:sz w:val="24"/>
          <w:szCs w:val="24"/>
        </w:rPr>
        <w:t xml:space="preserve">ensuring that TOSHA’s services are provided to employers and employees statewide; ensuring personnel are provided </w:t>
      </w:r>
      <w:r w:rsidRPr="00F63749">
        <w:rPr>
          <w:rFonts w:asciiTheme="minorHAnsi" w:hAnsiTheme="minorHAnsi" w:cstheme="minorHAnsi"/>
          <w:sz w:val="24"/>
          <w:szCs w:val="24"/>
        </w:rPr>
        <w:lastRenderedPageBreak/>
        <w:t xml:space="preserve">with the training and development necessary to have the essential knowledge and skills to perform their respective duties; and </w:t>
      </w:r>
      <w:r w:rsidR="00575B5C" w:rsidRPr="00F63749">
        <w:rPr>
          <w:rFonts w:asciiTheme="minorHAnsi" w:hAnsiTheme="minorHAnsi" w:cstheme="minorHAnsi"/>
          <w:sz w:val="24"/>
          <w:szCs w:val="24"/>
        </w:rPr>
        <w:t xml:space="preserve">ensuring </w:t>
      </w:r>
      <w:r w:rsidRPr="00F63749">
        <w:rPr>
          <w:rFonts w:asciiTheme="minorHAnsi" w:hAnsiTheme="minorHAnsi" w:cstheme="minorHAnsi"/>
          <w:sz w:val="24"/>
          <w:szCs w:val="24"/>
        </w:rPr>
        <w:t xml:space="preserve">policy, philosophy, and program information </w:t>
      </w:r>
      <w:r w:rsidR="00575B5C" w:rsidRPr="00F63749">
        <w:rPr>
          <w:rFonts w:asciiTheme="minorHAnsi" w:hAnsiTheme="minorHAnsi" w:cstheme="minorHAnsi"/>
          <w:sz w:val="24"/>
          <w:szCs w:val="24"/>
        </w:rPr>
        <w:t xml:space="preserve">are effectively implemented and communicated </w:t>
      </w:r>
      <w:r w:rsidRPr="00F63749">
        <w:rPr>
          <w:rFonts w:asciiTheme="minorHAnsi" w:hAnsiTheme="minorHAnsi" w:cstheme="minorHAnsi"/>
          <w:sz w:val="24"/>
          <w:szCs w:val="24"/>
        </w:rPr>
        <w:t xml:space="preserve">to employees and employers throughout the state.  The Training and Education Section assists employers, workers, and their representatives in reducing safety and health hazards in their workplaces and in complying with the requirements of TOSHA standards and regulations.  The VPP section is responsible for the implementation and duties of the Volunteer STAR (Safety Through Accountability and Recognition) program.  The Whistleblower section is responsible for investigating complaints of worker retaliation for exercising their rights under the Act. </w:t>
      </w:r>
    </w:p>
    <w:p w14:paraId="4F01A03A" w14:textId="77777777" w:rsidR="00073B38" w:rsidRPr="00F63749" w:rsidRDefault="00073B38" w:rsidP="00FE739D">
      <w:pPr>
        <w:pStyle w:val="NoSpacing"/>
        <w:rPr>
          <w:rFonts w:asciiTheme="minorHAnsi" w:hAnsiTheme="minorHAnsi" w:cstheme="minorHAnsi"/>
          <w:sz w:val="24"/>
          <w:szCs w:val="24"/>
        </w:rPr>
      </w:pPr>
    </w:p>
    <w:p w14:paraId="0C6CACB6" w14:textId="77A3B173" w:rsidR="00073B38" w:rsidRPr="00F63749" w:rsidRDefault="00073B38" w:rsidP="00FE739D">
      <w:pPr>
        <w:pStyle w:val="NoSpacing"/>
        <w:rPr>
          <w:rFonts w:asciiTheme="minorHAnsi" w:hAnsiTheme="minorHAnsi" w:cstheme="minorHAnsi"/>
          <w:sz w:val="24"/>
          <w:szCs w:val="24"/>
        </w:rPr>
      </w:pPr>
      <w:r w:rsidRPr="00F63749">
        <w:rPr>
          <w:rFonts w:asciiTheme="minorHAnsi" w:hAnsiTheme="minorHAnsi" w:cstheme="minorHAnsi"/>
          <w:sz w:val="24"/>
          <w:szCs w:val="24"/>
        </w:rPr>
        <w:t xml:space="preserve">Through the Nashville office, TOSHA administers worker protection from workplace retaliation related to occupational safety and health T.C.A. 50‐3‐409. </w:t>
      </w:r>
      <w:r w:rsidR="00951E7E" w:rsidRPr="00F63749">
        <w:rPr>
          <w:rFonts w:asciiTheme="minorHAnsi" w:hAnsiTheme="minorHAnsi" w:cstheme="minorHAnsi"/>
          <w:sz w:val="24"/>
          <w:szCs w:val="24"/>
        </w:rPr>
        <w:t xml:space="preserve"> CSHOs are</w:t>
      </w:r>
      <w:r w:rsidRPr="00F63749">
        <w:rPr>
          <w:rFonts w:asciiTheme="minorHAnsi" w:hAnsiTheme="minorHAnsi" w:cstheme="minorHAnsi"/>
          <w:sz w:val="24"/>
          <w:szCs w:val="24"/>
        </w:rPr>
        <w:t xml:space="preserve"> trained to perform whistleblower protection investigations as a collateral duty, under the direction of the Discrimination Manager. The Tennessee State Attorney </w:t>
      </w:r>
      <w:r w:rsidR="00551B5C" w:rsidRPr="00F63749">
        <w:rPr>
          <w:rFonts w:asciiTheme="minorHAnsi" w:hAnsiTheme="minorHAnsi" w:cstheme="minorHAnsi"/>
          <w:sz w:val="24"/>
          <w:szCs w:val="24"/>
        </w:rPr>
        <w:t xml:space="preserve">may </w:t>
      </w:r>
      <w:r w:rsidRPr="00F63749">
        <w:rPr>
          <w:rFonts w:asciiTheme="minorHAnsi" w:hAnsiTheme="minorHAnsi" w:cstheme="minorHAnsi"/>
          <w:sz w:val="24"/>
          <w:szCs w:val="24"/>
        </w:rPr>
        <w:t>prosecute worker retaliation cases that are found to be meritorious.</w:t>
      </w:r>
    </w:p>
    <w:p w14:paraId="402A7B36" w14:textId="77777777" w:rsidR="00073B38" w:rsidRPr="00F63749" w:rsidRDefault="00073B38" w:rsidP="00FE739D">
      <w:pPr>
        <w:pStyle w:val="NoSpacing"/>
        <w:rPr>
          <w:rFonts w:asciiTheme="minorHAnsi" w:hAnsiTheme="minorHAnsi" w:cstheme="minorHAnsi"/>
          <w:sz w:val="24"/>
          <w:szCs w:val="24"/>
        </w:rPr>
      </w:pPr>
    </w:p>
    <w:p w14:paraId="38C5B031" w14:textId="5DDB8D06" w:rsidR="00073B38" w:rsidRPr="00F63749" w:rsidRDefault="00073B38" w:rsidP="00FE739D">
      <w:pPr>
        <w:pStyle w:val="NoSpacing"/>
        <w:rPr>
          <w:rFonts w:asciiTheme="minorHAnsi" w:hAnsiTheme="minorHAnsi" w:cstheme="minorHAnsi"/>
          <w:sz w:val="24"/>
          <w:szCs w:val="24"/>
        </w:rPr>
      </w:pPr>
      <w:r w:rsidRPr="00F63749">
        <w:rPr>
          <w:rFonts w:asciiTheme="minorHAnsi" w:hAnsiTheme="minorHAnsi" w:cstheme="minorHAnsi"/>
          <w:sz w:val="24"/>
          <w:szCs w:val="24"/>
        </w:rPr>
        <w:t xml:space="preserve">The initial base FY 2022 award to fund the program was $4,251,200 in federal funds.  The </w:t>
      </w:r>
      <w:r w:rsidR="00951E7E" w:rsidRPr="00F63749">
        <w:rPr>
          <w:rFonts w:asciiTheme="minorHAnsi" w:hAnsiTheme="minorHAnsi" w:cstheme="minorHAnsi"/>
          <w:sz w:val="24"/>
          <w:szCs w:val="24"/>
        </w:rPr>
        <w:t>S</w:t>
      </w:r>
      <w:r w:rsidRPr="00F63749">
        <w:rPr>
          <w:rFonts w:asciiTheme="minorHAnsi" w:hAnsiTheme="minorHAnsi" w:cstheme="minorHAnsi"/>
          <w:sz w:val="24"/>
          <w:szCs w:val="24"/>
        </w:rPr>
        <w:t>tate matched the funding and supplemented it with $899,832, bringing the total award to $9,402,232. An amendment increased the federal share of the grant by $11,400.  The grant provided funding for 85.5 full-time staff comprised of 7.8 managers, 15 supervisors, 26 safety compliance officers, 17 health compliance officers, 9.45 administrative clerical staff members, and three other positions not elsewhere counted.</w:t>
      </w:r>
    </w:p>
    <w:p w14:paraId="13051F05" w14:textId="77777777" w:rsidR="00073B38" w:rsidRPr="00F63749" w:rsidRDefault="00073B38" w:rsidP="00FE739D">
      <w:pPr>
        <w:pStyle w:val="NoSpacing"/>
        <w:rPr>
          <w:rFonts w:asciiTheme="minorHAnsi" w:hAnsiTheme="minorHAnsi" w:cstheme="minorHAnsi"/>
          <w:b/>
          <w:bCs/>
          <w:sz w:val="24"/>
          <w:szCs w:val="24"/>
          <w:u w:val="single"/>
        </w:rPr>
      </w:pPr>
    </w:p>
    <w:p w14:paraId="4683C6C7" w14:textId="5B83814D" w:rsidR="00073B38" w:rsidRPr="00F63749" w:rsidRDefault="00073B38" w:rsidP="00FE739D">
      <w:pPr>
        <w:pStyle w:val="NoSpacing"/>
        <w:rPr>
          <w:rFonts w:asciiTheme="minorHAnsi" w:hAnsiTheme="minorHAnsi" w:cstheme="minorHAnsi"/>
          <w:sz w:val="24"/>
          <w:szCs w:val="24"/>
        </w:rPr>
      </w:pPr>
      <w:r w:rsidRPr="00F63749">
        <w:rPr>
          <w:rFonts w:asciiTheme="minorHAnsi" w:hAnsiTheme="minorHAnsi" w:cstheme="minorHAnsi"/>
          <w:sz w:val="24"/>
          <w:szCs w:val="24"/>
        </w:rPr>
        <w:t xml:space="preserve">TOSHA offers </w:t>
      </w:r>
      <w:r w:rsidR="00575B5C" w:rsidRPr="00F63749">
        <w:rPr>
          <w:rFonts w:asciiTheme="minorHAnsi" w:hAnsiTheme="minorHAnsi" w:cstheme="minorHAnsi"/>
          <w:sz w:val="24"/>
          <w:szCs w:val="24"/>
        </w:rPr>
        <w:t>w</w:t>
      </w:r>
      <w:r w:rsidRPr="00F63749">
        <w:rPr>
          <w:rFonts w:asciiTheme="minorHAnsi" w:hAnsiTheme="minorHAnsi" w:cstheme="minorHAnsi"/>
          <w:sz w:val="24"/>
          <w:szCs w:val="24"/>
        </w:rPr>
        <w:t xml:space="preserve">orkplace </w:t>
      </w:r>
      <w:r w:rsidR="00575B5C" w:rsidRPr="00F63749">
        <w:rPr>
          <w:rFonts w:asciiTheme="minorHAnsi" w:hAnsiTheme="minorHAnsi" w:cstheme="minorHAnsi"/>
          <w:sz w:val="24"/>
          <w:szCs w:val="24"/>
        </w:rPr>
        <w:t>s</w:t>
      </w:r>
      <w:r w:rsidRPr="00F63749">
        <w:rPr>
          <w:rFonts w:asciiTheme="minorHAnsi" w:hAnsiTheme="minorHAnsi" w:cstheme="minorHAnsi"/>
          <w:sz w:val="24"/>
          <w:szCs w:val="24"/>
        </w:rPr>
        <w:t xml:space="preserve">afety </w:t>
      </w:r>
      <w:r w:rsidR="00575B5C" w:rsidRPr="00F63749">
        <w:rPr>
          <w:rFonts w:asciiTheme="minorHAnsi" w:hAnsiTheme="minorHAnsi" w:cstheme="minorHAnsi"/>
          <w:sz w:val="24"/>
          <w:szCs w:val="24"/>
        </w:rPr>
        <w:t>and h</w:t>
      </w:r>
      <w:r w:rsidRPr="00F63749">
        <w:rPr>
          <w:rFonts w:asciiTheme="minorHAnsi" w:hAnsiTheme="minorHAnsi" w:cstheme="minorHAnsi"/>
          <w:sz w:val="24"/>
          <w:szCs w:val="24"/>
        </w:rPr>
        <w:t>ealth educational seminars at various locations across the state each year.  In FY 2022, TOSHA trainers conducted sessions on several topics including Basic Safety &amp; Health, Maintenance‐Related Standards, Recordkeeping, Forklift Standards, Walking Working Surfaces, Health Hazards, and OSHA 30‐Hour General Industry Courses, OSHA 10- Hour Construction Course.  Safety and health training sessions were provided to 6,228 attendees across the state.  TOSHA published a newsletter, “Together with TOSHA</w:t>
      </w:r>
      <w:r w:rsidR="00575B5C" w:rsidRPr="00F63749">
        <w:rPr>
          <w:rFonts w:asciiTheme="minorHAnsi" w:hAnsiTheme="minorHAnsi" w:cstheme="minorHAnsi"/>
          <w:sz w:val="24"/>
          <w:szCs w:val="24"/>
        </w:rPr>
        <w:t>.</w:t>
      </w:r>
      <w:r w:rsidRPr="00F63749">
        <w:rPr>
          <w:rFonts w:asciiTheme="minorHAnsi" w:hAnsiTheme="minorHAnsi" w:cstheme="minorHAnsi"/>
          <w:sz w:val="24"/>
          <w:szCs w:val="24"/>
        </w:rPr>
        <w:t>”  The newsletter is posted on TOSHA’s web site and distributed through the LISTSERV account</w:t>
      </w:r>
      <w:r w:rsidR="00951E7E" w:rsidRPr="00F63749">
        <w:rPr>
          <w:rFonts w:asciiTheme="minorHAnsi" w:hAnsiTheme="minorHAnsi" w:cstheme="minorHAnsi"/>
          <w:sz w:val="24"/>
          <w:szCs w:val="24"/>
        </w:rPr>
        <w:t>,</w:t>
      </w:r>
      <w:r w:rsidRPr="00F63749">
        <w:rPr>
          <w:rFonts w:asciiTheme="minorHAnsi" w:hAnsiTheme="minorHAnsi" w:cstheme="minorHAnsi"/>
          <w:sz w:val="24"/>
          <w:szCs w:val="24"/>
        </w:rPr>
        <w:t xml:space="preserve"> which currently contains 1,239 registered users.  In addition, many employer and employee associations and other groups forward the newsletter to their members.  Tennessee OSHA has a robust VPP program</w:t>
      </w:r>
      <w:r w:rsidR="00575B5C" w:rsidRPr="00F63749">
        <w:rPr>
          <w:rFonts w:asciiTheme="minorHAnsi" w:hAnsiTheme="minorHAnsi" w:cstheme="minorHAnsi"/>
          <w:sz w:val="24"/>
          <w:szCs w:val="24"/>
        </w:rPr>
        <w:t>, with 3</w:t>
      </w:r>
      <w:r w:rsidRPr="00F63749">
        <w:rPr>
          <w:rFonts w:asciiTheme="minorHAnsi" w:hAnsiTheme="minorHAnsi" w:cstheme="minorHAnsi"/>
          <w:sz w:val="24"/>
          <w:szCs w:val="24"/>
        </w:rPr>
        <w:t xml:space="preserve">3 sites </w:t>
      </w:r>
      <w:r w:rsidR="00575B5C" w:rsidRPr="00F63749">
        <w:rPr>
          <w:rFonts w:asciiTheme="minorHAnsi" w:hAnsiTheme="minorHAnsi" w:cstheme="minorHAnsi"/>
          <w:sz w:val="24"/>
          <w:szCs w:val="24"/>
        </w:rPr>
        <w:t xml:space="preserve">currently participating </w:t>
      </w:r>
      <w:r w:rsidR="00FE739D" w:rsidRPr="00F63749">
        <w:rPr>
          <w:rFonts w:asciiTheme="minorHAnsi" w:hAnsiTheme="minorHAnsi" w:cstheme="minorHAnsi"/>
          <w:sz w:val="24"/>
          <w:szCs w:val="24"/>
        </w:rPr>
        <w:t xml:space="preserve">in the Volunteer STAR program, and over </w:t>
      </w:r>
      <w:r w:rsidRPr="00F63749">
        <w:rPr>
          <w:rFonts w:asciiTheme="minorHAnsi" w:hAnsiTheme="minorHAnsi" w:cstheme="minorHAnsi"/>
          <w:sz w:val="24"/>
          <w:szCs w:val="24"/>
        </w:rPr>
        <w:t>25,</w:t>
      </w:r>
      <w:r w:rsidR="00FE739D" w:rsidRPr="00F63749">
        <w:rPr>
          <w:rFonts w:asciiTheme="minorHAnsi" w:hAnsiTheme="minorHAnsi" w:cstheme="minorHAnsi"/>
          <w:sz w:val="24"/>
          <w:szCs w:val="24"/>
        </w:rPr>
        <w:t xml:space="preserve">000 </w:t>
      </w:r>
      <w:r w:rsidRPr="00F63749">
        <w:rPr>
          <w:rFonts w:asciiTheme="minorHAnsi" w:hAnsiTheme="minorHAnsi" w:cstheme="minorHAnsi"/>
          <w:sz w:val="24"/>
          <w:szCs w:val="24"/>
        </w:rPr>
        <w:t>employees</w:t>
      </w:r>
      <w:r w:rsidR="00FE739D" w:rsidRPr="00F63749">
        <w:rPr>
          <w:rFonts w:asciiTheme="minorHAnsi" w:hAnsiTheme="minorHAnsi" w:cstheme="minorHAnsi"/>
          <w:sz w:val="24"/>
          <w:szCs w:val="24"/>
        </w:rPr>
        <w:t xml:space="preserve"> impacted. </w:t>
      </w:r>
      <w:r w:rsidRPr="00F63749">
        <w:rPr>
          <w:rFonts w:asciiTheme="minorHAnsi" w:hAnsiTheme="minorHAnsi" w:cstheme="minorHAnsi"/>
          <w:sz w:val="24"/>
          <w:szCs w:val="24"/>
        </w:rPr>
        <w:t xml:space="preserve">  </w:t>
      </w:r>
    </w:p>
    <w:p w14:paraId="4B5AC661" w14:textId="77777777" w:rsidR="00073B38" w:rsidRPr="00F63749" w:rsidRDefault="00073B38" w:rsidP="00FE739D">
      <w:pPr>
        <w:widowControl/>
        <w:autoSpaceDE/>
        <w:autoSpaceDN/>
        <w:adjustRightInd/>
        <w:contextualSpacing/>
        <w:rPr>
          <w:rFonts w:asciiTheme="minorHAnsi" w:hAnsiTheme="minorHAnsi" w:cstheme="minorHAnsi"/>
          <w:b/>
        </w:rPr>
      </w:pPr>
    </w:p>
    <w:p w14:paraId="68FBAFD2" w14:textId="77777777" w:rsidR="00781312" w:rsidRPr="00F63749" w:rsidRDefault="00781312" w:rsidP="00FE739D">
      <w:pPr>
        <w:widowControl/>
        <w:autoSpaceDE/>
        <w:autoSpaceDN/>
        <w:adjustRightInd/>
        <w:contextualSpacing/>
        <w:rPr>
          <w:rFonts w:asciiTheme="minorHAnsi" w:hAnsiTheme="minorHAnsi" w:cstheme="minorHAnsi"/>
          <w:b/>
        </w:rPr>
      </w:pPr>
      <w:r w:rsidRPr="00F63749">
        <w:rPr>
          <w:rFonts w:asciiTheme="minorHAnsi" w:hAnsiTheme="minorHAnsi" w:cstheme="minorHAnsi"/>
          <w:b/>
        </w:rPr>
        <w:t>New Issues</w:t>
      </w:r>
    </w:p>
    <w:p w14:paraId="0817687A" w14:textId="77777777" w:rsidR="00FE739D" w:rsidRPr="00F63749" w:rsidRDefault="00FE739D" w:rsidP="00FE739D">
      <w:pPr>
        <w:pStyle w:val="NoSpacing"/>
        <w:rPr>
          <w:rFonts w:asciiTheme="minorHAnsi" w:hAnsiTheme="minorHAnsi" w:cstheme="minorHAnsi"/>
          <w:sz w:val="24"/>
          <w:szCs w:val="24"/>
        </w:rPr>
      </w:pPr>
    </w:p>
    <w:p w14:paraId="2EAE20DE" w14:textId="58E5EF3A" w:rsidR="00073B38" w:rsidRPr="00F63749" w:rsidRDefault="00073B38" w:rsidP="00FE739D">
      <w:pPr>
        <w:pStyle w:val="NoSpacing"/>
        <w:rPr>
          <w:rFonts w:asciiTheme="minorHAnsi" w:hAnsiTheme="minorHAnsi" w:cstheme="minorHAnsi"/>
          <w:sz w:val="24"/>
          <w:szCs w:val="24"/>
        </w:rPr>
      </w:pPr>
      <w:r w:rsidRPr="00F63749">
        <w:rPr>
          <w:rFonts w:asciiTheme="minorHAnsi" w:hAnsiTheme="minorHAnsi" w:cstheme="minorHAnsi"/>
          <w:sz w:val="24"/>
          <w:szCs w:val="24"/>
        </w:rPr>
        <w:t>An amendment was made to the Tennessee Occupational Safety and Health Act of 1972, Tennessee Code Annotated (TCA) 50-3-109</w:t>
      </w:r>
      <w:r w:rsidR="00FE739D" w:rsidRPr="00F63749">
        <w:rPr>
          <w:rFonts w:asciiTheme="minorHAnsi" w:hAnsiTheme="minorHAnsi" w:cstheme="minorHAnsi"/>
          <w:sz w:val="24"/>
          <w:szCs w:val="24"/>
        </w:rPr>
        <w:t>,</w:t>
      </w:r>
      <w:r w:rsidRPr="00F63749">
        <w:rPr>
          <w:rFonts w:asciiTheme="minorHAnsi" w:hAnsiTheme="minorHAnsi" w:cstheme="minorHAnsi"/>
          <w:sz w:val="24"/>
          <w:szCs w:val="24"/>
        </w:rPr>
        <w:t xml:space="preserve"> prohibiting local governments from requiring contractors to adhere to safety and health standards that exceed either TOSHA or OSHA rules and regulations.  </w:t>
      </w:r>
      <w:r w:rsidR="00FE739D" w:rsidRPr="00F63749">
        <w:rPr>
          <w:rFonts w:asciiTheme="minorHAnsi" w:hAnsiTheme="minorHAnsi" w:cstheme="minorHAnsi"/>
          <w:sz w:val="24"/>
          <w:szCs w:val="24"/>
        </w:rPr>
        <w:t>T</w:t>
      </w:r>
      <w:r w:rsidRPr="00F63749">
        <w:rPr>
          <w:rFonts w:asciiTheme="minorHAnsi" w:hAnsiTheme="minorHAnsi" w:cstheme="minorHAnsi"/>
          <w:sz w:val="24"/>
          <w:szCs w:val="24"/>
        </w:rPr>
        <w:t xml:space="preserve">here </w:t>
      </w:r>
      <w:r w:rsidR="00FE739D" w:rsidRPr="00F63749">
        <w:rPr>
          <w:rFonts w:asciiTheme="minorHAnsi" w:hAnsiTheme="minorHAnsi" w:cstheme="minorHAnsi"/>
          <w:sz w:val="24"/>
          <w:szCs w:val="24"/>
        </w:rPr>
        <w:t xml:space="preserve">was also </w:t>
      </w:r>
      <w:r w:rsidRPr="00F63749">
        <w:rPr>
          <w:rFonts w:asciiTheme="minorHAnsi" w:hAnsiTheme="minorHAnsi" w:cstheme="minorHAnsi"/>
          <w:sz w:val="24"/>
          <w:szCs w:val="24"/>
        </w:rPr>
        <w:t>a revision to Part V of the Tennessee Field Operations Manual (FOM)</w:t>
      </w:r>
      <w:r w:rsidR="00FE739D" w:rsidRPr="00F63749">
        <w:rPr>
          <w:rFonts w:asciiTheme="minorHAnsi" w:hAnsiTheme="minorHAnsi" w:cstheme="minorHAnsi"/>
          <w:sz w:val="24"/>
          <w:szCs w:val="24"/>
        </w:rPr>
        <w:t>, d</w:t>
      </w:r>
      <w:r w:rsidRPr="00F63749">
        <w:rPr>
          <w:rFonts w:asciiTheme="minorHAnsi" w:hAnsiTheme="minorHAnsi" w:cstheme="minorHAnsi"/>
          <w:sz w:val="24"/>
          <w:szCs w:val="24"/>
        </w:rPr>
        <w:t xml:space="preserve">ated June 8, 2022, </w:t>
      </w:r>
      <w:r w:rsidR="00FE739D" w:rsidRPr="00F63749">
        <w:rPr>
          <w:rFonts w:asciiTheme="minorHAnsi" w:hAnsiTheme="minorHAnsi" w:cstheme="minorHAnsi"/>
          <w:sz w:val="24"/>
          <w:szCs w:val="24"/>
        </w:rPr>
        <w:t xml:space="preserve">and </w:t>
      </w:r>
      <w:r w:rsidRPr="00F63749">
        <w:rPr>
          <w:rFonts w:asciiTheme="minorHAnsi" w:hAnsiTheme="minorHAnsi" w:cstheme="minorHAnsi"/>
          <w:sz w:val="24"/>
          <w:szCs w:val="24"/>
        </w:rPr>
        <w:t xml:space="preserve">adopted in the State Plan Application </w:t>
      </w:r>
      <w:r w:rsidR="00FE739D" w:rsidRPr="00F63749">
        <w:rPr>
          <w:rFonts w:asciiTheme="minorHAnsi" w:hAnsiTheme="minorHAnsi" w:cstheme="minorHAnsi"/>
          <w:sz w:val="24"/>
          <w:szCs w:val="24"/>
        </w:rPr>
        <w:t xml:space="preserve">on the same </w:t>
      </w:r>
      <w:r w:rsidRPr="00F63749">
        <w:rPr>
          <w:rFonts w:asciiTheme="minorHAnsi" w:hAnsiTheme="minorHAnsi" w:cstheme="minorHAnsi"/>
          <w:sz w:val="24"/>
          <w:szCs w:val="24"/>
        </w:rPr>
        <w:t xml:space="preserve">date.   </w:t>
      </w:r>
    </w:p>
    <w:p w14:paraId="692FA216" w14:textId="77777777" w:rsidR="00073B38" w:rsidRPr="00F63749" w:rsidRDefault="00073B38" w:rsidP="00FE739D">
      <w:pPr>
        <w:pStyle w:val="NoSpacing"/>
        <w:rPr>
          <w:rFonts w:asciiTheme="minorHAnsi" w:hAnsiTheme="minorHAnsi" w:cstheme="minorHAnsi"/>
          <w:sz w:val="24"/>
          <w:szCs w:val="24"/>
        </w:rPr>
      </w:pPr>
    </w:p>
    <w:p w14:paraId="636A2418" w14:textId="77777777" w:rsidR="00073B38" w:rsidRPr="00F63749" w:rsidRDefault="00073B38" w:rsidP="00FE739D">
      <w:pPr>
        <w:pStyle w:val="NoSpacing"/>
        <w:rPr>
          <w:rFonts w:asciiTheme="minorHAnsi" w:hAnsiTheme="minorHAnsi" w:cstheme="minorHAnsi"/>
          <w:sz w:val="24"/>
          <w:szCs w:val="24"/>
        </w:rPr>
      </w:pPr>
      <w:r w:rsidRPr="00F63749">
        <w:rPr>
          <w:rFonts w:asciiTheme="minorHAnsi" w:hAnsiTheme="minorHAnsi" w:cstheme="minorHAnsi"/>
          <w:sz w:val="24"/>
          <w:szCs w:val="24"/>
        </w:rPr>
        <w:lastRenderedPageBreak/>
        <w:t>In accordance with the Bipartisan Budget Bill passed on November 2, 2015, OSHA published a rule on July 1, 2016, raising its maximum penalties. As required by law, OSHA then increased</w:t>
      </w:r>
    </w:p>
    <w:p w14:paraId="1A950952" w14:textId="280B3124" w:rsidR="00781312" w:rsidRPr="00F63749" w:rsidRDefault="00073B38" w:rsidP="00FE739D">
      <w:pPr>
        <w:contextualSpacing/>
        <w:rPr>
          <w:rFonts w:asciiTheme="minorHAnsi" w:hAnsiTheme="minorHAnsi" w:cstheme="minorHAnsi"/>
          <w:sz w:val="28"/>
          <w:szCs w:val="28"/>
        </w:rPr>
      </w:pPr>
      <w:r w:rsidRPr="00F63749">
        <w:rPr>
          <w:rFonts w:asciiTheme="minorHAnsi" w:hAnsiTheme="minorHAnsi" w:cstheme="minorHAnsi"/>
        </w:rPr>
        <w:t>maximum penalties annually, most recently on January 8, 2021, according to the Consumer Price Index (CPI). State Plans are required to adopt both the initial increase and subsequent annual increases within the corresponding six-month timeframe set by regulation. December 2022 marked six years since the first deadline passed for adoption and the Tennessee State Plan has not yet completed the legislative changes to increase maximum penalties.</w:t>
      </w:r>
    </w:p>
    <w:p w14:paraId="4D45CF2E" w14:textId="77777777" w:rsidR="00780E29" w:rsidRPr="00F63749" w:rsidRDefault="00780E29" w:rsidP="00FE739D">
      <w:pPr>
        <w:widowControl/>
        <w:autoSpaceDE/>
        <w:autoSpaceDN/>
        <w:adjustRightInd/>
        <w:rPr>
          <w:rFonts w:asciiTheme="minorHAnsi" w:hAnsiTheme="minorHAnsi" w:cstheme="minorHAnsi"/>
          <w:iCs/>
        </w:rPr>
      </w:pPr>
    </w:p>
    <w:p w14:paraId="0A29FCDE" w14:textId="40051B71" w:rsidR="00054900" w:rsidRPr="0092393F" w:rsidRDefault="00054900" w:rsidP="00FE739D">
      <w:pPr>
        <w:pStyle w:val="Heading2"/>
        <w:spacing w:before="0"/>
      </w:pPr>
      <w:bookmarkStart w:id="9" w:name="_Toc118900172"/>
      <w:bookmarkStart w:id="10" w:name="_Toc118905011"/>
      <w:bookmarkStart w:id="11" w:name="_Toc128482010"/>
      <w:r w:rsidRPr="0092393F">
        <w:t xml:space="preserve">Assessment of State Plan </w:t>
      </w:r>
      <w:r w:rsidR="001E2FBB" w:rsidRPr="0092393F">
        <w:t xml:space="preserve">Progress and </w:t>
      </w:r>
      <w:r w:rsidRPr="0092393F">
        <w:t>Performance</w:t>
      </w:r>
      <w:bookmarkEnd w:id="9"/>
      <w:bookmarkEnd w:id="10"/>
      <w:bookmarkEnd w:id="11"/>
    </w:p>
    <w:p w14:paraId="07D68C5F" w14:textId="77777777" w:rsidR="00054900" w:rsidRPr="00F63749" w:rsidRDefault="00054900" w:rsidP="00FE739D">
      <w:pPr>
        <w:widowControl/>
        <w:autoSpaceDE/>
        <w:autoSpaceDN/>
        <w:adjustRightInd/>
        <w:rPr>
          <w:rFonts w:asciiTheme="minorHAnsi" w:hAnsiTheme="minorHAnsi" w:cstheme="minorHAnsi"/>
        </w:rPr>
      </w:pPr>
    </w:p>
    <w:p w14:paraId="4CD3C312" w14:textId="77777777" w:rsidR="000A134A" w:rsidRPr="0092393F" w:rsidRDefault="000A134A" w:rsidP="00A63274">
      <w:pPr>
        <w:pStyle w:val="Heading3"/>
      </w:pPr>
      <w:bookmarkStart w:id="12" w:name="_Toc118900173"/>
      <w:bookmarkStart w:id="13" w:name="_Toc118905012"/>
      <w:bookmarkStart w:id="14" w:name="_Toc128482011"/>
      <w:r w:rsidRPr="0092393F">
        <w:t>Data and Methodology</w:t>
      </w:r>
      <w:bookmarkEnd w:id="12"/>
      <w:bookmarkEnd w:id="13"/>
      <w:bookmarkEnd w:id="14"/>
    </w:p>
    <w:p w14:paraId="4C0E8612" w14:textId="77777777" w:rsidR="00073B38" w:rsidRPr="00F63749" w:rsidRDefault="00073B38" w:rsidP="00FE739D">
      <w:pPr>
        <w:pStyle w:val="Default"/>
        <w:ind w:left="360"/>
        <w:rPr>
          <w:rFonts w:asciiTheme="minorHAnsi" w:hAnsiTheme="minorHAnsi" w:cstheme="minorHAnsi"/>
          <w:sz w:val="23"/>
          <w:szCs w:val="23"/>
        </w:rPr>
      </w:pPr>
    </w:p>
    <w:p w14:paraId="57C24CE9" w14:textId="344166B9" w:rsidR="00073B38" w:rsidRPr="00F63749" w:rsidRDefault="00073B38" w:rsidP="00FE739D">
      <w:pPr>
        <w:pStyle w:val="Default"/>
        <w:ind w:left="360"/>
        <w:rPr>
          <w:rFonts w:asciiTheme="minorHAnsi" w:hAnsiTheme="minorHAnsi" w:cstheme="minorHAnsi"/>
        </w:rPr>
      </w:pPr>
      <w:r w:rsidRPr="00F63749">
        <w:rPr>
          <w:rFonts w:asciiTheme="minorHAnsi" w:hAnsiTheme="minorHAnsi" w:cstheme="minorHAnsi"/>
        </w:rPr>
        <w:t xml:space="preserve">OSHA established a two-year cycle for the FAME process. This was a follow-up year, and as such, OSHA did not perform an on-site case file review associated with a comprehensive FAME. This strategy allowed the State Plan to focus on correcting deficiencies identified in the most recent comprehensive FAME. The analyses and conclusions described in this report were based on information obtained from a variety of monitoring sources including: </w:t>
      </w:r>
    </w:p>
    <w:p w14:paraId="540D7610" w14:textId="77777777" w:rsidR="00073B38" w:rsidRPr="00F63749" w:rsidRDefault="00073B38" w:rsidP="00FE739D">
      <w:pPr>
        <w:pStyle w:val="Default"/>
        <w:rPr>
          <w:rFonts w:asciiTheme="minorHAnsi" w:hAnsiTheme="minorHAnsi" w:cstheme="minorHAnsi"/>
        </w:rPr>
      </w:pPr>
    </w:p>
    <w:p w14:paraId="2377217A" w14:textId="77777777" w:rsidR="00073B38" w:rsidRPr="00F63749" w:rsidRDefault="00073B38" w:rsidP="00FE739D">
      <w:pPr>
        <w:pStyle w:val="Default"/>
        <w:numPr>
          <w:ilvl w:val="0"/>
          <w:numId w:val="13"/>
        </w:numPr>
        <w:rPr>
          <w:rFonts w:asciiTheme="minorHAnsi" w:hAnsiTheme="minorHAnsi" w:cstheme="minorHAnsi"/>
        </w:rPr>
      </w:pPr>
      <w:r w:rsidRPr="00F63749">
        <w:rPr>
          <w:rFonts w:asciiTheme="minorHAnsi" w:hAnsiTheme="minorHAnsi" w:cstheme="minorHAnsi"/>
        </w:rPr>
        <w:t xml:space="preserve">State Activity Mandated Measures Report (SAMM, Appendix D, dated 11/14/2022) </w:t>
      </w:r>
    </w:p>
    <w:p w14:paraId="2C4BFABF" w14:textId="77777777" w:rsidR="00073B38" w:rsidRPr="00F63749" w:rsidRDefault="00073B38" w:rsidP="00FE739D">
      <w:pPr>
        <w:pStyle w:val="Default"/>
        <w:numPr>
          <w:ilvl w:val="0"/>
          <w:numId w:val="13"/>
        </w:numPr>
        <w:rPr>
          <w:rFonts w:asciiTheme="minorHAnsi" w:hAnsiTheme="minorHAnsi" w:cstheme="minorHAnsi"/>
        </w:rPr>
      </w:pPr>
      <w:r w:rsidRPr="00F63749">
        <w:rPr>
          <w:rFonts w:asciiTheme="minorHAnsi" w:hAnsiTheme="minorHAnsi" w:cstheme="minorHAnsi"/>
        </w:rPr>
        <w:t xml:space="preserve">State Information Report (SIR, dated 11/14/2022) </w:t>
      </w:r>
    </w:p>
    <w:p w14:paraId="79DF386A" w14:textId="77777777" w:rsidR="00073B38" w:rsidRPr="00F63749" w:rsidRDefault="00073B38" w:rsidP="00FE739D">
      <w:pPr>
        <w:pStyle w:val="Default"/>
        <w:numPr>
          <w:ilvl w:val="0"/>
          <w:numId w:val="13"/>
        </w:numPr>
        <w:rPr>
          <w:rFonts w:asciiTheme="minorHAnsi" w:hAnsiTheme="minorHAnsi" w:cstheme="minorHAnsi"/>
        </w:rPr>
      </w:pPr>
      <w:r w:rsidRPr="00F63749">
        <w:rPr>
          <w:rFonts w:asciiTheme="minorHAnsi" w:hAnsiTheme="minorHAnsi" w:cstheme="minorHAnsi"/>
        </w:rPr>
        <w:t xml:space="preserve">Mandated Activities Report for Consultation </w:t>
      </w:r>
    </w:p>
    <w:p w14:paraId="03844235" w14:textId="77777777" w:rsidR="00073B38" w:rsidRPr="00F63749" w:rsidRDefault="00073B38" w:rsidP="00FE739D">
      <w:pPr>
        <w:pStyle w:val="Default"/>
        <w:numPr>
          <w:ilvl w:val="0"/>
          <w:numId w:val="13"/>
        </w:numPr>
        <w:rPr>
          <w:rFonts w:asciiTheme="minorHAnsi" w:hAnsiTheme="minorHAnsi" w:cstheme="minorHAnsi"/>
        </w:rPr>
      </w:pPr>
      <w:r w:rsidRPr="00F63749">
        <w:rPr>
          <w:rFonts w:asciiTheme="minorHAnsi" w:hAnsiTheme="minorHAnsi" w:cstheme="minorHAnsi"/>
        </w:rPr>
        <w:t xml:space="preserve">Web Integrated Management Information System (WebIMIS) </w:t>
      </w:r>
    </w:p>
    <w:p w14:paraId="03EC9CEF" w14:textId="77777777" w:rsidR="00073B38" w:rsidRPr="00F63749" w:rsidRDefault="00073B38" w:rsidP="00FE739D">
      <w:pPr>
        <w:pStyle w:val="Default"/>
        <w:numPr>
          <w:ilvl w:val="0"/>
          <w:numId w:val="13"/>
        </w:numPr>
        <w:rPr>
          <w:rFonts w:asciiTheme="minorHAnsi" w:hAnsiTheme="minorHAnsi" w:cstheme="minorHAnsi"/>
        </w:rPr>
      </w:pPr>
      <w:r w:rsidRPr="00F63749">
        <w:rPr>
          <w:rFonts w:asciiTheme="minorHAnsi" w:hAnsiTheme="minorHAnsi" w:cstheme="minorHAnsi"/>
        </w:rPr>
        <w:t xml:space="preserve">State OSHA Annual Report (SOAR, Appendix E) </w:t>
      </w:r>
    </w:p>
    <w:p w14:paraId="274D40B6" w14:textId="77777777" w:rsidR="00073B38" w:rsidRPr="00F63749" w:rsidRDefault="00073B38" w:rsidP="00FE739D">
      <w:pPr>
        <w:pStyle w:val="Default"/>
        <w:numPr>
          <w:ilvl w:val="0"/>
          <w:numId w:val="13"/>
        </w:numPr>
        <w:rPr>
          <w:rFonts w:asciiTheme="minorHAnsi" w:hAnsiTheme="minorHAnsi" w:cstheme="minorHAnsi"/>
        </w:rPr>
      </w:pPr>
      <w:r w:rsidRPr="00F63749">
        <w:rPr>
          <w:rFonts w:asciiTheme="minorHAnsi" w:hAnsiTheme="minorHAnsi" w:cstheme="minorHAnsi"/>
        </w:rPr>
        <w:t xml:space="preserve">TOSHA Annual Performance Plan </w:t>
      </w:r>
    </w:p>
    <w:p w14:paraId="59B84F52" w14:textId="77777777" w:rsidR="00073B38" w:rsidRPr="00F63749" w:rsidRDefault="00073B38" w:rsidP="00FE739D">
      <w:pPr>
        <w:pStyle w:val="Default"/>
        <w:numPr>
          <w:ilvl w:val="0"/>
          <w:numId w:val="13"/>
        </w:numPr>
        <w:rPr>
          <w:rFonts w:asciiTheme="minorHAnsi" w:hAnsiTheme="minorHAnsi" w:cstheme="minorHAnsi"/>
        </w:rPr>
      </w:pPr>
      <w:r w:rsidRPr="00F63749">
        <w:rPr>
          <w:rFonts w:asciiTheme="minorHAnsi" w:hAnsiTheme="minorHAnsi" w:cstheme="minorHAnsi"/>
        </w:rPr>
        <w:t xml:space="preserve">State Plan Grant Application </w:t>
      </w:r>
    </w:p>
    <w:p w14:paraId="0EC7E864" w14:textId="77777777" w:rsidR="00073B38" w:rsidRPr="00F63749" w:rsidRDefault="00073B38" w:rsidP="00FE739D">
      <w:pPr>
        <w:pStyle w:val="Default"/>
        <w:numPr>
          <w:ilvl w:val="0"/>
          <w:numId w:val="13"/>
        </w:numPr>
        <w:rPr>
          <w:rFonts w:asciiTheme="minorHAnsi" w:hAnsiTheme="minorHAnsi" w:cstheme="minorHAnsi"/>
        </w:rPr>
      </w:pPr>
      <w:r w:rsidRPr="00F63749">
        <w:rPr>
          <w:rFonts w:asciiTheme="minorHAnsi" w:hAnsiTheme="minorHAnsi" w:cstheme="minorHAnsi"/>
        </w:rPr>
        <w:t xml:space="preserve">Quarterly monitoring meetings between OSHA and the State Plan </w:t>
      </w:r>
    </w:p>
    <w:p w14:paraId="72EF69F8" w14:textId="77777777" w:rsidR="000A134A" w:rsidRPr="00F63749" w:rsidRDefault="000A134A" w:rsidP="00FE739D">
      <w:pPr>
        <w:widowControl/>
        <w:autoSpaceDE/>
        <w:autoSpaceDN/>
        <w:adjustRightInd/>
        <w:rPr>
          <w:rFonts w:asciiTheme="minorHAnsi" w:hAnsiTheme="minorHAnsi" w:cstheme="minorHAnsi"/>
          <w:bCs/>
        </w:rPr>
      </w:pPr>
    </w:p>
    <w:p w14:paraId="5E67DDEC" w14:textId="77777777" w:rsidR="000A134A" w:rsidRPr="0092393F" w:rsidRDefault="000A134A" w:rsidP="00A63274">
      <w:pPr>
        <w:pStyle w:val="Heading3"/>
      </w:pPr>
      <w:bookmarkStart w:id="15" w:name="_Toc118900174"/>
      <w:bookmarkStart w:id="16" w:name="_Toc118905013"/>
      <w:bookmarkStart w:id="17" w:name="_Toc128482012"/>
      <w:r w:rsidRPr="0092393F">
        <w:t>Findings and Observations</w:t>
      </w:r>
      <w:bookmarkEnd w:id="15"/>
      <w:bookmarkEnd w:id="16"/>
      <w:bookmarkEnd w:id="17"/>
    </w:p>
    <w:p w14:paraId="51B991F5" w14:textId="77777777" w:rsidR="000A134A" w:rsidRPr="00F63749" w:rsidRDefault="000A134A" w:rsidP="00FE739D">
      <w:pPr>
        <w:widowControl/>
        <w:autoSpaceDE/>
        <w:autoSpaceDN/>
        <w:adjustRightInd/>
        <w:rPr>
          <w:rFonts w:asciiTheme="minorHAnsi" w:hAnsiTheme="minorHAnsi" w:cstheme="minorHAnsi"/>
        </w:rPr>
      </w:pPr>
    </w:p>
    <w:p w14:paraId="5C0B6A1E" w14:textId="1AC2358A" w:rsidR="00073B38" w:rsidRPr="0092393F" w:rsidRDefault="00073B38" w:rsidP="00FE739D">
      <w:pPr>
        <w:widowControl/>
        <w:autoSpaceDE/>
        <w:autoSpaceDN/>
        <w:adjustRightInd/>
        <w:ind w:firstLine="360"/>
        <w:rPr>
          <w:rFonts w:asciiTheme="minorHAnsi" w:eastAsia="Calibri" w:hAnsiTheme="minorHAnsi" w:cstheme="minorHAnsi"/>
          <w:b/>
          <w:bCs/>
        </w:rPr>
      </w:pPr>
      <w:r w:rsidRPr="0092393F">
        <w:rPr>
          <w:rFonts w:asciiTheme="minorHAnsi" w:eastAsia="Calibri" w:hAnsiTheme="minorHAnsi" w:cstheme="minorHAnsi"/>
          <w:b/>
          <w:bCs/>
        </w:rPr>
        <w:t>F</w:t>
      </w:r>
      <w:r w:rsidR="00FE739D" w:rsidRPr="0092393F">
        <w:rPr>
          <w:rFonts w:asciiTheme="minorHAnsi" w:eastAsia="Calibri" w:hAnsiTheme="minorHAnsi" w:cstheme="minorHAnsi"/>
          <w:b/>
          <w:bCs/>
        </w:rPr>
        <w:t xml:space="preserve">indings (Status of Previous and New Items) </w:t>
      </w:r>
    </w:p>
    <w:p w14:paraId="289F6FCE" w14:textId="77777777" w:rsidR="00FE739D" w:rsidRPr="0092393F" w:rsidRDefault="00FE739D" w:rsidP="00FE739D">
      <w:pPr>
        <w:widowControl/>
        <w:autoSpaceDE/>
        <w:autoSpaceDN/>
        <w:adjustRightInd/>
        <w:ind w:left="360"/>
        <w:rPr>
          <w:rFonts w:asciiTheme="minorHAnsi" w:eastAsia="Calibri" w:hAnsiTheme="minorHAnsi" w:cstheme="minorHAnsi"/>
        </w:rPr>
      </w:pPr>
    </w:p>
    <w:p w14:paraId="3CF2E2D5" w14:textId="5F2EFCA7" w:rsidR="00073B38" w:rsidRPr="00F63749" w:rsidRDefault="00073B38"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rPr>
        <w:t>The State Plan made progress addressing the previous two findings and three observations reflected in the FY 2021 Comprehensive FAME Report. This Follow-up FAME report contains two continued findings, two continued observations, and one new observation. The one finding was completed and is awaiting verification, one observation was closed, and no observations were converted to findings from the previous FAME. Appendix A describes the new and continued findings, and recommendations. Appendix B describes observations subject to continued monitoring and the related federal monitoring plan. Appendix C describes the status of each FY 2021 recommendation in detail.</w:t>
      </w:r>
    </w:p>
    <w:p w14:paraId="787BB6E6" w14:textId="77777777" w:rsidR="00FE739D" w:rsidRPr="00F63749" w:rsidRDefault="00FE739D" w:rsidP="00FE739D">
      <w:pPr>
        <w:widowControl/>
        <w:autoSpaceDE/>
        <w:autoSpaceDN/>
        <w:adjustRightInd/>
        <w:ind w:firstLine="360"/>
        <w:rPr>
          <w:rFonts w:asciiTheme="minorHAnsi" w:eastAsia="Calibri" w:hAnsiTheme="minorHAnsi" w:cstheme="minorHAnsi"/>
          <w:b/>
          <w:bCs/>
        </w:rPr>
      </w:pPr>
    </w:p>
    <w:p w14:paraId="4CF4C85D" w14:textId="6DCD4FCF" w:rsidR="00073B38" w:rsidRPr="00F63749" w:rsidRDefault="00073B38" w:rsidP="00736D1A">
      <w:pPr>
        <w:autoSpaceDE/>
        <w:autoSpaceDN/>
        <w:adjustRightInd/>
        <w:ind w:firstLine="360"/>
        <w:rPr>
          <w:rFonts w:asciiTheme="minorHAnsi" w:eastAsia="Calibri" w:hAnsiTheme="minorHAnsi" w:cstheme="minorHAnsi"/>
          <w:b/>
          <w:bCs/>
        </w:rPr>
      </w:pPr>
      <w:r w:rsidRPr="00F63749">
        <w:rPr>
          <w:rFonts w:asciiTheme="minorHAnsi" w:eastAsia="Calibri" w:hAnsiTheme="minorHAnsi" w:cstheme="minorHAnsi"/>
          <w:b/>
          <w:bCs/>
        </w:rPr>
        <w:t>Continued Findings</w:t>
      </w:r>
    </w:p>
    <w:p w14:paraId="4077FAE1" w14:textId="77777777" w:rsidR="00FE739D" w:rsidRPr="00F63749" w:rsidRDefault="00FE739D" w:rsidP="00736D1A">
      <w:pPr>
        <w:autoSpaceDE/>
        <w:autoSpaceDN/>
        <w:adjustRightInd/>
        <w:ind w:left="360"/>
        <w:rPr>
          <w:rFonts w:asciiTheme="minorHAnsi" w:eastAsia="Calibri" w:hAnsiTheme="minorHAnsi" w:cstheme="minorHAnsi"/>
          <w:b/>
          <w:bCs/>
        </w:rPr>
      </w:pPr>
    </w:p>
    <w:p w14:paraId="65B78075" w14:textId="48B8882C" w:rsidR="00073B38" w:rsidRDefault="00073B38" w:rsidP="00736D1A">
      <w:pPr>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Finding FY 2021-01</w:t>
      </w:r>
      <w:r w:rsidRPr="00F63749">
        <w:rPr>
          <w:rFonts w:asciiTheme="minorHAnsi" w:eastAsia="Calibri" w:hAnsiTheme="minorHAnsi" w:cstheme="minorHAnsi"/>
        </w:rPr>
        <w:t xml:space="preserve">: In </w:t>
      </w:r>
      <w:r w:rsidR="0092393F">
        <w:rPr>
          <w:rFonts w:asciiTheme="minorHAnsi" w:eastAsia="Calibri" w:hAnsiTheme="minorHAnsi" w:cstheme="minorHAnsi"/>
        </w:rPr>
        <w:t xml:space="preserve">FY 2021, in </w:t>
      </w:r>
      <w:r w:rsidRPr="00F63749">
        <w:rPr>
          <w:rFonts w:asciiTheme="minorHAnsi" w:eastAsia="Calibri" w:hAnsiTheme="minorHAnsi" w:cstheme="minorHAnsi"/>
        </w:rPr>
        <w:t xml:space="preserve">17 of 43 (39.5%) case files reviewed that had violations, </w:t>
      </w:r>
      <w:r w:rsidRPr="00F63749">
        <w:rPr>
          <w:rFonts w:asciiTheme="minorHAnsi" w:eastAsia="Calibri" w:hAnsiTheme="minorHAnsi" w:cstheme="minorHAnsi"/>
        </w:rPr>
        <w:lastRenderedPageBreak/>
        <w:t>employer knowledge was not adequately documented.</w:t>
      </w:r>
    </w:p>
    <w:p w14:paraId="20040434" w14:textId="77777777" w:rsidR="0092393F" w:rsidRPr="00F63749" w:rsidRDefault="0092393F" w:rsidP="00FE739D">
      <w:pPr>
        <w:widowControl/>
        <w:autoSpaceDE/>
        <w:autoSpaceDN/>
        <w:adjustRightInd/>
        <w:ind w:left="360"/>
        <w:rPr>
          <w:rFonts w:asciiTheme="minorHAnsi" w:eastAsia="Calibri" w:hAnsiTheme="minorHAnsi" w:cstheme="minorHAnsi"/>
        </w:rPr>
      </w:pPr>
    </w:p>
    <w:p w14:paraId="4BC7FF31" w14:textId="2FB1D908" w:rsidR="00073B38" w:rsidRPr="00F63749" w:rsidRDefault="00073B38"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Status:</w:t>
      </w:r>
      <w:r w:rsidRPr="00F63749">
        <w:rPr>
          <w:rFonts w:asciiTheme="minorHAnsi" w:eastAsia="Calibri" w:hAnsiTheme="minorHAnsi" w:cstheme="minorHAnsi"/>
        </w:rPr>
        <w:t xml:space="preserve"> TOSHA response to this finding was </w:t>
      </w:r>
      <w:r w:rsidR="00951E7E" w:rsidRPr="00F63749">
        <w:rPr>
          <w:rFonts w:asciiTheme="minorHAnsi" w:eastAsia="Calibri" w:hAnsiTheme="minorHAnsi" w:cstheme="minorHAnsi"/>
        </w:rPr>
        <w:t xml:space="preserve">that the State Plan </w:t>
      </w:r>
      <w:r w:rsidRPr="00F63749">
        <w:rPr>
          <w:rFonts w:asciiTheme="minorHAnsi" w:eastAsia="Calibri" w:hAnsiTheme="minorHAnsi" w:cstheme="minorHAnsi"/>
        </w:rPr>
        <w:t xml:space="preserve">would conduct additional training on documenting employer knowledge in FY 2022. The CSHO training was completed on </w:t>
      </w:r>
      <w:r w:rsidR="0092393F">
        <w:rPr>
          <w:rFonts w:asciiTheme="minorHAnsi" w:eastAsia="Calibri" w:hAnsiTheme="minorHAnsi" w:cstheme="minorHAnsi"/>
        </w:rPr>
        <w:t>September 12</w:t>
      </w:r>
      <w:r w:rsidR="0092393F" w:rsidRPr="00F63749">
        <w:rPr>
          <w:rFonts w:asciiTheme="minorHAnsi" w:eastAsia="Calibri" w:hAnsiTheme="minorHAnsi" w:cstheme="minorHAnsi"/>
          <w:vertAlign w:val="superscript"/>
        </w:rPr>
        <w:t>th</w:t>
      </w:r>
      <w:r w:rsidR="0092393F">
        <w:rPr>
          <w:rFonts w:asciiTheme="minorHAnsi" w:eastAsia="Calibri" w:hAnsiTheme="minorHAnsi" w:cstheme="minorHAnsi"/>
        </w:rPr>
        <w:t xml:space="preserve"> and 29</w:t>
      </w:r>
      <w:r w:rsidR="0092393F" w:rsidRPr="00F63749">
        <w:rPr>
          <w:rFonts w:asciiTheme="minorHAnsi" w:eastAsia="Calibri" w:hAnsiTheme="minorHAnsi" w:cstheme="minorHAnsi"/>
          <w:vertAlign w:val="superscript"/>
        </w:rPr>
        <w:t>th</w:t>
      </w:r>
      <w:r w:rsidR="0092393F">
        <w:rPr>
          <w:rFonts w:asciiTheme="minorHAnsi" w:eastAsia="Calibri" w:hAnsiTheme="minorHAnsi" w:cstheme="minorHAnsi"/>
        </w:rPr>
        <w:t>, 2022.</w:t>
      </w:r>
      <w:r w:rsidRPr="00F63749">
        <w:rPr>
          <w:rFonts w:asciiTheme="minorHAnsi" w:eastAsia="Calibri" w:hAnsiTheme="minorHAnsi" w:cstheme="minorHAnsi"/>
        </w:rPr>
        <w:t xml:space="preserve"> TOSHA leadership has stated that the documentation of knowledge has improved.  This finding is awaiting verification</w:t>
      </w:r>
      <w:r w:rsidR="0092393F">
        <w:rPr>
          <w:rFonts w:asciiTheme="minorHAnsi" w:eastAsia="Calibri" w:hAnsiTheme="minorHAnsi" w:cstheme="minorHAnsi"/>
        </w:rPr>
        <w:t xml:space="preserve"> during the onsite case file review in the FY </w:t>
      </w:r>
      <w:r w:rsidR="00912314">
        <w:rPr>
          <w:rFonts w:asciiTheme="minorHAnsi" w:eastAsia="Calibri" w:hAnsiTheme="minorHAnsi" w:cstheme="minorHAnsi"/>
        </w:rPr>
        <w:t xml:space="preserve">2023 </w:t>
      </w:r>
      <w:r w:rsidR="0092393F">
        <w:rPr>
          <w:rFonts w:asciiTheme="minorHAnsi" w:eastAsia="Calibri" w:hAnsiTheme="minorHAnsi" w:cstheme="minorHAnsi"/>
        </w:rPr>
        <w:t>Comprehensive FAME</w:t>
      </w:r>
      <w:r w:rsidRPr="00F63749">
        <w:rPr>
          <w:rFonts w:asciiTheme="minorHAnsi" w:eastAsia="Calibri" w:hAnsiTheme="minorHAnsi" w:cstheme="minorHAnsi"/>
        </w:rPr>
        <w:t xml:space="preserve">. </w:t>
      </w:r>
    </w:p>
    <w:p w14:paraId="08A6D17F" w14:textId="77777777" w:rsidR="00FE739D" w:rsidRPr="00F63749" w:rsidRDefault="00FE739D" w:rsidP="00FE739D">
      <w:pPr>
        <w:widowControl/>
        <w:autoSpaceDE/>
        <w:autoSpaceDN/>
        <w:adjustRightInd/>
        <w:ind w:left="360"/>
        <w:rPr>
          <w:rFonts w:asciiTheme="minorHAnsi" w:eastAsia="Calibri" w:hAnsiTheme="minorHAnsi" w:cstheme="minorHAnsi"/>
          <w:b/>
          <w:bCs/>
        </w:rPr>
      </w:pPr>
    </w:p>
    <w:p w14:paraId="5295C9D9" w14:textId="4AFCAAD1" w:rsidR="00073B38" w:rsidRDefault="00073B38"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Finding FY 2021-02</w:t>
      </w:r>
      <w:r w:rsidRPr="00F63749">
        <w:rPr>
          <w:rFonts w:asciiTheme="minorHAnsi" w:eastAsia="Calibri" w:hAnsiTheme="minorHAnsi" w:cstheme="minorHAnsi"/>
        </w:rPr>
        <w:t>: The Tennessee State Plan has failed to adopt OSHA’s initial FY 2016 maximum and minimum penalty increase and subsequent annual penalty amount increases.</w:t>
      </w:r>
    </w:p>
    <w:p w14:paraId="5A31F7A7" w14:textId="77777777" w:rsidR="0092393F" w:rsidRPr="00F63749" w:rsidRDefault="0092393F" w:rsidP="00FE739D">
      <w:pPr>
        <w:widowControl/>
        <w:autoSpaceDE/>
        <w:autoSpaceDN/>
        <w:adjustRightInd/>
        <w:ind w:left="360"/>
        <w:rPr>
          <w:rFonts w:asciiTheme="minorHAnsi" w:eastAsia="Calibri" w:hAnsiTheme="minorHAnsi" w:cstheme="minorHAnsi"/>
        </w:rPr>
      </w:pPr>
    </w:p>
    <w:p w14:paraId="576D7BDF" w14:textId="47F8B452" w:rsidR="00073B38" w:rsidRPr="00F63749" w:rsidRDefault="00073B38"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Status:</w:t>
      </w:r>
      <w:r w:rsidRPr="00F63749">
        <w:rPr>
          <w:rFonts w:asciiTheme="minorHAnsi" w:eastAsia="Calibri" w:hAnsiTheme="minorHAnsi" w:cstheme="minorHAnsi"/>
        </w:rPr>
        <w:t xml:space="preserve"> Correcting this finding requires the </w:t>
      </w:r>
      <w:r w:rsidR="00951E7E" w:rsidRPr="00F63749">
        <w:rPr>
          <w:rFonts w:asciiTheme="minorHAnsi" w:eastAsia="Calibri" w:hAnsiTheme="minorHAnsi" w:cstheme="minorHAnsi"/>
        </w:rPr>
        <w:t>S</w:t>
      </w:r>
      <w:r w:rsidRPr="00F63749">
        <w:rPr>
          <w:rFonts w:asciiTheme="minorHAnsi" w:eastAsia="Calibri" w:hAnsiTheme="minorHAnsi" w:cstheme="minorHAnsi"/>
        </w:rPr>
        <w:t xml:space="preserve">tate legislature to amend the TOSH Act. Department leadership is working with </w:t>
      </w:r>
      <w:r w:rsidR="00951E7E" w:rsidRPr="00F63749">
        <w:rPr>
          <w:rFonts w:asciiTheme="minorHAnsi" w:eastAsia="Calibri" w:hAnsiTheme="minorHAnsi" w:cstheme="minorHAnsi"/>
        </w:rPr>
        <w:t>S</w:t>
      </w:r>
      <w:r w:rsidRPr="00F63749">
        <w:rPr>
          <w:rFonts w:asciiTheme="minorHAnsi" w:eastAsia="Calibri" w:hAnsiTheme="minorHAnsi" w:cstheme="minorHAnsi"/>
        </w:rPr>
        <w:t xml:space="preserve">tate leadership to move toward resolution.  TOSHA has briefed executive leadership on OSHA’s position </w:t>
      </w:r>
      <w:r w:rsidR="5B9FD43A" w:rsidRPr="00F63749">
        <w:rPr>
          <w:rFonts w:asciiTheme="minorHAnsi" w:eastAsia="Calibri" w:hAnsiTheme="minorHAnsi" w:cstheme="minorHAnsi"/>
        </w:rPr>
        <w:t>requiring the increase in maximum and minimum penalties</w:t>
      </w:r>
      <w:r w:rsidRPr="00F63749">
        <w:rPr>
          <w:rFonts w:asciiTheme="minorHAnsi" w:eastAsia="Calibri" w:hAnsiTheme="minorHAnsi" w:cstheme="minorHAnsi"/>
        </w:rPr>
        <w:t>.  Proposal to increase penalties was sent to the Governor’s office for approval</w:t>
      </w:r>
      <w:r w:rsidR="00951E7E" w:rsidRPr="00F63749">
        <w:rPr>
          <w:rFonts w:asciiTheme="minorHAnsi" w:eastAsia="Calibri" w:hAnsiTheme="minorHAnsi" w:cstheme="minorHAnsi"/>
        </w:rPr>
        <w:t>;</w:t>
      </w:r>
      <w:r w:rsidRPr="00F63749">
        <w:rPr>
          <w:rFonts w:asciiTheme="minorHAnsi" w:eastAsia="Calibri" w:hAnsiTheme="minorHAnsi" w:cstheme="minorHAnsi"/>
        </w:rPr>
        <w:t xml:space="preserve"> </w:t>
      </w:r>
      <w:r w:rsidR="00101A7B" w:rsidRPr="00F63749">
        <w:rPr>
          <w:rFonts w:asciiTheme="minorHAnsi" w:eastAsia="Calibri" w:hAnsiTheme="minorHAnsi" w:cstheme="minorHAnsi"/>
        </w:rPr>
        <w:t>however,</w:t>
      </w:r>
      <w:r w:rsidRPr="00F63749">
        <w:rPr>
          <w:rFonts w:asciiTheme="minorHAnsi" w:eastAsia="Calibri" w:hAnsiTheme="minorHAnsi" w:cstheme="minorHAnsi"/>
        </w:rPr>
        <w:t xml:space="preserve"> it had not made it to the legislature. This finding is being continued. </w:t>
      </w:r>
    </w:p>
    <w:p w14:paraId="0B221E53" w14:textId="77777777" w:rsidR="00FE739D" w:rsidRPr="00F63749" w:rsidRDefault="00FE739D" w:rsidP="00FE739D">
      <w:pPr>
        <w:widowControl/>
        <w:autoSpaceDE/>
        <w:autoSpaceDN/>
        <w:adjustRightInd/>
        <w:ind w:firstLine="360"/>
        <w:rPr>
          <w:rFonts w:asciiTheme="minorHAnsi" w:eastAsia="Calibri" w:hAnsiTheme="minorHAnsi" w:cstheme="minorHAnsi"/>
          <w:b/>
          <w:bCs/>
        </w:rPr>
      </w:pPr>
    </w:p>
    <w:p w14:paraId="1E360563" w14:textId="5E9EF3E0" w:rsidR="00073B38" w:rsidRPr="0092393F" w:rsidRDefault="00073B38" w:rsidP="00FE739D">
      <w:pPr>
        <w:widowControl/>
        <w:autoSpaceDE/>
        <w:autoSpaceDN/>
        <w:adjustRightInd/>
        <w:ind w:firstLine="360"/>
        <w:rPr>
          <w:rFonts w:asciiTheme="minorHAnsi" w:eastAsia="Calibri" w:hAnsiTheme="minorHAnsi" w:cstheme="minorHAnsi"/>
          <w:b/>
          <w:bCs/>
        </w:rPr>
      </w:pPr>
      <w:r w:rsidRPr="0092393F">
        <w:rPr>
          <w:rFonts w:asciiTheme="minorHAnsi" w:eastAsia="Calibri" w:hAnsiTheme="minorHAnsi" w:cstheme="minorHAnsi"/>
          <w:b/>
          <w:bCs/>
        </w:rPr>
        <w:t>O</w:t>
      </w:r>
      <w:r w:rsidR="00FE739D" w:rsidRPr="0092393F">
        <w:rPr>
          <w:rFonts w:asciiTheme="minorHAnsi" w:eastAsia="Calibri" w:hAnsiTheme="minorHAnsi" w:cstheme="minorHAnsi"/>
          <w:b/>
          <w:bCs/>
        </w:rPr>
        <w:t xml:space="preserve">bservations (Status of previous and new items) </w:t>
      </w:r>
    </w:p>
    <w:p w14:paraId="01C9873B" w14:textId="77777777" w:rsidR="00FE739D" w:rsidRPr="00F63749" w:rsidRDefault="00FE739D" w:rsidP="00FE739D">
      <w:pPr>
        <w:widowControl/>
        <w:autoSpaceDE/>
        <w:autoSpaceDN/>
        <w:adjustRightInd/>
        <w:ind w:firstLine="360"/>
        <w:rPr>
          <w:rFonts w:asciiTheme="minorHAnsi" w:eastAsia="Calibri" w:hAnsiTheme="minorHAnsi" w:cstheme="minorHAnsi"/>
          <w:b/>
          <w:bCs/>
        </w:rPr>
      </w:pPr>
    </w:p>
    <w:p w14:paraId="1979659C" w14:textId="36F2202F" w:rsidR="00073B38" w:rsidRPr="00F63749" w:rsidRDefault="00073B38" w:rsidP="00FE739D">
      <w:pPr>
        <w:widowControl/>
        <w:autoSpaceDE/>
        <w:autoSpaceDN/>
        <w:adjustRightInd/>
        <w:ind w:firstLine="360"/>
        <w:rPr>
          <w:rFonts w:asciiTheme="minorHAnsi" w:eastAsia="Calibri" w:hAnsiTheme="minorHAnsi" w:cstheme="minorHAnsi"/>
          <w:b/>
          <w:bCs/>
        </w:rPr>
      </w:pPr>
      <w:r w:rsidRPr="00F63749">
        <w:rPr>
          <w:rFonts w:asciiTheme="minorHAnsi" w:eastAsia="Calibri" w:hAnsiTheme="minorHAnsi" w:cstheme="minorHAnsi"/>
          <w:b/>
          <w:bCs/>
        </w:rPr>
        <w:t>Closed FY 2021 Observations</w:t>
      </w:r>
    </w:p>
    <w:p w14:paraId="531E3616" w14:textId="77777777" w:rsidR="00FE739D" w:rsidRPr="00F63749" w:rsidRDefault="00FE739D" w:rsidP="00FE739D">
      <w:pPr>
        <w:widowControl/>
        <w:autoSpaceDE/>
        <w:autoSpaceDN/>
        <w:adjustRightInd/>
        <w:ind w:left="360"/>
        <w:rPr>
          <w:rFonts w:asciiTheme="minorHAnsi" w:eastAsia="Calibri" w:hAnsiTheme="minorHAnsi" w:cstheme="minorHAnsi"/>
          <w:b/>
          <w:bCs/>
        </w:rPr>
      </w:pPr>
    </w:p>
    <w:p w14:paraId="613BBF74" w14:textId="7E576D0E" w:rsidR="00073B38" w:rsidRDefault="00073B38"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FY 2021-OB-2:</w:t>
      </w:r>
      <w:r w:rsidRPr="00F63749">
        <w:rPr>
          <w:rFonts w:asciiTheme="minorHAnsi" w:eastAsia="Calibri" w:hAnsiTheme="minorHAnsi" w:cstheme="minorHAnsi"/>
        </w:rPr>
        <w:t xml:space="preserve"> TOSHA issued only two willful violations, which were reclassified to serious, following the informal conference. Case</w:t>
      </w:r>
      <w:r w:rsidR="0092393F">
        <w:rPr>
          <w:rFonts w:asciiTheme="minorHAnsi" w:eastAsia="Calibri" w:hAnsiTheme="minorHAnsi" w:cstheme="minorHAnsi"/>
        </w:rPr>
        <w:t xml:space="preserve"> </w:t>
      </w:r>
      <w:r w:rsidRPr="00F63749">
        <w:rPr>
          <w:rFonts w:asciiTheme="minorHAnsi" w:eastAsia="Calibri" w:hAnsiTheme="minorHAnsi" w:cstheme="minorHAnsi"/>
        </w:rPr>
        <w:t>file reviews identified seven cases with evidence of intentional disregard or plain indifference and a heightened awareness</w:t>
      </w:r>
      <w:r w:rsidR="00951E7E" w:rsidRPr="00F63749">
        <w:rPr>
          <w:rFonts w:asciiTheme="minorHAnsi" w:eastAsia="Calibri" w:hAnsiTheme="minorHAnsi" w:cstheme="minorHAnsi"/>
        </w:rPr>
        <w:t>;</w:t>
      </w:r>
      <w:r w:rsidRPr="00F63749">
        <w:rPr>
          <w:rFonts w:asciiTheme="minorHAnsi" w:eastAsia="Calibri" w:hAnsiTheme="minorHAnsi" w:cstheme="minorHAnsi"/>
        </w:rPr>
        <w:t xml:space="preserve"> however willful violations were not pursued.</w:t>
      </w:r>
    </w:p>
    <w:p w14:paraId="408B18AF" w14:textId="77777777" w:rsidR="0092393F" w:rsidRPr="00F63749" w:rsidRDefault="0092393F" w:rsidP="00FE739D">
      <w:pPr>
        <w:widowControl/>
        <w:autoSpaceDE/>
        <w:autoSpaceDN/>
        <w:adjustRightInd/>
        <w:ind w:left="360"/>
        <w:rPr>
          <w:rFonts w:asciiTheme="minorHAnsi" w:eastAsia="Calibri" w:hAnsiTheme="minorHAnsi" w:cstheme="minorHAnsi"/>
        </w:rPr>
      </w:pPr>
    </w:p>
    <w:p w14:paraId="4C2C9E4E" w14:textId="0E5845D6" w:rsidR="00073B38" w:rsidRPr="00F63749" w:rsidRDefault="00073B38"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Status:</w:t>
      </w:r>
      <w:r w:rsidRPr="00F63749">
        <w:rPr>
          <w:rFonts w:asciiTheme="minorHAnsi" w:eastAsia="Calibri" w:hAnsiTheme="minorHAnsi" w:cstheme="minorHAnsi"/>
        </w:rPr>
        <w:t xml:space="preserve">  </w:t>
      </w:r>
      <w:r w:rsidR="00951E7E" w:rsidRPr="00F63749">
        <w:rPr>
          <w:rFonts w:asciiTheme="minorHAnsi" w:eastAsia="Calibri" w:hAnsiTheme="minorHAnsi" w:cstheme="minorHAnsi"/>
        </w:rPr>
        <w:t xml:space="preserve">TOSHA </w:t>
      </w:r>
      <w:r w:rsidRPr="00F63749">
        <w:rPr>
          <w:rFonts w:asciiTheme="minorHAnsi" w:eastAsia="Calibri" w:hAnsiTheme="minorHAnsi" w:cstheme="minorHAnsi"/>
        </w:rPr>
        <w:t xml:space="preserve">responded that </w:t>
      </w:r>
      <w:r w:rsidR="00951E7E" w:rsidRPr="00F63749">
        <w:rPr>
          <w:rFonts w:asciiTheme="minorHAnsi" w:eastAsia="Calibri" w:hAnsiTheme="minorHAnsi" w:cstheme="minorHAnsi"/>
        </w:rPr>
        <w:t xml:space="preserve">it </w:t>
      </w:r>
      <w:r w:rsidRPr="00F63749">
        <w:rPr>
          <w:rFonts w:asciiTheme="minorHAnsi" w:eastAsia="Calibri" w:hAnsiTheme="minorHAnsi" w:cstheme="minorHAnsi"/>
        </w:rPr>
        <w:t xml:space="preserve">would continue to apply classifications in accordance with its Field Operations Manual, recognizing that the determination of “intentional disregard” or “ordinarily negligent” can be subjective. In FY 2022, OIS data shows that TOSHA issued 12 willful violations. This observation is being closed.  </w:t>
      </w:r>
    </w:p>
    <w:p w14:paraId="5C433531" w14:textId="77777777" w:rsidR="00FE739D" w:rsidRPr="00F63749" w:rsidRDefault="00FE739D" w:rsidP="00FE739D">
      <w:pPr>
        <w:widowControl/>
        <w:autoSpaceDE/>
        <w:autoSpaceDN/>
        <w:adjustRightInd/>
        <w:ind w:firstLine="360"/>
        <w:rPr>
          <w:rFonts w:asciiTheme="minorHAnsi" w:eastAsia="Calibri" w:hAnsiTheme="minorHAnsi" w:cstheme="minorHAnsi"/>
          <w:b/>
          <w:bCs/>
        </w:rPr>
      </w:pPr>
    </w:p>
    <w:p w14:paraId="66C1F604" w14:textId="451F4913" w:rsidR="00073B38" w:rsidRPr="00F63749" w:rsidRDefault="00073B38" w:rsidP="00FE739D">
      <w:pPr>
        <w:widowControl/>
        <w:autoSpaceDE/>
        <w:autoSpaceDN/>
        <w:adjustRightInd/>
        <w:ind w:firstLine="360"/>
        <w:rPr>
          <w:rFonts w:asciiTheme="minorHAnsi" w:eastAsia="Calibri" w:hAnsiTheme="minorHAnsi" w:cstheme="minorHAnsi"/>
          <w:b/>
          <w:bCs/>
        </w:rPr>
      </w:pPr>
      <w:r w:rsidRPr="00F63749">
        <w:rPr>
          <w:rFonts w:asciiTheme="minorHAnsi" w:eastAsia="Calibri" w:hAnsiTheme="minorHAnsi" w:cstheme="minorHAnsi"/>
          <w:b/>
          <w:bCs/>
        </w:rPr>
        <w:t>Continued Observations</w:t>
      </w:r>
    </w:p>
    <w:p w14:paraId="0E2A86C6" w14:textId="77777777" w:rsidR="00FE739D" w:rsidRPr="00F63749" w:rsidRDefault="00FE739D" w:rsidP="00FE739D">
      <w:pPr>
        <w:widowControl/>
        <w:autoSpaceDE/>
        <w:autoSpaceDN/>
        <w:adjustRightInd/>
        <w:ind w:left="360"/>
        <w:rPr>
          <w:rFonts w:asciiTheme="minorHAnsi" w:eastAsia="Calibri" w:hAnsiTheme="minorHAnsi" w:cstheme="minorHAnsi"/>
          <w:b/>
          <w:bCs/>
        </w:rPr>
      </w:pPr>
    </w:p>
    <w:p w14:paraId="3A07F5EF" w14:textId="668D8E0E" w:rsidR="00073B38" w:rsidRDefault="00073B38"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FY 2021-01 (FY 2020-OB-02):</w:t>
      </w:r>
      <w:r w:rsidRPr="00F63749">
        <w:rPr>
          <w:rFonts w:asciiTheme="minorHAnsi" w:eastAsia="Calibri" w:hAnsiTheme="minorHAnsi" w:cstheme="minorHAnsi"/>
        </w:rPr>
        <w:t xml:space="preserve"> Inspection field notes, including interview notes in the inspection files, are transferred to the Violation Worksheet Form and the notes are destroyed in accordance with the Tennessee Public Records act, specifically n T.C.A. § 10-7-301(14)</w:t>
      </w:r>
      <w:r w:rsidR="00951E7E" w:rsidRPr="00F63749">
        <w:rPr>
          <w:rFonts w:asciiTheme="minorHAnsi" w:eastAsia="Calibri" w:hAnsiTheme="minorHAnsi" w:cstheme="minorHAnsi"/>
        </w:rPr>
        <w:t>,</w:t>
      </w:r>
      <w:r w:rsidRPr="00F63749">
        <w:rPr>
          <w:rFonts w:asciiTheme="minorHAnsi" w:eastAsia="Calibri" w:hAnsiTheme="minorHAnsi" w:cstheme="minorHAnsi"/>
        </w:rPr>
        <w:t xml:space="preserve"> which is contrary to T</w:t>
      </w:r>
      <w:r w:rsidR="00D8695D" w:rsidRPr="00F63749">
        <w:rPr>
          <w:rFonts w:asciiTheme="minorHAnsi" w:eastAsia="Calibri" w:hAnsiTheme="minorHAnsi" w:cstheme="minorHAnsi"/>
        </w:rPr>
        <w:t>OSHA’s</w:t>
      </w:r>
      <w:r w:rsidRPr="00F63749">
        <w:rPr>
          <w:rFonts w:asciiTheme="minorHAnsi" w:eastAsia="Calibri" w:hAnsiTheme="minorHAnsi" w:cstheme="minorHAnsi"/>
        </w:rPr>
        <w:t xml:space="preserve"> Field Operations Manual Chapter 5 – Case File Preparation and Documentation – XII. Inspection Records.</w:t>
      </w:r>
    </w:p>
    <w:p w14:paraId="5F8FA3BF" w14:textId="77777777" w:rsidR="0092393F" w:rsidRPr="00F63749" w:rsidRDefault="0092393F" w:rsidP="00FE739D">
      <w:pPr>
        <w:widowControl/>
        <w:autoSpaceDE/>
        <w:autoSpaceDN/>
        <w:adjustRightInd/>
        <w:ind w:left="360"/>
        <w:rPr>
          <w:rFonts w:asciiTheme="minorHAnsi" w:eastAsia="Calibri" w:hAnsiTheme="minorHAnsi" w:cstheme="minorHAnsi"/>
        </w:rPr>
      </w:pPr>
    </w:p>
    <w:p w14:paraId="5E729CAD" w14:textId="10811B6C" w:rsidR="00073B38" w:rsidRPr="00F63749" w:rsidRDefault="00073B38" w:rsidP="00736D1A">
      <w:pPr>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Status:</w:t>
      </w:r>
      <w:r w:rsidRPr="00F63749">
        <w:rPr>
          <w:rFonts w:asciiTheme="minorHAnsi" w:eastAsia="Calibri" w:hAnsiTheme="minorHAnsi" w:cstheme="minorHAnsi"/>
        </w:rPr>
        <w:t xml:space="preserve"> Tennessee OSHA strongly disagrees with this observation and does not intend to make any changes regarding retention of field notes. This observation is being continued.</w:t>
      </w:r>
    </w:p>
    <w:p w14:paraId="50A2548C" w14:textId="77777777" w:rsidR="00FE739D" w:rsidRPr="00F63749" w:rsidRDefault="00FE739D" w:rsidP="00736D1A">
      <w:pPr>
        <w:autoSpaceDE/>
        <w:autoSpaceDN/>
        <w:adjustRightInd/>
        <w:ind w:left="360"/>
        <w:rPr>
          <w:rFonts w:asciiTheme="minorHAnsi" w:eastAsia="Calibri" w:hAnsiTheme="minorHAnsi" w:cstheme="minorHAnsi"/>
          <w:b/>
          <w:bCs/>
        </w:rPr>
      </w:pPr>
    </w:p>
    <w:p w14:paraId="6DF1844B" w14:textId="6F4EE8AD" w:rsidR="00073B38" w:rsidRDefault="00073B38" w:rsidP="00736D1A">
      <w:pPr>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FY 2021-OB-3:</w:t>
      </w:r>
      <w:r w:rsidRPr="00F63749">
        <w:rPr>
          <w:rFonts w:asciiTheme="minorHAnsi" w:eastAsia="Calibri" w:hAnsiTheme="minorHAnsi" w:cstheme="minorHAnsi"/>
        </w:rPr>
        <w:t xml:space="preserve"> TOSHA incorrectly and inconsistently uses administrative closure and case withdrawal procedures. Specifically, certain cases were listed as agency withdrawals but </w:t>
      </w:r>
      <w:r w:rsidRPr="00F63749">
        <w:rPr>
          <w:rFonts w:asciiTheme="minorHAnsi" w:eastAsia="Calibri" w:hAnsiTheme="minorHAnsi" w:cstheme="minorHAnsi"/>
        </w:rPr>
        <w:lastRenderedPageBreak/>
        <w:t>dismissed because of a lack of cooperation by the complainant.</w:t>
      </w:r>
    </w:p>
    <w:p w14:paraId="41412FCE" w14:textId="77777777" w:rsidR="0092393F" w:rsidRPr="00F63749" w:rsidRDefault="0092393F" w:rsidP="00FE739D">
      <w:pPr>
        <w:widowControl/>
        <w:autoSpaceDE/>
        <w:autoSpaceDN/>
        <w:adjustRightInd/>
        <w:ind w:left="360"/>
        <w:rPr>
          <w:rFonts w:asciiTheme="minorHAnsi" w:eastAsia="Calibri" w:hAnsiTheme="minorHAnsi" w:cstheme="minorHAnsi"/>
        </w:rPr>
      </w:pPr>
    </w:p>
    <w:p w14:paraId="656D1D37" w14:textId="773B0261" w:rsidR="00073B38" w:rsidRPr="00F63749" w:rsidRDefault="00073B38"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Status:</w:t>
      </w:r>
      <w:r w:rsidRPr="00F63749">
        <w:rPr>
          <w:rFonts w:asciiTheme="minorHAnsi" w:eastAsia="Calibri" w:hAnsiTheme="minorHAnsi" w:cstheme="minorHAnsi"/>
        </w:rPr>
        <w:t xml:space="preserve"> T</w:t>
      </w:r>
      <w:r w:rsidR="00D8695D" w:rsidRPr="00F63749">
        <w:rPr>
          <w:rFonts w:asciiTheme="minorHAnsi" w:eastAsia="Calibri" w:hAnsiTheme="minorHAnsi" w:cstheme="minorHAnsi"/>
        </w:rPr>
        <w:t xml:space="preserve">OSHA </w:t>
      </w:r>
      <w:r w:rsidRPr="00F63749">
        <w:rPr>
          <w:rFonts w:asciiTheme="minorHAnsi" w:eastAsia="Calibri" w:hAnsiTheme="minorHAnsi" w:cstheme="minorHAnsi"/>
        </w:rPr>
        <w:t xml:space="preserve">responded that </w:t>
      </w:r>
      <w:r w:rsidR="00D8695D" w:rsidRPr="00F63749">
        <w:rPr>
          <w:rFonts w:asciiTheme="minorHAnsi" w:eastAsia="Calibri" w:hAnsiTheme="minorHAnsi" w:cstheme="minorHAnsi"/>
        </w:rPr>
        <w:t>it has</w:t>
      </w:r>
      <w:r w:rsidRPr="00F63749">
        <w:rPr>
          <w:rFonts w:asciiTheme="minorHAnsi" w:eastAsia="Calibri" w:hAnsiTheme="minorHAnsi" w:cstheme="minorHAnsi"/>
        </w:rPr>
        <w:t xml:space="preserve"> increase</w:t>
      </w:r>
      <w:r w:rsidR="00D8695D" w:rsidRPr="00F63749">
        <w:rPr>
          <w:rFonts w:asciiTheme="minorHAnsi" w:eastAsia="Calibri" w:hAnsiTheme="minorHAnsi" w:cstheme="minorHAnsi"/>
        </w:rPr>
        <w:t xml:space="preserve">d </w:t>
      </w:r>
      <w:r w:rsidRPr="00F63749">
        <w:rPr>
          <w:rFonts w:asciiTheme="minorHAnsi" w:eastAsia="Calibri" w:hAnsiTheme="minorHAnsi" w:cstheme="minorHAnsi"/>
        </w:rPr>
        <w:t>efforts to reduce the clerical errors addressed by this observation. This was corrected during the FY 2021 onsite evaluation; TOSHA changed their procedure and is correctly and consistently using administrative closure and case withdrawal procedures. This observation is awaiting verification in</w:t>
      </w:r>
      <w:r w:rsidR="00A63274">
        <w:rPr>
          <w:rFonts w:asciiTheme="minorHAnsi" w:eastAsia="Calibri" w:hAnsiTheme="minorHAnsi" w:cstheme="minorHAnsi"/>
        </w:rPr>
        <w:t xml:space="preserve"> onsite case file review in the</w:t>
      </w:r>
      <w:r w:rsidRPr="00F63749">
        <w:rPr>
          <w:rFonts w:asciiTheme="minorHAnsi" w:eastAsia="Calibri" w:hAnsiTheme="minorHAnsi" w:cstheme="minorHAnsi"/>
        </w:rPr>
        <w:t xml:space="preserve"> FY 2023</w:t>
      </w:r>
      <w:r w:rsidR="00A63274">
        <w:rPr>
          <w:rFonts w:asciiTheme="minorHAnsi" w:eastAsia="Calibri" w:hAnsiTheme="minorHAnsi" w:cstheme="minorHAnsi"/>
        </w:rPr>
        <w:t xml:space="preserve"> Comprehensive FAME</w:t>
      </w:r>
      <w:r w:rsidRPr="00F63749">
        <w:rPr>
          <w:rFonts w:asciiTheme="minorHAnsi" w:eastAsia="Calibri" w:hAnsiTheme="minorHAnsi" w:cstheme="minorHAnsi"/>
        </w:rPr>
        <w:t xml:space="preserve">. </w:t>
      </w:r>
    </w:p>
    <w:p w14:paraId="381F8F6E" w14:textId="77777777" w:rsidR="00FE739D" w:rsidRPr="00F63749" w:rsidRDefault="00FE739D" w:rsidP="00FE739D">
      <w:pPr>
        <w:widowControl/>
        <w:autoSpaceDE/>
        <w:autoSpaceDN/>
        <w:adjustRightInd/>
        <w:ind w:firstLine="360"/>
        <w:rPr>
          <w:rFonts w:asciiTheme="minorHAnsi" w:eastAsia="Calibri" w:hAnsiTheme="minorHAnsi" w:cstheme="minorHAnsi"/>
          <w:b/>
          <w:bCs/>
        </w:rPr>
      </w:pPr>
    </w:p>
    <w:p w14:paraId="2606BD72" w14:textId="6282345C" w:rsidR="00073B38" w:rsidRPr="00F63749" w:rsidRDefault="00073B38" w:rsidP="00FE739D">
      <w:pPr>
        <w:widowControl/>
        <w:autoSpaceDE/>
        <w:autoSpaceDN/>
        <w:adjustRightInd/>
        <w:ind w:firstLine="360"/>
        <w:rPr>
          <w:rFonts w:asciiTheme="minorHAnsi" w:eastAsia="Calibri" w:hAnsiTheme="minorHAnsi" w:cstheme="minorHAnsi"/>
          <w:b/>
          <w:bCs/>
        </w:rPr>
      </w:pPr>
      <w:r w:rsidRPr="00F63749">
        <w:rPr>
          <w:rFonts w:asciiTheme="minorHAnsi" w:eastAsia="Calibri" w:hAnsiTheme="minorHAnsi" w:cstheme="minorHAnsi"/>
          <w:b/>
          <w:bCs/>
        </w:rPr>
        <w:t>New Observations</w:t>
      </w:r>
    </w:p>
    <w:p w14:paraId="5B6A4D8F" w14:textId="77777777" w:rsidR="00FE739D" w:rsidRPr="00F63749" w:rsidRDefault="00FE739D" w:rsidP="00FE739D">
      <w:pPr>
        <w:widowControl/>
        <w:autoSpaceDE/>
        <w:autoSpaceDN/>
        <w:adjustRightInd/>
        <w:ind w:left="360"/>
        <w:rPr>
          <w:rFonts w:asciiTheme="minorHAnsi" w:eastAsia="Calibri" w:hAnsiTheme="minorHAnsi" w:cstheme="minorHAnsi"/>
          <w:b/>
          <w:bCs/>
          <w:sz w:val="22"/>
          <w:szCs w:val="22"/>
        </w:rPr>
      </w:pPr>
    </w:p>
    <w:p w14:paraId="6B9E788E" w14:textId="2DCE38EB" w:rsidR="00073B38" w:rsidRPr="00F63749" w:rsidRDefault="00073B38"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FY 2022-OB-3:</w:t>
      </w:r>
      <w:r w:rsidRPr="00F63749">
        <w:rPr>
          <w:rFonts w:asciiTheme="minorHAnsi" w:eastAsia="Calibri" w:hAnsiTheme="minorHAnsi" w:cstheme="minorHAnsi"/>
        </w:rPr>
        <w:t xml:space="preserve"> In FY 2022, planned versus actual inspections (SAMM 7b), TOSHA conducted 324 (actual) health inspections which was significantly short of the planned 390 health inspections as well as the minimum FRL.</w:t>
      </w:r>
    </w:p>
    <w:p w14:paraId="4962209C" w14:textId="77777777" w:rsidR="00397D49" w:rsidRPr="00F63749" w:rsidRDefault="00397D49" w:rsidP="00FE739D">
      <w:pPr>
        <w:widowControl/>
        <w:autoSpaceDE/>
        <w:autoSpaceDN/>
        <w:adjustRightInd/>
        <w:ind w:left="360"/>
        <w:rPr>
          <w:rFonts w:asciiTheme="minorHAnsi" w:eastAsia="Calibri" w:hAnsiTheme="minorHAnsi" w:cstheme="minorHAnsi"/>
          <w:b/>
          <w:bCs/>
        </w:rPr>
      </w:pPr>
    </w:p>
    <w:p w14:paraId="3983DDFE" w14:textId="215DD8C3" w:rsidR="00073B38" w:rsidRPr="00F63749" w:rsidRDefault="00073B38"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Federal Monitoring Plan:</w:t>
      </w:r>
      <w:r w:rsidRPr="00F63749">
        <w:rPr>
          <w:rFonts w:asciiTheme="minorHAnsi" w:eastAsia="Calibri" w:hAnsiTheme="minorHAnsi" w:cstheme="minorHAnsi"/>
        </w:rPr>
        <w:t xml:space="preserve"> OSHA will monitor the Tennessee State Plan during FY 2023 to ensure the State </w:t>
      </w:r>
      <w:r w:rsidR="00D8695D" w:rsidRPr="00F63749">
        <w:rPr>
          <w:rFonts w:asciiTheme="minorHAnsi" w:eastAsia="Calibri" w:hAnsiTheme="minorHAnsi" w:cstheme="minorHAnsi"/>
        </w:rPr>
        <w:t xml:space="preserve">Plan </w:t>
      </w:r>
      <w:r w:rsidRPr="00F63749">
        <w:rPr>
          <w:rFonts w:asciiTheme="minorHAnsi" w:eastAsia="Calibri" w:hAnsiTheme="minorHAnsi" w:cstheme="minorHAnsi"/>
        </w:rPr>
        <w:t>is withing the FRL.</w:t>
      </w:r>
    </w:p>
    <w:p w14:paraId="56727EA0" w14:textId="77777777" w:rsidR="00FE739D" w:rsidRPr="00F63749" w:rsidRDefault="00FE739D" w:rsidP="00FE739D">
      <w:pPr>
        <w:widowControl/>
        <w:autoSpaceDE/>
        <w:autoSpaceDN/>
        <w:adjustRightInd/>
        <w:ind w:left="360"/>
        <w:rPr>
          <w:rFonts w:asciiTheme="minorHAnsi" w:eastAsia="Calibri" w:hAnsiTheme="minorHAnsi" w:cstheme="minorHAnsi"/>
          <w:b/>
          <w:bCs/>
        </w:rPr>
      </w:pPr>
    </w:p>
    <w:p w14:paraId="12E81D3D" w14:textId="3FF5DED6" w:rsidR="00073B38" w:rsidRPr="00F63749" w:rsidRDefault="00073B38"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Discussion:</w:t>
      </w:r>
      <w:r w:rsidRPr="00F63749">
        <w:rPr>
          <w:rFonts w:asciiTheme="minorHAnsi" w:eastAsia="Calibri" w:hAnsiTheme="minorHAnsi" w:cstheme="minorHAnsi"/>
        </w:rPr>
        <w:t xml:space="preserve"> The FRL for planned versus actual inspections for health is +/- the negotiated number in the FY 2022 Grant which was 390 health inspections.  The acceptable range was 370.5 to 409.5 inspections.  TOSHA conducted 324 health inspections which was significantly short of the minimum FRL.  Since this is the first year that this State Plan has dipped below the FRL on SAMM 7b, OSHA will monitor the situation as an observation.</w:t>
      </w:r>
    </w:p>
    <w:p w14:paraId="7C2F3EA1" w14:textId="77777777" w:rsidR="005E038B" w:rsidRPr="00F63749" w:rsidRDefault="005E038B" w:rsidP="00FE739D">
      <w:pPr>
        <w:widowControl/>
        <w:autoSpaceDE/>
        <w:autoSpaceDN/>
        <w:adjustRightInd/>
        <w:rPr>
          <w:rFonts w:asciiTheme="minorHAnsi" w:hAnsiTheme="minorHAnsi" w:cstheme="minorHAnsi"/>
          <w:bCs/>
        </w:rPr>
      </w:pPr>
    </w:p>
    <w:p w14:paraId="3B828F9D" w14:textId="6C45BA5D" w:rsidR="00F132A8" w:rsidRPr="0092393F" w:rsidRDefault="00F132A8" w:rsidP="00A63274">
      <w:pPr>
        <w:pStyle w:val="Heading3"/>
      </w:pPr>
      <w:bookmarkStart w:id="18" w:name="_Toc118900177"/>
      <w:bookmarkStart w:id="19" w:name="_Toc118905016"/>
      <w:bookmarkStart w:id="20" w:name="_Toc128482013"/>
      <w:r w:rsidRPr="0092393F">
        <w:t>State Activity Mandated Measures (SAMM)</w:t>
      </w:r>
      <w:r w:rsidR="00A243D6" w:rsidRPr="0092393F">
        <w:t xml:space="preserve"> Highlights</w:t>
      </w:r>
      <w:bookmarkEnd w:id="18"/>
      <w:bookmarkEnd w:id="19"/>
      <w:bookmarkEnd w:id="20"/>
    </w:p>
    <w:p w14:paraId="1ACC4DE2" w14:textId="7B29DEF8" w:rsidR="00F132A8" w:rsidRPr="00F63749" w:rsidRDefault="00F132A8" w:rsidP="00FE739D">
      <w:pPr>
        <w:widowControl/>
        <w:autoSpaceDE/>
        <w:autoSpaceDN/>
        <w:adjustRightInd/>
        <w:contextualSpacing/>
        <w:rPr>
          <w:rFonts w:asciiTheme="minorHAnsi" w:hAnsiTheme="minorHAnsi" w:cstheme="minorHAnsi"/>
          <w:sz w:val="28"/>
          <w:szCs w:val="28"/>
        </w:rPr>
      </w:pPr>
    </w:p>
    <w:p w14:paraId="349B4F74" w14:textId="1BCFA413" w:rsidR="00FE739D" w:rsidRPr="00F63749" w:rsidRDefault="00493FD1"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rPr>
        <w:t xml:space="preserve">Each SAMM has an agreed upon further review level (FRL) that can be either a single number or a range of numbers above and below the </w:t>
      </w:r>
      <w:r w:rsidR="00D8695D" w:rsidRPr="00F63749">
        <w:rPr>
          <w:rFonts w:asciiTheme="minorHAnsi" w:eastAsia="Calibri" w:hAnsiTheme="minorHAnsi" w:cstheme="minorHAnsi"/>
        </w:rPr>
        <w:t xml:space="preserve">three-year </w:t>
      </w:r>
      <w:r w:rsidRPr="00F63749">
        <w:rPr>
          <w:rFonts w:asciiTheme="minorHAnsi" w:eastAsia="Calibri" w:hAnsiTheme="minorHAnsi" w:cstheme="minorHAnsi"/>
        </w:rPr>
        <w:t>national average. SAMM data that falls outside the FRL triggers a closer look at the underlying performance of the mandatory activity. Appendix D presents the State Plan’s FY 202</w:t>
      </w:r>
      <w:r w:rsidR="00101A7B" w:rsidRPr="00F63749">
        <w:rPr>
          <w:rFonts w:asciiTheme="minorHAnsi" w:eastAsia="Calibri" w:hAnsiTheme="minorHAnsi" w:cstheme="minorHAnsi"/>
        </w:rPr>
        <w:t>2</w:t>
      </w:r>
      <w:r w:rsidRPr="00F63749">
        <w:rPr>
          <w:rFonts w:asciiTheme="minorHAnsi" w:eastAsia="Calibri" w:hAnsiTheme="minorHAnsi" w:cstheme="minorHAnsi"/>
        </w:rPr>
        <w:t xml:space="preserve"> State Activity Mandated Measures (SAMM) Report and includes the FRLs for each measure. </w:t>
      </w:r>
    </w:p>
    <w:p w14:paraId="5648B1FD" w14:textId="77777777" w:rsidR="00FE739D" w:rsidRPr="00F63749" w:rsidRDefault="00FE739D" w:rsidP="00FE739D">
      <w:pPr>
        <w:widowControl/>
        <w:autoSpaceDE/>
        <w:autoSpaceDN/>
        <w:adjustRightInd/>
        <w:ind w:left="360"/>
        <w:rPr>
          <w:rFonts w:asciiTheme="minorHAnsi" w:eastAsia="Calibri" w:hAnsiTheme="minorHAnsi" w:cstheme="minorHAnsi"/>
          <w:sz w:val="22"/>
          <w:szCs w:val="22"/>
        </w:rPr>
      </w:pPr>
    </w:p>
    <w:p w14:paraId="08535E67" w14:textId="77777777" w:rsidR="00FE739D" w:rsidRPr="00F63749" w:rsidRDefault="00FE739D" w:rsidP="00FE739D">
      <w:pPr>
        <w:widowControl/>
        <w:autoSpaceDE/>
        <w:adjustRightInd/>
        <w:ind w:left="360"/>
        <w:rPr>
          <w:rFonts w:asciiTheme="minorHAnsi" w:hAnsiTheme="minorHAnsi" w:cstheme="minorHAnsi"/>
        </w:rPr>
      </w:pPr>
      <w:r w:rsidRPr="00F63749">
        <w:rPr>
          <w:rFonts w:asciiTheme="minorHAnsi" w:hAnsiTheme="minorHAnsi" w:cstheme="minorHAnsi"/>
        </w:rPr>
        <w:t>It should be noted that OSHA is in the final stages of transitioning from the Whistleblower Application in the OSHA IT Support System (OITSS), a legacy data system, to the Whistleblower module in OIS, a modern data system.  For FY 2022, a portion of the State Plan whistleblower data was recorded OITSS, and a portion was captured in OIS.   OSHA encountered challenges in combining the report that generates SAMM 14, 15, and 16 from both systems.  As such, OSHA will not be relying on SAMMs 14, 15, or 16 in their evaluation of the State Plans whistleblower programs for FY 2022.</w:t>
      </w:r>
    </w:p>
    <w:p w14:paraId="7AA78983" w14:textId="77777777" w:rsidR="00FE739D" w:rsidRPr="00F63749" w:rsidRDefault="00FE739D" w:rsidP="00FE739D">
      <w:pPr>
        <w:widowControl/>
        <w:autoSpaceDE/>
        <w:autoSpaceDN/>
        <w:adjustRightInd/>
        <w:ind w:left="360"/>
        <w:rPr>
          <w:rFonts w:asciiTheme="minorHAnsi" w:eastAsia="Calibri" w:hAnsiTheme="minorHAnsi" w:cstheme="minorHAnsi"/>
          <w:sz w:val="22"/>
          <w:szCs w:val="22"/>
        </w:rPr>
      </w:pPr>
    </w:p>
    <w:p w14:paraId="79364351" w14:textId="3DE1231B" w:rsidR="00493FD1" w:rsidRPr="00F63749" w:rsidRDefault="00493FD1"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rPr>
        <w:t>The State Plan’s performance in the following SAMMs was outside the FRLs:</w:t>
      </w:r>
    </w:p>
    <w:p w14:paraId="56D83586" w14:textId="77777777" w:rsidR="00FE739D" w:rsidRPr="00F63749" w:rsidRDefault="00FE739D" w:rsidP="00FE739D">
      <w:pPr>
        <w:widowControl/>
        <w:autoSpaceDE/>
        <w:autoSpaceDN/>
        <w:adjustRightInd/>
        <w:ind w:left="360"/>
        <w:rPr>
          <w:rFonts w:asciiTheme="minorHAnsi" w:eastAsia="Calibri" w:hAnsiTheme="minorHAnsi" w:cstheme="minorHAnsi"/>
          <w:b/>
          <w:bCs/>
          <w:sz w:val="23"/>
          <w:szCs w:val="23"/>
        </w:rPr>
      </w:pPr>
      <w:bookmarkStart w:id="21" w:name="_Hlk128477104"/>
    </w:p>
    <w:p w14:paraId="31C1783B" w14:textId="01709386" w:rsidR="00493FD1" w:rsidRPr="00F63749" w:rsidRDefault="00493FD1" w:rsidP="00FE739D">
      <w:pPr>
        <w:widowControl/>
        <w:autoSpaceDE/>
        <w:autoSpaceDN/>
        <w:adjustRightInd/>
        <w:ind w:left="360"/>
        <w:rPr>
          <w:rFonts w:asciiTheme="minorHAnsi" w:eastAsia="Calibri" w:hAnsiTheme="minorHAnsi" w:cstheme="minorHAnsi"/>
          <w:b/>
          <w:bCs/>
        </w:rPr>
      </w:pPr>
      <w:r w:rsidRPr="00F63749">
        <w:rPr>
          <w:rFonts w:asciiTheme="minorHAnsi" w:eastAsia="Calibri" w:hAnsiTheme="minorHAnsi" w:cstheme="minorHAnsi"/>
          <w:b/>
          <w:bCs/>
        </w:rPr>
        <w:t>SAMM 3 - Percent of complaints and referrals responded to within one workday (imminent danger)</w:t>
      </w:r>
    </w:p>
    <w:bookmarkEnd w:id="21"/>
    <w:p w14:paraId="353885CE" w14:textId="27AB3B46" w:rsidR="00493FD1" w:rsidRDefault="00493FD1" w:rsidP="00FE739D">
      <w:pPr>
        <w:widowControl/>
        <w:ind w:left="360"/>
        <w:rPr>
          <w:rFonts w:asciiTheme="minorHAnsi" w:eastAsia="Calibri" w:hAnsiTheme="minorHAnsi" w:cstheme="minorHAnsi"/>
        </w:rPr>
      </w:pPr>
      <w:r w:rsidRPr="00F63749">
        <w:rPr>
          <w:rFonts w:asciiTheme="minorHAnsi" w:eastAsia="Calibri" w:hAnsiTheme="minorHAnsi" w:cstheme="minorHAnsi"/>
          <w:u w:val="single"/>
        </w:rPr>
        <w:lastRenderedPageBreak/>
        <w:t>Discussion of State Plan data and FRL:</w:t>
      </w:r>
      <w:r w:rsidRPr="00F63749">
        <w:rPr>
          <w:rFonts w:asciiTheme="minorHAnsi" w:eastAsia="Calibri" w:hAnsiTheme="minorHAnsi" w:cstheme="minorHAnsi"/>
        </w:rPr>
        <w:t xml:space="preserve"> The FRL for the percent of complaints and referrals responded to within one workday (imminent danger) is 100% and is fixed for all State Plans.  TOSHA responded to 90% of imminent danger complaints and referrals within one workday in FY 2022.</w:t>
      </w:r>
    </w:p>
    <w:p w14:paraId="6F0DBB7A" w14:textId="77777777" w:rsidR="00A63274" w:rsidRPr="00F63749" w:rsidRDefault="00A63274" w:rsidP="00FE739D">
      <w:pPr>
        <w:widowControl/>
        <w:ind w:left="360"/>
        <w:rPr>
          <w:rFonts w:asciiTheme="minorHAnsi" w:hAnsiTheme="minorHAnsi" w:cstheme="minorHAnsi"/>
        </w:rPr>
      </w:pPr>
    </w:p>
    <w:p w14:paraId="0EDFE461" w14:textId="0F296687" w:rsidR="00493FD1" w:rsidRPr="00F63749" w:rsidRDefault="00493FD1" w:rsidP="00FE739D">
      <w:pPr>
        <w:widowControl/>
        <w:ind w:left="360"/>
        <w:rPr>
          <w:rFonts w:asciiTheme="minorHAnsi" w:hAnsiTheme="minorHAnsi" w:cstheme="minorHAnsi"/>
        </w:rPr>
      </w:pPr>
      <w:r w:rsidRPr="00F63749">
        <w:rPr>
          <w:rFonts w:asciiTheme="minorHAnsi" w:hAnsiTheme="minorHAnsi" w:cstheme="minorHAnsi"/>
          <w:u w:val="single"/>
        </w:rPr>
        <w:t>Explanation:</w:t>
      </w:r>
      <w:r w:rsidRPr="00F63749">
        <w:rPr>
          <w:rFonts w:asciiTheme="minorHAnsi" w:hAnsiTheme="minorHAnsi" w:cstheme="minorHAnsi"/>
        </w:rPr>
        <w:t xml:space="preserve"> </w:t>
      </w:r>
      <w:r w:rsidR="7055C1DD" w:rsidRPr="00F63749">
        <w:rPr>
          <w:rFonts w:asciiTheme="minorHAnsi" w:hAnsiTheme="minorHAnsi" w:cstheme="minorHAnsi"/>
        </w:rPr>
        <w:t xml:space="preserve">There was one outlier, </w:t>
      </w:r>
      <w:r w:rsidR="738D629F" w:rsidRPr="00F63749">
        <w:rPr>
          <w:rFonts w:asciiTheme="minorHAnsi" w:hAnsiTheme="minorHAnsi" w:cstheme="minorHAnsi"/>
        </w:rPr>
        <w:t xml:space="preserve">the CSHO was dispatched to scene same day the complaint was received (4/26/2022) as the allegation of an unprotected trench appeared to be an imminent danger. </w:t>
      </w:r>
      <w:r w:rsidR="00D8695D" w:rsidRPr="00F63749">
        <w:rPr>
          <w:rFonts w:asciiTheme="minorHAnsi" w:hAnsiTheme="minorHAnsi" w:cstheme="minorHAnsi"/>
        </w:rPr>
        <w:t xml:space="preserve">The </w:t>
      </w:r>
      <w:r w:rsidR="738D629F" w:rsidRPr="00F63749">
        <w:rPr>
          <w:rFonts w:asciiTheme="minorHAnsi" w:hAnsiTheme="minorHAnsi" w:cstheme="minorHAnsi"/>
        </w:rPr>
        <w:t xml:space="preserve">CSHO arrived to find no work or workers present. </w:t>
      </w:r>
      <w:r w:rsidR="00D8695D" w:rsidRPr="00F63749">
        <w:rPr>
          <w:rFonts w:asciiTheme="minorHAnsi" w:hAnsiTheme="minorHAnsi" w:cstheme="minorHAnsi"/>
        </w:rPr>
        <w:t xml:space="preserve">The </w:t>
      </w:r>
      <w:r w:rsidR="738D629F" w:rsidRPr="00F63749">
        <w:rPr>
          <w:rFonts w:asciiTheme="minorHAnsi" w:hAnsiTheme="minorHAnsi" w:cstheme="minorHAnsi"/>
        </w:rPr>
        <w:t xml:space="preserve">Complainant was contacted and informed to contact TOSHA when workers were onsite. On 5/2/2022 the complainant contacted TOSHA and </w:t>
      </w:r>
      <w:r w:rsidR="00D8695D" w:rsidRPr="00F63749">
        <w:rPr>
          <w:rFonts w:asciiTheme="minorHAnsi" w:hAnsiTheme="minorHAnsi" w:cstheme="minorHAnsi"/>
        </w:rPr>
        <w:t xml:space="preserve">the </w:t>
      </w:r>
      <w:r w:rsidR="738D629F" w:rsidRPr="00F63749">
        <w:rPr>
          <w:rFonts w:asciiTheme="minorHAnsi" w:hAnsiTheme="minorHAnsi" w:cstheme="minorHAnsi"/>
        </w:rPr>
        <w:t>CSHO returned to the worksite.</w:t>
      </w:r>
      <w:r w:rsidR="56B79B22" w:rsidRPr="00F63749">
        <w:rPr>
          <w:rFonts w:asciiTheme="minorHAnsi" w:hAnsiTheme="minorHAnsi" w:cstheme="minorHAnsi"/>
        </w:rPr>
        <w:t xml:space="preserve"> The State </w:t>
      </w:r>
      <w:r w:rsidR="00D8695D" w:rsidRPr="00F63749">
        <w:rPr>
          <w:rFonts w:asciiTheme="minorHAnsi" w:hAnsiTheme="minorHAnsi" w:cstheme="minorHAnsi"/>
        </w:rPr>
        <w:t xml:space="preserve">Plan </w:t>
      </w:r>
      <w:r w:rsidR="56B79B22" w:rsidRPr="00F63749">
        <w:rPr>
          <w:rFonts w:asciiTheme="minorHAnsi" w:hAnsiTheme="minorHAnsi" w:cstheme="minorHAnsi"/>
        </w:rPr>
        <w:t>met the intent of responding and this is not an issue.</w:t>
      </w:r>
    </w:p>
    <w:p w14:paraId="7B2C4536" w14:textId="77777777" w:rsidR="00081300" w:rsidRPr="00F63749" w:rsidRDefault="00081300" w:rsidP="00FE739D">
      <w:pPr>
        <w:widowControl/>
        <w:ind w:firstLine="360"/>
        <w:rPr>
          <w:rFonts w:asciiTheme="minorHAnsi" w:eastAsia="Calibri" w:hAnsiTheme="minorHAnsi" w:cstheme="minorHAnsi"/>
          <w:b/>
          <w:bCs/>
          <w:color w:val="000000"/>
        </w:rPr>
      </w:pPr>
    </w:p>
    <w:p w14:paraId="1A31CC26" w14:textId="0B0FE0B5" w:rsidR="00493FD1" w:rsidRPr="00F63749" w:rsidRDefault="00493FD1" w:rsidP="00FE739D">
      <w:pPr>
        <w:widowControl/>
        <w:ind w:firstLine="360"/>
        <w:rPr>
          <w:rFonts w:asciiTheme="minorHAnsi" w:eastAsia="Calibri" w:hAnsiTheme="minorHAnsi" w:cstheme="minorHAnsi"/>
          <w:b/>
          <w:bCs/>
          <w:color w:val="000000"/>
        </w:rPr>
      </w:pPr>
      <w:r w:rsidRPr="00F63749">
        <w:rPr>
          <w:rFonts w:asciiTheme="minorHAnsi" w:eastAsia="Calibri" w:hAnsiTheme="minorHAnsi" w:cstheme="minorHAnsi"/>
          <w:b/>
          <w:bCs/>
          <w:color w:val="000000"/>
        </w:rPr>
        <w:t>SAMM 6 - Percent of total inspections in state and local government workplaces</w:t>
      </w:r>
    </w:p>
    <w:p w14:paraId="0371978A" w14:textId="22B6C47C" w:rsidR="00493FD1" w:rsidRDefault="00493FD1" w:rsidP="00FE739D">
      <w:pPr>
        <w:widowControl/>
        <w:ind w:left="360"/>
        <w:rPr>
          <w:rFonts w:asciiTheme="minorHAnsi" w:eastAsia="Calibri" w:hAnsiTheme="minorHAnsi" w:cstheme="minorHAnsi"/>
          <w:color w:val="000000"/>
        </w:rPr>
      </w:pPr>
      <w:r w:rsidRPr="00F63749">
        <w:rPr>
          <w:rFonts w:asciiTheme="minorHAnsi" w:eastAsia="Calibri" w:hAnsiTheme="minorHAnsi" w:cstheme="minorHAnsi"/>
          <w:color w:val="000000"/>
          <w:u w:val="single"/>
        </w:rPr>
        <w:t>Discussion of State Plan data and FRL:</w:t>
      </w:r>
      <w:r w:rsidRPr="00F63749">
        <w:rPr>
          <w:rFonts w:asciiTheme="minorHAnsi" w:eastAsia="Calibri" w:hAnsiTheme="minorHAnsi" w:cstheme="minorHAnsi"/>
          <w:color w:val="000000"/>
        </w:rPr>
        <w:t xml:space="preserve"> The FRL for the percent of total inspections in state and local government workplaces is based on a number negotiated by OSHA and is +/- 5% of 38.26%. The range of acceptable data not requiring further review is from 36.34% to 40.17%. TOSHA’s percent of total inspections in state and local government workplaces was 40.41% and warranted a closer look. </w:t>
      </w:r>
    </w:p>
    <w:p w14:paraId="589C971F" w14:textId="77777777" w:rsidR="00A63274" w:rsidRPr="00F63749" w:rsidRDefault="00A63274" w:rsidP="00FE739D">
      <w:pPr>
        <w:widowControl/>
        <w:ind w:left="360"/>
        <w:rPr>
          <w:rFonts w:asciiTheme="minorHAnsi" w:eastAsia="Calibri" w:hAnsiTheme="minorHAnsi" w:cstheme="minorHAnsi"/>
          <w:color w:val="000000"/>
        </w:rPr>
      </w:pPr>
    </w:p>
    <w:p w14:paraId="22CE0FEF" w14:textId="2CE850A8" w:rsidR="00493FD1" w:rsidRPr="00F63749" w:rsidRDefault="00493FD1" w:rsidP="00FE739D">
      <w:pPr>
        <w:widowControl/>
        <w:ind w:left="360"/>
        <w:rPr>
          <w:rFonts w:asciiTheme="minorHAnsi" w:eastAsia="Calibri" w:hAnsiTheme="minorHAnsi" w:cstheme="minorHAnsi"/>
          <w:color w:val="000000"/>
        </w:rPr>
      </w:pPr>
      <w:r w:rsidRPr="00F63749">
        <w:rPr>
          <w:rFonts w:asciiTheme="minorHAnsi" w:eastAsia="Calibri" w:hAnsiTheme="minorHAnsi" w:cstheme="minorHAnsi"/>
          <w:color w:val="000000"/>
          <w:u w:val="single"/>
        </w:rPr>
        <w:t>Explanation:</w:t>
      </w:r>
      <w:r w:rsidRPr="00F63749">
        <w:rPr>
          <w:rFonts w:asciiTheme="minorHAnsi" w:eastAsia="Calibri" w:hAnsiTheme="minorHAnsi" w:cstheme="minorHAnsi"/>
          <w:color w:val="000000"/>
        </w:rPr>
        <w:t xml:space="preserve"> Tennessee </w:t>
      </w:r>
      <w:r w:rsidR="00D8695D" w:rsidRPr="00F63749">
        <w:rPr>
          <w:rFonts w:asciiTheme="minorHAnsi" w:eastAsia="Calibri" w:hAnsiTheme="minorHAnsi" w:cstheme="minorHAnsi"/>
          <w:color w:val="000000"/>
        </w:rPr>
        <w:t>S</w:t>
      </w:r>
      <w:r w:rsidRPr="00F63749">
        <w:rPr>
          <w:rFonts w:asciiTheme="minorHAnsi" w:eastAsia="Calibri" w:hAnsiTheme="minorHAnsi" w:cstheme="minorHAnsi"/>
          <w:color w:val="000000"/>
        </w:rPr>
        <w:t xml:space="preserve">tate law requires all state and local government sector entities to be inspected at least every two years. This results in a higher percent of inspections conducted in state and local government workplaces.  TOSHA has a dedicated Public Sector Enforcement section with dedicated staff that perform enforcement inspections for state and local government workplaces. </w:t>
      </w:r>
    </w:p>
    <w:p w14:paraId="5E98DA52" w14:textId="77777777" w:rsidR="00081300" w:rsidRPr="00F63749" w:rsidRDefault="00081300" w:rsidP="00FE739D">
      <w:pPr>
        <w:widowControl/>
        <w:rPr>
          <w:rFonts w:asciiTheme="minorHAnsi" w:eastAsia="Calibri" w:hAnsiTheme="minorHAnsi" w:cstheme="minorHAnsi"/>
          <w:color w:val="000000"/>
          <w:sz w:val="23"/>
          <w:szCs w:val="23"/>
        </w:rPr>
      </w:pPr>
    </w:p>
    <w:p w14:paraId="589CAF12" w14:textId="77777777" w:rsidR="00493FD1" w:rsidRPr="00F63749" w:rsidRDefault="00493FD1" w:rsidP="00FE739D">
      <w:pPr>
        <w:widowControl/>
        <w:ind w:firstLine="360"/>
        <w:rPr>
          <w:rFonts w:asciiTheme="minorHAnsi" w:eastAsia="Calibri" w:hAnsiTheme="minorHAnsi" w:cstheme="minorHAnsi"/>
          <w:b/>
          <w:bCs/>
          <w:color w:val="000000"/>
        </w:rPr>
      </w:pPr>
      <w:r w:rsidRPr="00F63749">
        <w:rPr>
          <w:rFonts w:asciiTheme="minorHAnsi" w:eastAsia="Calibri" w:hAnsiTheme="minorHAnsi" w:cstheme="minorHAnsi"/>
          <w:b/>
          <w:bCs/>
          <w:color w:val="000000"/>
        </w:rPr>
        <w:t>SAMM 7b - Planned v. actual inspections (health)</w:t>
      </w:r>
    </w:p>
    <w:p w14:paraId="0DF523E1" w14:textId="5F8D07AD" w:rsidR="00493FD1" w:rsidRDefault="00493FD1" w:rsidP="00FE739D">
      <w:pPr>
        <w:widowControl/>
        <w:ind w:left="360"/>
        <w:rPr>
          <w:rFonts w:asciiTheme="minorHAnsi" w:eastAsia="Calibri" w:hAnsiTheme="minorHAnsi" w:cstheme="minorHAnsi"/>
          <w:color w:val="000000"/>
        </w:rPr>
      </w:pPr>
      <w:bookmarkStart w:id="22" w:name="_Hlk128476271"/>
      <w:r w:rsidRPr="00F63749">
        <w:rPr>
          <w:rFonts w:asciiTheme="minorHAnsi" w:eastAsia="Calibri" w:hAnsiTheme="minorHAnsi" w:cstheme="minorHAnsi"/>
          <w:color w:val="000000"/>
          <w:u w:val="single"/>
        </w:rPr>
        <w:t>Discussion of State Plan data and FRL: The</w:t>
      </w:r>
      <w:r w:rsidRPr="00F63749">
        <w:rPr>
          <w:rFonts w:asciiTheme="minorHAnsi" w:eastAsia="Calibri" w:hAnsiTheme="minorHAnsi" w:cstheme="minorHAnsi"/>
          <w:color w:val="000000"/>
        </w:rPr>
        <w:t xml:space="preserve"> FRL for </w:t>
      </w:r>
      <w:bookmarkEnd w:id="22"/>
      <w:r w:rsidRPr="00F63749">
        <w:rPr>
          <w:rFonts w:asciiTheme="minorHAnsi" w:eastAsia="Calibri" w:hAnsiTheme="minorHAnsi" w:cstheme="minorHAnsi"/>
          <w:color w:val="000000"/>
        </w:rPr>
        <w:t>planned versus actual inspections for health is +/- the negotiated number in the FY 2022 Grant</w:t>
      </w:r>
      <w:r w:rsidR="00D8695D" w:rsidRPr="00F63749">
        <w:rPr>
          <w:rFonts w:asciiTheme="minorHAnsi" w:eastAsia="Calibri" w:hAnsiTheme="minorHAnsi" w:cstheme="minorHAnsi"/>
          <w:color w:val="000000"/>
        </w:rPr>
        <w:t>,</w:t>
      </w:r>
      <w:r w:rsidRPr="00F63749">
        <w:rPr>
          <w:rFonts w:asciiTheme="minorHAnsi" w:eastAsia="Calibri" w:hAnsiTheme="minorHAnsi" w:cstheme="minorHAnsi"/>
          <w:color w:val="000000"/>
        </w:rPr>
        <w:t xml:space="preserve"> which was 390 health inspections.  The acceptable range was 370.5 to 409.5 inspections.  TOSHA conducted 324 health inspections which was significantly short of the minimum FRL. </w:t>
      </w:r>
    </w:p>
    <w:p w14:paraId="406C6CA9" w14:textId="77777777" w:rsidR="00A63274" w:rsidRPr="00F63749" w:rsidRDefault="00A63274" w:rsidP="00FE739D">
      <w:pPr>
        <w:widowControl/>
        <w:ind w:left="360"/>
        <w:rPr>
          <w:rFonts w:asciiTheme="minorHAnsi" w:eastAsia="Calibri" w:hAnsiTheme="minorHAnsi" w:cstheme="minorHAnsi"/>
          <w:color w:val="000000"/>
        </w:rPr>
      </w:pPr>
    </w:p>
    <w:p w14:paraId="6A549E79" w14:textId="056C0BA0" w:rsidR="00493FD1" w:rsidRPr="00F63749" w:rsidRDefault="00493FD1" w:rsidP="00FE739D">
      <w:pPr>
        <w:widowControl/>
        <w:ind w:left="360"/>
        <w:rPr>
          <w:rFonts w:asciiTheme="minorHAnsi" w:eastAsia="Calibri" w:hAnsiTheme="minorHAnsi" w:cstheme="minorHAnsi"/>
          <w:color w:val="000000"/>
        </w:rPr>
      </w:pPr>
      <w:r w:rsidRPr="00F63749">
        <w:rPr>
          <w:rFonts w:asciiTheme="minorHAnsi" w:eastAsia="Calibri" w:hAnsiTheme="minorHAnsi" w:cstheme="minorHAnsi"/>
          <w:color w:val="000000"/>
          <w:u w:val="single"/>
        </w:rPr>
        <w:t>Explanation:</w:t>
      </w:r>
      <w:r w:rsidRPr="00F63749">
        <w:rPr>
          <w:rFonts w:asciiTheme="minorHAnsi" w:eastAsia="Calibri" w:hAnsiTheme="minorHAnsi" w:cstheme="minorHAnsi"/>
          <w:color w:val="000000"/>
        </w:rPr>
        <w:t xml:space="preserve"> This is attributed to the staff turnover which has been and remains an issue for TOSHA.  Vacancies are filled as expeditiously as possible but compliance officer training, coupled with the lag time for a compliance officer to develop </w:t>
      </w:r>
      <w:r w:rsidR="00D8695D" w:rsidRPr="00F63749">
        <w:rPr>
          <w:rFonts w:asciiTheme="minorHAnsi" w:eastAsia="Calibri" w:hAnsiTheme="minorHAnsi" w:cstheme="minorHAnsi"/>
          <w:color w:val="000000"/>
        </w:rPr>
        <w:t xml:space="preserve">competence </w:t>
      </w:r>
      <w:r w:rsidRPr="00F63749">
        <w:rPr>
          <w:rFonts w:asciiTheme="minorHAnsi" w:eastAsia="Calibri" w:hAnsiTheme="minorHAnsi" w:cstheme="minorHAnsi"/>
          <w:color w:val="000000"/>
        </w:rPr>
        <w:t xml:space="preserve">have a major impact.  More than 44% of TOSHA’s compliance officers have less than two years of experience.    </w:t>
      </w:r>
    </w:p>
    <w:p w14:paraId="4B506CA9" w14:textId="77777777" w:rsidR="00493FD1" w:rsidRPr="00F63749" w:rsidRDefault="00493FD1" w:rsidP="00FE739D">
      <w:pPr>
        <w:widowControl/>
        <w:rPr>
          <w:rFonts w:asciiTheme="minorHAnsi" w:eastAsia="Calibri" w:hAnsiTheme="minorHAnsi" w:cstheme="minorHAnsi"/>
          <w:b/>
          <w:bCs/>
          <w:color w:val="000000"/>
          <w:sz w:val="23"/>
          <w:szCs w:val="23"/>
        </w:rPr>
      </w:pPr>
    </w:p>
    <w:p w14:paraId="67656E07" w14:textId="77777777" w:rsidR="00493FD1" w:rsidRPr="00F63749" w:rsidRDefault="00493FD1" w:rsidP="00736D1A">
      <w:pPr>
        <w:ind w:firstLine="360"/>
        <w:rPr>
          <w:rFonts w:asciiTheme="minorHAnsi" w:eastAsia="Calibri" w:hAnsiTheme="minorHAnsi" w:cstheme="minorHAnsi"/>
          <w:color w:val="000000"/>
        </w:rPr>
      </w:pPr>
      <w:r w:rsidRPr="00F63749">
        <w:rPr>
          <w:rFonts w:asciiTheme="minorHAnsi" w:eastAsia="Calibri" w:hAnsiTheme="minorHAnsi" w:cstheme="minorHAnsi"/>
          <w:b/>
          <w:bCs/>
          <w:color w:val="000000"/>
        </w:rPr>
        <w:t xml:space="preserve">SAMM 8 - Average current serious penalty in private sector </w:t>
      </w:r>
    </w:p>
    <w:p w14:paraId="393AEC31" w14:textId="77777777" w:rsidR="00493FD1" w:rsidRPr="00F63749" w:rsidRDefault="00493FD1" w:rsidP="00736D1A">
      <w:pPr>
        <w:ind w:left="360"/>
        <w:rPr>
          <w:rFonts w:asciiTheme="minorHAnsi" w:eastAsia="Calibri" w:hAnsiTheme="minorHAnsi" w:cstheme="minorHAnsi"/>
          <w:color w:val="000000"/>
        </w:rPr>
      </w:pPr>
      <w:r w:rsidRPr="00F63749">
        <w:rPr>
          <w:rFonts w:asciiTheme="minorHAnsi" w:eastAsia="Calibri" w:hAnsiTheme="minorHAnsi" w:cstheme="minorHAnsi"/>
          <w:color w:val="000000"/>
          <w:u w:val="single"/>
        </w:rPr>
        <w:t>Discussion of State Plan data and FRL:</w:t>
      </w:r>
      <w:r w:rsidRPr="00F63749">
        <w:rPr>
          <w:rFonts w:asciiTheme="minorHAnsi" w:eastAsia="Calibri" w:hAnsiTheme="minorHAnsi" w:cstheme="minorHAnsi"/>
          <w:color w:val="000000"/>
        </w:rPr>
        <w:t xml:space="preserve"> Each FRL in SAMM 8 is the total average current penalty per serious violation for the specific worker range, as shown below. These FRLs are based on three-year national averages. </w:t>
      </w:r>
    </w:p>
    <w:p w14:paraId="2483F1FD" w14:textId="77777777" w:rsidR="00493FD1" w:rsidRPr="00F63749" w:rsidRDefault="00493FD1" w:rsidP="00736D1A">
      <w:pPr>
        <w:rPr>
          <w:rFonts w:asciiTheme="minorHAnsi" w:eastAsia="Calibri" w:hAnsiTheme="minorHAnsi" w:cstheme="minorHAnsi"/>
          <w:color w:val="000000"/>
        </w:rPr>
      </w:pPr>
    </w:p>
    <w:p w14:paraId="74E736BF" w14:textId="77777777" w:rsidR="00493FD1" w:rsidRPr="00F63749" w:rsidRDefault="00493FD1" w:rsidP="00736D1A">
      <w:pPr>
        <w:ind w:left="360"/>
        <w:rPr>
          <w:rFonts w:asciiTheme="minorHAnsi" w:eastAsia="Calibri" w:hAnsiTheme="minorHAnsi" w:cstheme="minorHAnsi"/>
          <w:color w:val="000000"/>
        </w:rPr>
      </w:pPr>
      <w:r w:rsidRPr="00F63749">
        <w:rPr>
          <w:rFonts w:asciiTheme="minorHAnsi" w:eastAsia="Calibri" w:hAnsiTheme="minorHAnsi" w:cstheme="minorHAnsi"/>
          <w:color w:val="000000"/>
        </w:rPr>
        <w:t xml:space="preserve">(1 to greater than 250 workers): The FRL is +/-25% of $3,259.35. The range of acceptable data not requiring further review is from $2,444.51 to $4,079.19. TOSHA’s total average current </w:t>
      </w:r>
      <w:r w:rsidRPr="00F63749">
        <w:rPr>
          <w:rFonts w:asciiTheme="minorHAnsi" w:eastAsia="Calibri" w:hAnsiTheme="minorHAnsi" w:cstheme="minorHAnsi"/>
          <w:color w:val="000000"/>
        </w:rPr>
        <w:lastRenderedPageBreak/>
        <w:t xml:space="preserve">penalty per serious violation is $1,857.42, which is substantially lower than the FRL. </w:t>
      </w:r>
    </w:p>
    <w:p w14:paraId="652C344C" w14:textId="77777777" w:rsidR="00493FD1" w:rsidRPr="00F63749" w:rsidRDefault="00493FD1" w:rsidP="00FE739D">
      <w:pPr>
        <w:widowControl/>
        <w:rPr>
          <w:rFonts w:asciiTheme="minorHAnsi" w:eastAsia="Calibri" w:hAnsiTheme="minorHAnsi" w:cstheme="minorHAnsi"/>
          <w:color w:val="000000"/>
        </w:rPr>
      </w:pPr>
    </w:p>
    <w:p w14:paraId="6BDF2BA3" w14:textId="77777777" w:rsidR="00493FD1" w:rsidRPr="00F63749" w:rsidRDefault="00493FD1" w:rsidP="00FE739D">
      <w:pPr>
        <w:widowControl/>
        <w:ind w:left="360"/>
        <w:rPr>
          <w:rFonts w:asciiTheme="minorHAnsi" w:eastAsia="Calibri" w:hAnsiTheme="minorHAnsi" w:cstheme="minorHAnsi"/>
          <w:color w:val="000000"/>
        </w:rPr>
      </w:pPr>
      <w:r w:rsidRPr="00F63749">
        <w:rPr>
          <w:rFonts w:asciiTheme="minorHAnsi" w:eastAsia="Calibri" w:hAnsiTheme="minorHAnsi" w:cstheme="minorHAnsi"/>
          <w:b/>
          <w:bCs/>
          <w:color w:val="000000"/>
        </w:rPr>
        <w:t>a.</w:t>
      </w:r>
      <w:r w:rsidRPr="00F63749">
        <w:rPr>
          <w:rFonts w:asciiTheme="minorHAnsi" w:eastAsia="Calibri" w:hAnsiTheme="minorHAnsi" w:cstheme="minorHAnsi"/>
          <w:color w:val="000000"/>
        </w:rPr>
        <w:t xml:space="preserve"> (1-25 workers): The FRL is +/-25% of $2,145.46. The range of acceptable data not requiring further review is from $1,609.10 to $2,681.83. The Tennessee State Plan’s total average current penalty per serious violation (1 - 25 workers) is $1,408.00, which is lower than the FRL. </w:t>
      </w:r>
    </w:p>
    <w:p w14:paraId="0CECF873" w14:textId="77777777" w:rsidR="00493FD1" w:rsidRPr="00F63749" w:rsidRDefault="00493FD1" w:rsidP="00FE739D">
      <w:pPr>
        <w:widowControl/>
        <w:ind w:left="360"/>
        <w:rPr>
          <w:rFonts w:asciiTheme="minorHAnsi" w:eastAsia="Calibri" w:hAnsiTheme="minorHAnsi" w:cstheme="minorHAnsi"/>
          <w:color w:val="000000"/>
        </w:rPr>
      </w:pPr>
      <w:r w:rsidRPr="00F63749">
        <w:rPr>
          <w:rFonts w:asciiTheme="minorHAnsi" w:eastAsia="Calibri" w:hAnsiTheme="minorHAnsi" w:cstheme="minorHAnsi"/>
          <w:b/>
          <w:bCs/>
          <w:color w:val="000000"/>
        </w:rPr>
        <w:t>b.</w:t>
      </w:r>
      <w:r w:rsidRPr="00F63749">
        <w:rPr>
          <w:rFonts w:asciiTheme="minorHAnsi" w:eastAsia="Calibri" w:hAnsiTheme="minorHAnsi" w:cstheme="minorHAnsi"/>
          <w:color w:val="000000"/>
        </w:rPr>
        <w:t xml:space="preserve"> (26-100 workers): The FRL is +/-25% of $3,818.56. The range of acceptable data not requiring further review is from $2,863.92 to $4,773.20. The Tennessee State Plan’s total average current penalty per serious violation is $1,629.02, which is substantially lower than the FRL. </w:t>
      </w:r>
    </w:p>
    <w:p w14:paraId="09D6006C" w14:textId="77777777" w:rsidR="00493FD1" w:rsidRPr="00F63749" w:rsidRDefault="00493FD1"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c.</w:t>
      </w:r>
      <w:r w:rsidRPr="00F63749">
        <w:rPr>
          <w:rFonts w:asciiTheme="minorHAnsi" w:eastAsia="Calibri" w:hAnsiTheme="minorHAnsi" w:cstheme="minorHAnsi"/>
        </w:rPr>
        <w:t xml:space="preserve"> (101-250 workers). The FRL is +/-25% of $5,469.60. The range of acceptable data not requiring further review is from $4,102.20 to $6,837.00. The Tennessee State Plan’s total average current penalty per serious violation (101 – 250 workers) is $2,271.20, which is substantially lower than the FRL.</w:t>
      </w:r>
    </w:p>
    <w:p w14:paraId="71DAF630" w14:textId="32B9F243" w:rsidR="00493FD1" w:rsidRDefault="00493FD1"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b/>
          <w:bCs/>
        </w:rPr>
        <w:t>d.</w:t>
      </w:r>
      <w:r w:rsidRPr="00F63749">
        <w:rPr>
          <w:rFonts w:asciiTheme="minorHAnsi" w:eastAsia="Calibri" w:hAnsiTheme="minorHAnsi" w:cstheme="minorHAnsi"/>
        </w:rPr>
        <w:t xml:space="preserve"> (Greater than 250 workers): The FRL is +/-25% of $6,725.78.  The range of acceptable data not requiring further review is from $5,044.34 to $8,407.23.  The Tennessee State Plan’s total average current penalty per serious violation is $3,199.08, which is substantially lower than the FRL.</w:t>
      </w:r>
    </w:p>
    <w:p w14:paraId="228FBF7F" w14:textId="77777777" w:rsidR="00A63274" w:rsidRPr="00F63749" w:rsidRDefault="00A63274" w:rsidP="00FE739D">
      <w:pPr>
        <w:widowControl/>
        <w:autoSpaceDE/>
        <w:autoSpaceDN/>
        <w:adjustRightInd/>
        <w:ind w:left="360"/>
        <w:rPr>
          <w:rFonts w:asciiTheme="minorHAnsi" w:eastAsia="Calibri" w:hAnsiTheme="minorHAnsi" w:cstheme="minorHAnsi"/>
        </w:rPr>
      </w:pPr>
    </w:p>
    <w:p w14:paraId="78239029" w14:textId="05A34417" w:rsidR="00493FD1" w:rsidRPr="00F63749" w:rsidRDefault="00493FD1"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u w:val="single"/>
        </w:rPr>
        <w:t>Explanation:</w:t>
      </w:r>
      <w:r w:rsidRPr="00F63749">
        <w:rPr>
          <w:rFonts w:asciiTheme="minorHAnsi" w:eastAsia="Calibri" w:hAnsiTheme="minorHAnsi" w:cstheme="minorHAnsi"/>
        </w:rPr>
        <w:t xml:space="preserve"> The Tennessee State Plan’s low penalties are attributed to the significant increase in the federal penalties</w:t>
      </w:r>
      <w:r w:rsidR="00877E49" w:rsidRPr="00F63749">
        <w:rPr>
          <w:rFonts w:asciiTheme="minorHAnsi" w:eastAsia="Calibri" w:hAnsiTheme="minorHAnsi" w:cstheme="minorHAnsi"/>
        </w:rPr>
        <w:t>,</w:t>
      </w:r>
      <w:r w:rsidRPr="00F63749">
        <w:rPr>
          <w:rFonts w:asciiTheme="minorHAnsi" w:eastAsia="Calibri" w:hAnsiTheme="minorHAnsi" w:cstheme="minorHAnsi"/>
        </w:rPr>
        <w:t xml:space="preserve"> as a result of the Federal Civil Penalties Inflation Adjustment Improvements Act that was passed in 2015. Tennessee has not yet adopted the corresponding increase to maximum penalty amounts.</w:t>
      </w:r>
    </w:p>
    <w:p w14:paraId="72DDA74B" w14:textId="77777777" w:rsidR="00081300" w:rsidRPr="00F63749" w:rsidRDefault="00081300" w:rsidP="00FE739D">
      <w:pPr>
        <w:widowControl/>
        <w:autoSpaceDE/>
        <w:autoSpaceDN/>
        <w:adjustRightInd/>
        <w:ind w:firstLine="360"/>
        <w:rPr>
          <w:rFonts w:asciiTheme="minorHAnsi" w:eastAsia="Calibri" w:hAnsiTheme="minorHAnsi" w:cstheme="minorHAnsi"/>
          <w:b/>
          <w:bCs/>
        </w:rPr>
      </w:pPr>
      <w:bookmarkStart w:id="23" w:name="_Hlk128477188"/>
    </w:p>
    <w:p w14:paraId="075E7780" w14:textId="2D215599" w:rsidR="00493FD1" w:rsidRPr="00F63749" w:rsidRDefault="00493FD1" w:rsidP="00FE739D">
      <w:pPr>
        <w:widowControl/>
        <w:autoSpaceDE/>
        <w:autoSpaceDN/>
        <w:adjustRightInd/>
        <w:ind w:firstLine="360"/>
        <w:rPr>
          <w:rFonts w:asciiTheme="minorHAnsi" w:eastAsia="Calibri" w:hAnsiTheme="minorHAnsi" w:cstheme="minorHAnsi"/>
        </w:rPr>
      </w:pPr>
      <w:r w:rsidRPr="00F63749">
        <w:rPr>
          <w:rFonts w:asciiTheme="minorHAnsi" w:eastAsia="Calibri" w:hAnsiTheme="minorHAnsi" w:cstheme="minorHAnsi"/>
          <w:b/>
          <w:bCs/>
        </w:rPr>
        <w:t>SAMM 10 - Percent of work-related fatalities responded to in one workday</w:t>
      </w:r>
    </w:p>
    <w:bookmarkEnd w:id="23"/>
    <w:p w14:paraId="4E1B0DB1" w14:textId="22A3E4A5" w:rsidR="00493FD1" w:rsidRDefault="00493FD1"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u w:val="single"/>
        </w:rPr>
        <w:t>Discussion of State Plan data and FRL:</w:t>
      </w:r>
      <w:r w:rsidRPr="00F63749">
        <w:rPr>
          <w:rFonts w:asciiTheme="minorHAnsi" w:eastAsia="Calibri" w:hAnsiTheme="minorHAnsi" w:cstheme="minorHAnsi"/>
        </w:rPr>
        <w:t xml:space="preserve"> The FRL for the percent of work-related fatalities responded to in one workday is fixed for all State Plans and is 100%.  TOSHA responded to 97.62% of the work-related fatalities within one workday.</w:t>
      </w:r>
    </w:p>
    <w:p w14:paraId="04874937" w14:textId="77777777" w:rsidR="00A63274" w:rsidRPr="00F63749" w:rsidRDefault="00A63274" w:rsidP="00FE739D">
      <w:pPr>
        <w:widowControl/>
        <w:autoSpaceDE/>
        <w:autoSpaceDN/>
        <w:adjustRightInd/>
        <w:ind w:left="360"/>
        <w:rPr>
          <w:rFonts w:asciiTheme="minorHAnsi" w:eastAsia="Calibri" w:hAnsiTheme="minorHAnsi" w:cstheme="minorHAnsi"/>
        </w:rPr>
      </w:pPr>
    </w:p>
    <w:p w14:paraId="7EE90EDF" w14:textId="70BB035A" w:rsidR="00493FD1" w:rsidRPr="00F63749" w:rsidRDefault="00493FD1" w:rsidP="7E7EF59F">
      <w:pPr>
        <w:widowControl/>
        <w:autoSpaceDE/>
        <w:autoSpaceDN/>
        <w:adjustRightInd/>
        <w:ind w:left="360"/>
        <w:rPr>
          <w:rFonts w:asciiTheme="minorHAnsi" w:hAnsiTheme="minorHAnsi" w:cstheme="minorHAnsi"/>
        </w:rPr>
      </w:pPr>
      <w:r w:rsidRPr="00F63749">
        <w:rPr>
          <w:rFonts w:asciiTheme="minorHAnsi" w:eastAsia="Calibri" w:hAnsiTheme="minorHAnsi" w:cstheme="minorHAnsi"/>
          <w:u w:val="single"/>
        </w:rPr>
        <w:t>Explanation:</w:t>
      </w:r>
      <w:r w:rsidRPr="00F63749">
        <w:rPr>
          <w:rFonts w:asciiTheme="minorHAnsi" w:eastAsia="Calibri" w:hAnsiTheme="minorHAnsi" w:cstheme="minorHAnsi"/>
        </w:rPr>
        <w:t xml:space="preserve"> </w:t>
      </w:r>
      <w:r w:rsidRPr="00F63749">
        <w:rPr>
          <w:rFonts w:asciiTheme="minorHAnsi" w:hAnsiTheme="minorHAnsi" w:cstheme="minorHAnsi"/>
        </w:rPr>
        <w:t>There was one outlier</w:t>
      </w:r>
      <w:r w:rsidR="14F922AC" w:rsidRPr="00F63749">
        <w:rPr>
          <w:rFonts w:asciiTheme="minorHAnsi" w:hAnsiTheme="minorHAnsi" w:cstheme="minorHAnsi"/>
        </w:rPr>
        <w:t xml:space="preserve">, </w:t>
      </w:r>
      <w:r w:rsidR="542250D6" w:rsidRPr="00F63749">
        <w:rPr>
          <w:rFonts w:asciiTheme="minorHAnsi" w:hAnsiTheme="minorHAnsi" w:cstheme="minorHAnsi"/>
        </w:rPr>
        <w:t xml:space="preserve">the fatality was reported on 1/19/2022 </w:t>
      </w:r>
      <w:r w:rsidR="00877E49" w:rsidRPr="00F63749">
        <w:rPr>
          <w:rFonts w:asciiTheme="minorHAnsi" w:hAnsiTheme="minorHAnsi" w:cstheme="minorHAnsi"/>
        </w:rPr>
        <w:t xml:space="preserve">at </w:t>
      </w:r>
      <w:r w:rsidR="542250D6" w:rsidRPr="00F63749">
        <w:rPr>
          <w:rFonts w:asciiTheme="minorHAnsi" w:hAnsiTheme="minorHAnsi" w:cstheme="minorHAnsi"/>
        </w:rPr>
        <w:t xml:space="preserve">3:30pm by representatives of the decedent’s family </w:t>
      </w:r>
      <w:r w:rsidR="00551B5C" w:rsidRPr="00F63749">
        <w:rPr>
          <w:rFonts w:asciiTheme="minorHAnsi" w:hAnsiTheme="minorHAnsi" w:cstheme="minorHAnsi"/>
        </w:rPr>
        <w:t xml:space="preserve">who </w:t>
      </w:r>
      <w:r w:rsidR="542250D6" w:rsidRPr="00F63749">
        <w:rPr>
          <w:rFonts w:asciiTheme="minorHAnsi" w:hAnsiTheme="minorHAnsi" w:cstheme="minorHAnsi"/>
        </w:rPr>
        <w:t xml:space="preserve">contacted TOSHA. The fatality occurred </w:t>
      </w:r>
      <w:r w:rsidR="00877E49" w:rsidRPr="00F63749">
        <w:rPr>
          <w:rFonts w:asciiTheme="minorHAnsi" w:hAnsiTheme="minorHAnsi" w:cstheme="minorHAnsi"/>
        </w:rPr>
        <w:t>eight</w:t>
      </w:r>
      <w:r w:rsidR="542250D6" w:rsidRPr="00F63749">
        <w:rPr>
          <w:rFonts w:asciiTheme="minorHAnsi" w:hAnsiTheme="minorHAnsi" w:cstheme="minorHAnsi"/>
        </w:rPr>
        <w:t xml:space="preserve"> days prior on 1/11/2022. The CSHO was assigned the case at 12:19 pm on 1/20/2022, within 24 hours. Efforts to contact the employer were initiated immediately</w:t>
      </w:r>
      <w:r w:rsidR="00A63274">
        <w:rPr>
          <w:rFonts w:asciiTheme="minorHAnsi" w:hAnsiTheme="minorHAnsi" w:cstheme="minorHAnsi"/>
        </w:rPr>
        <w:t>;</w:t>
      </w:r>
      <w:r w:rsidR="542250D6" w:rsidRPr="00F63749">
        <w:rPr>
          <w:rFonts w:asciiTheme="minorHAnsi" w:hAnsiTheme="minorHAnsi" w:cstheme="minorHAnsi"/>
        </w:rPr>
        <w:t xml:space="preserve"> </w:t>
      </w:r>
      <w:r w:rsidR="00141D63" w:rsidRPr="00F63749">
        <w:rPr>
          <w:rFonts w:asciiTheme="minorHAnsi" w:hAnsiTheme="minorHAnsi" w:cstheme="minorHAnsi"/>
        </w:rPr>
        <w:t>however,</w:t>
      </w:r>
      <w:r w:rsidR="542250D6" w:rsidRPr="00F63749">
        <w:rPr>
          <w:rFonts w:asciiTheme="minorHAnsi" w:hAnsiTheme="minorHAnsi" w:cstheme="minorHAnsi"/>
        </w:rPr>
        <w:t xml:space="preserve"> contact was not successful until 1/21/2022.</w:t>
      </w:r>
      <w:r w:rsidR="418EA6FF" w:rsidRPr="00F63749">
        <w:rPr>
          <w:rFonts w:asciiTheme="minorHAnsi" w:hAnsiTheme="minorHAnsi" w:cstheme="minorHAnsi"/>
        </w:rPr>
        <w:t xml:space="preserve"> The State </w:t>
      </w:r>
      <w:r w:rsidR="00877E49" w:rsidRPr="00F63749">
        <w:rPr>
          <w:rFonts w:asciiTheme="minorHAnsi" w:hAnsiTheme="minorHAnsi" w:cstheme="minorHAnsi"/>
        </w:rPr>
        <w:t xml:space="preserve">Plan </w:t>
      </w:r>
      <w:r w:rsidR="418EA6FF" w:rsidRPr="00F63749">
        <w:rPr>
          <w:rFonts w:asciiTheme="minorHAnsi" w:hAnsiTheme="minorHAnsi" w:cstheme="minorHAnsi"/>
        </w:rPr>
        <w:t>met the intent of responding and this is not an issue.</w:t>
      </w:r>
      <w:bookmarkStart w:id="24" w:name="_Hlk128477249"/>
    </w:p>
    <w:bookmarkEnd w:id="24"/>
    <w:p w14:paraId="6A568C51" w14:textId="77777777" w:rsidR="00877E49" w:rsidRPr="00F63749" w:rsidRDefault="00877E49" w:rsidP="00FE739D">
      <w:pPr>
        <w:widowControl/>
        <w:autoSpaceDE/>
        <w:autoSpaceDN/>
        <w:adjustRightInd/>
        <w:ind w:left="360"/>
        <w:rPr>
          <w:rFonts w:asciiTheme="minorHAnsi" w:eastAsia="Calibri" w:hAnsiTheme="minorHAnsi" w:cstheme="minorHAnsi"/>
          <w:b/>
          <w:bCs/>
        </w:rPr>
      </w:pPr>
    </w:p>
    <w:p w14:paraId="4DEC7D78" w14:textId="03262B44" w:rsidR="00493FD1" w:rsidRPr="00F63749" w:rsidRDefault="00493FD1" w:rsidP="00FE739D">
      <w:pPr>
        <w:widowControl/>
        <w:autoSpaceDE/>
        <w:autoSpaceDN/>
        <w:adjustRightInd/>
        <w:ind w:left="360"/>
        <w:rPr>
          <w:rFonts w:asciiTheme="minorHAnsi" w:eastAsia="Calibri" w:hAnsiTheme="minorHAnsi" w:cstheme="minorHAnsi"/>
          <w:b/>
          <w:bCs/>
        </w:rPr>
      </w:pPr>
      <w:r w:rsidRPr="00F63749">
        <w:rPr>
          <w:rFonts w:asciiTheme="minorHAnsi" w:eastAsia="Calibri" w:hAnsiTheme="minorHAnsi" w:cstheme="minorHAnsi"/>
          <w:b/>
          <w:bCs/>
        </w:rPr>
        <w:t>SAMM 13 - Percent of initial inspections with worker walk-around representation or worker interview</w:t>
      </w:r>
    </w:p>
    <w:p w14:paraId="305C5D46" w14:textId="77777777" w:rsidR="00912314" w:rsidRDefault="00912314" w:rsidP="00FE739D">
      <w:pPr>
        <w:widowControl/>
        <w:autoSpaceDE/>
        <w:autoSpaceDN/>
        <w:adjustRightInd/>
        <w:ind w:left="360"/>
        <w:rPr>
          <w:rFonts w:asciiTheme="minorHAnsi" w:eastAsia="Calibri" w:hAnsiTheme="minorHAnsi" w:cstheme="minorHAnsi"/>
          <w:u w:val="single"/>
        </w:rPr>
      </w:pPr>
    </w:p>
    <w:p w14:paraId="1A03B197" w14:textId="0AEFE622" w:rsidR="00A63274" w:rsidRDefault="00493FD1"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u w:val="single"/>
        </w:rPr>
        <w:t>Discussion of State Plan data and FRL:</w:t>
      </w:r>
      <w:r w:rsidRPr="00F63749">
        <w:rPr>
          <w:rFonts w:asciiTheme="minorHAnsi" w:eastAsia="Calibri" w:hAnsiTheme="minorHAnsi" w:cstheme="minorHAnsi"/>
        </w:rPr>
        <w:t xml:space="preserve"> The FRL for the percent of initial inspections with worker walk-around representation or worker interview is fixed for all State Plans and is 100%.  TOSHA’s percent of initial inspections with worker walk-around representation or worker interview was 98.34%.</w:t>
      </w:r>
    </w:p>
    <w:p w14:paraId="1136CD66" w14:textId="54DFCEDD" w:rsidR="00493FD1" w:rsidRPr="00F63749" w:rsidRDefault="00493FD1" w:rsidP="00FE739D">
      <w:pPr>
        <w:widowControl/>
        <w:autoSpaceDE/>
        <w:autoSpaceDN/>
        <w:adjustRightInd/>
        <w:ind w:left="360"/>
        <w:rPr>
          <w:rFonts w:asciiTheme="minorHAnsi" w:eastAsia="Calibri" w:hAnsiTheme="minorHAnsi" w:cstheme="minorHAnsi"/>
        </w:rPr>
      </w:pPr>
      <w:r w:rsidRPr="00F63749">
        <w:rPr>
          <w:rFonts w:asciiTheme="minorHAnsi" w:eastAsia="Calibri" w:hAnsiTheme="minorHAnsi" w:cstheme="minorHAnsi"/>
        </w:rPr>
        <w:lastRenderedPageBreak/>
        <w:t xml:space="preserve"> </w:t>
      </w:r>
      <w:r w:rsidRPr="00F63749">
        <w:rPr>
          <w:rFonts w:asciiTheme="minorHAnsi" w:eastAsia="Calibri" w:hAnsiTheme="minorHAnsi" w:cstheme="minorHAnsi"/>
          <w:u w:val="single"/>
        </w:rPr>
        <w:t>Explanation:</w:t>
      </w:r>
      <w:r w:rsidRPr="00F63749">
        <w:rPr>
          <w:rFonts w:asciiTheme="minorHAnsi" w:eastAsia="Calibri" w:hAnsiTheme="minorHAnsi" w:cstheme="minorHAnsi"/>
        </w:rPr>
        <w:t xml:space="preserve"> This was caused by an isolated incident that did not have a negative impact on the program. OSHA has no concern, regarding the State Plan’s percent of initial inspections with worker walk-around representation or worker interview.</w:t>
      </w:r>
    </w:p>
    <w:p w14:paraId="7E72796C" w14:textId="77777777" w:rsidR="00493FD1" w:rsidRPr="00F63749" w:rsidRDefault="00493FD1" w:rsidP="00FE739D">
      <w:pPr>
        <w:widowControl/>
        <w:autoSpaceDE/>
        <w:autoSpaceDN/>
        <w:adjustRightInd/>
        <w:rPr>
          <w:rFonts w:asciiTheme="minorHAnsi" w:eastAsia="Calibri" w:hAnsiTheme="minorHAnsi" w:cstheme="minorHAnsi"/>
        </w:rPr>
      </w:pPr>
    </w:p>
    <w:p w14:paraId="08A92D5B" w14:textId="77777777" w:rsidR="00493FD1" w:rsidRPr="00F63749" w:rsidRDefault="00493FD1" w:rsidP="00493FD1">
      <w:pPr>
        <w:widowControl/>
        <w:autoSpaceDE/>
        <w:autoSpaceDN/>
        <w:adjustRightInd/>
        <w:spacing w:after="160" w:line="259" w:lineRule="auto"/>
        <w:rPr>
          <w:rFonts w:asciiTheme="minorHAnsi" w:eastAsia="Calibri" w:hAnsiTheme="minorHAnsi" w:cstheme="minorHAnsi"/>
          <w:sz w:val="22"/>
          <w:szCs w:val="22"/>
        </w:rPr>
      </w:pPr>
    </w:p>
    <w:p w14:paraId="105BC9A1" w14:textId="77777777" w:rsidR="00493FD1" w:rsidRPr="00F63749" w:rsidRDefault="00493FD1" w:rsidP="00493FD1">
      <w:pPr>
        <w:widowControl/>
        <w:autoSpaceDE/>
        <w:autoSpaceDN/>
        <w:adjustRightInd/>
        <w:contextualSpacing/>
        <w:rPr>
          <w:rFonts w:asciiTheme="minorHAnsi" w:hAnsiTheme="minorHAnsi" w:cstheme="minorHAnsi"/>
          <w:sz w:val="28"/>
          <w:szCs w:val="28"/>
        </w:rPr>
      </w:pPr>
    </w:p>
    <w:p w14:paraId="4DD4CBB7" w14:textId="77777777" w:rsidR="000A134A" w:rsidRPr="00F63749" w:rsidRDefault="000A134A" w:rsidP="007A71AC">
      <w:pPr>
        <w:widowControl/>
        <w:autoSpaceDE/>
        <w:autoSpaceDN/>
        <w:adjustRightInd/>
        <w:rPr>
          <w:rFonts w:asciiTheme="minorHAnsi" w:hAnsiTheme="minorHAnsi" w:cstheme="minorHAnsi"/>
        </w:rPr>
        <w:sectPr w:rsidR="000A134A" w:rsidRPr="00F63749" w:rsidSect="00783189">
          <w:footerReference w:type="default" r:id="rId10"/>
          <w:footerReference w:type="first" r:id="rId11"/>
          <w:pgSz w:w="12240" w:h="15840"/>
          <w:pgMar w:top="1440" w:right="1260" w:bottom="1260" w:left="1440" w:header="720" w:footer="526" w:gutter="0"/>
          <w:pgNumType w:start="1"/>
          <w:cols w:space="720"/>
          <w:titlePg/>
          <w:docGrid w:linePitch="360"/>
        </w:sectPr>
      </w:pPr>
    </w:p>
    <w:p w14:paraId="516D3ECD" w14:textId="77777777" w:rsidR="00B6741C" w:rsidRPr="0092393F" w:rsidRDefault="00B6741C" w:rsidP="00A63274">
      <w:pPr>
        <w:pStyle w:val="Heading3"/>
      </w:pPr>
      <w:bookmarkStart w:id="25" w:name="_Toc118905017"/>
      <w:bookmarkStart w:id="26" w:name="_Toc128482014"/>
      <w:r w:rsidRPr="0092393F">
        <w:lastRenderedPageBreak/>
        <w:t>Appendix A – New and Continued Findings and Recommendations</w:t>
      </w:r>
      <w:bookmarkEnd w:id="25"/>
      <w:bookmarkEnd w:id="26"/>
    </w:p>
    <w:p w14:paraId="670F195C" w14:textId="5DC66FD5" w:rsidR="00B6741C" w:rsidRPr="00F63749" w:rsidRDefault="00B6741C" w:rsidP="00B6741C">
      <w:pPr>
        <w:rPr>
          <w:rFonts w:asciiTheme="minorHAnsi" w:hAnsiTheme="minorHAnsi" w:cstheme="minorHAnsi"/>
        </w:rPr>
      </w:pPr>
      <w:r w:rsidRPr="00F63749">
        <w:rPr>
          <w:rFonts w:asciiTheme="minorHAnsi" w:hAnsiTheme="minorHAnsi" w:cstheme="minorHAnsi"/>
        </w:rPr>
        <w:t xml:space="preserve">FY 2022 </w:t>
      </w:r>
      <w:r w:rsidR="00493FD1" w:rsidRPr="00F63749">
        <w:rPr>
          <w:rFonts w:asciiTheme="minorHAnsi" w:hAnsiTheme="minorHAnsi" w:cstheme="minorHAnsi"/>
        </w:rPr>
        <w:t>Tennessee</w:t>
      </w:r>
      <w:r w:rsidRPr="00F63749">
        <w:rPr>
          <w:rFonts w:asciiTheme="minorHAnsi" w:hAnsiTheme="minorHAnsi" w:cstheme="minorHAnsi"/>
          <w:color w:val="0070C0"/>
        </w:rPr>
        <w:t xml:space="preserve"> </w:t>
      </w:r>
      <w:r w:rsidRPr="00F63749">
        <w:rPr>
          <w:rFonts w:asciiTheme="minorHAnsi" w:hAnsiTheme="minorHAnsi" w:cstheme="minorHAnsi"/>
        </w:rPr>
        <w:t>Follow-up FAME Report</w:t>
      </w:r>
    </w:p>
    <w:p w14:paraId="77980CE2" w14:textId="77777777" w:rsidR="000A134A" w:rsidRPr="00F63749" w:rsidRDefault="000A134A" w:rsidP="007A71AC">
      <w:pPr>
        <w:widowControl/>
        <w:tabs>
          <w:tab w:val="left" w:pos="3630"/>
        </w:tabs>
        <w:autoSpaceDE/>
        <w:autoSpaceDN/>
        <w:adjustRightInd/>
        <w:rPr>
          <w:rFonts w:asciiTheme="minorHAnsi" w:hAnsiTheme="minorHAnsi" w:cstheme="minorHAnsi"/>
        </w:rPr>
      </w:pPr>
    </w:p>
    <w:tbl>
      <w:tblPr>
        <w:tblStyle w:val="TableGridLight"/>
        <w:tblW w:w="12870" w:type="dxa"/>
        <w:tblLook w:val="01E0" w:firstRow="1" w:lastRow="1" w:firstColumn="1" w:lastColumn="1" w:noHBand="0" w:noVBand="0"/>
      </w:tblPr>
      <w:tblGrid>
        <w:gridCol w:w="1440"/>
        <w:gridCol w:w="4721"/>
        <w:gridCol w:w="4819"/>
        <w:gridCol w:w="1890"/>
      </w:tblGrid>
      <w:tr w:rsidR="00185C7D" w:rsidRPr="00A63274" w14:paraId="0F6BB42C" w14:textId="77777777" w:rsidTr="796F7124">
        <w:trPr>
          <w:trHeight w:val="350"/>
        </w:trPr>
        <w:tc>
          <w:tcPr>
            <w:tcW w:w="1440" w:type="dxa"/>
          </w:tcPr>
          <w:p w14:paraId="1F333F67" w14:textId="0A00E692" w:rsidR="000A134A" w:rsidRPr="00F63749" w:rsidRDefault="000A134A" w:rsidP="007A71AC">
            <w:pPr>
              <w:widowControl/>
              <w:autoSpaceDE/>
              <w:autoSpaceDN/>
              <w:adjustRightInd/>
              <w:jc w:val="center"/>
              <w:rPr>
                <w:rFonts w:asciiTheme="minorHAnsi" w:hAnsiTheme="minorHAnsi" w:cstheme="minorHAnsi"/>
                <w:b/>
              </w:rPr>
            </w:pPr>
            <w:r w:rsidRPr="00F63749">
              <w:rPr>
                <w:rFonts w:asciiTheme="minorHAnsi" w:hAnsiTheme="minorHAnsi" w:cstheme="minorHAnsi"/>
                <w:b/>
              </w:rPr>
              <w:t xml:space="preserve">FY </w:t>
            </w:r>
            <w:r w:rsidR="00DC4A62" w:rsidRPr="00F63749">
              <w:rPr>
                <w:rFonts w:asciiTheme="minorHAnsi" w:hAnsiTheme="minorHAnsi" w:cstheme="minorHAnsi"/>
                <w:b/>
              </w:rPr>
              <w:t>20</w:t>
            </w:r>
            <w:r w:rsidR="00493FD1" w:rsidRPr="00F63749">
              <w:rPr>
                <w:rFonts w:asciiTheme="minorHAnsi" w:hAnsiTheme="minorHAnsi" w:cstheme="minorHAnsi"/>
                <w:b/>
              </w:rPr>
              <w:t>2</w:t>
            </w:r>
            <w:r w:rsidR="007654D5" w:rsidRPr="00F63749">
              <w:rPr>
                <w:rFonts w:asciiTheme="minorHAnsi" w:hAnsiTheme="minorHAnsi" w:cstheme="minorHAnsi"/>
                <w:b/>
              </w:rPr>
              <w:t>2</w:t>
            </w:r>
            <w:r w:rsidRPr="00F63749">
              <w:rPr>
                <w:rFonts w:asciiTheme="minorHAnsi" w:hAnsiTheme="minorHAnsi" w:cstheme="minorHAnsi"/>
                <w:b/>
              </w:rPr>
              <w:t>-</w:t>
            </w:r>
            <w:r w:rsidR="00BB0343" w:rsidRPr="00F63749">
              <w:rPr>
                <w:rFonts w:asciiTheme="minorHAnsi" w:hAnsiTheme="minorHAnsi" w:cstheme="minorHAnsi"/>
                <w:b/>
              </w:rPr>
              <w:t>#</w:t>
            </w:r>
          </w:p>
        </w:tc>
        <w:tc>
          <w:tcPr>
            <w:tcW w:w="4721" w:type="dxa"/>
          </w:tcPr>
          <w:p w14:paraId="0C140B4B" w14:textId="77777777" w:rsidR="000A134A" w:rsidRPr="00F63749" w:rsidRDefault="000A134A" w:rsidP="007A71AC">
            <w:pPr>
              <w:widowControl/>
              <w:autoSpaceDE/>
              <w:autoSpaceDN/>
              <w:adjustRightInd/>
              <w:jc w:val="center"/>
              <w:rPr>
                <w:rFonts w:asciiTheme="minorHAnsi" w:hAnsiTheme="minorHAnsi" w:cstheme="minorHAnsi"/>
                <w:b/>
              </w:rPr>
            </w:pPr>
            <w:r w:rsidRPr="00F63749">
              <w:rPr>
                <w:rFonts w:asciiTheme="minorHAnsi" w:hAnsiTheme="minorHAnsi" w:cstheme="minorHAnsi"/>
                <w:b/>
              </w:rPr>
              <w:t>Finding</w:t>
            </w:r>
          </w:p>
        </w:tc>
        <w:tc>
          <w:tcPr>
            <w:tcW w:w="4819" w:type="dxa"/>
          </w:tcPr>
          <w:p w14:paraId="7801EA8C" w14:textId="77777777" w:rsidR="000A134A" w:rsidRPr="00F63749" w:rsidRDefault="000A134A" w:rsidP="007A71AC">
            <w:pPr>
              <w:widowControl/>
              <w:autoSpaceDE/>
              <w:autoSpaceDN/>
              <w:adjustRightInd/>
              <w:jc w:val="center"/>
              <w:rPr>
                <w:rFonts w:asciiTheme="minorHAnsi" w:hAnsiTheme="minorHAnsi" w:cstheme="minorHAnsi"/>
                <w:b/>
              </w:rPr>
            </w:pPr>
            <w:r w:rsidRPr="00F63749">
              <w:rPr>
                <w:rFonts w:asciiTheme="minorHAnsi" w:hAnsiTheme="minorHAnsi" w:cstheme="minorHAnsi"/>
                <w:b/>
              </w:rPr>
              <w:t>Recommendation</w:t>
            </w:r>
          </w:p>
        </w:tc>
        <w:tc>
          <w:tcPr>
            <w:tcW w:w="1890" w:type="dxa"/>
          </w:tcPr>
          <w:p w14:paraId="7C9006CD" w14:textId="77777777" w:rsidR="00BB0343" w:rsidRPr="00F63749" w:rsidRDefault="00BB0343" w:rsidP="007A71AC">
            <w:pPr>
              <w:widowControl/>
              <w:autoSpaceDE/>
              <w:autoSpaceDN/>
              <w:adjustRightInd/>
              <w:jc w:val="center"/>
              <w:rPr>
                <w:rFonts w:asciiTheme="minorHAnsi" w:hAnsiTheme="minorHAnsi" w:cstheme="minorHAnsi"/>
                <w:b/>
              </w:rPr>
            </w:pPr>
            <w:r w:rsidRPr="00F63749">
              <w:rPr>
                <w:rFonts w:asciiTheme="minorHAnsi" w:hAnsiTheme="minorHAnsi" w:cstheme="minorHAnsi"/>
                <w:b/>
              </w:rPr>
              <w:t xml:space="preserve">FY </w:t>
            </w:r>
            <w:r w:rsidR="00DC4A62" w:rsidRPr="00F63749">
              <w:rPr>
                <w:rFonts w:asciiTheme="minorHAnsi" w:hAnsiTheme="minorHAnsi" w:cstheme="minorHAnsi"/>
                <w:b/>
              </w:rPr>
              <w:t>20</w:t>
            </w:r>
            <w:r w:rsidRPr="00F63749">
              <w:rPr>
                <w:rFonts w:asciiTheme="minorHAnsi" w:hAnsiTheme="minorHAnsi" w:cstheme="minorHAnsi"/>
                <w:b/>
              </w:rPr>
              <w:t xml:space="preserve">XX-# or </w:t>
            </w:r>
          </w:p>
          <w:p w14:paraId="3C61CFBF" w14:textId="77777777" w:rsidR="000A134A" w:rsidRPr="00F63749" w:rsidRDefault="00BB0343" w:rsidP="007A71AC">
            <w:pPr>
              <w:widowControl/>
              <w:autoSpaceDE/>
              <w:autoSpaceDN/>
              <w:adjustRightInd/>
              <w:jc w:val="center"/>
              <w:rPr>
                <w:rFonts w:asciiTheme="minorHAnsi" w:hAnsiTheme="minorHAnsi" w:cstheme="minorHAnsi"/>
                <w:b/>
              </w:rPr>
            </w:pPr>
            <w:r w:rsidRPr="00F63749">
              <w:rPr>
                <w:rFonts w:asciiTheme="minorHAnsi" w:hAnsiTheme="minorHAnsi" w:cstheme="minorHAnsi"/>
                <w:b/>
              </w:rPr>
              <w:t xml:space="preserve">FY </w:t>
            </w:r>
            <w:r w:rsidR="00DC4A62" w:rsidRPr="00F63749">
              <w:rPr>
                <w:rFonts w:asciiTheme="minorHAnsi" w:hAnsiTheme="minorHAnsi" w:cstheme="minorHAnsi"/>
                <w:b/>
              </w:rPr>
              <w:t>20</w:t>
            </w:r>
            <w:r w:rsidRPr="00F63749">
              <w:rPr>
                <w:rFonts w:asciiTheme="minorHAnsi" w:hAnsiTheme="minorHAnsi" w:cstheme="minorHAnsi"/>
                <w:b/>
              </w:rPr>
              <w:t>XX-OB-#</w:t>
            </w:r>
          </w:p>
        </w:tc>
      </w:tr>
      <w:tr w:rsidR="000A134A" w:rsidRPr="00A63274" w14:paraId="5368CE16" w14:textId="77777777" w:rsidTr="796F7124">
        <w:tc>
          <w:tcPr>
            <w:tcW w:w="1440" w:type="dxa"/>
          </w:tcPr>
          <w:p w14:paraId="04151688" w14:textId="5E90041E" w:rsidR="00493FD1" w:rsidRPr="00F63749" w:rsidRDefault="000A134A" w:rsidP="00493FD1">
            <w:pPr>
              <w:widowControl/>
              <w:autoSpaceDE/>
              <w:autoSpaceDN/>
              <w:adjustRightInd/>
              <w:rPr>
                <w:rFonts w:asciiTheme="minorHAnsi" w:hAnsiTheme="minorHAnsi" w:cstheme="minorHAnsi"/>
                <w:sz w:val="22"/>
                <w:szCs w:val="22"/>
              </w:rPr>
            </w:pPr>
            <w:r w:rsidRPr="00F63749">
              <w:rPr>
                <w:rFonts w:asciiTheme="minorHAnsi" w:hAnsiTheme="minorHAnsi" w:cstheme="minorHAnsi"/>
                <w:sz w:val="22"/>
                <w:szCs w:val="22"/>
              </w:rPr>
              <w:t xml:space="preserve"> </w:t>
            </w:r>
            <w:r w:rsidR="00493FD1" w:rsidRPr="00F63749">
              <w:rPr>
                <w:rFonts w:asciiTheme="minorHAnsi" w:hAnsiTheme="minorHAnsi" w:cstheme="minorHAnsi"/>
                <w:sz w:val="22"/>
                <w:szCs w:val="22"/>
              </w:rPr>
              <w:t>FY 2022-</w:t>
            </w:r>
            <w:r w:rsidR="00A63274">
              <w:rPr>
                <w:rFonts w:asciiTheme="minorHAnsi" w:hAnsiTheme="minorHAnsi" w:cstheme="minorHAnsi"/>
                <w:sz w:val="22"/>
                <w:szCs w:val="22"/>
              </w:rPr>
              <w:t>0</w:t>
            </w:r>
            <w:r w:rsidR="00493FD1" w:rsidRPr="00F63749">
              <w:rPr>
                <w:rFonts w:asciiTheme="minorHAnsi" w:hAnsiTheme="minorHAnsi" w:cstheme="minorHAnsi"/>
                <w:sz w:val="22"/>
                <w:szCs w:val="22"/>
              </w:rPr>
              <w:t xml:space="preserve">1 </w:t>
            </w:r>
          </w:p>
          <w:p w14:paraId="39F370D3" w14:textId="77777777" w:rsidR="000A134A" w:rsidRPr="00F63749" w:rsidRDefault="000A134A" w:rsidP="007A71AC">
            <w:pPr>
              <w:widowControl/>
              <w:autoSpaceDE/>
              <w:autoSpaceDN/>
              <w:adjustRightInd/>
              <w:rPr>
                <w:rFonts w:asciiTheme="minorHAnsi" w:hAnsiTheme="minorHAnsi" w:cstheme="minorHAnsi"/>
                <w:sz w:val="22"/>
                <w:szCs w:val="22"/>
              </w:rPr>
            </w:pPr>
          </w:p>
        </w:tc>
        <w:tc>
          <w:tcPr>
            <w:tcW w:w="4721" w:type="dxa"/>
          </w:tcPr>
          <w:p w14:paraId="5EE9574F" w14:textId="2DC407BE" w:rsidR="00493FD1" w:rsidRPr="00F63749" w:rsidRDefault="00493FD1" w:rsidP="00493FD1">
            <w:pPr>
              <w:pStyle w:val="Default"/>
              <w:rPr>
                <w:rFonts w:asciiTheme="minorHAnsi" w:hAnsiTheme="minorHAnsi" w:cstheme="minorHAnsi"/>
                <w:sz w:val="22"/>
                <w:szCs w:val="22"/>
              </w:rPr>
            </w:pPr>
            <w:r w:rsidRPr="00F63749">
              <w:rPr>
                <w:rFonts w:asciiTheme="minorHAnsi" w:hAnsiTheme="minorHAnsi" w:cstheme="minorHAnsi"/>
                <w:sz w:val="22"/>
                <w:szCs w:val="22"/>
              </w:rPr>
              <w:t xml:space="preserve">In </w:t>
            </w:r>
            <w:r w:rsidR="003904B3">
              <w:rPr>
                <w:rFonts w:asciiTheme="minorHAnsi" w:hAnsiTheme="minorHAnsi" w:cstheme="minorHAnsi"/>
                <w:sz w:val="22"/>
                <w:szCs w:val="22"/>
              </w:rPr>
              <w:t xml:space="preserve">FY 2021 </w:t>
            </w:r>
            <w:r w:rsidRPr="00F63749">
              <w:rPr>
                <w:rFonts w:asciiTheme="minorHAnsi" w:hAnsiTheme="minorHAnsi" w:cstheme="minorHAnsi"/>
                <w:sz w:val="22"/>
                <w:szCs w:val="22"/>
              </w:rPr>
              <w:t xml:space="preserve">17 of 43 (39.5%) case files reviewed that had violations, employer knowledge was not adequately documented. </w:t>
            </w:r>
          </w:p>
          <w:p w14:paraId="4B3C1E3A" w14:textId="5410FB7E" w:rsidR="000A134A" w:rsidRPr="00F63749" w:rsidRDefault="000A134A" w:rsidP="007A71AC">
            <w:pPr>
              <w:widowControl/>
              <w:autoSpaceDE/>
              <w:autoSpaceDN/>
              <w:adjustRightInd/>
              <w:rPr>
                <w:rFonts w:asciiTheme="minorHAnsi" w:hAnsiTheme="minorHAnsi" w:cstheme="minorHAnsi"/>
                <w:sz w:val="22"/>
                <w:szCs w:val="22"/>
              </w:rPr>
            </w:pPr>
            <w:r w:rsidRPr="00F63749">
              <w:rPr>
                <w:rFonts w:asciiTheme="minorHAnsi" w:hAnsiTheme="minorHAnsi" w:cstheme="minorHAnsi"/>
                <w:sz w:val="22"/>
                <w:szCs w:val="22"/>
              </w:rPr>
              <w:t xml:space="preserve"> </w:t>
            </w:r>
          </w:p>
        </w:tc>
        <w:tc>
          <w:tcPr>
            <w:tcW w:w="4819" w:type="dxa"/>
          </w:tcPr>
          <w:p w14:paraId="4C0B2BD1" w14:textId="77777777" w:rsidR="000A134A" w:rsidRPr="00F63749" w:rsidRDefault="00493FD1" w:rsidP="00493FD1">
            <w:pPr>
              <w:pStyle w:val="Default"/>
              <w:rPr>
                <w:rFonts w:asciiTheme="minorHAnsi" w:hAnsiTheme="minorHAnsi" w:cstheme="minorHAnsi"/>
                <w:sz w:val="22"/>
                <w:szCs w:val="22"/>
              </w:rPr>
            </w:pPr>
            <w:r w:rsidRPr="00F63749">
              <w:rPr>
                <w:rFonts w:asciiTheme="minorHAnsi" w:hAnsiTheme="minorHAnsi" w:cstheme="minorHAnsi"/>
                <w:sz w:val="22"/>
                <w:szCs w:val="22"/>
              </w:rPr>
              <w:t xml:space="preserve">TOSHA should implement strategies to ensure that adequate actual or constructive knowledge is documented in all inspection casefiles as required by the Tennessee FOM. </w:t>
            </w:r>
          </w:p>
          <w:p w14:paraId="7A48B2C8" w14:textId="33A7EBBB" w:rsidR="00493FD1" w:rsidRPr="00F63749" w:rsidRDefault="00493FD1" w:rsidP="00493FD1">
            <w:pPr>
              <w:pStyle w:val="Default"/>
              <w:rPr>
                <w:rFonts w:asciiTheme="minorHAnsi" w:hAnsiTheme="minorHAnsi" w:cstheme="minorHAnsi"/>
                <w:sz w:val="22"/>
                <w:szCs w:val="22"/>
              </w:rPr>
            </w:pPr>
          </w:p>
        </w:tc>
        <w:tc>
          <w:tcPr>
            <w:tcW w:w="1890" w:type="dxa"/>
          </w:tcPr>
          <w:p w14:paraId="50A28923" w14:textId="4635C56E" w:rsidR="00493FD1" w:rsidRPr="00F63749" w:rsidRDefault="00493FD1" w:rsidP="007A71AC">
            <w:pPr>
              <w:widowControl/>
              <w:autoSpaceDE/>
              <w:autoSpaceDN/>
              <w:adjustRightInd/>
              <w:rPr>
                <w:rFonts w:asciiTheme="minorHAnsi" w:hAnsiTheme="minorHAnsi" w:cstheme="minorHAnsi"/>
                <w:sz w:val="22"/>
                <w:szCs w:val="22"/>
              </w:rPr>
            </w:pPr>
            <w:r w:rsidRPr="00F63749">
              <w:rPr>
                <w:rFonts w:asciiTheme="minorHAnsi" w:hAnsiTheme="minorHAnsi" w:cstheme="minorHAnsi"/>
                <w:sz w:val="22"/>
                <w:szCs w:val="22"/>
              </w:rPr>
              <w:t>FY 2021-1</w:t>
            </w:r>
            <w:r w:rsidR="000A134A" w:rsidRPr="00F63749">
              <w:rPr>
                <w:rFonts w:asciiTheme="minorHAnsi" w:hAnsiTheme="minorHAnsi" w:cstheme="minorHAnsi"/>
                <w:sz w:val="22"/>
                <w:szCs w:val="22"/>
              </w:rPr>
              <w:t xml:space="preserve"> </w:t>
            </w:r>
          </w:p>
          <w:p w14:paraId="51FF8A48" w14:textId="03939AB3" w:rsidR="000A134A" w:rsidRPr="00F63749" w:rsidRDefault="00493FD1" w:rsidP="007A71AC">
            <w:pPr>
              <w:widowControl/>
              <w:autoSpaceDE/>
              <w:autoSpaceDN/>
              <w:adjustRightInd/>
              <w:rPr>
                <w:rFonts w:asciiTheme="minorHAnsi" w:hAnsiTheme="minorHAnsi" w:cstheme="minorHAnsi"/>
                <w:sz w:val="22"/>
                <w:szCs w:val="22"/>
              </w:rPr>
            </w:pPr>
            <w:r w:rsidRPr="00F63749">
              <w:rPr>
                <w:rFonts w:asciiTheme="minorHAnsi" w:hAnsiTheme="minorHAnsi" w:cstheme="minorHAnsi"/>
                <w:sz w:val="22"/>
                <w:szCs w:val="22"/>
              </w:rPr>
              <w:t>FY 2019-OB-1</w:t>
            </w:r>
          </w:p>
        </w:tc>
      </w:tr>
      <w:tr w:rsidR="000A134A" w:rsidRPr="00A63274" w14:paraId="103CA6F2" w14:textId="77777777" w:rsidTr="796F7124">
        <w:tc>
          <w:tcPr>
            <w:tcW w:w="1440" w:type="dxa"/>
          </w:tcPr>
          <w:p w14:paraId="560B9CB8" w14:textId="5C00432A" w:rsidR="00493FD1" w:rsidRPr="00F63749" w:rsidRDefault="000A134A" w:rsidP="00493FD1">
            <w:pPr>
              <w:widowControl/>
              <w:autoSpaceDE/>
              <w:autoSpaceDN/>
              <w:adjustRightInd/>
              <w:rPr>
                <w:rFonts w:asciiTheme="minorHAnsi" w:hAnsiTheme="minorHAnsi" w:cstheme="minorHAnsi"/>
                <w:sz w:val="22"/>
                <w:szCs w:val="22"/>
              </w:rPr>
            </w:pPr>
            <w:r w:rsidRPr="00F63749">
              <w:rPr>
                <w:rFonts w:asciiTheme="minorHAnsi" w:hAnsiTheme="minorHAnsi" w:cstheme="minorHAnsi"/>
              </w:rPr>
              <w:t xml:space="preserve"> </w:t>
            </w:r>
            <w:r w:rsidR="00493FD1" w:rsidRPr="00F63749">
              <w:rPr>
                <w:rFonts w:asciiTheme="minorHAnsi" w:hAnsiTheme="minorHAnsi" w:cstheme="minorHAnsi"/>
                <w:sz w:val="22"/>
                <w:szCs w:val="22"/>
              </w:rPr>
              <w:t>FY 2022-</w:t>
            </w:r>
            <w:r w:rsidR="00A63274">
              <w:rPr>
                <w:rFonts w:asciiTheme="minorHAnsi" w:hAnsiTheme="minorHAnsi" w:cstheme="minorHAnsi"/>
                <w:sz w:val="22"/>
                <w:szCs w:val="22"/>
              </w:rPr>
              <w:t>0</w:t>
            </w:r>
            <w:r w:rsidR="00493FD1" w:rsidRPr="00F63749">
              <w:rPr>
                <w:rFonts w:asciiTheme="minorHAnsi" w:hAnsiTheme="minorHAnsi" w:cstheme="minorHAnsi"/>
                <w:sz w:val="22"/>
                <w:szCs w:val="22"/>
              </w:rPr>
              <w:t xml:space="preserve">2 </w:t>
            </w:r>
          </w:p>
          <w:p w14:paraId="76B70B57" w14:textId="1041C56F" w:rsidR="000A134A" w:rsidRPr="00F63749" w:rsidRDefault="000A134A" w:rsidP="007A71AC">
            <w:pPr>
              <w:widowControl/>
              <w:autoSpaceDE/>
              <w:autoSpaceDN/>
              <w:adjustRightInd/>
              <w:rPr>
                <w:rFonts w:asciiTheme="minorHAnsi" w:hAnsiTheme="minorHAnsi" w:cstheme="minorHAnsi"/>
              </w:rPr>
            </w:pPr>
          </w:p>
          <w:p w14:paraId="673AF147" w14:textId="77777777" w:rsidR="000A134A" w:rsidRPr="00F63749" w:rsidRDefault="000A134A" w:rsidP="007A71AC">
            <w:pPr>
              <w:widowControl/>
              <w:autoSpaceDE/>
              <w:autoSpaceDN/>
              <w:adjustRightInd/>
              <w:rPr>
                <w:rFonts w:asciiTheme="minorHAnsi" w:hAnsiTheme="minorHAnsi" w:cstheme="minorHAnsi"/>
              </w:rPr>
            </w:pPr>
          </w:p>
        </w:tc>
        <w:tc>
          <w:tcPr>
            <w:tcW w:w="4721" w:type="dxa"/>
          </w:tcPr>
          <w:p w14:paraId="63B44E70" w14:textId="639CC452" w:rsidR="00493FD1" w:rsidRPr="00F63749" w:rsidRDefault="00493FD1" w:rsidP="00493FD1">
            <w:pPr>
              <w:widowControl/>
              <w:autoSpaceDE/>
              <w:autoSpaceDN/>
              <w:adjustRightInd/>
              <w:rPr>
                <w:rFonts w:asciiTheme="minorHAnsi" w:hAnsiTheme="minorHAnsi" w:cstheme="minorHAnsi"/>
                <w:sz w:val="22"/>
                <w:szCs w:val="22"/>
              </w:rPr>
            </w:pPr>
            <w:r w:rsidRPr="00F63749">
              <w:rPr>
                <w:rFonts w:asciiTheme="minorHAnsi" w:hAnsiTheme="minorHAnsi" w:cstheme="minorHAnsi"/>
                <w:sz w:val="22"/>
                <w:szCs w:val="22"/>
              </w:rPr>
              <w:t xml:space="preserve">The Tennessee State Plan has failed to adopt OSHA’s initial FY 2016 maximum and minimum penalty increase and subsequent annual penalty amount increases. </w:t>
            </w:r>
          </w:p>
          <w:p w14:paraId="5B47278E" w14:textId="672B0165" w:rsidR="000A134A" w:rsidRPr="00F63749" w:rsidRDefault="000A134A" w:rsidP="007A71AC">
            <w:pPr>
              <w:widowControl/>
              <w:autoSpaceDE/>
              <w:autoSpaceDN/>
              <w:adjustRightInd/>
              <w:rPr>
                <w:rFonts w:asciiTheme="minorHAnsi" w:hAnsiTheme="minorHAnsi" w:cstheme="minorHAnsi"/>
                <w:sz w:val="22"/>
                <w:szCs w:val="22"/>
              </w:rPr>
            </w:pPr>
          </w:p>
          <w:p w14:paraId="53C5489A" w14:textId="77777777" w:rsidR="000A134A" w:rsidRPr="00F63749" w:rsidRDefault="000A134A" w:rsidP="007A71AC">
            <w:pPr>
              <w:widowControl/>
              <w:autoSpaceDE/>
              <w:autoSpaceDN/>
              <w:adjustRightInd/>
              <w:rPr>
                <w:rFonts w:asciiTheme="minorHAnsi" w:hAnsiTheme="minorHAnsi" w:cstheme="minorHAnsi"/>
                <w:sz w:val="22"/>
                <w:szCs w:val="22"/>
              </w:rPr>
            </w:pPr>
          </w:p>
        </w:tc>
        <w:tc>
          <w:tcPr>
            <w:tcW w:w="4819" w:type="dxa"/>
          </w:tcPr>
          <w:p w14:paraId="39DEA8C3" w14:textId="3754FB16" w:rsidR="00493FD1" w:rsidRPr="00F63749" w:rsidRDefault="00493FD1" w:rsidP="00493FD1">
            <w:pPr>
              <w:widowControl/>
              <w:autoSpaceDE/>
              <w:autoSpaceDN/>
              <w:adjustRightInd/>
              <w:rPr>
                <w:rFonts w:asciiTheme="minorHAnsi" w:hAnsiTheme="minorHAnsi" w:cstheme="minorHAnsi"/>
                <w:sz w:val="22"/>
                <w:szCs w:val="22"/>
              </w:rPr>
            </w:pPr>
            <w:r w:rsidRPr="00F63749">
              <w:rPr>
                <w:rFonts w:asciiTheme="minorHAnsi" w:hAnsiTheme="minorHAnsi" w:cstheme="minorHAnsi"/>
                <w:sz w:val="22"/>
                <w:szCs w:val="22"/>
              </w:rPr>
              <w:t xml:space="preserve">TOSHA should </w:t>
            </w:r>
            <w:r w:rsidR="5916E180" w:rsidRPr="00F63749">
              <w:rPr>
                <w:rFonts w:asciiTheme="minorHAnsi" w:hAnsiTheme="minorHAnsi" w:cstheme="minorHAnsi"/>
                <w:sz w:val="22"/>
                <w:szCs w:val="22"/>
              </w:rPr>
              <w:t xml:space="preserve">continue to </w:t>
            </w:r>
            <w:r w:rsidRPr="00F63749">
              <w:rPr>
                <w:rFonts w:asciiTheme="minorHAnsi" w:hAnsiTheme="minorHAnsi" w:cstheme="minorHAnsi"/>
                <w:sz w:val="22"/>
                <w:szCs w:val="22"/>
              </w:rPr>
              <w:t xml:space="preserve">work with their state authorities to complete the legislative changes necessary to enable it to adopt maximum and minimum penalty amounts that are at least as effective as OSHA’s maximum and minimum penalty levels. </w:t>
            </w:r>
          </w:p>
          <w:p w14:paraId="527F29DD" w14:textId="05E9C377" w:rsidR="000A134A" w:rsidRPr="00F63749" w:rsidRDefault="000A134A" w:rsidP="007A71AC">
            <w:pPr>
              <w:widowControl/>
              <w:autoSpaceDE/>
              <w:autoSpaceDN/>
              <w:adjustRightInd/>
              <w:rPr>
                <w:rFonts w:asciiTheme="minorHAnsi" w:hAnsiTheme="minorHAnsi" w:cstheme="minorHAnsi"/>
              </w:rPr>
            </w:pPr>
          </w:p>
          <w:p w14:paraId="7375EF07" w14:textId="77777777" w:rsidR="000A134A" w:rsidRPr="00F63749" w:rsidRDefault="000A134A" w:rsidP="007A71AC">
            <w:pPr>
              <w:widowControl/>
              <w:autoSpaceDE/>
              <w:autoSpaceDN/>
              <w:adjustRightInd/>
              <w:rPr>
                <w:rFonts w:asciiTheme="minorHAnsi" w:hAnsiTheme="minorHAnsi" w:cstheme="minorHAnsi"/>
              </w:rPr>
            </w:pPr>
          </w:p>
        </w:tc>
        <w:tc>
          <w:tcPr>
            <w:tcW w:w="1890" w:type="dxa"/>
          </w:tcPr>
          <w:p w14:paraId="29EF205F" w14:textId="22C8DEFE" w:rsidR="00493FD1" w:rsidRPr="00F63749" w:rsidRDefault="00493FD1" w:rsidP="00493FD1">
            <w:pPr>
              <w:pStyle w:val="Default"/>
              <w:rPr>
                <w:rFonts w:asciiTheme="minorHAnsi" w:hAnsiTheme="minorHAnsi" w:cstheme="minorHAnsi"/>
                <w:sz w:val="22"/>
                <w:szCs w:val="22"/>
              </w:rPr>
            </w:pPr>
            <w:r w:rsidRPr="00F63749">
              <w:rPr>
                <w:rFonts w:asciiTheme="minorHAnsi" w:hAnsiTheme="minorHAnsi" w:cstheme="minorHAnsi"/>
                <w:sz w:val="22"/>
                <w:szCs w:val="22"/>
              </w:rPr>
              <w:t xml:space="preserve">FY 2021-2 </w:t>
            </w:r>
          </w:p>
          <w:p w14:paraId="0E5FE764" w14:textId="0A6E4078" w:rsidR="000A134A" w:rsidRPr="00F63749" w:rsidRDefault="000A134A" w:rsidP="007A71AC">
            <w:pPr>
              <w:widowControl/>
              <w:autoSpaceDE/>
              <w:autoSpaceDN/>
              <w:adjustRightInd/>
              <w:rPr>
                <w:rFonts w:asciiTheme="minorHAnsi" w:hAnsiTheme="minorHAnsi" w:cstheme="minorHAnsi"/>
              </w:rPr>
            </w:pPr>
          </w:p>
        </w:tc>
      </w:tr>
    </w:tbl>
    <w:p w14:paraId="3C1E0E19" w14:textId="77777777" w:rsidR="000A134A" w:rsidRPr="00F63749" w:rsidRDefault="000A134A" w:rsidP="007A71AC">
      <w:pPr>
        <w:widowControl/>
        <w:autoSpaceDE/>
        <w:autoSpaceDN/>
        <w:adjustRightInd/>
        <w:rPr>
          <w:rFonts w:asciiTheme="minorHAnsi" w:hAnsiTheme="minorHAnsi" w:cstheme="minorHAnsi"/>
        </w:rPr>
      </w:pPr>
    </w:p>
    <w:p w14:paraId="749481A4" w14:textId="1F7C869C" w:rsidR="000A134A" w:rsidRPr="00F63749" w:rsidRDefault="000A134A" w:rsidP="007A71AC">
      <w:pPr>
        <w:widowControl/>
        <w:autoSpaceDE/>
        <w:autoSpaceDN/>
        <w:adjustRightInd/>
        <w:rPr>
          <w:rFonts w:asciiTheme="minorHAnsi" w:hAnsiTheme="minorHAnsi" w:cstheme="minorHAnsi"/>
          <w:iCs/>
          <w:color w:val="0070C0"/>
        </w:rPr>
      </w:pPr>
    </w:p>
    <w:p w14:paraId="003E7189" w14:textId="77777777" w:rsidR="000A134A" w:rsidRPr="00F63749" w:rsidRDefault="000A134A" w:rsidP="007A71AC">
      <w:pPr>
        <w:widowControl/>
        <w:autoSpaceDE/>
        <w:autoSpaceDN/>
        <w:adjustRightInd/>
        <w:rPr>
          <w:rFonts w:asciiTheme="minorHAnsi" w:hAnsiTheme="minorHAnsi" w:cstheme="minorHAnsi"/>
          <w:iCs/>
          <w:color w:val="0070C0"/>
        </w:rPr>
      </w:pPr>
    </w:p>
    <w:p w14:paraId="7696391B" w14:textId="76851EB2" w:rsidR="000A134A" w:rsidRPr="00F63749" w:rsidRDefault="000A134A" w:rsidP="007A71AC">
      <w:pPr>
        <w:widowControl/>
        <w:autoSpaceDE/>
        <w:autoSpaceDN/>
        <w:adjustRightInd/>
        <w:rPr>
          <w:rFonts w:asciiTheme="minorHAnsi" w:hAnsiTheme="minorHAnsi" w:cstheme="minorHAnsi"/>
          <w:iCs/>
          <w:color w:val="0070C0"/>
        </w:rPr>
      </w:pPr>
    </w:p>
    <w:p w14:paraId="6BF77CAF" w14:textId="107746AE" w:rsidR="00493FD1" w:rsidRPr="00F63749" w:rsidRDefault="00493FD1" w:rsidP="007A71AC">
      <w:pPr>
        <w:widowControl/>
        <w:autoSpaceDE/>
        <w:autoSpaceDN/>
        <w:adjustRightInd/>
        <w:rPr>
          <w:rFonts w:asciiTheme="minorHAnsi" w:hAnsiTheme="minorHAnsi" w:cstheme="minorHAnsi"/>
          <w:iCs/>
          <w:color w:val="0070C0"/>
        </w:rPr>
      </w:pPr>
    </w:p>
    <w:p w14:paraId="4ADF337D" w14:textId="6FC717AD" w:rsidR="00493FD1" w:rsidRPr="00F63749" w:rsidRDefault="00493FD1" w:rsidP="007A71AC">
      <w:pPr>
        <w:widowControl/>
        <w:autoSpaceDE/>
        <w:autoSpaceDN/>
        <w:adjustRightInd/>
        <w:rPr>
          <w:rFonts w:asciiTheme="minorHAnsi" w:hAnsiTheme="minorHAnsi" w:cstheme="minorHAnsi"/>
          <w:iCs/>
          <w:color w:val="0070C0"/>
        </w:rPr>
      </w:pPr>
    </w:p>
    <w:p w14:paraId="43E43CD0" w14:textId="25FDBFDF" w:rsidR="00493FD1" w:rsidRPr="00F63749" w:rsidRDefault="00493FD1" w:rsidP="007A71AC">
      <w:pPr>
        <w:widowControl/>
        <w:autoSpaceDE/>
        <w:autoSpaceDN/>
        <w:adjustRightInd/>
        <w:rPr>
          <w:rFonts w:asciiTheme="minorHAnsi" w:hAnsiTheme="minorHAnsi" w:cstheme="minorHAnsi"/>
          <w:iCs/>
          <w:color w:val="0070C0"/>
        </w:rPr>
      </w:pPr>
    </w:p>
    <w:p w14:paraId="12B68C5B" w14:textId="00333755" w:rsidR="00493FD1" w:rsidRPr="00F63749" w:rsidRDefault="00493FD1" w:rsidP="007A71AC">
      <w:pPr>
        <w:widowControl/>
        <w:autoSpaceDE/>
        <w:autoSpaceDN/>
        <w:adjustRightInd/>
        <w:rPr>
          <w:rFonts w:asciiTheme="minorHAnsi" w:hAnsiTheme="minorHAnsi" w:cstheme="minorHAnsi"/>
          <w:iCs/>
          <w:color w:val="0070C0"/>
        </w:rPr>
      </w:pPr>
    </w:p>
    <w:p w14:paraId="47DE7B2A" w14:textId="3D27D872" w:rsidR="00493FD1" w:rsidRPr="00F63749" w:rsidRDefault="00493FD1" w:rsidP="007A71AC">
      <w:pPr>
        <w:widowControl/>
        <w:autoSpaceDE/>
        <w:autoSpaceDN/>
        <w:adjustRightInd/>
        <w:rPr>
          <w:rFonts w:asciiTheme="minorHAnsi" w:hAnsiTheme="minorHAnsi" w:cstheme="minorHAnsi"/>
          <w:iCs/>
          <w:color w:val="0070C0"/>
        </w:rPr>
      </w:pPr>
    </w:p>
    <w:p w14:paraId="3CA75BA4" w14:textId="7B736E54" w:rsidR="00493FD1" w:rsidRPr="00F63749" w:rsidRDefault="00493FD1" w:rsidP="007A71AC">
      <w:pPr>
        <w:widowControl/>
        <w:autoSpaceDE/>
        <w:autoSpaceDN/>
        <w:adjustRightInd/>
        <w:rPr>
          <w:rFonts w:asciiTheme="minorHAnsi" w:hAnsiTheme="minorHAnsi" w:cstheme="minorHAnsi"/>
          <w:iCs/>
          <w:color w:val="0070C0"/>
        </w:rPr>
      </w:pPr>
    </w:p>
    <w:p w14:paraId="039B49D1" w14:textId="757B7896" w:rsidR="00D86879" w:rsidRPr="00F63749" w:rsidRDefault="00D86879" w:rsidP="007A71AC">
      <w:pPr>
        <w:widowControl/>
        <w:autoSpaceDE/>
        <w:autoSpaceDN/>
        <w:adjustRightInd/>
        <w:rPr>
          <w:rFonts w:asciiTheme="minorHAnsi" w:hAnsiTheme="minorHAnsi" w:cstheme="minorHAnsi"/>
          <w:i/>
        </w:rPr>
      </w:pPr>
    </w:p>
    <w:p w14:paraId="1CCE1B50" w14:textId="77777777" w:rsidR="00493FD1" w:rsidRPr="00F63749" w:rsidRDefault="00493FD1" w:rsidP="007A71AC">
      <w:pPr>
        <w:widowControl/>
        <w:autoSpaceDE/>
        <w:autoSpaceDN/>
        <w:adjustRightInd/>
        <w:rPr>
          <w:rFonts w:asciiTheme="minorHAnsi" w:hAnsiTheme="minorHAnsi" w:cstheme="minorHAnsi"/>
          <w:i/>
        </w:rPr>
      </w:pPr>
    </w:p>
    <w:p w14:paraId="776B7B1D" w14:textId="77777777" w:rsidR="00D86879" w:rsidRPr="00F63749" w:rsidRDefault="00D86879" w:rsidP="007A71AC">
      <w:pPr>
        <w:widowControl/>
        <w:autoSpaceDE/>
        <w:autoSpaceDN/>
        <w:adjustRightInd/>
        <w:rPr>
          <w:rFonts w:asciiTheme="minorHAnsi" w:hAnsiTheme="minorHAnsi" w:cstheme="minorHAnsi"/>
          <w:i/>
        </w:rPr>
      </w:pPr>
    </w:p>
    <w:p w14:paraId="715EFD78" w14:textId="77777777" w:rsidR="00D86879" w:rsidRPr="00F63749" w:rsidRDefault="00D86879" w:rsidP="007A71AC">
      <w:pPr>
        <w:widowControl/>
        <w:autoSpaceDE/>
        <w:autoSpaceDN/>
        <w:adjustRightInd/>
        <w:rPr>
          <w:rFonts w:asciiTheme="minorHAnsi" w:hAnsiTheme="minorHAnsi" w:cstheme="minorHAnsi"/>
          <w:i/>
        </w:rPr>
      </w:pPr>
    </w:p>
    <w:p w14:paraId="72DA695E" w14:textId="77777777" w:rsidR="00B6741C" w:rsidRPr="0092393F" w:rsidRDefault="00B6741C" w:rsidP="00A63274">
      <w:pPr>
        <w:pStyle w:val="Heading3"/>
      </w:pPr>
      <w:bookmarkStart w:id="27" w:name="_Toc118905018"/>
      <w:bookmarkStart w:id="28" w:name="_Toc128482015"/>
      <w:r w:rsidRPr="0092393F">
        <w:lastRenderedPageBreak/>
        <w:t>Appendix B – Observations Subject to Continued Monitoring</w:t>
      </w:r>
      <w:bookmarkEnd w:id="27"/>
      <w:bookmarkEnd w:id="28"/>
    </w:p>
    <w:p w14:paraId="73014EBD" w14:textId="3CA4CF50" w:rsidR="00B6741C" w:rsidRPr="00F63749" w:rsidRDefault="00B6741C" w:rsidP="0002572C">
      <w:pPr>
        <w:rPr>
          <w:rFonts w:asciiTheme="minorHAnsi" w:hAnsiTheme="minorHAnsi" w:cstheme="minorHAnsi"/>
        </w:rPr>
      </w:pPr>
      <w:r w:rsidRPr="00F63749">
        <w:rPr>
          <w:rFonts w:asciiTheme="minorHAnsi" w:hAnsiTheme="minorHAnsi" w:cstheme="minorHAnsi"/>
        </w:rPr>
        <w:t>FY 20</w:t>
      </w:r>
      <w:r w:rsidR="00493FD1" w:rsidRPr="00F63749">
        <w:rPr>
          <w:rFonts w:asciiTheme="minorHAnsi" w:hAnsiTheme="minorHAnsi" w:cstheme="minorHAnsi"/>
        </w:rPr>
        <w:t>22 Tennessee</w:t>
      </w:r>
      <w:r w:rsidRPr="00F63749">
        <w:rPr>
          <w:rFonts w:asciiTheme="minorHAnsi" w:hAnsiTheme="minorHAnsi" w:cstheme="minorHAnsi"/>
          <w:color w:val="0070C0"/>
        </w:rPr>
        <w:t xml:space="preserve"> </w:t>
      </w:r>
      <w:r w:rsidRPr="00F63749">
        <w:rPr>
          <w:rFonts w:asciiTheme="minorHAnsi" w:hAnsiTheme="minorHAnsi" w:cstheme="minorHAnsi"/>
        </w:rPr>
        <w:t>Follow-up FAME Report</w:t>
      </w:r>
    </w:p>
    <w:p w14:paraId="75823E10" w14:textId="77777777" w:rsidR="00D86879" w:rsidRPr="00F63749" w:rsidRDefault="00D86879" w:rsidP="007A71AC">
      <w:pPr>
        <w:widowControl/>
        <w:autoSpaceDE/>
        <w:autoSpaceDN/>
        <w:adjustRightInd/>
        <w:rPr>
          <w:rFonts w:asciiTheme="minorHAnsi" w:hAnsiTheme="minorHAnsi" w:cstheme="minorHAnsi"/>
          <w:i/>
        </w:rPr>
      </w:pPr>
    </w:p>
    <w:p w14:paraId="2093D22B" w14:textId="77777777" w:rsidR="00D86879" w:rsidRPr="00F63749" w:rsidRDefault="00D86879" w:rsidP="007A71AC">
      <w:pPr>
        <w:widowControl/>
        <w:autoSpaceDE/>
        <w:autoSpaceDN/>
        <w:adjustRightInd/>
        <w:rPr>
          <w:rFonts w:asciiTheme="minorHAnsi" w:hAnsiTheme="minorHAnsi" w:cstheme="minorHAnsi"/>
          <w:i/>
        </w:rPr>
      </w:pPr>
    </w:p>
    <w:tbl>
      <w:tblPr>
        <w:tblStyle w:val="TableGrid"/>
        <w:tblW w:w="0" w:type="auto"/>
        <w:tblLook w:val="04A0" w:firstRow="1" w:lastRow="0" w:firstColumn="1" w:lastColumn="0" w:noHBand="0" w:noVBand="1"/>
      </w:tblPr>
      <w:tblGrid>
        <w:gridCol w:w="2657"/>
        <w:gridCol w:w="2690"/>
        <w:gridCol w:w="2657"/>
        <w:gridCol w:w="2630"/>
        <w:gridCol w:w="2316"/>
      </w:tblGrid>
      <w:tr w:rsidR="00B6741C" w:rsidRPr="00A63274" w14:paraId="266E8016" w14:textId="4E26EFF8" w:rsidTr="00B6741C">
        <w:trPr>
          <w:cantSplit/>
          <w:tblHeader/>
        </w:trPr>
        <w:tc>
          <w:tcPr>
            <w:tcW w:w="2657" w:type="dxa"/>
          </w:tcPr>
          <w:p w14:paraId="5950BEA4" w14:textId="77777777" w:rsidR="00B6741C" w:rsidRPr="00F63749" w:rsidRDefault="00B6741C" w:rsidP="00B6741C">
            <w:pPr>
              <w:widowControl/>
              <w:autoSpaceDE/>
              <w:autoSpaceDN/>
              <w:adjustRightInd/>
              <w:rPr>
                <w:rFonts w:asciiTheme="minorHAnsi" w:hAnsiTheme="minorHAnsi" w:cstheme="minorHAnsi"/>
                <w:b/>
                <w:sz w:val="22"/>
                <w:szCs w:val="22"/>
              </w:rPr>
            </w:pPr>
            <w:r w:rsidRPr="00F63749">
              <w:rPr>
                <w:rFonts w:asciiTheme="minorHAnsi" w:hAnsiTheme="minorHAnsi" w:cstheme="minorHAnsi"/>
                <w:b/>
                <w:sz w:val="22"/>
                <w:szCs w:val="22"/>
              </w:rPr>
              <w:t>Observation #</w:t>
            </w:r>
          </w:p>
          <w:p w14:paraId="09AE72D2" w14:textId="56E9CCBE" w:rsidR="00B6741C" w:rsidRPr="00F63749" w:rsidRDefault="00B6741C" w:rsidP="00B6741C">
            <w:pPr>
              <w:widowControl/>
              <w:autoSpaceDE/>
              <w:autoSpaceDN/>
              <w:adjustRightInd/>
              <w:rPr>
                <w:rFonts w:asciiTheme="minorHAnsi" w:hAnsiTheme="minorHAnsi" w:cstheme="minorHAnsi"/>
                <w:b/>
                <w:sz w:val="22"/>
                <w:szCs w:val="22"/>
              </w:rPr>
            </w:pPr>
            <w:r w:rsidRPr="00F63749">
              <w:rPr>
                <w:rFonts w:asciiTheme="minorHAnsi" w:hAnsiTheme="minorHAnsi" w:cstheme="minorHAnsi"/>
                <w:b/>
                <w:sz w:val="22"/>
                <w:szCs w:val="22"/>
              </w:rPr>
              <w:t>FY 20</w:t>
            </w:r>
            <w:r w:rsidR="00493FD1" w:rsidRPr="00F63749">
              <w:rPr>
                <w:rFonts w:asciiTheme="minorHAnsi" w:hAnsiTheme="minorHAnsi" w:cstheme="minorHAnsi"/>
                <w:b/>
                <w:sz w:val="22"/>
                <w:szCs w:val="22"/>
              </w:rPr>
              <w:t>22</w:t>
            </w:r>
            <w:r w:rsidRPr="00F63749">
              <w:rPr>
                <w:rFonts w:asciiTheme="minorHAnsi" w:hAnsiTheme="minorHAnsi" w:cstheme="minorHAnsi"/>
                <w:b/>
                <w:sz w:val="22"/>
                <w:szCs w:val="22"/>
              </w:rPr>
              <w:t>-OB-#</w:t>
            </w:r>
          </w:p>
          <w:p w14:paraId="07702D17" w14:textId="77777777" w:rsidR="00B6741C" w:rsidRPr="00F63749" w:rsidRDefault="00B6741C" w:rsidP="00B6741C">
            <w:pPr>
              <w:widowControl/>
              <w:autoSpaceDE/>
              <w:autoSpaceDN/>
              <w:adjustRightInd/>
              <w:rPr>
                <w:rFonts w:asciiTheme="minorHAnsi" w:hAnsiTheme="minorHAnsi" w:cstheme="minorHAnsi"/>
                <w:i/>
                <w:sz w:val="22"/>
                <w:szCs w:val="22"/>
              </w:rPr>
            </w:pPr>
          </w:p>
        </w:tc>
        <w:tc>
          <w:tcPr>
            <w:tcW w:w="2690" w:type="dxa"/>
          </w:tcPr>
          <w:p w14:paraId="5B8F9311" w14:textId="77777777" w:rsidR="00B6741C" w:rsidRPr="00F63749" w:rsidRDefault="00B6741C" w:rsidP="00B6741C">
            <w:pPr>
              <w:widowControl/>
              <w:autoSpaceDE/>
              <w:autoSpaceDN/>
              <w:adjustRightInd/>
              <w:rPr>
                <w:rFonts w:asciiTheme="minorHAnsi" w:hAnsiTheme="minorHAnsi" w:cstheme="minorHAnsi"/>
                <w:b/>
                <w:sz w:val="22"/>
                <w:szCs w:val="22"/>
              </w:rPr>
            </w:pPr>
            <w:r w:rsidRPr="00F63749">
              <w:rPr>
                <w:rFonts w:asciiTheme="minorHAnsi" w:hAnsiTheme="minorHAnsi" w:cstheme="minorHAnsi"/>
                <w:b/>
                <w:sz w:val="22"/>
                <w:szCs w:val="22"/>
              </w:rPr>
              <w:t>Observation#</w:t>
            </w:r>
          </w:p>
          <w:p w14:paraId="757E85A6" w14:textId="2E09DB1A" w:rsidR="00B6741C" w:rsidRPr="00F63749" w:rsidRDefault="00B6741C" w:rsidP="00B6741C">
            <w:pPr>
              <w:widowControl/>
              <w:autoSpaceDE/>
              <w:autoSpaceDN/>
              <w:adjustRightInd/>
              <w:rPr>
                <w:rFonts w:asciiTheme="minorHAnsi" w:hAnsiTheme="minorHAnsi" w:cstheme="minorHAnsi"/>
                <w:i/>
                <w:sz w:val="22"/>
                <w:szCs w:val="22"/>
              </w:rPr>
            </w:pPr>
            <w:r w:rsidRPr="00F63749">
              <w:rPr>
                <w:rFonts w:asciiTheme="minorHAnsi" w:hAnsiTheme="minorHAnsi" w:cstheme="minorHAnsi"/>
                <w:b/>
                <w:sz w:val="22"/>
                <w:szCs w:val="22"/>
              </w:rPr>
              <w:t xml:space="preserve">FY 20XX-OB-# </w:t>
            </w:r>
            <w:r w:rsidRPr="00F63749">
              <w:rPr>
                <w:rFonts w:asciiTheme="minorHAnsi" w:hAnsiTheme="minorHAnsi" w:cstheme="minorHAnsi"/>
                <w:b/>
                <w:i/>
                <w:sz w:val="22"/>
                <w:szCs w:val="22"/>
              </w:rPr>
              <w:t>or</w:t>
            </w:r>
            <w:r w:rsidRPr="00F63749">
              <w:rPr>
                <w:rFonts w:asciiTheme="minorHAnsi" w:hAnsiTheme="minorHAnsi" w:cstheme="minorHAnsi"/>
                <w:b/>
                <w:sz w:val="22"/>
                <w:szCs w:val="22"/>
              </w:rPr>
              <w:t xml:space="preserve"> FY 20XX-#</w:t>
            </w:r>
          </w:p>
        </w:tc>
        <w:tc>
          <w:tcPr>
            <w:tcW w:w="2657" w:type="dxa"/>
          </w:tcPr>
          <w:p w14:paraId="11DA1749" w14:textId="7AE042CC" w:rsidR="00B6741C" w:rsidRPr="00F63749" w:rsidRDefault="00B6741C" w:rsidP="00B6741C">
            <w:pPr>
              <w:widowControl/>
              <w:autoSpaceDE/>
              <w:autoSpaceDN/>
              <w:adjustRightInd/>
              <w:rPr>
                <w:rFonts w:asciiTheme="minorHAnsi" w:hAnsiTheme="minorHAnsi" w:cstheme="minorHAnsi"/>
                <w:i/>
                <w:sz w:val="22"/>
                <w:szCs w:val="22"/>
              </w:rPr>
            </w:pPr>
            <w:r w:rsidRPr="00F63749">
              <w:rPr>
                <w:rFonts w:asciiTheme="minorHAnsi" w:hAnsiTheme="minorHAnsi" w:cstheme="minorHAnsi"/>
                <w:b/>
                <w:sz w:val="22"/>
                <w:szCs w:val="22"/>
              </w:rPr>
              <w:t>Observation</w:t>
            </w:r>
          </w:p>
        </w:tc>
        <w:tc>
          <w:tcPr>
            <w:tcW w:w="2630" w:type="dxa"/>
          </w:tcPr>
          <w:p w14:paraId="76BC073C" w14:textId="70BBC1B0" w:rsidR="00B6741C" w:rsidRPr="00F63749" w:rsidRDefault="00B6741C" w:rsidP="00B6741C">
            <w:pPr>
              <w:widowControl/>
              <w:autoSpaceDE/>
              <w:autoSpaceDN/>
              <w:adjustRightInd/>
              <w:rPr>
                <w:rFonts w:asciiTheme="minorHAnsi" w:hAnsiTheme="minorHAnsi" w:cstheme="minorHAnsi"/>
                <w:i/>
                <w:sz w:val="22"/>
                <w:szCs w:val="22"/>
              </w:rPr>
            </w:pPr>
            <w:r w:rsidRPr="00F63749">
              <w:rPr>
                <w:rFonts w:asciiTheme="minorHAnsi" w:hAnsiTheme="minorHAnsi" w:cstheme="minorHAnsi"/>
                <w:b/>
                <w:sz w:val="22"/>
                <w:szCs w:val="22"/>
              </w:rPr>
              <w:t>Federal Monitoring Plan</w:t>
            </w:r>
          </w:p>
        </w:tc>
        <w:tc>
          <w:tcPr>
            <w:tcW w:w="2316" w:type="dxa"/>
          </w:tcPr>
          <w:p w14:paraId="46D0EE63" w14:textId="4A2BA825" w:rsidR="00B6741C" w:rsidRPr="00F63749" w:rsidRDefault="00B6741C" w:rsidP="00B6741C">
            <w:pPr>
              <w:widowControl/>
              <w:autoSpaceDE/>
              <w:autoSpaceDN/>
              <w:adjustRightInd/>
              <w:rPr>
                <w:rFonts w:asciiTheme="minorHAnsi" w:hAnsiTheme="minorHAnsi" w:cstheme="minorHAnsi"/>
                <w:b/>
                <w:sz w:val="22"/>
                <w:szCs w:val="22"/>
              </w:rPr>
            </w:pPr>
            <w:r w:rsidRPr="00F63749">
              <w:rPr>
                <w:rFonts w:asciiTheme="minorHAnsi" w:hAnsiTheme="minorHAnsi" w:cstheme="minorHAnsi"/>
                <w:b/>
                <w:sz w:val="22"/>
                <w:szCs w:val="22"/>
              </w:rPr>
              <w:t>Current Status</w:t>
            </w:r>
          </w:p>
        </w:tc>
      </w:tr>
      <w:tr w:rsidR="00B6741C" w:rsidRPr="00A63274" w14:paraId="715083EB" w14:textId="58561804" w:rsidTr="00B6741C">
        <w:trPr>
          <w:cantSplit/>
        </w:trPr>
        <w:tc>
          <w:tcPr>
            <w:tcW w:w="2657" w:type="dxa"/>
          </w:tcPr>
          <w:p w14:paraId="7A46B84A" w14:textId="2E0CA188" w:rsidR="002466D8" w:rsidRPr="00F63749" w:rsidRDefault="002466D8" w:rsidP="002466D8">
            <w:pPr>
              <w:pStyle w:val="Default"/>
              <w:rPr>
                <w:rFonts w:asciiTheme="minorHAnsi" w:hAnsiTheme="minorHAnsi" w:cstheme="minorHAnsi"/>
                <w:sz w:val="22"/>
                <w:szCs w:val="22"/>
              </w:rPr>
            </w:pPr>
            <w:r w:rsidRPr="00F63749">
              <w:rPr>
                <w:rFonts w:asciiTheme="minorHAnsi" w:hAnsiTheme="minorHAnsi" w:cstheme="minorHAnsi"/>
                <w:sz w:val="22"/>
                <w:szCs w:val="22"/>
              </w:rPr>
              <w:t xml:space="preserve">FY 2022-OB-1 </w:t>
            </w:r>
          </w:p>
          <w:p w14:paraId="7834860F" w14:textId="77777777" w:rsidR="00B6741C" w:rsidRPr="00F63749" w:rsidRDefault="00B6741C" w:rsidP="00B6741C">
            <w:pPr>
              <w:widowControl/>
              <w:autoSpaceDE/>
              <w:autoSpaceDN/>
              <w:adjustRightInd/>
              <w:rPr>
                <w:rFonts w:asciiTheme="minorHAnsi" w:hAnsiTheme="minorHAnsi" w:cstheme="minorHAnsi"/>
                <w:iCs/>
                <w:color w:val="0070C0"/>
                <w:sz w:val="22"/>
                <w:szCs w:val="22"/>
              </w:rPr>
            </w:pPr>
          </w:p>
        </w:tc>
        <w:tc>
          <w:tcPr>
            <w:tcW w:w="2690" w:type="dxa"/>
          </w:tcPr>
          <w:p w14:paraId="3F1FD97C" w14:textId="77777777" w:rsidR="002466D8" w:rsidRPr="00F63749" w:rsidRDefault="002466D8" w:rsidP="002466D8">
            <w:pPr>
              <w:pStyle w:val="Default"/>
              <w:rPr>
                <w:rFonts w:asciiTheme="minorHAnsi" w:hAnsiTheme="minorHAnsi" w:cstheme="minorHAnsi"/>
                <w:sz w:val="22"/>
                <w:szCs w:val="22"/>
              </w:rPr>
            </w:pPr>
            <w:r w:rsidRPr="00F63749">
              <w:rPr>
                <w:rFonts w:asciiTheme="minorHAnsi" w:hAnsiTheme="minorHAnsi" w:cstheme="minorHAnsi"/>
                <w:sz w:val="22"/>
                <w:szCs w:val="22"/>
              </w:rPr>
              <w:t xml:space="preserve">FY 2021-OB-1 </w:t>
            </w:r>
          </w:p>
          <w:p w14:paraId="367E276A" w14:textId="350E6D8F" w:rsidR="002466D8" w:rsidRPr="00F63749" w:rsidRDefault="002466D8" w:rsidP="002466D8">
            <w:pPr>
              <w:pStyle w:val="Default"/>
              <w:rPr>
                <w:rFonts w:asciiTheme="minorHAnsi" w:hAnsiTheme="minorHAnsi" w:cstheme="minorHAnsi"/>
                <w:sz w:val="22"/>
                <w:szCs w:val="22"/>
              </w:rPr>
            </w:pPr>
            <w:r w:rsidRPr="00F63749">
              <w:rPr>
                <w:rFonts w:asciiTheme="minorHAnsi" w:hAnsiTheme="minorHAnsi" w:cstheme="minorHAnsi"/>
                <w:sz w:val="22"/>
                <w:szCs w:val="22"/>
              </w:rPr>
              <w:t xml:space="preserve">FY 2020-OB-2 </w:t>
            </w:r>
          </w:p>
          <w:p w14:paraId="1207E4E3" w14:textId="77777777" w:rsidR="00B6741C" w:rsidRPr="00F63749" w:rsidRDefault="00B6741C" w:rsidP="00B6741C">
            <w:pPr>
              <w:widowControl/>
              <w:autoSpaceDE/>
              <w:autoSpaceDN/>
              <w:adjustRightInd/>
              <w:rPr>
                <w:rFonts w:asciiTheme="minorHAnsi" w:hAnsiTheme="minorHAnsi" w:cstheme="minorHAnsi"/>
                <w:iCs/>
                <w:color w:val="0070C0"/>
                <w:sz w:val="22"/>
                <w:szCs w:val="22"/>
              </w:rPr>
            </w:pPr>
          </w:p>
        </w:tc>
        <w:tc>
          <w:tcPr>
            <w:tcW w:w="2657" w:type="dxa"/>
          </w:tcPr>
          <w:p w14:paraId="5C96501E" w14:textId="77777777" w:rsidR="00B6741C" w:rsidRPr="00F63749" w:rsidRDefault="002466D8" w:rsidP="002466D8">
            <w:pPr>
              <w:pStyle w:val="Default"/>
              <w:rPr>
                <w:rFonts w:asciiTheme="minorHAnsi" w:hAnsiTheme="minorHAnsi" w:cstheme="minorHAnsi"/>
                <w:sz w:val="22"/>
                <w:szCs w:val="22"/>
              </w:rPr>
            </w:pPr>
            <w:r w:rsidRPr="00F63749">
              <w:rPr>
                <w:rFonts w:asciiTheme="minorHAnsi" w:hAnsiTheme="minorHAnsi" w:cstheme="minorHAnsi"/>
                <w:sz w:val="22"/>
                <w:szCs w:val="22"/>
              </w:rPr>
              <w:t xml:space="preserve">Inspection field notes, including interview notes in the inspection files, are transferred to the Violation Worksheet Form and the notes are destroyed in accordance with the Tennessee Public Records act, specifically n T.C.A. § 10-7-301(14) which is contrary to Tennessee Field Operations Manual Chapter 5 – Case File Preparation and Documentation – XII. Inspection Records. </w:t>
            </w:r>
          </w:p>
          <w:p w14:paraId="53E4A09F" w14:textId="19729A4E" w:rsidR="002466D8" w:rsidRPr="00F63749" w:rsidRDefault="002466D8" w:rsidP="002466D8">
            <w:pPr>
              <w:pStyle w:val="Default"/>
              <w:rPr>
                <w:rFonts w:asciiTheme="minorHAnsi" w:hAnsiTheme="minorHAnsi" w:cstheme="minorHAnsi"/>
                <w:iCs/>
                <w:color w:val="0070C0"/>
                <w:sz w:val="22"/>
                <w:szCs w:val="22"/>
              </w:rPr>
            </w:pPr>
          </w:p>
        </w:tc>
        <w:tc>
          <w:tcPr>
            <w:tcW w:w="2630" w:type="dxa"/>
          </w:tcPr>
          <w:p w14:paraId="596E6434" w14:textId="118C41EE" w:rsidR="002466D8" w:rsidRPr="00F63749" w:rsidRDefault="002466D8" w:rsidP="002466D8">
            <w:pPr>
              <w:pStyle w:val="Default"/>
              <w:rPr>
                <w:rFonts w:asciiTheme="minorHAnsi" w:hAnsiTheme="minorHAnsi" w:cstheme="minorHAnsi"/>
                <w:sz w:val="22"/>
                <w:szCs w:val="22"/>
              </w:rPr>
            </w:pPr>
            <w:r w:rsidRPr="00F63749">
              <w:rPr>
                <w:rFonts w:asciiTheme="minorHAnsi" w:hAnsiTheme="minorHAnsi" w:cstheme="minorHAnsi"/>
                <w:sz w:val="22"/>
                <w:szCs w:val="22"/>
              </w:rPr>
              <w:t xml:space="preserve">Federal Monitoring Plan: The OSHA Area Office will closely monitor to ensure TOSHA implements strategies to ensure field notes, including interview notes, are included in all inspection casefiles as required by the Tennessee FOM. </w:t>
            </w:r>
          </w:p>
          <w:p w14:paraId="31E38E8D" w14:textId="5E810D7F" w:rsidR="00B6741C" w:rsidRPr="00F63749" w:rsidRDefault="00B6741C" w:rsidP="00B6741C">
            <w:pPr>
              <w:widowControl/>
              <w:autoSpaceDE/>
              <w:autoSpaceDN/>
              <w:adjustRightInd/>
              <w:rPr>
                <w:rFonts w:asciiTheme="minorHAnsi" w:hAnsiTheme="minorHAnsi" w:cstheme="minorHAnsi"/>
                <w:iCs/>
                <w:color w:val="0070C0"/>
                <w:sz w:val="22"/>
                <w:szCs w:val="22"/>
              </w:rPr>
            </w:pPr>
          </w:p>
          <w:p w14:paraId="04F2CA88" w14:textId="77777777" w:rsidR="00B6741C" w:rsidRPr="00F63749" w:rsidRDefault="00B6741C" w:rsidP="00B6741C">
            <w:pPr>
              <w:widowControl/>
              <w:autoSpaceDE/>
              <w:autoSpaceDN/>
              <w:adjustRightInd/>
              <w:rPr>
                <w:rFonts w:asciiTheme="minorHAnsi" w:hAnsiTheme="minorHAnsi" w:cstheme="minorHAnsi"/>
                <w:iCs/>
                <w:color w:val="0070C0"/>
                <w:sz w:val="22"/>
                <w:szCs w:val="22"/>
              </w:rPr>
            </w:pPr>
          </w:p>
        </w:tc>
        <w:tc>
          <w:tcPr>
            <w:tcW w:w="2316" w:type="dxa"/>
          </w:tcPr>
          <w:p w14:paraId="79E4394D" w14:textId="69407FCD" w:rsidR="00B6741C" w:rsidRPr="00F63749" w:rsidRDefault="00B6741C" w:rsidP="00B6741C">
            <w:pPr>
              <w:widowControl/>
              <w:autoSpaceDE/>
              <w:autoSpaceDN/>
              <w:adjustRightInd/>
              <w:rPr>
                <w:rFonts w:asciiTheme="minorHAnsi" w:hAnsiTheme="minorHAnsi" w:cstheme="minorHAnsi"/>
                <w:iCs/>
                <w:color w:val="0070C0"/>
                <w:sz w:val="22"/>
                <w:szCs w:val="22"/>
              </w:rPr>
            </w:pPr>
            <w:r w:rsidRPr="00F63749">
              <w:rPr>
                <w:rFonts w:asciiTheme="minorHAnsi" w:hAnsiTheme="minorHAnsi" w:cstheme="minorHAnsi"/>
                <w:iCs/>
                <w:sz w:val="22"/>
                <w:szCs w:val="22"/>
              </w:rPr>
              <w:t>Continued</w:t>
            </w:r>
          </w:p>
        </w:tc>
      </w:tr>
      <w:tr w:rsidR="002466D8" w:rsidRPr="00A63274" w14:paraId="14FA91E7" w14:textId="77777777" w:rsidTr="00B6741C">
        <w:trPr>
          <w:cantSplit/>
        </w:trPr>
        <w:tc>
          <w:tcPr>
            <w:tcW w:w="2657" w:type="dxa"/>
          </w:tcPr>
          <w:p w14:paraId="311D3F1F" w14:textId="77777777" w:rsidR="002466D8" w:rsidRPr="00F63749" w:rsidRDefault="002466D8" w:rsidP="002466D8">
            <w:pPr>
              <w:pStyle w:val="Default"/>
              <w:rPr>
                <w:rFonts w:asciiTheme="minorHAnsi" w:hAnsiTheme="minorHAnsi" w:cstheme="minorHAnsi"/>
                <w:sz w:val="22"/>
                <w:szCs w:val="22"/>
              </w:rPr>
            </w:pPr>
          </w:p>
        </w:tc>
        <w:tc>
          <w:tcPr>
            <w:tcW w:w="2690" w:type="dxa"/>
          </w:tcPr>
          <w:p w14:paraId="3F84BB4B" w14:textId="77777777" w:rsidR="002466D8" w:rsidRPr="00F63749" w:rsidRDefault="002466D8" w:rsidP="002466D8">
            <w:pPr>
              <w:pStyle w:val="Default"/>
              <w:rPr>
                <w:rFonts w:asciiTheme="minorHAnsi" w:hAnsiTheme="minorHAnsi" w:cstheme="minorHAnsi"/>
                <w:sz w:val="22"/>
                <w:szCs w:val="22"/>
              </w:rPr>
            </w:pPr>
            <w:r w:rsidRPr="00F63749">
              <w:rPr>
                <w:rFonts w:asciiTheme="minorHAnsi" w:hAnsiTheme="minorHAnsi" w:cstheme="minorHAnsi"/>
                <w:sz w:val="22"/>
                <w:szCs w:val="22"/>
              </w:rPr>
              <w:t xml:space="preserve">FY 2021-OB-2 </w:t>
            </w:r>
          </w:p>
          <w:p w14:paraId="4A0B513E" w14:textId="77777777" w:rsidR="002466D8" w:rsidRPr="00F63749" w:rsidRDefault="002466D8" w:rsidP="002466D8">
            <w:pPr>
              <w:pStyle w:val="Default"/>
              <w:rPr>
                <w:rFonts w:asciiTheme="minorHAnsi" w:hAnsiTheme="minorHAnsi" w:cstheme="minorHAnsi"/>
                <w:sz w:val="22"/>
                <w:szCs w:val="22"/>
              </w:rPr>
            </w:pPr>
          </w:p>
        </w:tc>
        <w:tc>
          <w:tcPr>
            <w:tcW w:w="2657" w:type="dxa"/>
          </w:tcPr>
          <w:p w14:paraId="4AA9D029" w14:textId="1D1FA272" w:rsidR="002466D8" w:rsidRPr="00F63749" w:rsidRDefault="002466D8" w:rsidP="002466D8">
            <w:pPr>
              <w:pStyle w:val="Default"/>
              <w:rPr>
                <w:rFonts w:asciiTheme="minorHAnsi" w:hAnsiTheme="minorHAnsi" w:cstheme="minorHAnsi"/>
                <w:sz w:val="22"/>
                <w:szCs w:val="22"/>
              </w:rPr>
            </w:pPr>
            <w:r w:rsidRPr="00F63749">
              <w:rPr>
                <w:rFonts w:asciiTheme="minorHAnsi" w:hAnsiTheme="minorHAnsi" w:cstheme="minorHAnsi"/>
                <w:sz w:val="22"/>
                <w:szCs w:val="22"/>
              </w:rPr>
              <w:t>TOSHA issued only two willful violations, which were reclassified to serious, following the informal conference. Casefile reviews identified seven cases with evidence of intentional disregard or plain indifference and a heightened awareness</w:t>
            </w:r>
            <w:r w:rsidR="00877E49" w:rsidRPr="00F63749">
              <w:rPr>
                <w:rFonts w:asciiTheme="minorHAnsi" w:hAnsiTheme="minorHAnsi" w:cstheme="minorHAnsi"/>
                <w:sz w:val="22"/>
                <w:szCs w:val="22"/>
              </w:rPr>
              <w:t>,</w:t>
            </w:r>
            <w:r w:rsidRPr="00F63749">
              <w:rPr>
                <w:rFonts w:asciiTheme="minorHAnsi" w:hAnsiTheme="minorHAnsi" w:cstheme="minorHAnsi"/>
                <w:sz w:val="22"/>
                <w:szCs w:val="22"/>
              </w:rPr>
              <w:t xml:space="preserve"> however willful violations were not pursued. </w:t>
            </w:r>
          </w:p>
          <w:p w14:paraId="2F388E38" w14:textId="77777777" w:rsidR="002466D8" w:rsidRPr="00F63749" w:rsidRDefault="002466D8" w:rsidP="002466D8">
            <w:pPr>
              <w:pStyle w:val="Default"/>
              <w:rPr>
                <w:rFonts w:asciiTheme="minorHAnsi" w:hAnsiTheme="minorHAnsi" w:cstheme="minorHAnsi"/>
                <w:sz w:val="22"/>
                <w:szCs w:val="22"/>
              </w:rPr>
            </w:pPr>
          </w:p>
        </w:tc>
        <w:tc>
          <w:tcPr>
            <w:tcW w:w="2630" w:type="dxa"/>
          </w:tcPr>
          <w:p w14:paraId="27B4B3E4" w14:textId="77777777" w:rsidR="002466D8" w:rsidRPr="00F63749" w:rsidRDefault="002466D8" w:rsidP="002466D8">
            <w:pPr>
              <w:pStyle w:val="Default"/>
              <w:rPr>
                <w:rFonts w:asciiTheme="minorHAnsi" w:hAnsiTheme="minorHAnsi" w:cstheme="minorHAnsi"/>
                <w:sz w:val="22"/>
                <w:szCs w:val="22"/>
              </w:rPr>
            </w:pPr>
          </w:p>
        </w:tc>
        <w:tc>
          <w:tcPr>
            <w:tcW w:w="2316" w:type="dxa"/>
          </w:tcPr>
          <w:p w14:paraId="5A65F87C" w14:textId="6D66BAE4" w:rsidR="002466D8" w:rsidRPr="00F63749" w:rsidRDefault="002466D8" w:rsidP="00B6741C">
            <w:pPr>
              <w:widowControl/>
              <w:autoSpaceDE/>
              <w:autoSpaceDN/>
              <w:adjustRightInd/>
              <w:rPr>
                <w:rFonts w:asciiTheme="minorHAnsi" w:hAnsiTheme="minorHAnsi" w:cstheme="minorHAnsi"/>
                <w:iCs/>
                <w:sz w:val="22"/>
                <w:szCs w:val="22"/>
              </w:rPr>
            </w:pPr>
            <w:r w:rsidRPr="00F63749">
              <w:rPr>
                <w:rFonts w:asciiTheme="minorHAnsi" w:hAnsiTheme="minorHAnsi" w:cstheme="minorHAnsi"/>
                <w:iCs/>
                <w:sz w:val="22"/>
                <w:szCs w:val="22"/>
              </w:rPr>
              <w:t>Closed</w:t>
            </w:r>
          </w:p>
        </w:tc>
      </w:tr>
      <w:tr w:rsidR="00B6741C" w:rsidRPr="00A63274" w14:paraId="414575F4" w14:textId="437735BC" w:rsidTr="00B6741C">
        <w:trPr>
          <w:cantSplit/>
        </w:trPr>
        <w:tc>
          <w:tcPr>
            <w:tcW w:w="2657" w:type="dxa"/>
          </w:tcPr>
          <w:p w14:paraId="50C33ABA" w14:textId="3F86F336" w:rsidR="002466D8" w:rsidRPr="00F63749" w:rsidRDefault="002466D8" w:rsidP="002466D8">
            <w:pPr>
              <w:pStyle w:val="Default"/>
              <w:rPr>
                <w:rFonts w:asciiTheme="minorHAnsi" w:hAnsiTheme="minorHAnsi" w:cstheme="minorHAnsi"/>
                <w:sz w:val="22"/>
                <w:szCs w:val="22"/>
              </w:rPr>
            </w:pPr>
            <w:r w:rsidRPr="00F63749">
              <w:rPr>
                <w:rFonts w:asciiTheme="minorHAnsi" w:hAnsiTheme="minorHAnsi" w:cstheme="minorHAnsi"/>
                <w:sz w:val="22"/>
                <w:szCs w:val="22"/>
              </w:rPr>
              <w:t xml:space="preserve">FY 2022-OB-2 </w:t>
            </w:r>
          </w:p>
          <w:p w14:paraId="38E1B745" w14:textId="77777777" w:rsidR="00B6741C" w:rsidRPr="00F63749" w:rsidRDefault="00B6741C" w:rsidP="00B6741C">
            <w:pPr>
              <w:widowControl/>
              <w:autoSpaceDE/>
              <w:autoSpaceDN/>
              <w:adjustRightInd/>
              <w:rPr>
                <w:rFonts w:asciiTheme="minorHAnsi" w:hAnsiTheme="minorHAnsi" w:cstheme="minorHAnsi"/>
                <w:iCs/>
                <w:color w:val="0070C0"/>
                <w:sz w:val="22"/>
                <w:szCs w:val="22"/>
              </w:rPr>
            </w:pPr>
          </w:p>
        </w:tc>
        <w:tc>
          <w:tcPr>
            <w:tcW w:w="2690" w:type="dxa"/>
          </w:tcPr>
          <w:p w14:paraId="0EAE0933" w14:textId="04655046" w:rsidR="002466D8" w:rsidRPr="00F63749" w:rsidRDefault="002466D8" w:rsidP="002466D8">
            <w:pPr>
              <w:pStyle w:val="Default"/>
              <w:rPr>
                <w:rFonts w:asciiTheme="minorHAnsi" w:hAnsiTheme="minorHAnsi" w:cstheme="minorHAnsi"/>
                <w:sz w:val="22"/>
                <w:szCs w:val="22"/>
              </w:rPr>
            </w:pPr>
            <w:r w:rsidRPr="00F63749">
              <w:rPr>
                <w:rFonts w:asciiTheme="minorHAnsi" w:hAnsiTheme="minorHAnsi" w:cstheme="minorHAnsi"/>
                <w:sz w:val="22"/>
                <w:szCs w:val="22"/>
              </w:rPr>
              <w:t xml:space="preserve">FY 2021-OB-3 </w:t>
            </w:r>
          </w:p>
          <w:p w14:paraId="4640B74B" w14:textId="34BF0D51" w:rsidR="00B6741C" w:rsidRPr="00F63749" w:rsidRDefault="00B6741C" w:rsidP="00B6741C">
            <w:pPr>
              <w:widowControl/>
              <w:autoSpaceDE/>
              <w:autoSpaceDN/>
              <w:adjustRightInd/>
              <w:rPr>
                <w:rFonts w:asciiTheme="minorHAnsi" w:hAnsiTheme="minorHAnsi" w:cstheme="minorHAnsi"/>
                <w:iCs/>
                <w:color w:val="0070C0"/>
                <w:sz w:val="22"/>
                <w:szCs w:val="22"/>
              </w:rPr>
            </w:pPr>
          </w:p>
        </w:tc>
        <w:tc>
          <w:tcPr>
            <w:tcW w:w="2657" w:type="dxa"/>
          </w:tcPr>
          <w:p w14:paraId="4F3E4EEF" w14:textId="77777777" w:rsidR="002466D8" w:rsidRPr="00F63749" w:rsidRDefault="002466D8" w:rsidP="002466D8">
            <w:pPr>
              <w:pStyle w:val="Default"/>
              <w:rPr>
                <w:rFonts w:asciiTheme="minorHAnsi" w:hAnsiTheme="minorHAnsi" w:cstheme="minorHAnsi"/>
                <w:sz w:val="22"/>
                <w:szCs w:val="22"/>
              </w:rPr>
            </w:pPr>
            <w:r w:rsidRPr="00F63749">
              <w:rPr>
                <w:rFonts w:asciiTheme="minorHAnsi" w:hAnsiTheme="minorHAnsi" w:cstheme="minorHAnsi"/>
                <w:sz w:val="22"/>
                <w:szCs w:val="22"/>
              </w:rPr>
              <w:t xml:space="preserve">TOSHA incorrectly and inconsistently uses administrative closure and case withdrawal procedures. Specifically, certain cases were listed as agency withdrawals but dismissed because of a lack of cooperation by the complainant. </w:t>
            </w:r>
          </w:p>
          <w:p w14:paraId="3BC4A14C" w14:textId="372D2F04" w:rsidR="00B6741C" w:rsidRPr="00F63749" w:rsidRDefault="00B6741C" w:rsidP="00B6741C">
            <w:pPr>
              <w:widowControl/>
              <w:autoSpaceDE/>
              <w:autoSpaceDN/>
              <w:adjustRightInd/>
              <w:rPr>
                <w:rFonts w:asciiTheme="minorHAnsi" w:hAnsiTheme="minorHAnsi" w:cstheme="minorHAnsi"/>
                <w:iCs/>
                <w:color w:val="0070C0"/>
                <w:sz w:val="22"/>
                <w:szCs w:val="22"/>
              </w:rPr>
            </w:pPr>
            <w:r w:rsidRPr="00F63749">
              <w:rPr>
                <w:rFonts w:asciiTheme="minorHAnsi" w:hAnsiTheme="minorHAnsi" w:cstheme="minorHAnsi"/>
                <w:iCs/>
                <w:color w:val="0070C0"/>
                <w:sz w:val="22"/>
                <w:szCs w:val="22"/>
              </w:rPr>
              <w:tab/>
            </w:r>
          </w:p>
        </w:tc>
        <w:tc>
          <w:tcPr>
            <w:tcW w:w="2630" w:type="dxa"/>
          </w:tcPr>
          <w:p w14:paraId="016CAD6A" w14:textId="1F75F161" w:rsidR="00B6741C" w:rsidRPr="00F63749" w:rsidRDefault="00B6741C" w:rsidP="00B6741C">
            <w:pPr>
              <w:widowControl/>
              <w:autoSpaceDE/>
              <w:autoSpaceDN/>
              <w:adjustRightInd/>
              <w:rPr>
                <w:rFonts w:asciiTheme="minorHAnsi" w:hAnsiTheme="minorHAnsi" w:cstheme="minorHAnsi"/>
                <w:iCs/>
                <w:color w:val="0070C0"/>
                <w:sz w:val="22"/>
                <w:szCs w:val="22"/>
              </w:rPr>
            </w:pPr>
            <w:r w:rsidRPr="00F63749">
              <w:rPr>
                <w:rFonts w:asciiTheme="minorHAnsi" w:hAnsiTheme="minorHAnsi" w:cstheme="minorHAnsi"/>
                <w:iCs/>
                <w:sz w:val="22"/>
                <w:szCs w:val="22"/>
              </w:rPr>
              <w:t xml:space="preserve">In FY 2023, a limited number of case files will be selected randomly and reviewed to </w:t>
            </w:r>
            <w:r w:rsidR="002466D8" w:rsidRPr="00F63749">
              <w:rPr>
                <w:rFonts w:asciiTheme="minorHAnsi" w:hAnsiTheme="minorHAnsi" w:cstheme="minorHAnsi"/>
                <w:iCs/>
                <w:sz w:val="22"/>
                <w:szCs w:val="22"/>
              </w:rPr>
              <w:t>verify</w:t>
            </w:r>
            <w:r w:rsidRPr="00F63749">
              <w:rPr>
                <w:rFonts w:asciiTheme="minorHAnsi" w:hAnsiTheme="minorHAnsi" w:cstheme="minorHAnsi"/>
                <w:iCs/>
                <w:sz w:val="22"/>
                <w:szCs w:val="22"/>
              </w:rPr>
              <w:t xml:space="preserve"> this item was </w:t>
            </w:r>
            <w:r w:rsidR="002466D8" w:rsidRPr="00F63749">
              <w:rPr>
                <w:rFonts w:asciiTheme="minorHAnsi" w:hAnsiTheme="minorHAnsi" w:cstheme="minorHAnsi"/>
                <w:iCs/>
                <w:sz w:val="22"/>
                <w:szCs w:val="22"/>
              </w:rPr>
              <w:t>a</w:t>
            </w:r>
            <w:r w:rsidRPr="00F63749">
              <w:rPr>
                <w:rFonts w:asciiTheme="minorHAnsi" w:hAnsiTheme="minorHAnsi" w:cstheme="minorHAnsi"/>
                <w:iCs/>
                <w:sz w:val="22"/>
                <w:szCs w:val="22"/>
              </w:rPr>
              <w:t>ddressed.</w:t>
            </w:r>
          </w:p>
        </w:tc>
        <w:tc>
          <w:tcPr>
            <w:tcW w:w="2316" w:type="dxa"/>
          </w:tcPr>
          <w:p w14:paraId="4F554364" w14:textId="08C64E64" w:rsidR="00B6741C" w:rsidRPr="00F63749" w:rsidRDefault="002466D8" w:rsidP="00B6741C">
            <w:pPr>
              <w:widowControl/>
              <w:autoSpaceDE/>
              <w:autoSpaceDN/>
              <w:adjustRightInd/>
              <w:rPr>
                <w:rFonts w:asciiTheme="minorHAnsi" w:hAnsiTheme="minorHAnsi" w:cstheme="minorHAnsi"/>
                <w:iCs/>
                <w:color w:val="0070C0"/>
                <w:sz w:val="22"/>
                <w:szCs w:val="22"/>
              </w:rPr>
            </w:pPr>
            <w:r w:rsidRPr="00F63749">
              <w:rPr>
                <w:rFonts w:asciiTheme="minorHAnsi" w:hAnsiTheme="minorHAnsi" w:cstheme="minorHAnsi"/>
                <w:iCs/>
                <w:sz w:val="22"/>
                <w:szCs w:val="22"/>
              </w:rPr>
              <w:t>Continued</w:t>
            </w:r>
          </w:p>
        </w:tc>
      </w:tr>
      <w:tr w:rsidR="002466D8" w:rsidRPr="00A63274" w14:paraId="6A8F82F5" w14:textId="77777777" w:rsidTr="00B6741C">
        <w:trPr>
          <w:cantSplit/>
        </w:trPr>
        <w:tc>
          <w:tcPr>
            <w:tcW w:w="2657" w:type="dxa"/>
          </w:tcPr>
          <w:p w14:paraId="2DD71BD3" w14:textId="04988246" w:rsidR="002466D8" w:rsidRPr="00F63749" w:rsidRDefault="002466D8" w:rsidP="00B6741C">
            <w:pPr>
              <w:widowControl/>
              <w:autoSpaceDE/>
              <w:autoSpaceDN/>
              <w:adjustRightInd/>
              <w:rPr>
                <w:rFonts w:asciiTheme="minorHAnsi" w:hAnsiTheme="minorHAnsi" w:cstheme="minorHAnsi"/>
                <w:iCs/>
                <w:sz w:val="22"/>
                <w:szCs w:val="22"/>
              </w:rPr>
            </w:pPr>
            <w:r w:rsidRPr="00F63749">
              <w:rPr>
                <w:rFonts w:asciiTheme="minorHAnsi" w:hAnsiTheme="minorHAnsi" w:cstheme="minorHAnsi"/>
                <w:iCs/>
                <w:sz w:val="22"/>
                <w:szCs w:val="22"/>
              </w:rPr>
              <w:lastRenderedPageBreak/>
              <w:t>FY 2022-OB-3</w:t>
            </w:r>
          </w:p>
        </w:tc>
        <w:tc>
          <w:tcPr>
            <w:tcW w:w="2690" w:type="dxa"/>
          </w:tcPr>
          <w:p w14:paraId="3053441F" w14:textId="77777777" w:rsidR="002466D8" w:rsidRPr="00F63749" w:rsidRDefault="002466D8" w:rsidP="00B6741C">
            <w:pPr>
              <w:widowControl/>
              <w:autoSpaceDE/>
              <w:autoSpaceDN/>
              <w:adjustRightInd/>
              <w:rPr>
                <w:rFonts w:asciiTheme="minorHAnsi" w:hAnsiTheme="minorHAnsi" w:cstheme="minorHAnsi"/>
                <w:iCs/>
                <w:sz w:val="22"/>
                <w:szCs w:val="22"/>
              </w:rPr>
            </w:pPr>
          </w:p>
        </w:tc>
        <w:tc>
          <w:tcPr>
            <w:tcW w:w="2657" w:type="dxa"/>
          </w:tcPr>
          <w:p w14:paraId="05692445" w14:textId="3C6CD92B" w:rsidR="002466D8" w:rsidRPr="00F63749" w:rsidRDefault="002466D8" w:rsidP="00B6741C">
            <w:pPr>
              <w:widowControl/>
              <w:autoSpaceDE/>
              <w:autoSpaceDN/>
              <w:adjustRightInd/>
              <w:rPr>
                <w:rFonts w:asciiTheme="minorHAnsi" w:hAnsiTheme="minorHAnsi" w:cstheme="minorHAnsi"/>
                <w:iCs/>
                <w:sz w:val="22"/>
                <w:szCs w:val="22"/>
              </w:rPr>
            </w:pPr>
            <w:r w:rsidRPr="00F63749">
              <w:rPr>
                <w:rFonts w:asciiTheme="minorHAnsi" w:hAnsiTheme="minorHAnsi" w:cstheme="minorHAnsi"/>
                <w:iCs/>
                <w:sz w:val="22"/>
                <w:szCs w:val="22"/>
              </w:rPr>
              <w:t>In FY 2022, planned versus actual inspections (SAMM 7b), TOSHA conducted 324 (actual) health inspections</w:t>
            </w:r>
            <w:r w:rsidR="00877E49" w:rsidRPr="00F63749">
              <w:rPr>
                <w:rFonts w:asciiTheme="minorHAnsi" w:hAnsiTheme="minorHAnsi" w:cstheme="minorHAnsi"/>
                <w:iCs/>
                <w:sz w:val="22"/>
                <w:szCs w:val="22"/>
              </w:rPr>
              <w:t>,</w:t>
            </w:r>
            <w:r w:rsidRPr="00F63749">
              <w:rPr>
                <w:rFonts w:asciiTheme="minorHAnsi" w:hAnsiTheme="minorHAnsi" w:cstheme="minorHAnsi"/>
                <w:iCs/>
                <w:sz w:val="22"/>
                <w:szCs w:val="22"/>
              </w:rPr>
              <w:t xml:space="preserve"> which was significantly short of the planned 390 health inspections as well as the minimum FRL.</w:t>
            </w:r>
          </w:p>
        </w:tc>
        <w:tc>
          <w:tcPr>
            <w:tcW w:w="2630" w:type="dxa"/>
          </w:tcPr>
          <w:p w14:paraId="2DA117BA" w14:textId="055F423C" w:rsidR="002466D8" w:rsidRPr="00F63749" w:rsidRDefault="002466D8" w:rsidP="00B6741C">
            <w:pPr>
              <w:widowControl/>
              <w:autoSpaceDE/>
              <w:autoSpaceDN/>
              <w:adjustRightInd/>
              <w:rPr>
                <w:rFonts w:asciiTheme="minorHAnsi" w:hAnsiTheme="minorHAnsi" w:cstheme="minorHAnsi"/>
                <w:iCs/>
                <w:sz w:val="22"/>
                <w:szCs w:val="22"/>
              </w:rPr>
            </w:pPr>
            <w:r w:rsidRPr="00F63749">
              <w:rPr>
                <w:rFonts w:asciiTheme="minorHAnsi" w:hAnsiTheme="minorHAnsi" w:cstheme="minorHAnsi"/>
                <w:iCs/>
                <w:sz w:val="22"/>
                <w:szCs w:val="22"/>
              </w:rPr>
              <w:t>OSHA will monitor the Tennessee State Plan during FY 2023 to ensure the State is within the FRL.</w:t>
            </w:r>
          </w:p>
        </w:tc>
        <w:tc>
          <w:tcPr>
            <w:tcW w:w="2316" w:type="dxa"/>
          </w:tcPr>
          <w:p w14:paraId="1817F7F0" w14:textId="20E52772" w:rsidR="002466D8" w:rsidRPr="00F63749" w:rsidRDefault="002466D8" w:rsidP="00B6741C">
            <w:pPr>
              <w:widowControl/>
              <w:autoSpaceDE/>
              <w:autoSpaceDN/>
              <w:adjustRightInd/>
              <w:rPr>
                <w:rFonts w:asciiTheme="minorHAnsi" w:hAnsiTheme="minorHAnsi" w:cstheme="minorHAnsi"/>
                <w:iCs/>
                <w:sz w:val="22"/>
                <w:szCs w:val="22"/>
              </w:rPr>
            </w:pPr>
            <w:r w:rsidRPr="00F63749">
              <w:rPr>
                <w:rFonts w:asciiTheme="minorHAnsi" w:hAnsiTheme="minorHAnsi" w:cstheme="minorHAnsi"/>
                <w:iCs/>
                <w:sz w:val="22"/>
                <w:szCs w:val="22"/>
              </w:rPr>
              <w:t>New</w:t>
            </w:r>
          </w:p>
        </w:tc>
      </w:tr>
    </w:tbl>
    <w:p w14:paraId="5E5C0E0F" w14:textId="77777777" w:rsidR="00A63274" w:rsidRDefault="00A63274" w:rsidP="00A63274">
      <w:pPr>
        <w:pStyle w:val="Heading3"/>
      </w:pPr>
      <w:bookmarkStart w:id="29" w:name="_Toc118905019"/>
      <w:bookmarkStart w:id="30" w:name="_Toc128482016"/>
    </w:p>
    <w:p w14:paraId="2CFDCF03" w14:textId="77777777" w:rsidR="00A63274" w:rsidRDefault="00A63274">
      <w:pPr>
        <w:widowControl/>
        <w:autoSpaceDE/>
        <w:autoSpaceDN/>
        <w:adjustRightInd/>
        <w:rPr>
          <w:rFonts w:asciiTheme="minorHAnsi" w:hAnsiTheme="minorHAnsi" w:cstheme="minorHAnsi"/>
          <w:b/>
          <w:bCs/>
          <w:sz w:val="28"/>
          <w:szCs w:val="28"/>
        </w:rPr>
      </w:pPr>
      <w:r>
        <w:br w:type="page"/>
      </w:r>
    </w:p>
    <w:p w14:paraId="01176981" w14:textId="0C94368F" w:rsidR="00747710" w:rsidRPr="0092393F" w:rsidRDefault="00747710" w:rsidP="00A63274">
      <w:pPr>
        <w:pStyle w:val="Heading3"/>
      </w:pPr>
      <w:r w:rsidRPr="0092393F">
        <w:lastRenderedPageBreak/>
        <w:t>Appendix C - Status of FY 20</w:t>
      </w:r>
      <w:r w:rsidR="002466D8" w:rsidRPr="0092393F">
        <w:t>21</w:t>
      </w:r>
      <w:r w:rsidRPr="0092393F">
        <w:t xml:space="preserve"> Findings and Recommendations</w:t>
      </w:r>
      <w:bookmarkEnd w:id="29"/>
      <w:bookmarkEnd w:id="30"/>
    </w:p>
    <w:p w14:paraId="3D850E81" w14:textId="53AD0E72" w:rsidR="00747710" w:rsidRPr="00F63749" w:rsidRDefault="00747710" w:rsidP="005367D5">
      <w:pPr>
        <w:rPr>
          <w:rFonts w:asciiTheme="minorHAnsi" w:hAnsiTheme="minorHAnsi" w:cstheme="minorHAnsi"/>
        </w:rPr>
      </w:pPr>
      <w:r w:rsidRPr="00F63749">
        <w:rPr>
          <w:rFonts w:asciiTheme="minorHAnsi" w:hAnsiTheme="minorHAnsi" w:cstheme="minorHAnsi"/>
        </w:rPr>
        <w:t>FY 2022</w:t>
      </w:r>
      <w:r w:rsidR="002466D8" w:rsidRPr="00F63749">
        <w:rPr>
          <w:rFonts w:asciiTheme="minorHAnsi" w:hAnsiTheme="minorHAnsi" w:cstheme="minorHAnsi"/>
        </w:rPr>
        <w:t xml:space="preserve"> Tennessee</w:t>
      </w:r>
      <w:r w:rsidRPr="00F63749">
        <w:rPr>
          <w:rFonts w:asciiTheme="minorHAnsi" w:hAnsiTheme="minorHAnsi" w:cstheme="minorHAnsi"/>
          <w:color w:val="0070C0"/>
        </w:rPr>
        <w:t xml:space="preserve"> </w:t>
      </w:r>
      <w:r w:rsidRPr="00F63749">
        <w:rPr>
          <w:rFonts w:asciiTheme="minorHAnsi" w:hAnsiTheme="minorHAnsi" w:cstheme="minorHAnsi"/>
        </w:rPr>
        <w:t>Follow-up FAME Report</w:t>
      </w:r>
    </w:p>
    <w:p w14:paraId="45E6B5CB" w14:textId="3ED906A9" w:rsidR="005367D5" w:rsidRPr="00F63749" w:rsidRDefault="005367D5" w:rsidP="007A71AC">
      <w:pPr>
        <w:widowControl/>
        <w:autoSpaceDE/>
        <w:autoSpaceDN/>
        <w:adjustRightInd/>
        <w:rPr>
          <w:rFonts w:asciiTheme="minorHAnsi" w:hAnsiTheme="minorHAnsi" w:cstheme="minorHAnsi"/>
          <w:iCs/>
        </w:rPr>
      </w:pPr>
    </w:p>
    <w:tbl>
      <w:tblPr>
        <w:tblStyle w:val="TableGridLight"/>
        <w:tblpPr w:leftFromText="180" w:rightFromText="180" w:vertAnchor="page" w:horzAnchor="page" w:tblpX="1202" w:tblpY="2409"/>
        <w:tblW w:w="13585" w:type="dxa"/>
        <w:tblLayout w:type="fixed"/>
        <w:tblLook w:val="00A0" w:firstRow="1" w:lastRow="0" w:firstColumn="1" w:lastColumn="0" w:noHBand="0" w:noVBand="0"/>
      </w:tblPr>
      <w:tblGrid>
        <w:gridCol w:w="1435"/>
        <w:gridCol w:w="2098"/>
        <w:gridCol w:w="2250"/>
        <w:gridCol w:w="3960"/>
        <w:gridCol w:w="1592"/>
        <w:gridCol w:w="2250"/>
      </w:tblGrid>
      <w:tr w:rsidR="005367D5" w:rsidRPr="00A63274" w14:paraId="04152CB8" w14:textId="77777777" w:rsidTr="00D93CB3">
        <w:trPr>
          <w:trHeight w:val="412"/>
        </w:trPr>
        <w:tc>
          <w:tcPr>
            <w:tcW w:w="1435" w:type="dxa"/>
          </w:tcPr>
          <w:p w14:paraId="0FAB4AA2" w14:textId="7BA630FD" w:rsidR="005367D5" w:rsidRPr="00F63749" w:rsidRDefault="005367D5" w:rsidP="00D93CB3">
            <w:pPr>
              <w:rPr>
                <w:rFonts w:asciiTheme="minorHAnsi" w:hAnsiTheme="minorHAnsi" w:cstheme="minorHAnsi"/>
                <w:b/>
              </w:rPr>
            </w:pPr>
            <w:r w:rsidRPr="00F63749">
              <w:rPr>
                <w:rFonts w:asciiTheme="minorHAnsi" w:hAnsiTheme="minorHAnsi" w:cstheme="minorHAnsi"/>
                <w:b/>
              </w:rPr>
              <w:t>FY 20</w:t>
            </w:r>
            <w:r w:rsidR="002466D8" w:rsidRPr="00F63749">
              <w:rPr>
                <w:rFonts w:asciiTheme="minorHAnsi" w:hAnsiTheme="minorHAnsi" w:cstheme="minorHAnsi"/>
                <w:b/>
              </w:rPr>
              <w:t>21</w:t>
            </w:r>
            <w:r w:rsidRPr="00F63749">
              <w:rPr>
                <w:rFonts w:asciiTheme="minorHAnsi" w:hAnsiTheme="minorHAnsi" w:cstheme="minorHAnsi"/>
                <w:b/>
              </w:rPr>
              <w:t>-#</w:t>
            </w:r>
          </w:p>
        </w:tc>
        <w:tc>
          <w:tcPr>
            <w:tcW w:w="2098" w:type="dxa"/>
          </w:tcPr>
          <w:p w14:paraId="395AE41F" w14:textId="77777777" w:rsidR="005367D5" w:rsidRPr="00F63749" w:rsidRDefault="005367D5" w:rsidP="00D93CB3">
            <w:pPr>
              <w:rPr>
                <w:rFonts w:asciiTheme="minorHAnsi" w:hAnsiTheme="minorHAnsi" w:cstheme="minorHAnsi"/>
                <w:b/>
              </w:rPr>
            </w:pPr>
            <w:r w:rsidRPr="00F63749">
              <w:rPr>
                <w:rFonts w:asciiTheme="minorHAnsi" w:hAnsiTheme="minorHAnsi" w:cstheme="minorHAnsi"/>
                <w:b/>
              </w:rPr>
              <w:t>Finding</w:t>
            </w:r>
          </w:p>
        </w:tc>
        <w:tc>
          <w:tcPr>
            <w:tcW w:w="2250" w:type="dxa"/>
          </w:tcPr>
          <w:p w14:paraId="6EEE46BC" w14:textId="77777777" w:rsidR="005367D5" w:rsidRPr="00F63749" w:rsidRDefault="005367D5" w:rsidP="00D93CB3">
            <w:pPr>
              <w:rPr>
                <w:rFonts w:asciiTheme="minorHAnsi" w:hAnsiTheme="minorHAnsi" w:cstheme="minorHAnsi"/>
                <w:b/>
              </w:rPr>
            </w:pPr>
            <w:r w:rsidRPr="00F63749">
              <w:rPr>
                <w:rFonts w:asciiTheme="minorHAnsi" w:hAnsiTheme="minorHAnsi" w:cstheme="minorHAnsi"/>
                <w:b/>
              </w:rPr>
              <w:t>Recommendation</w:t>
            </w:r>
          </w:p>
        </w:tc>
        <w:tc>
          <w:tcPr>
            <w:tcW w:w="3960" w:type="dxa"/>
          </w:tcPr>
          <w:p w14:paraId="461C9375" w14:textId="77777777" w:rsidR="005367D5" w:rsidRPr="00F63749" w:rsidRDefault="005367D5" w:rsidP="00D93CB3">
            <w:pPr>
              <w:rPr>
                <w:rFonts w:asciiTheme="minorHAnsi" w:hAnsiTheme="minorHAnsi" w:cstheme="minorHAnsi"/>
                <w:b/>
              </w:rPr>
            </w:pPr>
            <w:r w:rsidRPr="00F63749">
              <w:rPr>
                <w:rFonts w:asciiTheme="minorHAnsi" w:hAnsiTheme="minorHAnsi" w:cstheme="minorHAnsi"/>
                <w:b/>
              </w:rPr>
              <w:t>State Plan Corrective Action</w:t>
            </w:r>
          </w:p>
        </w:tc>
        <w:tc>
          <w:tcPr>
            <w:tcW w:w="1592" w:type="dxa"/>
          </w:tcPr>
          <w:p w14:paraId="5151BE67" w14:textId="77777777" w:rsidR="005367D5" w:rsidRPr="00F63749" w:rsidRDefault="005367D5" w:rsidP="00D93CB3">
            <w:pPr>
              <w:rPr>
                <w:rFonts w:asciiTheme="minorHAnsi" w:hAnsiTheme="minorHAnsi" w:cstheme="minorHAnsi"/>
                <w:b/>
              </w:rPr>
            </w:pPr>
            <w:r w:rsidRPr="00F63749">
              <w:rPr>
                <w:rFonts w:asciiTheme="minorHAnsi" w:hAnsiTheme="minorHAnsi" w:cstheme="minorHAnsi"/>
                <w:b/>
              </w:rPr>
              <w:t>Completion Date</w:t>
            </w:r>
          </w:p>
        </w:tc>
        <w:tc>
          <w:tcPr>
            <w:tcW w:w="2250" w:type="dxa"/>
          </w:tcPr>
          <w:p w14:paraId="48025986" w14:textId="77777777" w:rsidR="005367D5" w:rsidRPr="00F63749" w:rsidRDefault="005367D5" w:rsidP="00D93CB3">
            <w:pPr>
              <w:rPr>
                <w:rFonts w:asciiTheme="minorHAnsi" w:hAnsiTheme="minorHAnsi" w:cstheme="minorHAnsi"/>
                <w:b/>
              </w:rPr>
            </w:pPr>
            <w:r w:rsidRPr="00F63749">
              <w:rPr>
                <w:rFonts w:asciiTheme="minorHAnsi" w:hAnsiTheme="minorHAnsi" w:cstheme="minorHAnsi"/>
                <w:b/>
              </w:rPr>
              <w:t xml:space="preserve">Current Status </w:t>
            </w:r>
          </w:p>
          <w:p w14:paraId="1D3136EF" w14:textId="77777777" w:rsidR="005367D5" w:rsidRPr="00F63749" w:rsidRDefault="005367D5" w:rsidP="00D93CB3">
            <w:pPr>
              <w:rPr>
                <w:rFonts w:asciiTheme="minorHAnsi" w:hAnsiTheme="minorHAnsi" w:cstheme="minorHAnsi"/>
                <w:b/>
              </w:rPr>
            </w:pPr>
            <w:r w:rsidRPr="00F63749">
              <w:rPr>
                <w:rFonts w:asciiTheme="minorHAnsi" w:hAnsiTheme="minorHAnsi" w:cstheme="minorHAnsi"/>
                <w:b/>
              </w:rPr>
              <w:t>and Date</w:t>
            </w:r>
          </w:p>
        </w:tc>
      </w:tr>
      <w:tr w:rsidR="005367D5" w:rsidRPr="00A63274" w14:paraId="7244A508" w14:textId="77777777" w:rsidTr="00D93CB3">
        <w:trPr>
          <w:trHeight w:val="412"/>
        </w:trPr>
        <w:tc>
          <w:tcPr>
            <w:tcW w:w="1435" w:type="dxa"/>
          </w:tcPr>
          <w:p w14:paraId="3B6143AB" w14:textId="209F884E" w:rsidR="005367D5" w:rsidRPr="00F63749" w:rsidRDefault="002466D8" w:rsidP="00D93CB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sz w:val="22"/>
                <w:szCs w:val="22"/>
              </w:rPr>
            </w:pPr>
            <w:r w:rsidRPr="00F63749">
              <w:rPr>
                <w:rFonts w:asciiTheme="minorHAnsi" w:hAnsiTheme="minorHAnsi" w:cstheme="minorHAnsi"/>
                <w:sz w:val="22"/>
                <w:szCs w:val="22"/>
              </w:rPr>
              <w:t>FY 2021-</w:t>
            </w:r>
            <w:r w:rsidR="00A63274">
              <w:rPr>
                <w:rFonts w:asciiTheme="minorHAnsi" w:hAnsiTheme="minorHAnsi" w:cstheme="minorHAnsi"/>
                <w:sz w:val="22"/>
                <w:szCs w:val="22"/>
              </w:rPr>
              <w:t>0</w:t>
            </w:r>
            <w:r w:rsidRPr="00F63749">
              <w:rPr>
                <w:rFonts w:asciiTheme="minorHAnsi" w:hAnsiTheme="minorHAnsi" w:cstheme="minorHAnsi"/>
                <w:sz w:val="22"/>
                <w:szCs w:val="22"/>
              </w:rPr>
              <w:t>1</w:t>
            </w:r>
            <w:r w:rsidR="005367D5" w:rsidRPr="00F63749">
              <w:rPr>
                <w:rFonts w:asciiTheme="minorHAnsi" w:eastAsia="PMingLiU" w:hAnsiTheme="minorHAnsi" w:cstheme="minorHAnsi"/>
                <w:sz w:val="22"/>
                <w:szCs w:val="22"/>
              </w:rPr>
              <w:t> </w:t>
            </w:r>
          </w:p>
        </w:tc>
        <w:tc>
          <w:tcPr>
            <w:tcW w:w="2098" w:type="dxa"/>
          </w:tcPr>
          <w:p w14:paraId="1D6DD323" w14:textId="11497836" w:rsidR="005367D5" w:rsidRPr="00F63749" w:rsidRDefault="002466D8" w:rsidP="00322B3A">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b/>
                <w:sz w:val="22"/>
                <w:szCs w:val="22"/>
              </w:rPr>
            </w:pPr>
            <w:r w:rsidRPr="00F63749">
              <w:rPr>
                <w:rFonts w:asciiTheme="minorHAnsi" w:hAnsiTheme="minorHAnsi" w:cstheme="minorHAnsi"/>
                <w:sz w:val="22"/>
                <w:szCs w:val="22"/>
              </w:rPr>
              <w:t>In 17 of 43 (39.5%) files reviewed that had violations, employer knowledge was not adequately documented.</w:t>
            </w:r>
            <w:r w:rsidR="005367D5" w:rsidRPr="00F63749">
              <w:rPr>
                <w:rFonts w:asciiTheme="minorHAnsi" w:eastAsia="PMingLiU" w:hAnsiTheme="minorHAnsi" w:cstheme="minorHAnsi"/>
                <w:b/>
                <w:sz w:val="22"/>
                <w:szCs w:val="22"/>
              </w:rPr>
              <w:t> </w:t>
            </w:r>
          </w:p>
        </w:tc>
        <w:tc>
          <w:tcPr>
            <w:tcW w:w="2250" w:type="dxa"/>
          </w:tcPr>
          <w:p w14:paraId="19499B4B" w14:textId="777BA2D7" w:rsidR="005367D5" w:rsidRPr="00F63749" w:rsidRDefault="00322B3A" w:rsidP="00322B3A">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b/>
                <w:sz w:val="22"/>
                <w:szCs w:val="22"/>
              </w:rPr>
            </w:pPr>
            <w:r w:rsidRPr="00F63749">
              <w:rPr>
                <w:rFonts w:asciiTheme="minorHAnsi" w:hAnsiTheme="minorHAnsi" w:cstheme="minorHAnsi"/>
                <w:color w:val="000000"/>
                <w:sz w:val="22"/>
                <w:szCs w:val="22"/>
              </w:rPr>
              <w:t> </w:t>
            </w:r>
            <w:r w:rsidRPr="00F63749">
              <w:rPr>
                <w:rFonts w:asciiTheme="minorHAnsi" w:hAnsiTheme="minorHAnsi" w:cstheme="minorHAnsi"/>
                <w:sz w:val="22"/>
                <w:szCs w:val="22"/>
              </w:rPr>
              <w:t xml:space="preserve"> TOSHA should implement strategies to ensure that adequate actual or constructive knowledge is documented in all inspection casefiles as required by the Tennessee FOM.</w:t>
            </w:r>
            <w:r w:rsidR="005367D5" w:rsidRPr="00F63749">
              <w:rPr>
                <w:rFonts w:asciiTheme="minorHAnsi" w:eastAsia="PMingLiU" w:hAnsiTheme="minorHAnsi" w:cstheme="minorHAnsi"/>
                <w:b/>
                <w:sz w:val="22"/>
                <w:szCs w:val="22"/>
              </w:rPr>
              <w:t> </w:t>
            </w:r>
          </w:p>
        </w:tc>
        <w:tc>
          <w:tcPr>
            <w:tcW w:w="3960" w:type="dxa"/>
          </w:tcPr>
          <w:p w14:paraId="28CC892F" w14:textId="77777777" w:rsidR="00322B3A" w:rsidRPr="00F63749" w:rsidRDefault="00322B3A" w:rsidP="00322B3A">
            <w:pPr>
              <w:pStyle w:val="paragraph"/>
              <w:spacing w:before="0" w:beforeAutospacing="0" w:after="0" w:afterAutospacing="0"/>
              <w:textAlignment w:val="baseline"/>
              <w:rPr>
                <w:rFonts w:asciiTheme="minorHAnsi" w:hAnsiTheme="minorHAnsi" w:cstheme="minorHAnsi"/>
                <w:sz w:val="22"/>
                <w:szCs w:val="22"/>
              </w:rPr>
            </w:pPr>
            <w:r w:rsidRPr="00F63749">
              <w:rPr>
                <w:rFonts w:asciiTheme="minorHAnsi" w:hAnsiTheme="minorHAnsi" w:cstheme="minorHAnsi"/>
                <w:color w:val="000000"/>
                <w:sz w:val="22"/>
                <w:szCs w:val="22"/>
              </w:rPr>
              <w:t>TOSHA</w:t>
            </w:r>
            <w:r w:rsidRPr="00F63749">
              <w:rPr>
                <w:rStyle w:val="normaltextrun"/>
                <w:rFonts w:asciiTheme="minorHAnsi" w:hAnsiTheme="minorHAnsi" w:cstheme="minorHAnsi"/>
                <w:sz w:val="22"/>
                <w:szCs w:val="22"/>
              </w:rPr>
              <w:t xml:space="preserve"> will make an effort to divert resources to conduct even more training on documenting employer knowledge.</w:t>
            </w:r>
            <w:r w:rsidRPr="00F63749">
              <w:rPr>
                <w:rStyle w:val="eop"/>
                <w:rFonts w:asciiTheme="minorHAnsi" w:hAnsiTheme="minorHAnsi" w:cstheme="minorHAnsi"/>
                <w:sz w:val="22"/>
                <w:szCs w:val="22"/>
              </w:rPr>
              <w:t> </w:t>
            </w:r>
          </w:p>
          <w:p w14:paraId="37D73ADA" w14:textId="77777777" w:rsidR="005367D5" w:rsidRPr="00F63749" w:rsidRDefault="005367D5" w:rsidP="00D93CB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b/>
                <w:sz w:val="22"/>
                <w:szCs w:val="22"/>
              </w:rPr>
            </w:pPr>
            <w:r w:rsidRPr="00F63749">
              <w:rPr>
                <w:rFonts w:asciiTheme="minorHAnsi" w:eastAsia="PMingLiU" w:hAnsiTheme="minorHAnsi" w:cstheme="minorHAnsi"/>
                <w:b/>
                <w:sz w:val="22"/>
                <w:szCs w:val="22"/>
              </w:rPr>
              <w:t> </w:t>
            </w:r>
          </w:p>
        </w:tc>
        <w:tc>
          <w:tcPr>
            <w:tcW w:w="1592" w:type="dxa"/>
          </w:tcPr>
          <w:p w14:paraId="56F99649" w14:textId="7D8F2EC7" w:rsidR="005367D5" w:rsidRPr="00F63749" w:rsidRDefault="005367D5" w:rsidP="00D93CB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bCs/>
                <w:sz w:val="22"/>
                <w:szCs w:val="22"/>
              </w:rPr>
            </w:pPr>
            <w:r w:rsidRPr="00F63749">
              <w:rPr>
                <w:rFonts w:asciiTheme="minorHAnsi" w:eastAsia="PMingLiU" w:hAnsiTheme="minorHAnsi" w:cstheme="minorHAnsi"/>
                <w:bCs/>
                <w:sz w:val="22"/>
                <w:szCs w:val="22"/>
              </w:rPr>
              <w:t> </w:t>
            </w:r>
            <w:r w:rsidR="00322B3A" w:rsidRPr="00F63749">
              <w:rPr>
                <w:rFonts w:asciiTheme="minorHAnsi" w:eastAsia="PMingLiU" w:hAnsiTheme="minorHAnsi" w:cstheme="minorHAnsi"/>
                <w:bCs/>
                <w:sz w:val="22"/>
                <w:szCs w:val="22"/>
              </w:rPr>
              <w:t>9/29/22</w:t>
            </w:r>
          </w:p>
        </w:tc>
        <w:tc>
          <w:tcPr>
            <w:tcW w:w="2250" w:type="dxa"/>
          </w:tcPr>
          <w:p w14:paraId="4007473C" w14:textId="0D674902" w:rsidR="005367D5" w:rsidRPr="00F63749" w:rsidRDefault="00322B3A" w:rsidP="00D93CB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bCs/>
                <w:sz w:val="22"/>
                <w:szCs w:val="22"/>
              </w:rPr>
            </w:pPr>
            <w:r w:rsidRPr="00F63749">
              <w:rPr>
                <w:rFonts w:asciiTheme="minorHAnsi" w:hAnsiTheme="minorHAnsi" w:cstheme="minorHAnsi"/>
                <w:bCs/>
                <w:iCs/>
                <w:sz w:val="22"/>
                <w:szCs w:val="22"/>
              </w:rPr>
              <w:t>Awaiting Verification</w:t>
            </w:r>
            <w:r w:rsidR="005367D5" w:rsidRPr="00F63749">
              <w:rPr>
                <w:rFonts w:asciiTheme="minorHAnsi" w:eastAsia="PMingLiU" w:hAnsiTheme="minorHAnsi" w:cstheme="minorHAnsi"/>
                <w:bCs/>
                <w:sz w:val="22"/>
                <w:szCs w:val="22"/>
              </w:rPr>
              <w:t> </w:t>
            </w:r>
          </w:p>
        </w:tc>
      </w:tr>
      <w:tr w:rsidR="005367D5" w:rsidRPr="00A63274" w14:paraId="4703F521" w14:textId="77777777" w:rsidTr="00D93CB3">
        <w:trPr>
          <w:trHeight w:val="385"/>
        </w:trPr>
        <w:tc>
          <w:tcPr>
            <w:tcW w:w="1435" w:type="dxa"/>
          </w:tcPr>
          <w:p w14:paraId="4E7C14BF" w14:textId="3DB786A7" w:rsidR="005367D5" w:rsidRPr="00F63749" w:rsidRDefault="00322B3A" w:rsidP="00D93CB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sz w:val="22"/>
                <w:szCs w:val="22"/>
              </w:rPr>
            </w:pPr>
            <w:r w:rsidRPr="00F63749">
              <w:rPr>
                <w:rFonts w:asciiTheme="minorHAnsi" w:hAnsiTheme="minorHAnsi" w:cstheme="minorHAnsi"/>
                <w:sz w:val="22"/>
                <w:szCs w:val="22"/>
              </w:rPr>
              <w:t>FY 2021-</w:t>
            </w:r>
            <w:r w:rsidR="00A63274">
              <w:rPr>
                <w:rFonts w:asciiTheme="minorHAnsi" w:hAnsiTheme="minorHAnsi" w:cstheme="minorHAnsi"/>
                <w:sz w:val="22"/>
                <w:szCs w:val="22"/>
              </w:rPr>
              <w:t>0</w:t>
            </w:r>
            <w:r w:rsidRPr="00F63749">
              <w:rPr>
                <w:rFonts w:asciiTheme="minorHAnsi" w:hAnsiTheme="minorHAnsi" w:cstheme="minorHAnsi"/>
                <w:sz w:val="22"/>
                <w:szCs w:val="22"/>
              </w:rPr>
              <w:t>2</w:t>
            </w:r>
            <w:r w:rsidRPr="00F63749">
              <w:rPr>
                <w:rFonts w:asciiTheme="minorHAnsi" w:hAnsiTheme="minorHAnsi" w:cstheme="minorHAnsi"/>
                <w:color w:val="FFFFFF"/>
                <w:sz w:val="22"/>
                <w:szCs w:val="22"/>
              </w:rPr>
              <w:t> </w:t>
            </w:r>
          </w:p>
        </w:tc>
        <w:tc>
          <w:tcPr>
            <w:tcW w:w="2098" w:type="dxa"/>
          </w:tcPr>
          <w:p w14:paraId="0934D282" w14:textId="284BE283" w:rsidR="005367D5" w:rsidRPr="00F63749" w:rsidRDefault="00322B3A" w:rsidP="00322B3A">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b/>
                <w:sz w:val="22"/>
                <w:szCs w:val="22"/>
              </w:rPr>
            </w:pPr>
            <w:r w:rsidRPr="00F63749">
              <w:rPr>
                <w:rFonts w:asciiTheme="minorHAnsi" w:hAnsiTheme="minorHAnsi" w:cstheme="minorHAnsi"/>
                <w:sz w:val="22"/>
                <w:szCs w:val="22"/>
              </w:rPr>
              <w:t>The Tennessee State Plan has failed to adopt OSHA’s initial FY 2016 maximum and minimum penalty increase and subsequent annual penalty amount increases.</w:t>
            </w:r>
            <w:r w:rsidR="005367D5" w:rsidRPr="00F63749">
              <w:rPr>
                <w:rFonts w:asciiTheme="minorHAnsi" w:eastAsia="PMingLiU" w:hAnsiTheme="minorHAnsi" w:cstheme="minorHAnsi"/>
                <w:b/>
                <w:sz w:val="22"/>
                <w:szCs w:val="22"/>
              </w:rPr>
              <w:t> </w:t>
            </w:r>
          </w:p>
        </w:tc>
        <w:tc>
          <w:tcPr>
            <w:tcW w:w="2250" w:type="dxa"/>
          </w:tcPr>
          <w:p w14:paraId="4A7C8703" w14:textId="2561F9F8" w:rsidR="005367D5" w:rsidRPr="00F63749" w:rsidRDefault="00322B3A" w:rsidP="00322B3A">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bCs/>
                <w:sz w:val="22"/>
                <w:szCs w:val="22"/>
              </w:rPr>
            </w:pPr>
            <w:r w:rsidRPr="00F63749">
              <w:rPr>
                <w:rFonts w:asciiTheme="minorHAnsi" w:eastAsia="PMingLiU" w:hAnsiTheme="minorHAnsi" w:cstheme="minorHAnsi"/>
                <w:bCs/>
                <w:sz w:val="22"/>
                <w:szCs w:val="22"/>
              </w:rPr>
              <w:t>TOSHA should work with their state authorities to complete the legislative changes necessary to enable it to adopt maximum and minimum penalty amounts that are at least as effective as OSHA’s maximum and minimum penalty levels.</w:t>
            </w:r>
            <w:r w:rsidR="005367D5" w:rsidRPr="00F63749">
              <w:rPr>
                <w:rFonts w:asciiTheme="minorHAnsi" w:eastAsia="PMingLiU" w:hAnsiTheme="minorHAnsi" w:cstheme="minorHAnsi"/>
                <w:bCs/>
                <w:sz w:val="22"/>
                <w:szCs w:val="22"/>
              </w:rPr>
              <w:t> </w:t>
            </w:r>
          </w:p>
        </w:tc>
        <w:tc>
          <w:tcPr>
            <w:tcW w:w="3960" w:type="dxa"/>
          </w:tcPr>
          <w:p w14:paraId="26546A5D" w14:textId="2C98D55C" w:rsidR="005367D5" w:rsidRPr="00F63749" w:rsidRDefault="00322B3A" w:rsidP="00322B3A">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b/>
                <w:sz w:val="22"/>
                <w:szCs w:val="22"/>
              </w:rPr>
            </w:pPr>
            <w:r w:rsidRPr="00F63749">
              <w:rPr>
                <w:rFonts w:asciiTheme="minorHAnsi" w:hAnsiTheme="minorHAnsi" w:cstheme="minorHAnsi"/>
                <w:color w:val="000000"/>
                <w:sz w:val="22"/>
                <w:szCs w:val="22"/>
              </w:rPr>
              <w:t xml:space="preserve">TOSHA has briefed executive leadership on OSHA’s position that increasing penalties, while it may or may not have a secondary effect of decreasing the number of workplace injuries and deaths, is considered necessary for TOSHA to have a program that is “at least as effective as” Federal OSHA. Correcting this finding requires the state legislature to amend the TOSH Act. Department leadership is working with state leadership to move toward resolution.  </w:t>
            </w:r>
            <w:r w:rsidR="005367D5" w:rsidRPr="00F63749">
              <w:rPr>
                <w:rFonts w:asciiTheme="minorHAnsi" w:eastAsia="PMingLiU" w:hAnsiTheme="minorHAnsi" w:cstheme="minorHAnsi"/>
                <w:b/>
                <w:sz w:val="22"/>
                <w:szCs w:val="22"/>
              </w:rPr>
              <w:t> </w:t>
            </w:r>
          </w:p>
        </w:tc>
        <w:tc>
          <w:tcPr>
            <w:tcW w:w="1592" w:type="dxa"/>
          </w:tcPr>
          <w:p w14:paraId="0F813752" w14:textId="77777777" w:rsidR="005367D5" w:rsidRPr="00F63749" w:rsidRDefault="005367D5" w:rsidP="00D93CB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b/>
                <w:sz w:val="22"/>
                <w:szCs w:val="22"/>
              </w:rPr>
            </w:pPr>
            <w:r w:rsidRPr="00F63749">
              <w:rPr>
                <w:rFonts w:asciiTheme="minorHAnsi" w:eastAsia="PMingLiU" w:hAnsiTheme="minorHAnsi" w:cstheme="minorHAnsi"/>
                <w:b/>
                <w:sz w:val="22"/>
                <w:szCs w:val="22"/>
              </w:rPr>
              <w:t> </w:t>
            </w:r>
          </w:p>
        </w:tc>
        <w:tc>
          <w:tcPr>
            <w:tcW w:w="2250" w:type="dxa"/>
          </w:tcPr>
          <w:p w14:paraId="6B340DD8" w14:textId="004A6D9B" w:rsidR="005367D5" w:rsidRPr="00F63749" w:rsidRDefault="005367D5" w:rsidP="00D93CB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bCs/>
                <w:sz w:val="22"/>
                <w:szCs w:val="22"/>
              </w:rPr>
            </w:pPr>
            <w:r w:rsidRPr="00F63749">
              <w:rPr>
                <w:rFonts w:asciiTheme="minorHAnsi" w:eastAsia="PMingLiU" w:hAnsiTheme="minorHAnsi" w:cstheme="minorHAnsi"/>
                <w:bCs/>
                <w:sz w:val="22"/>
                <w:szCs w:val="22"/>
              </w:rPr>
              <w:t> </w:t>
            </w:r>
            <w:r w:rsidR="00322B3A" w:rsidRPr="00F63749">
              <w:rPr>
                <w:rFonts w:asciiTheme="minorHAnsi" w:eastAsia="PMingLiU" w:hAnsiTheme="minorHAnsi" w:cstheme="minorHAnsi"/>
                <w:bCs/>
                <w:sz w:val="22"/>
                <w:szCs w:val="22"/>
              </w:rPr>
              <w:t>Open</w:t>
            </w:r>
          </w:p>
        </w:tc>
      </w:tr>
      <w:tr w:rsidR="00D93CB3" w:rsidRPr="00A63274" w14:paraId="3FC304A6" w14:textId="77777777" w:rsidTr="00D93CB3">
        <w:trPr>
          <w:trHeight w:val="385"/>
        </w:trPr>
        <w:tc>
          <w:tcPr>
            <w:tcW w:w="1435" w:type="dxa"/>
          </w:tcPr>
          <w:p w14:paraId="2D7BC92D" w14:textId="77777777" w:rsidR="00D93CB3" w:rsidRPr="00F63749" w:rsidRDefault="00D93CB3" w:rsidP="00D93CB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b/>
                <w:bCs/>
                <w:sz w:val="22"/>
                <w:szCs w:val="22"/>
              </w:rPr>
            </w:pPr>
          </w:p>
        </w:tc>
        <w:tc>
          <w:tcPr>
            <w:tcW w:w="2098" w:type="dxa"/>
          </w:tcPr>
          <w:p w14:paraId="00E182D1" w14:textId="77777777" w:rsidR="00D93CB3" w:rsidRPr="00F63749" w:rsidRDefault="00D93CB3" w:rsidP="00D93CB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b/>
                <w:sz w:val="22"/>
                <w:szCs w:val="22"/>
              </w:rPr>
            </w:pPr>
          </w:p>
        </w:tc>
        <w:tc>
          <w:tcPr>
            <w:tcW w:w="2250" w:type="dxa"/>
          </w:tcPr>
          <w:p w14:paraId="666439A1" w14:textId="77777777" w:rsidR="00D93CB3" w:rsidRPr="00F63749" w:rsidRDefault="00D93CB3" w:rsidP="00D93CB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b/>
                <w:sz w:val="22"/>
                <w:szCs w:val="22"/>
              </w:rPr>
            </w:pPr>
          </w:p>
        </w:tc>
        <w:tc>
          <w:tcPr>
            <w:tcW w:w="3960" w:type="dxa"/>
          </w:tcPr>
          <w:p w14:paraId="2E03CE0D" w14:textId="77777777" w:rsidR="00D93CB3" w:rsidRPr="00F63749" w:rsidRDefault="00D93CB3" w:rsidP="00D93CB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b/>
                <w:sz w:val="22"/>
                <w:szCs w:val="22"/>
              </w:rPr>
            </w:pPr>
          </w:p>
        </w:tc>
        <w:tc>
          <w:tcPr>
            <w:tcW w:w="1592" w:type="dxa"/>
          </w:tcPr>
          <w:p w14:paraId="630491A0" w14:textId="77777777" w:rsidR="00D93CB3" w:rsidRPr="00F63749" w:rsidRDefault="00D93CB3" w:rsidP="00D93CB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b/>
                <w:sz w:val="22"/>
                <w:szCs w:val="22"/>
              </w:rPr>
            </w:pPr>
          </w:p>
        </w:tc>
        <w:tc>
          <w:tcPr>
            <w:tcW w:w="2250" w:type="dxa"/>
          </w:tcPr>
          <w:p w14:paraId="41539D36" w14:textId="77777777" w:rsidR="00D93CB3" w:rsidRPr="00F63749" w:rsidRDefault="00D93CB3" w:rsidP="00D93CB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b/>
                <w:sz w:val="22"/>
                <w:szCs w:val="22"/>
              </w:rPr>
            </w:pPr>
          </w:p>
        </w:tc>
      </w:tr>
    </w:tbl>
    <w:p w14:paraId="2936757E" w14:textId="77777777" w:rsidR="00AD505E" w:rsidRPr="00F63749" w:rsidRDefault="00AD505E" w:rsidP="007A71AC">
      <w:pPr>
        <w:widowControl/>
        <w:autoSpaceDE/>
        <w:autoSpaceDN/>
        <w:adjustRightInd/>
        <w:rPr>
          <w:rFonts w:asciiTheme="minorHAnsi" w:hAnsiTheme="minorHAnsi" w:cstheme="minorHAnsi"/>
          <w:iCs/>
          <w:color w:val="0070C0"/>
        </w:rPr>
      </w:pPr>
    </w:p>
    <w:p w14:paraId="6A839C5C" w14:textId="77777777" w:rsidR="00AD505E" w:rsidRPr="00F63749" w:rsidRDefault="00AD505E" w:rsidP="007A71AC">
      <w:pPr>
        <w:widowControl/>
        <w:autoSpaceDE/>
        <w:autoSpaceDN/>
        <w:adjustRightInd/>
        <w:rPr>
          <w:rFonts w:asciiTheme="minorHAnsi" w:hAnsiTheme="minorHAnsi" w:cstheme="minorHAnsi"/>
          <w:iCs/>
          <w:color w:val="0070C0"/>
        </w:rPr>
      </w:pPr>
    </w:p>
    <w:p w14:paraId="5A163C8E" w14:textId="39CDAF82" w:rsidR="000A134A" w:rsidRPr="00F63749" w:rsidRDefault="000A134A" w:rsidP="008164E8">
      <w:pPr>
        <w:widowControl/>
        <w:tabs>
          <w:tab w:val="left" w:pos="630"/>
        </w:tabs>
        <w:autoSpaceDE/>
        <w:autoSpaceDN/>
        <w:adjustRightInd/>
        <w:ind w:left="720" w:hanging="360"/>
        <w:rPr>
          <w:rFonts w:asciiTheme="minorHAnsi" w:hAnsiTheme="minorHAnsi" w:cstheme="minorHAnsi"/>
          <w:iCs/>
          <w:color w:val="0070C0"/>
        </w:rPr>
        <w:sectPr w:rsidR="000A134A" w:rsidRPr="00F63749" w:rsidSect="00476C08">
          <w:headerReference w:type="default" r:id="rId12"/>
          <w:headerReference w:type="first" r:id="rId13"/>
          <w:footerReference w:type="first" r:id="rId14"/>
          <w:pgSz w:w="15840" w:h="12240" w:orient="landscape"/>
          <w:pgMar w:top="1440" w:right="1440" w:bottom="1440" w:left="1440" w:header="630" w:footer="720" w:gutter="0"/>
          <w:cols w:space="720"/>
          <w:titlePg/>
          <w:docGrid w:linePitch="360"/>
        </w:sectPr>
      </w:pPr>
    </w:p>
    <w:p w14:paraId="1B0B407C" w14:textId="77777777" w:rsidR="00690C0D" w:rsidRPr="0092393F" w:rsidRDefault="00690C0D" w:rsidP="00A63274">
      <w:pPr>
        <w:pStyle w:val="Heading3"/>
        <w:rPr>
          <w:color w:val="0070C0"/>
        </w:rPr>
      </w:pPr>
      <w:bookmarkStart w:id="31" w:name="_Toc128482017"/>
      <w:r w:rsidRPr="0092393F">
        <w:lastRenderedPageBreak/>
        <w:t xml:space="preserve">Appendix D – </w:t>
      </w:r>
      <w:bookmarkStart w:id="32" w:name="_Hlk119349018"/>
      <w:r w:rsidRPr="0092393F">
        <w:t>FY 2022 State Activity Mandated Measures (SAMM) Report</w:t>
      </w:r>
      <w:bookmarkEnd w:id="31"/>
      <w:bookmarkEnd w:id="32"/>
    </w:p>
    <w:p w14:paraId="19B594E3" w14:textId="1A20E493" w:rsidR="00690C0D" w:rsidRPr="00F63749" w:rsidRDefault="00690C0D" w:rsidP="00476C08">
      <w:pPr>
        <w:pStyle w:val="Header"/>
        <w:rPr>
          <w:rFonts w:asciiTheme="minorHAnsi" w:hAnsiTheme="minorHAnsi" w:cstheme="minorHAnsi"/>
        </w:rPr>
      </w:pPr>
      <w:r w:rsidRPr="00F63749">
        <w:rPr>
          <w:rFonts w:asciiTheme="minorHAnsi" w:hAnsiTheme="minorHAnsi" w:cstheme="minorHAnsi"/>
        </w:rPr>
        <w:t>FY 2022</w:t>
      </w:r>
      <w:r w:rsidR="00322B3A" w:rsidRPr="00F63749">
        <w:rPr>
          <w:rFonts w:asciiTheme="minorHAnsi" w:hAnsiTheme="minorHAnsi" w:cstheme="minorHAnsi"/>
        </w:rPr>
        <w:t xml:space="preserve"> Tennessee</w:t>
      </w:r>
      <w:r w:rsidRPr="00F63749">
        <w:rPr>
          <w:rFonts w:asciiTheme="minorHAnsi" w:hAnsiTheme="minorHAnsi" w:cstheme="minorHAnsi"/>
        </w:rPr>
        <w:t xml:space="preserve"> Follow-up FAME Report</w:t>
      </w:r>
    </w:p>
    <w:p w14:paraId="221DF49F" w14:textId="77777777" w:rsidR="000A134A" w:rsidRPr="00F63749" w:rsidRDefault="000A134A" w:rsidP="007A71AC">
      <w:pPr>
        <w:widowControl/>
        <w:autoSpaceDE/>
        <w:autoSpaceDN/>
        <w:adjustRightInd/>
        <w:rPr>
          <w:rFonts w:asciiTheme="minorHAnsi" w:hAnsiTheme="minorHAnsi" w:cstheme="minorHAnsi"/>
          <w:b/>
          <w:color w:val="1F497D"/>
          <w:sz w:val="28"/>
          <w:szCs w:val="28"/>
        </w:rPr>
      </w:pPr>
    </w:p>
    <w:p w14:paraId="17DC5865" w14:textId="77777777" w:rsidR="00322B3A" w:rsidRPr="00F63749" w:rsidRDefault="00322B3A" w:rsidP="00322B3A">
      <w:pPr>
        <w:rPr>
          <w:rFonts w:asciiTheme="minorHAnsi" w:hAnsiTheme="minorHAnsi" w:cstheme="minorHAnsi"/>
          <w:b/>
          <w:color w:val="1F497D"/>
          <w:sz w:val="28"/>
          <w:szCs w:val="28"/>
        </w:rPr>
      </w:pPr>
    </w:p>
    <w:tbl>
      <w:tblPr>
        <w:tblStyle w:val="GridTable41"/>
        <w:tblW w:w="10350" w:type="dxa"/>
        <w:tblInd w:w="-365" w:type="dxa"/>
        <w:tblLook w:val="06A0" w:firstRow="1" w:lastRow="0" w:firstColumn="1" w:lastColumn="0" w:noHBand="1" w:noVBand="1"/>
        <w:tblCaption w:val="FY 20XX SAMM Report"/>
        <w:tblDescription w:val="Appendix D"/>
      </w:tblPr>
      <w:tblGrid>
        <w:gridCol w:w="1034"/>
        <w:gridCol w:w="2206"/>
        <w:gridCol w:w="1289"/>
        <w:gridCol w:w="1411"/>
        <w:gridCol w:w="4410"/>
      </w:tblGrid>
      <w:tr w:rsidR="00322B3A" w:rsidRPr="00A63274" w14:paraId="5A8AAE3D" w14:textId="77777777" w:rsidTr="006A21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4" w:type="dxa"/>
            <w:tcBorders>
              <w:right w:val="single" w:sz="4" w:space="0" w:color="000000"/>
            </w:tcBorders>
            <w:shd w:val="clear" w:color="auto" w:fill="auto"/>
          </w:tcPr>
          <w:p w14:paraId="7B37CF96"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color w:val="000000"/>
              </w:rPr>
            </w:pPr>
            <w:r w:rsidRPr="00F63749">
              <w:rPr>
                <w:rFonts w:asciiTheme="minorHAnsi" w:eastAsia="PMingLiU" w:hAnsiTheme="minorHAnsi" w:cstheme="minorHAnsi"/>
                <w:color w:val="000000"/>
              </w:rPr>
              <w:t>SAMM Number</w:t>
            </w:r>
          </w:p>
        </w:tc>
        <w:tc>
          <w:tcPr>
            <w:tcW w:w="2206" w:type="dxa"/>
            <w:tcBorders>
              <w:left w:val="single" w:sz="4" w:space="0" w:color="000000"/>
              <w:right w:val="single" w:sz="4" w:space="0" w:color="000000"/>
            </w:tcBorders>
            <w:shd w:val="clear" w:color="auto" w:fill="auto"/>
          </w:tcPr>
          <w:p w14:paraId="2723B6D6"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100000000000" w:firstRow="1" w:lastRow="0" w:firstColumn="0" w:lastColumn="0" w:oddVBand="0" w:evenVBand="0" w:oddHBand="0" w:evenHBand="0" w:firstRowFirstColumn="0" w:firstRowLastColumn="0" w:lastRowFirstColumn="0" w:lastRowLastColumn="0"/>
              <w:rPr>
                <w:rFonts w:asciiTheme="minorHAnsi" w:eastAsia="PMingLiU" w:hAnsiTheme="minorHAnsi" w:cstheme="minorHAnsi"/>
                <w:color w:val="000000"/>
              </w:rPr>
            </w:pPr>
            <w:r w:rsidRPr="00F63749">
              <w:rPr>
                <w:rFonts w:asciiTheme="minorHAnsi" w:eastAsia="PMingLiU" w:hAnsiTheme="minorHAnsi" w:cstheme="minorHAnsi"/>
                <w:color w:val="000000"/>
              </w:rPr>
              <w:t>SAMM Name</w:t>
            </w:r>
          </w:p>
        </w:tc>
        <w:tc>
          <w:tcPr>
            <w:tcW w:w="1289" w:type="dxa"/>
            <w:tcBorders>
              <w:left w:val="single" w:sz="4" w:space="0" w:color="000000"/>
              <w:right w:val="single" w:sz="4" w:space="0" w:color="000000"/>
            </w:tcBorders>
            <w:shd w:val="clear" w:color="auto" w:fill="auto"/>
          </w:tcPr>
          <w:p w14:paraId="202A07A3"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100000000000" w:firstRow="1" w:lastRow="0" w:firstColumn="0" w:lastColumn="0" w:oddVBand="0" w:evenVBand="0" w:oddHBand="0" w:evenHBand="0" w:firstRowFirstColumn="0" w:firstRowLastColumn="0" w:lastRowFirstColumn="0" w:lastRowLastColumn="0"/>
              <w:rPr>
                <w:rFonts w:asciiTheme="minorHAnsi" w:eastAsia="PMingLiU" w:hAnsiTheme="minorHAnsi" w:cstheme="minorHAnsi"/>
                <w:color w:val="000000"/>
              </w:rPr>
            </w:pPr>
            <w:r w:rsidRPr="00F63749">
              <w:rPr>
                <w:rFonts w:asciiTheme="minorHAnsi" w:eastAsia="PMingLiU" w:hAnsiTheme="minorHAnsi" w:cstheme="minorHAnsi"/>
                <w:color w:val="000000"/>
              </w:rPr>
              <w:t>State Plan Data</w:t>
            </w:r>
          </w:p>
        </w:tc>
        <w:tc>
          <w:tcPr>
            <w:tcW w:w="1411" w:type="dxa"/>
            <w:tcBorders>
              <w:left w:val="single" w:sz="4" w:space="0" w:color="000000"/>
              <w:right w:val="single" w:sz="4" w:space="0" w:color="000000"/>
            </w:tcBorders>
            <w:shd w:val="clear" w:color="auto" w:fill="auto"/>
          </w:tcPr>
          <w:p w14:paraId="0773AE2B"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100000000000" w:firstRow="1" w:lastRow="0" w:firstColumn="0" w:lastColumn="0" w:oddVBand="0" w:evenVBand="0" w:oddHBand="0" w:evenHBand="0" w:firstRowFirstColumn="0" w:firstRowLastColumn="0" w:lastRowFirstColumn="0" w:lastRowLastColumn="0"/>
              <w:rPr>
                <w:rFonts w:asciiTheme="minorHAnsi" w:eastAsia="PMingLiU" w:hAnsiTheme="minorHAnsi" w:cstheme="minorHAnsi"/>
                <w:color w:val="000000"/>
              </w:rPr>
            </w:pPr>
            <w:r w:rsidRPr="00F63749">
              <w:rPr>
                <w:rFonts w:asciiTheme="minorHAnsi" w:eastAsia="PMingLiU" w:hAnsiTheme="minorHAnsi" w:cstheme="minorHAnsi"/>
                <w:color w:val="000000"/>
              </w:rPr>
              <w:t>Further Review Level</w:t>
            </w:r>
          </w:p>
        </w:tc>
        <w:tc>
          <w:tcPr>
            <w:tcW w:w="4410" w:type="dxa"/>
            <w:tcBorders>
              <w:left w:val="single" w:sz="4" w:space="0" w:color="000000"/>
            </w:tcBorders>
            <w:shd w:val="clear" w:color="auto" w:fill="auto"/>
          </w:tcPr>
          <w:p w14:paraId="7BED52B4"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100000000000" w:firstRow="1" w:lastRow="0" w:firstColumn="0" w:lastColumn="0" w:oddVBand="0" w:evenVBand="0" w:oddHBand="0" w:evenHBand="0" w:firstRowFirstColumn="0" w:firstRowLastColumn="0" w:lastRowFirstColumn="0" w:lastRowLastColumn="0"/>
              <w:rPr>
                <w:rFonts w:asciiTheme="minorHAnsi" w:eastAsia="PMingLiU" w:hAnsiTheme="minorHAnsi" w:cstheme="minorHAnsi"/>
                <w:color w:val="000000"/>
              </w:rPr>
            </w:pPr>
            <w:r w:rsidRPr="00F63749">
              <w:rPr>
                <w:rFonts w:asciiTheme="minorHAnsi" w:eastAsia="PMingLiU" w:hAnsiTheme="minorHAnsi" w:cstheme="minorHAnsi"/>
                <w:color w:val="000000"/>
              </w:rPr>
              <w:t>Notes</w:t>
            </w:r>
          </w:p>
        </w:tc>
      </w:tr>
      <w:tr w:rsidR="00322B3A" w:rsidRPr="00A63274" w14:paraId="0CAF7809"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154B34E7"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1a</w:t>
            </w:r>
          </w:p>
        </w:tc>
        <w:tc>
          <w:tcPr>
            <w:tcW w:w="2206" w:type="dxa"/>
          </w:tcPr>
          <w:p w14:paraId="01393420"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Average number of work days to initiate complaint inspections (state formula)</w:t>
            </w:r>
          </w:p>
        </w:tc>
        <w:tc>
          <w:tcPr>
            <w:tcW w:w="1289" w:type="dxa"/>
          </w:tcPr>
          <w:p w14:paraId="0A915791"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9.75</w:t>
            </w:r>
          </w:p>
        </w:tc>
        <w:tc>
          <w:tcPr>
            <w:tcW w:w="1411" w:type="dxa"/>
          </w:tcPr>
          <w:p w14:paraId="04D9020A"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15</w:t>
            </w:r>
          </w:p>
        </w:tc>
        <w:tc>
          <w:tcPr>
            <w:tcW w:w="4410" w:type="dxa"/>
          </w:tcPr>
          <w:p w14:paraId="142FE6A1"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negotiated by OSHA and the State Plan.</w:t>
            </w:r>
          </w:p>
        </w:tc>
      </w:tr>
      <w:tr w:rsidR="00322B3A" w:rsidRPr="00A63274" w14:paraId="779B0E9F"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429C9C51"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1b</w:t>
            </w:r>
          </w:p>
        </w:tc>
        <w:tc>
          <w:tcPr>
            <w:tcW w:w="2206" w:type="dxa"/>
          </w:tcPr>
          <w:p w14:paraId="0D25A39C"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Average number of work days to initiate complaint inspections (federal formula)</w:t>
            </w:r>
          </w:p>
        </w:tc>
        <w:tc>
          <w:tcPr>
            <w:tcW w:w="1289" w:type="dxa"/>
          </w:tcPr>
          <w:p w14:paraId="78026119"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4.83</w:t>
            </w:r>
          </w:p>
        </w:tc>
        <w:tc>
          <w:tcPr>
            <w:tcW w:w="1411" w:type="dxa"/>
          </w:tcPr>
          <w:p w14:paraId="0E53FC96"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N/A</w:t>
            </w:r>
          </w:p>
        </w:tc>
        <w:tc>
          <w:tcPr>
            <w:tcW w:w="4410" w:type="dxa"/>
          </w:tcPr>
          <w:p w14:paraId="470DCDC0"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This measure is for informational purposes only and is not a mandated measure.</w:t>
            </w:r>
          </w:p>
        </w:tc>
      </w:tr>
      <w:tr w:rsidR="00322B3A" w:rsidRPr="00A63274" w14:paraId="0D4201B1"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128CDBBB"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2a</w:t>
            </w:r>
          </w:p>
        </w:tc>
        <w:tc>
          <w:tcPr>
            <w:tcW w:w="2206" w:type="dxa"/>
          </w:tcPr>
          <w:p w14:paraId="40D6530D"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Average number of work days to initiate complaint investigations (state formula)</w:t>
            </w:r>
          </w:p>
        </w:tc>
        <w:tc>
          <w:tcPr>
            <w:tcW w:w="1289" w:type="dxa"/>
          </w:tcPr>
          <w:p w14:paraId="793CE373"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3.98</w:t>
            </w:r>
          </w:p>
        </w:tc>
        <w:tc>
          <w:tcPr>
            <w:tcW w:w="1411" w:type="dxa"/>
          </w:tcPr>
          <w:p w14:paraId="2FEEA8CA"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5</w:t>
            </w:r>
          </w:p>
        </w:tc>
        <w:tc>
          <w:tcPr>
            <w:tcW w:w="4410" w:type="dxa"/>
          </w:tcPr>
          <w:p w14:paraId="71CE2A84"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negotiated by OSHA and the State Plan.</w:t>
            </w:r>
          </w:p>
        </w:tc>
      </w:tr>
      <w:tr w:rsidR="00322B3A" w:rsidRPr="00A63274" w14:paraId="02F23A84"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3847A0F8"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2b</w:t>
            </w:r>
          </w:p>
        </w:tc>
        <w:tc>
          <w:tcPr>
            <w:tcW w:w="2206" w:type="dxa"/>
          </w:tcPr>
          <w:p w14:paraId="2EF71061"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Average number of work days to initiate complaint investigations (federal formula)</w:t>
            </w:r>
          </w:p>
        </w:tc>
        <w:tc>
          <w:tcPr>
            <w:tcW w:w="1289" w:type="dxa"/>
          </w:tcPr>
          <w:p w14:paraId="573C1B40"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1.08</w:t>
            </w:r>
          </w:p>
        </w:tc>
        <w:tc>
          <w:tcPr>
            <w:tcW w:w="1411" w:type="dxa"/>
          </w:tcPr>
          <w:p w14:paraId="37EE4110"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N/A</w:t>
            </w:r>
          </w:p>
        </w:tc>
        <w:tc>
          <w:tcPr>
            <w:tcW w:w="4410" w:type="dxa"/>
          </w:tcPr>
          <w:p w14:paraId="4A42E259"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This measure is for informational purposes only and is not a mandated measure.</w:t>
            </w:r>
          </w:p>
        </w:tc>
      </w:tr>
      <w:tr w:rsidR="00322B3A" w:rsidRPr="00A63274" w14:paraId="632F5482"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21BB86B0"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3</w:t>
            </w:r>
          </w:p>
        </w:tc>
        <w:tc>
          <w:tcPr>
            <w:tcW w:w="2206" w:type="dxa"/>
          </w:tcPr>
          <w:p w14:paraId="322AD247"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Percent of complaints and referrals responded to within one workday (imminent danger)</w:t>
            </w:r>
          </w:p>
        </w:tc>
        <w:tc>
          <w:tcPr>
            <w:tcW w:w="1289" w:type="dxa"/>
          </w:tcPr>
          <w:p w14:paraId="2FD1AB16"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90%</w:t>
            </w:r>
          </w:p>
        </w:tc>
        <w:tc>
          <w:tcPr>
            <w:tcW w:w="1411" w:type="dxa"/>
          </w:tcPr>
          <w:p w14:paraId="199D34CD"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100%</w:t>
            </w:r>
          </w:p>
        </w:tc>
        <w:tc>
          <w:tcPr>
            <w:tcW w:w="4410" w:type="dxa"/>
          </w:tcPr>
          <w:p w14:paraId="3EFF4CBA"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fixed for all State Plans.</w:t>
            </w:r>
          </w:p>
        </w:tc>
      </w:tr>
      <w:tr w:rsidR="00322B3A" w:rsidRPr="00A63274" w14:paraId="176E8D85"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29C9F05F"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4</w:t>
            </w:r>
          </w:p>
        </w:tc>
        <w:tc>
          <w:tcPr>
            <w:tcW w:w="2206" w:type="dxa"/>
          </w:tcPr>
          <w:p w14:paraId="43172AA1"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Number of denials where entry not obtained</w:t>
            </w:r>
          </w:p>
        </w:tc>
        <w:tc>
          <w:tcPr>
            <w:tcW w:w="1289" w:type="dxa"/>
          </w:tcPr>
          <w:p w14:paraId="6ACB2C37"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0</w:t>
            </w:r>
          </w:p>
        </w:tc>
        <w:tc>
          <w:tcPr>
            <w:tcW w:w="1411" w:type="dxa"/>
          </w:tcPr>
          <w:p w14:paraId="0F6C2FFF"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0</w:t>
            </w:r>
          </w:p>
        </w:tc>
        <w:tc>
          <w:tcPr>
            <w:tcW w:w="4410" w:type="dxa"/>
          </w:tcPr>
          <w:p w14:paraId="447A0069"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fixed for all State Plans.</w:t>
            </w:r>
          </w:p>
        </w:tc>
      </w:tr>
      <w:tr w:rsidR="00322B3A" w:rsidRPr="00A63274" w14:paraId="60BE48C1" w14:textId="77777777" w:rsidTr="006A21EE">
        <w:trPr>
          <w:trHeight w:val="854"/>
        </w:trPr>
        <w:tc>
          <w:tcPr>
            <w:cnfStyle w:val="001000000000" w:firstRow="0" w:lastRow="0" w:firstColumn="1" w:lastColumn="0" w:oddVBand="0" w:evenVBand="0" w:oddHBand="0" w:evenHBand="0" w:firstRowFirstColumn="0" w:firstRowLastColumn="0" w:lastRowFirstColumn="0" w:lastRowLastColumn="0"/>
            <w:tcW w:w="1034" w:type="dxa"/>
          </w:tcPr>
          <w:p w14:paraId="0737E4D6"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5a</w:t>
            </w:r>
          </w:p>
        </w:tc>
        <w:tc>
          <w:tcPr>
            <w:tcW w:w="2206" w:type="dxa"/>
          </w:tcPr>
          <w:p w14:paraId="06529E18"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Average number of violations per inspection with violations by violation type (SWRU)</w:t>
            </w:r>
          </w:p>
        </w:tc>
        <w:tc>
          <w:tcPr>
            <w:tcW w:w="1289" w:type="dxa"/>
          </w:tcPr>
          <w:p w14:paraId="2A87A29C"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2.50</w:t>
            </w:r>
          </w:p>
        </w:tc>
        <w:tc>
          <w:tcPr>
            <w:tcW w:w="1411" w:type="dxa"/>
          </w:tcPr>
          <w:p w14:paraId="307614BD"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+/- 20% of</w:t>
            </w:r>
          </w:p>
          <w:p w14:paraId="3D0656E0"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1.77</w:t>
            </w:r>
          </w:p>
          <w:p w14:paraId="373F9C67"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1E5FEAC5"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 xml:space="preserve">The further review level is based on a three-year national average.  The range of acceptable data not requiring further review is from 1.42 to 2.12 for SWRU. </w:t>
            </w:r>
          </w:p>
        </w:tc>
      </w:tr>
      <w:tr w:rsidR="00322B3A" w:rsidRPr="00A63274" w14:paraId="6E78073C"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7EF9EEFF"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lastRenderedPageBreak/>
              <w:t>5b</w:t>
            </w:r>
          </w:p>
        </w:tc>
        <w:tc>
          <w:tcPr>
            <w:tcW w:w="2206" w:type="dxa"/>
          </w:tcPr>
          <w:p w14:paraId="5552B980"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Average number of violations per inspection with violations by violation type (other)</w:t>
            </w:r>
          </w:p>
        </w:tc>
        <w:tc>
          <w:tcPr>
            <w:tcW w:w="1289" w:type="dxa"/>
          </w:tcPr>
          <w:p w14:paraId="61A34FEB"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0.66</w:t>
            </w:r>
          </w:p>
        </w:tc>
        <w:tc>
          <w:tcPr>
            <w:tcW w:w="1411" w:type="dxa"/>
          </w:tcPr>
          <w:p w14:paraId="513DE434"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+/- 20% of</w:t>
            </w:r>
          </w:p>
          <w:p w14:paraId="4E688611"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0.90</w:t>
            </w:r>
          </w:p>
        </w:tc>
        <w:tc>
          <w:tcPr>
            <w:tcW w:w="4410" w:type="dxa"/>
          </w:tcPr>
          <w:p w14:paraId="1AEC1897"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The further review level is based on a three-year national average.  The range of acceptable data not requiring further review is from 0.72 to 1.08 for OTS.</w:t>
            </w:r>
          </w:p>
        </w:tc>
      </w:tr>
      <w:tr w:rsidR="00322B3A" w:rsidRPr="00A63274" w14:paraId="5DBA026B"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0DBA7359"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6</w:t>
            </w:r>
          </w:p>
        </w:tc>
        <w:tc>
          <w:tcPr>
            <w:tcW w:w="2206" w:type="dxa"/>
          </w:tcPr>
          <w:p w14:paraId="44E7DC32"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Percent of total inspections in state and local government workplaces</w:t>
            </w:r>
          </w:p>
        </w:tc>
        <w:tc>
          <w:tcPr>
            <w:tcW w:w="1289" w:type="dxa"/>
          </w:tcPr>
          <w:p w14:paraId="0DF75338"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40.41%</w:t>
            </w:r>
          </w:p>
        </w:tc>
        <w:tc>
          <w:tcPr>
            <w:tcW w:w="1411" w:type="dxa"/>
          </w:tcPr>
          <w:p w14:paraId="644031C8"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+/- 5% of</w:t>
            </w:r>
          </w:p>
          <w:p w14:paraId="0DC2A678"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38.26%</w:t>
            </w:r>
          </w:p>
        </w:tc>
        <w:tc>
          <w:tcPr>
            <w:tcW w:w="4410" w:type="dxa"/>
          </w:tcPr>
          <w:p w14:paraId="7F78F0C7"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The further review level is based on a number negotiated by OSHA and the State Plan through the grant application.  The range of acceptable data not requiring further review is from 36.34% to 40.17%.</w:t>
            </w:r>
          </w:p>
        </w:tc>
      </w:tr>
      <w:tr w:rsidR="00322B3A" w:rsidRPr="00A63274" w14:paraId="32944628"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43FBB416"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7a</w:t>
            </w:r>
          </w:p>
        </w:tc>
        <w:tc>
          <w:tcPr>
            <w:tcW w:w="2206" w:type="dxa"/>
          </w:tcPr>
          <w:p w14:paraId="2A389B71"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Planned v. actual inspections (safety)</w:t>
            </w:r>
          </w:p>
        </w:tc>
        <w:tc>
          <w:tcPr>
            <w:tcW w:w="1289" w:type="dxa"/>
          </w:tcPr>
          <w:p w14:paraId="58B003A8"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1,126</w:t>
            </w:r>
          </w:p>
        </w:tc>
        <w:tc>
          <w:tcPr>
            <w:tcW w:w="1411" w:type="dxa"/>
          </w:tcPr>
          <w:p w14:paraId="73893A6A"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xml:space="preserve">+/- 5% of </w:t>
            </w:r>
          </w:p>
          <w:p w14:paraId="7292F468"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1,100</w:t>
            </w:r>
          </w:p>
        </w:tc>
        <w:tc>
          <w:tcPr>
            <w:tcW w:w="4410" w:type="dxa"/>
          </w:tcPr>
          <w:p w14:paraId="0AB73C63"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based on a number negotiated by OSHA and the State Plan through the grant application.  The range of acceptable data not requiring further review is from 1,045 to 1,155 for safety.</w:t>
            </w:r>
          </w:p>
        </w:tc>
      </w:tr>
      <w:tr w:rsidR="00322B3A" w:rsidRPr="00A63274" w14:paraId="4E1C19BB"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7D543C1A"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7b</w:t>
            </w:r>
          </w:p>
        </w:tc>
        <w:tc>
          <w:tcPr>
            <w:tcW w:w="2206" w:type="dxa"/>
          </w:tcPr>
          <w:p w14:paraId="2392ADE7"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Planned v. actual inspections (health)</w:t>
            </w:r>
          </w:p>
        </w:tc>
        <w:tc>
          <w:tcPr>
            <w:tcW w:w="1289" w:type="dxa"/>
          </w:tcPr>
          <w:p w14:paraId="4D264584"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324</w:t>
            </w:r>
          </w:p>
        </w:tc>
        <w:tc>
          <w:tcPr>
            <w:tcW w:w="1411" w:type="dxa"/>
          </w:tcPr>
          <w:p w14:paraId="5045C78C"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xml:space="preserve">+/- 5% of </w:t>
            </w:r>
          </w:p>
          <w:p w14:paraId="20052399"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390</w:t>
            </w:r>
          </w:p>
        </w:tc>
        <w:tc>
          <w:tcPr>
            <w:tcW w:w="4410" w:type="dxa"/>
          </w:tcPr>
          <w:p w14:paraId="003360FA"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based on a number negotiated by OSHA and the State Plan through the grant application.  The range of acceptable data not requiring further review is from 370.50 to 409.50 for health.</w:t>
            </w:r>
          </w:p>
        </w:tc>
      </w:tr>
      <w:tr w:rsidR="00322B3A" w:rsidRPr="00A63274" w14:paraId="6C66B66F"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2713FCA5"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8</w:t>
            </w:r>
          </w:p>
        </w:tc>
        <w:tc>
          <w:tcPr>
            <w:tcW w:w="2206" w:type="dxa"/>
          </w:tcPr>
          <w:p w14:paraId="44D00269"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Average current serious penalty in private sector - total (1 to greater than 250 workers)</w:t>
            </w:r>
          </w:p>
        </w:tc>
        <w:tc>
          <w:tcPr>
            <w:tcW w:w="1289" w:type="dxa"/>
          </w:tcPr>
          <w:p w14:paraId="7AF94005"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$1,857.42</w:t>
            </w:r>
          </w:p>
        </w:tc>
        <w:tc>
          <w:tcPr>
            <w:tcW w:w="1411" w:type="dxa"/>
          </w:tcPr>
          <w:p w14:paraId="471A03C4"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xml:space="preserve">+/- 25% of </w:t>
            </w:r>
          </w:p>
          <w:p w14:paraId="4C0F4B19"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$3,259.35</w:t>
            </w:r>
          </w:p>
          <w:p w14:paraId="01C0D035"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5D0037BA" w14:textId="77777777" w:rsidR="00322B3A" w:rsidRPr="0092393F" w:rsidRDefault="00322B3A" w:rsidP="006A21EE">
            <w:pPr>
              <w:ind w:right="133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The further review level is based on a three-year national average.  The range of acceptable data not requiring further review is from $2,444.51 to $4,074.19.</w:t>
            </w:r>
          </w:p>
        </w:tc>
      </w:tr>
      <w:tr w:rsidR="00322B3A" w:rsidRPr="00A63274" w14:paraId="0AAE6104"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3B71A554"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p>
        </w:tc>
        <w:tc>
          <w:tcPr>
            <w:tcW w:w="2206" w:type="dxa"/>
          </w:tcPr>
          <w:p w14:paraId="11E05BAA" w14:textId="77777777" w:rsidR="00322B3A" w:rsidRPr="0092393F" w:rsidRDefault="00322B3A" w:rsidP="006A21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b/>
              </w:rPr>
              <w:t>a</w:t>
            </w:r>
            <w:r w:rsidRPr="0092393F">
              <w:rPr>
                <w:rFonts w:asciiTheme="minorHAnsi" w:hAnsiTheme="minorHAnsi" w:cstheme="minorHAnsi"/>
              </w:rPr>
              <w:t>.  Average current serious penalty in private sector</w:t>
            </w:r>
          </w:p>
          <w:p w14:paraId="67293B8F"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xml:space="preserve"> (1-25 workers)</w:t>
            </w:r>
          </w:p>
        </w:tc>
        <w:tc>
          <w:tcPr>
            <w:tcW w:w="1289" w:type="dxa"/>
          </w:tcPr>
          <w:p w14:paraId="33DEBCA2"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$1,408.00</w:t>
            </w:r>
          </w:p>
        </w:tc>
        <w:tc>
          <w:tcPr>
            <w:tcW w:w="1411" w:type="dxa"/>
          </w:tcPr>
          <w:p w14:paraId="02F76AF9"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xml:space="preserve">+/- 25% of </w:t>
            </w:r>
          </w:p>
          <w:p w14:paraId="68CF76F2"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$2,145.46</w:t>
            </w:r>
          </w:p>
          <w:p w14:paraId="7A130D5C"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47F48565"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based on a three-year national average.  The range of acceptable data not requiring further review is from $1,609.10 to $2,681.83.</w:t>
            </w:r>
          </w:p>
        </w:tc>
      </w:tr>
      <w:tr w:rsidR="00322B3A" w:rsidRPr="00A63274" w14:paraId="11569BB1"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5ECC8A74"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p>
        </w:tc>
        <w:tc>
          <w:tcPr>
            <w:tcW w:w="2206" w:type="dxa"/>
          </w:tcPr>
          <w:p w14:paraId="67E8603A" w14:textId="77777777" w:rsidR="00322B3A" w:rsidRPr="0092393F" w:rsidRDefault="00322B3A" w:rsidP="006A21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b/>
              </w:rPr>
              <w:t>b</w:t>
            </w:r>
            <w:r w:rsidRPr="0092393F">
              <w:rPr>
                <w:rFonts w:asciiTheme="minorHAnsi" w:hAnsiTheme="minorHAnsi" w:cstheme="minorHAnsi"/>
              </w:rPr>
              <w:t xml:space="preserve">. Average current serious penalty in private sector </w:t>
            </w:r>
          </w:p>
          <w:p w14:paraId="58C073F9"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(26-100 workers</w:t>
            </w:r>
            <w:r w:rsidRPr="0092393F">
              <w:rPr>
                <w:rFonts w:asciiTheme="minorHAnsi" w:hAnsiTheme="minorHAnsi" w:cstheme="minorHAnsi"/>
                <w:b/>
              </w:rPr>
              <w:t>)</w:t>
            </w:r>
          </w:p>
        </w:tc>
        <w:tc>
          <w:tcPr>
            <w:tcW w:w="1289" w:type="dxa"/>
          </w:tcPr>
          <w:p w14:paraId="6A2E0EAA"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$1,629.02</w:t>
            </w:r>
          </w:p>
        </w:tc>
        <w:tc>
          <w:tcPr>
            <w:tcW w:w="1411" w:type="dxa"/>
          </w:tcPr>
          <w:p w14:paraId="03F58F97"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xml:space="preserve">+/- 25% of </w:t>
            </w:r>
          </w:p>
          <w:p w14:paraId="7E9242AF"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$3,818.56</w:t>
            </w:r>
          </w:p>
          <w:p w14:paraId="4C152192"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61B5AA64"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based on a three-year national average.  The range of acceptable data not requiring further review is from $2,863.92 to $4,773.20.</w:t>
            </w:r>
          </w:p>
        </w:tc>
      </w:tr>
      <w:tr w:rsidR="00322B3A" w:rsidRPr="00A63274" w14:paraId="31329754"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429F9537"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p>
        </w:tc>
        <w:tc>
          <w:tcPr>
            <w:tcW w:w="2206" w:type="dxa"/>
          </w:tcPr>
          <w:p w14:paraId="7F2C367E" w14:textId="77777777" w:rsidR="00322B3A" w:rsidRPr="0092393F" w:rsidRDefault="00322B3A" w:rsidP="006A21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b/>
              </w:rPr>
              <w:t>c</w:t>
            </w:r>
            <w:r w:rsidRPr="0092393F">
              <w:rPr>
                <w:rFonts w:asciiTheme="minorHAnsi" w:hAnsiTheme="minorHAnsi" w:cstheme="minorHAnsi"/>
              </w:rPr>
              <w:t>. Average current serious penalty in private sector</w:t>
            </w:r>
          </w:p>
          <w:p w14:paraId="5E3385F8"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lastRenderedPageBreak/>
              <w:t>(101-250 workers)</w:t>
            </w:r>
          </w:p>
        </w:tc>
        <w:tc>
          <w:tcPr>
            <w:tcW w:w="1289" w:type="dxa"/>
          </w:tcPr>
          <w:p w14:paraId="79A76138"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lastRenderedPageBreak/>
              <w:t>$2,271.20</w:t>
            </w:r>
          </w:p>
        </w:tc>
        <w:tc>
          <w:tcPr>
            <w:tcW w:w="1411" w:type="dxa"/>
          </w:tcPr>
          <w:p w14:paraId="2549914A"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xml:space="preserve">+/- 25% of </w:t>
            </w:r>
          </w:p>
          <w:p w14:paraId="125785BF"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$5,469.60</w:t>
            </w:r>
          </w:p>
          <w:p w14:paraId="42B2BD43"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5E139B1D"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 xml:space="preserve">The further review level is based on a three-year national average.  The range of acceptable data not requiring further </w:t>
            </w:r>
            <w:r w:rsidRPr="0092393F">
              <w:rPr>
                <w:rFonts w:asciiTheme="minorHAnsi" w:hAnsiTheme="minorHAnsi" w:cstheme="minorHAnsi"/>
              </w:rPr>
              <w:lastRenderedPageBreak/>
              <w:t>review is from $4,102.20 to $6,837.00.</w:t>
            </w:r>
          </w:p>
        </w:tc>
      </w:tr>
      <w:tr w:rsidR="00322B3A" w:rsidRPr="00A63274" w14:paraId="2873084E"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7CE44BA7"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p>
        </w:tc>
        <w:tc>
          <w:tcPr>
            <w:tcW w:w="2206" w:type="dxa"/>
          </w:tcPr>
          <w:p w14:paraId="5D373336" w14:textId="77777777" w:rsidR="00322B3A" w:rsidRPr="0092393F" w:rsidRDefault="00322B3A" w:rsidP="006A21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b/>
              </w:rPr>
              <w:t>d</w:t>
            </w:r>
            <w:r w:rsidRPr="0092393F">
              <w:rPr>
                <w:rFonts w:asciiTheme="minorHAnsi" w:hAnsiTheme="minorHAnsi" w:cstheme="minorHAnsi"/>
              </w:rPr>
              <w:t>. Average current serious penalty in private sector</w:t>
            </w:r>
          </w:p>
          <w:p w14:paraId="29B48E0A"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(greater than 250 workers)</w:t>
            </w:r>
          </w:p>
        </w:tc>
        <w:tc>
          <w:tcPr>
            <w:tcW w:w="1289" w:type="dxa"/>
          </w:tcPr>
          <w:p w14:paraId="0EB9CCEF"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$3,199.08</w:t>
            </w:r>
          </w:p>
        </w:tc>
        <w:tc>
          <w:tcPr>
            <w:tcW w:w="1411" w:type="dxa"/>
          </w:tcPr>
          <w:p w14:paraId="08F7A240"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xml:space="preserve">+/- 25% of </w:t>
            </w:r>
          </w:p>
          <w:p w14:paraId="1F183849"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$6,725.78</w:t>
            </w:r>
          </w:p>
          <w:p w14:paraId="7F34037C"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0976AA61"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based on a three-year national average.  The range of acceptable data not requiring further review is from $5,044.34 to $8,407.23.</w:t>
            </w:r>
          </w:p>
        </w:tc>
      </w:tr>
      <w:tr w:rsidR="00322B3A" w:rsidRPr="00A63274" w14:paraId="5A500193"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60127399"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9a</w:t>
            </w:r>
          </w:p>
        </w:tc>
        <w:tc>
          <w:tcPr>
            <w:tcW w:w="2206" w:type="dxa"/>
          </w:tcPr>
          <w:p w14:paraId="3EE99790"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Percent in compliance (safety)</w:t>
            </w:r>
          </w:p>
        </w:tc>
        <w:tc>
          <w:tcPr>
            <w:tcW w:w="1289" w:type="dxa"/>
          </w:tcPr>
          <w:p w14:paraId="22684721"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14.06%</w:t>
            </w:r>
          </w:p>
        </w:tc>
        <w:tc>
          <w:tcPr>
            <w:tcW w:w="1411" w:type="dxa"/>
          </w:tcPr>
          <w:p w14:paraId="157D9256"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+/- 20% of</w:t>
            </w:r>
          </w:p>
          <w:p w14:paraId="0D639C73"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32.25%</w:t>
            </w:r>
          </w:p>
        </w:tc>
        <w:tc>
          <w:tcPr>
            <w:tcW w:w="4410" w:type="dxa"/>
          </w:tcPr>
          <w:p w14:paraId="4175ABE3"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based on a three-year national average.  The range of acceptable data not requiring further review is from 25.80% to 38.70% for safety.</w:t>
            </w:r>
          </w:p>
        </w:tc>
      </w:tr>
      <w:tr w:rsidR="00322B3A" w:rsidRPr="00A63274" w14:paraId="4D28876C"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4A5943A3"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9b</w:t>
            </w:r>
          </w:p>
        </w:tc>
        <w:tc>
          <w:tcPr>
            <w:tcW w:w="2206" w:type="dxa"/>
          </w:tcPr>
          <w:p w14:paraId="5D8498E2"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Percent in compliance (health)</w:t>
            </w:r>
          </w:p>
        </w:tc>
        <w:tc>
          <w:tcPr>
            <w:tcW w:w="1289" w:type="dxa"/>
          </w:tcPr>
          <w:p w14:paraId="42E9F9AE"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29.86%</w:t>
            </w:r>
          </w:p>
        </w:tc>
        <w:tc>
          <w:tcPr>
            <w:tcW w:w="1411" w:type="dxa"/>
          </w:tcPr>
          <w:p w14:paraId="251C716A"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+/- 20% of</w:t>
            </w:r>
          </w:p>
          <w:p w14:paraId="4F37A3E2"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44.42%</w:t>
            </w:r>
          </w:p>
        </w:tc>
        <w:tc>
          <w:tcPr>
            <w:tcW w:w="4410" w:type="dxa"/>
          </w:tcPr>
          <w:p w14:paraId="2496EDAB"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based on a three-year national average.  The range of acceptable data not requiring further review is from 35.54% to 53.30% for health.</w:t>
            </w:r>
          </w:p>
        </w:tc>
      </w:tr>
      <w:tr w:rsidR="00322B3A" w:rsidRPr="00A63274" w14:paraId="60107E43"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26E00CF5"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10</w:t>
            </w:r>
          </w:p>
        </w:tc>
        <w:tc>
          <w:tcPr>
            <w:tcW w:w="2206" w:type="dxa"/>
          </w:tcPr>
          <w:p w14:paraId="7C5DDADB"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Percent of work-related fatalities responded to in one workday</w:t>
            </w:r>
          </w:p>
        </w:tc>
        <w:tc>
          <w:tcPr>
            <w:tcW w:w="1289" w:type="dxa"/>
          </w:tcPr>
          <w:p w14:paraId="37A20B2E"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97.62%</w:t>
            </w:r>
          </w:p>
        </w:tc>
        <w:tc>
          <w:tcPr>
            <w:tcW w:w="1411" w:type="dxa"/>
          </w:tcPr>
          <w:p w14:paraId="5E93B4DB"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100%</w:t>
            </w:r>
          </w:p>
        </w:tc>
        <w:tc>
          <w:tcPr>
            <w:tcW w:w="4410" w:type="dxa"/>
          </w:tcPr>
          <w:p w14:paraId="638E2AE5"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fixed for all State Plans.</w:t>
            </w:r>
          </w:p>
        </w:tc>
      </w:tr>
      <w:tr w:rsidR="00322B3A" w:rsidRPr="00A63274" w14:paraId="12F131F4"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73C8BFD5"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11a</w:t>
            </w:r>
          </w:p>
        </w:tc>
        <w:tc>
          <w:tcPr>
            <w:tcW w:w="2206" w:type="dxa"/>
          </w:tcPr>
          <w:p w14:paraId="77743301"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Average lapse time (safety)</w:t>
            </w:r>
          </w:p>
        </w:tc>
        <w:tc>
          <w:tcPr>
            <w:tcW w:w="1289" w:type="dxa"/>
          </w:tcPr>
          <w:p w14:paraId="3FD5AB78"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27.66</w:t>
            </w:r>
          </w:p>
        </w:tc>
        <w:tc>
          <w:tcPr>
            <w:tcW w:w="1411" w:type="dxa"/>
          </w:tcPr>
          <w:p w14:paraId="031FE90C"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xml:space="preserve">+/- 20% of </w:t>
            </w:r>
          </w:p>
          <w:p w14:paraId="7A3C2BA6"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54.58</w:t>
            </w:r>
          </w:p>
        </w:tc>
        <w:tc>
          <w:tcPr>
            <w:tcW w:w="4410" w:type="dxa"/>
          </w:tcPr>
          <w:p w14:paraId="71638BA5"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ind w:right="16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The further review level is based on a three-year national average.  The range of acceptable data not requiring further review is from 43.66 to 65.50 for safety.</w:t>
            </w:r>
          </w:p>
        </w:tc>
      </w:tr>
      <w:tr w:rsidR="00322B3A" w:rsidRPr="00A63274" w14:paraId="2D102FFB"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4A161E9A"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11b</w:t>
            </w:r>
          </w:p>
        </w:tc>
        <w:tc>
          <w:tcPr>
            <w:tcW w:w="2206" w:type="dxa"/>
          </w:tcPr>
          <w:p w14:paraId="4DA0E64B"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Average lapse time (health)</w:t>
            </w:r>
          </w:p>
        </w:tc>
        <w:tc>
          <w:tcPr>
            <w:tcW w:w="1289" w:type="dxa"/>
          </w:tcPr>
          <w:p w14:paraId="30AF97C0"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48.46</w:t>
            </w:r>
          </w:p>
        </w:tc>
        <w:tc>
          <w:tcPr>
            <w:tcW w:w="1411" w:type="dxa"/>
          </w:tcPr>
          <w:p w14:paraId="5B5D65AF"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xml:space="preserve">+/- 20% of </w:t>
            </w:r>
          </w:p>
          <w:p w14:paraId="2912C89C"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69.03</w:t>
            </w:r>
          </w:p>
        </w:tc>
        <w:tc>
          <w:tcPr>
            <w:tcW w:w="4410" w:type="dxa"/>
          </w:tcPr>
          <w:p w14:paraId="50A6E0F0"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based on a three-year national average.  The range of acceptable data not requiring further review is from 55.22 to 82.84 for health.</w:t>
            </w:r>
          </w:p>
        </w:tc>
      </w:tr>
      <w:tr w:rsidR="00322B3A" w:rsidRPr="00A63274" w14:paraId="015050F4"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610D6D06"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12</w:t>
            </w:r>
          </w:p>
        </w:tc>
        <w:tc>
          <w:tcPr>
            <w:tcW w:w="2206" w:type="dxa"/>
          </w:tcPr>
          <w:p w14:paraId="5B1C6BE6"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Percent penalty retained</w:t>
            </w:r>
          </w:p>
        </w:tc>
        <w:tc>
          <w:tcPr>
            <w:tcW w:w="1289" w:type="dxa"/>
          </w:tcPr>
          <w:p w14:paraId="6C6445E5"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95.33%</w:t>
            </w:r>
          </w:p>
        </w:tc>
        <w:tc>
          <w:tcPr>
            <w:tcW w:w="1411" w:type="dxa"/>
          </w:tcPr>
          <w:p w14:paraId="5DDA5F3F"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+/- 15% of</w:t>
            </w:r>
          </w:p>
          <w:p w14:paraId="1D84D3DF"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69.97%</w:t>
            </w:r>
          </w:p>
        </w:tc>
        <w:tc>
          <w:tcPr>
            <w:tcW w:w="4410" w:type="dxa"/>
          </w:tcPr>
          <w:p w14:paraId="0BC0DFA4"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based on a three-year national average.  The range of acceptable data not requiring further review is from 59.47% to 80.47%.</w:t>
            </w:r>
          </w:p>
        </w:tc>
      </w:tr>
      <w:tr w:rsidR="00322B3A" w:rsidRPr="00A63274" w14:paraId="18850189"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013E40DD"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13</w:t>
            </w:r>
          </w:p>
        </w:tc>
        <w:tc>
          <w:tcPr>
            <w:tcW w:w="2206" w:type="dxa"/>
          </w:tcPr>
          <w:p w14:paraId="4C4B15CF"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Percent of initial inspections with worker walk-around representation or worker interview</w:t>
            </w:r>
          </w:p>
        </w:tc>
        <w:tc>
          <w:tcPr>
            <w:tcW w:w="1289" w:type="dxa"/>
          </w:tcPr>
          <w:p w14:paraId="77907C06"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98.34%</w:t>
            </w:r>
          </w:p>
        </w:tc>
        <w:tc>
          <w:tcPr>
            <w:tcW w:w="1411" w:type="dxa"/>
          </w:tcPr>
          <w:p w14:paraId="7CF2F141"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100%</w:t>
            </w:r>
          </w:p>
        </w:tc>
        <w:tc>
          <w:tcPr>
            <w:tcW w:w="4410" w:type="dxa"/>
          </w:tcPr>
          <w:p w14:paraId="0F1E4D37"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fixed for all State Plans.</w:t>
            </w:r>
          </w:p>
        </w:tc>
      </w:tr>
      <w:tr w:rsidR="00322B3A" w:rsidRPr="00A63274" w14:paraId="2F0D2D3F"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4198B458"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lastRenderedPageBreak/>
              <w:t>14</w:t>
            </w:r>
          </w:p>
        </w:tc>
        <w:tc>
          <w:tcPr>
            <w:tcW w:w="2206" w:type="dxa"/>
          </w:tcPr>
          <w:p w14:paraId="1A4B6A10"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Percent of 11(c) investigations completed within 90 days</w:t>
            </w:r>
          </w:p>
        </w:tc>
        <w:tc>
          <w:tcPr>
            <w:tcW w:w="1289" w:type="dxa"/>
          </w:tcPr>
          <w:p w14:paraId="5A30B656"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N/A*</w:t>
            </w:r>
          </w:p>
        </w:tc>
        <w:tc>
          <w:tcPr>
            <w:tcW w:w="1411" w:type="dxa"/>
          </w:tcPr>
          <w:p w14:paraId="19CFE8DF"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N/A*</w:t>
            </w:r>
          </w:p>
        </w:tc>
        <w:tc>
          <w:tcPr>
            <w:tcW w:w="4410" w:type="dxa"/>
          </w:tcPr>
          <w:p w14:paraId="58256E81"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This measure is not being reported for FY 2022. Please see note below.</w:t>
            </w:r>
          </w:p>
        </w:tc>
      </w:tr>
      <w:tr w:rsidR="00322B3A" w:rsidRPr="00A63274" w14:paraId="1F3C4337"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278D9052"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15</w:t>
            </w:r>
          </w:p>
        </w:tc>
        <w:tc>
          <w:tcPr>
            <w:tcW w:w="2206" w:type="dxa"/>
          </w:tcPr>
          <w:p w14:paraId="7CE669BC"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Percent of 11(c) complaints that are meritorious</w:t>
            </w:r>
          </w:p>
        </w:tc>
        <w:tc>
          <w:tcPr>
            <w:tcW w:w="1289" w:type="dxa"/>
          </w:tcPr>
          <w:p w14:paraId="2E734A3C"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N/A*</w:t>
            </w:r>
          </w:p>
        </w:tc>
        <w:tc>
          <w:tcPr>
            <w:tcW w:w="1411" w:type="dxa"/>
          </w:tcPr>
          <w:p w14:paraId="17F399DE"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N/A*</w:t>
            </w:r>
          </w:p>
        </w:tc>
        <w:tc>
          <w:tcPr>
            <w:tcW w:w="4410" w:type="dxa"/>
          </w:tcPr>
          <w:p w14:paraId="7762AAB8"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 xml:space="preserve">This measure is not being reported for FY 2022. Please see note below. </w:t>
            </w:r>
          </w:p>
        </w:tc>
      </w:tr>
      <w:tr w:rsidR="00322B3A" w:rsidRPr="00A63274" w14:paraId="5828B490"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65EB5DE2"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16</w:t>
            </w:r>
          </w:p>
        </w:tc>
        <w:tc>
          <w:tcPr>
            <w:tcW w:w="2206" w:type="dxa"/>
          </w:tcPr>
          <w:p w14:paraId="117D9D31"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Average number of calendar days to complete an 11(c) investigation</w:t>
            </w:r>
          </w:p>
        </w:tc>
        <w:tc>
          <w:tcPr>
            <w:tcW w:w="1289" w:type="dxa"/>
          </w:tcPr>
          <w:p w14:paraId="1B041E78"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N/A*</w:t>
            </w:r>
          </w:p>
        </w:tc>
        <w:tc>
          <w:tcPr>
            <w:tcW w:w="1411" w:type="dxa"/>
            <w:shd w:val="clear" w:color="auto" w:fill="auto"/>
          </w:tcPr>
          <w:p w14:paraId="0811A7E1"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N/A*</w:t>
            </w:r>
          </w:p>
        </w:tc>
        <w:tc>
          <w:tcPr>
            <w:tcW w:w="4410" w:type="dxa"/>
          </w:tcPr>
          <w:p w14:paraId="286224C0"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eastAsia="PMingLiU" w:hAnsiTheme="minorHAnsi" w:cstheme="minorHAnsi"/>
              </w:rPr>
              <w:t>This measure is not being reported for FY 2022. Please see note below.</w:t>
            </w:r>
          </w:p>
        </w:tc>
      </w:tr>
      <w:tr w:rsidR="00322B3A" w:rsidRPr="00A63274" w14:paraId="6EFE49F1" w14:textId="77777777" w:rsidTr="006A21EE">
        <w:tc>
          <w:tcPr>
            <w:cnfStyle w:val="001000000000" w:firstRow="0" w:lastRow="0" w:firstColumn="1" w:lastColumn="0" w:oddVBand="0" w:evenVBand="0" w:oddHBand="0" w:evenHBand="0" w:firstRowFirstColumn="0" w:firstRowLastColumn="0" w:lastRowFirstColumn="0" w:lastRowLastColumn="0"/>
            <w:tcW w:w="1034" w:type="dxa"/>
          </w:tcPr>
          <w:p w14:paraId="2CA3D7D9" w14:textId="77777777" w:rsidR="00322B3A" w:rsidRPr="00F63749"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eastAsia="PMingLiU" w:hAnsiTheme="minorHAnsi" w:cstheme="minorHAnsi"/>
              </w:rPr>
            </w:pPr>
            <w:r w:rsidRPr="00F63749">
              <w:rPr>
                <w:rFonts w:asciiTheme="minorHAnsi" w:eastAsia="PMingLiU" w:hAnsiTheme="minorHAnsi" w:cstheme="minorHAnsi"/>
              </w:rPr>
              <w:t>17</w:t>
            </w:r>
          </w:p>
        </w:tc>
        <w:tc>
          <w:tcPr>
            <w:tcW w:w="2206" w:type="dxa"/>
          </w:tcPr>
          <w:p w14:paraId="249C6A03"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Percent of enforcement presence</w:t>
            </w:r>
          </w:p>
        </w:tc>
        <w:tc>
          <w:tcPr>
            <w:tcW w:w="1289" w:type="dxa"/>
          </w:tcPr>
          <w:p w14:paraId="1F9BC830"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1.28%</w:t>
            </w:r>
          </w:p>
        </w:tc>
        <w:tc>
          <w:tcPr>
            <w:tcW w:w="1411" w:type="dxa"/>
          </w:tcPr>
          <w:p w14:paraId="365B9DC6" w14:textId="77777777" w:rsidR="00322B3A" w:rsidRPr="0092393F" w:rsidRDefault="00322B3A" w:rsidP="006A21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2393F">
              <w:rPr>
                <w:rFonts w:asciiTheme="minorHAnsi" w:hAnsiTheme="minorHAnsi" w:cstheme="minorHAnsi"/>
              </w:rPr>
              <w:t>+/- 25% of</w:t>
            </w:r>
          </w:p>
          <w:p w14:paraId="73C08194"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1.64%</w:t>
            </w:r>
          </w:p>
        </w:tc>
        <w:tc>
          <w:tcPr>
            <w:tcW w:w="4410" w:type="dxa"/>
          </w:tcPr>
          <w:p w14:paraId="3B380400" w14:textId="77777777" w:rsidR="00322B3A" w:rsidRPr="0092393F" w:rsidRDefault="00322B3A" w:rsidP="006A21E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92393F">
              <w:rPr>
                <w:rFonts w:asciiTheme="minorHAnsi" w:hAnsiTheme="minorHAnsi" w:cstheme="minorHAnsi"/>
              </w:rPr>
              <w:t>The further review level is based on a three-year national average.  The range of acceptable data not requiring further review is from 1.23% to 2.05%.</w:t>
            </w:r>
          </w:p>
        </w:tc>
      </w:tr>
    </w:tbl>
    <w:p w14:paraId="2C678981" w14:textId="00164C7C" w:rsidR="00322B3A" w:rsidRDefault="00322B3A" w:rsidP="00322B3A">
      <w:pPr>
        <w:rPr>
          <w:rFonts w:asciiTheme="minorHAnsi" w:hAnsiTheme="minorHAnsi" w:cstheme="minorHAnsi"/>
        </w:rPr>
      </w:pPr>
      <w:r w:rsidRPr="00F63749">
        <w:rPr>
          <w:rFonts w:asciiTheme="minorHAnsi" w:hAnsiTheme="minorHAnsi" w:cstheme="minorHAnsi"/>
        </w:rPr>
        <w:t>NOTE:  The national averages in this report are three-year rolling averages.  Unless otherwise noted, the data contained in this Appendix D are pulled from the State Activity Mandated Measures (SAMM) Report in OIS run on November 14, 2022, as part of OSHA’s official end-of-year data run.</w:t>
      </w:r>
    </w:p>
    <w:p w14:paraId="7280E545" w14:textId="77777777" w:rsidR="00A63274" w:rsidRPr="00F63749" w:rsidRDefault="00A63274" w:rsidP="00322B3A">
      <w:pPr>
        <w:rPr>
          <w:rFonts w:asciiTheme="minorHAnsi" w:hAnsiTheme="minorHAnsi" w:cstheme="minorHAnsi"/>
        </w:rPr>
      </w:pPr>
    </w:p>
    <w:p w14:paraId="1B12E385" w14:textId="77777777" w:rsidR="00322B3A" w:rsidRPr="00F63749" w:rsidRDefault="00322B3A" w:rsidP="00322B3A">
      <w:pPr>
        <w:rPr>
          <w:rFonts w:asciiTheme="minorHAnsi" w:hAnsiTheme="minorHAnsi" w:cstheme="minorHAnsi"/>
          <w:b/>
          <w:color w:val="1F497D"/>
          <w:sz w:val="28"/>
          <w:szCs w:val="28"/>
        </w:rPr>
      </w:pPr>
      <w:r w:rsidRPr="00F63749">
        <w:rPr>
          <w:rFonts w:asciiTheme="minorHAnsi" w:hAnsiTheme="minorHAnsi" w:cstheme="minorHAnsi"/>
        </w:rPr>
        <w:t xml:space="preserve">*Due to the transition of 11(c) data from IMIS to OIS, SAMMs 14, 15, and 16 are not being reported for FY 2022. </w:t>
      </w:r>
    </w:p>
    <w:p w14:paraId="723E33DA" w14:textId="77777777" w:rsidR="005128CD" w:rsidRPr="00F63749" w:rsidRDefault="005128CD" w:rsidP="007A71AC">
      <w:pPr>
        <w:widowControl/>
        <w:autoSpaceDE/>
        <w:autoSpaceDN/>
        <w:adjustRightInd/>
        <w:rPr>
          <w:rFonts w:asciiTheme="minorHAnsi" w:hAnsiTheme="minorHAnsi" w:cstheme="minorHAnsi"/>
          <w:b/>
          <w:color w:val="1F497D"/>
          <w:sz w:val="28"/>
          <w:szCs w:val="28"/>
        </w:rPr>
      </w:pPr>
    </w:p>
    <w:p w14:paraId="575825F5" w14:textId="77777777" w:rsidR="005128CD" w:rsidRPr="00F63749" w:rsidRDefault="005128CD" w:rsidP="007A71AC">
      <w:pPr>
        <w:widowControl/>
        <w:autoSpaceDE/>
        <w:autoSpaceDN/>
        <w:adjustRightInd/>
        <w:rPr>
          <w:rFonts w:asciiTheme="minorHAnsi" w:hAnsiTheme="minorHAnsi" w:cstheme="minorHAnsi"/>
          <w:b/>
          <w:color w:val="1F497D"/>
          <w:sz w:val="28"/>
          <w:szCs w:val="28"/>
        </w:rPr>
      </w:pPr>
    </w:p>
    <w:p w14:paraId="325D26EC" w14:textId="77777777" w:rsidR="00E950BC" w:rsidRPr="00F63749" w:rsidRDefault="00E950BC" w:rsidP="00634539">
      <w:pPr>
        <w:widowControl/>
        <w:autoSpaceDE/>
        <w:autoSpaceDN/>
        <w:adjustRightInd/>
        <w:rPr>
          <w:rFonts w:asciiTheme="minorHAnsi" w:hAnsiTheme="minorHAnsi" w:cstheme="minorHAnsi"/>
          <w:i/>
        </w:rPr>
      </w:pPr>
    </w:p>
    <w:p w14:paraId="4A00AD13" w14:textId="77777777" w:rsidR="000A134A" w:rsidRPr="00F63749" w:rsidRDefault="000A134A" w:rsidP="007A71AC">
      <w:pPr>
        <w:widowControl/>
        <w:autoSpaceDE/>
        <w:autoSpaceDN/>
        <w:adjustRightInd/>
        <w:rPr>
          <w:rFonts w:asciiTheme="minorHAnsi" w:hAnsiTheme="minorHAnsi" w:cstheme="minorHAnsi"/>
          <w:i/>
        </w:rPr>
      </w:pPr>
    </w:p>
    <w:p w14:paraId="70FCF008" w14:textId="77777777" w:rsidR="0016336D" w:rsidRPr="00F63749" w:rsidRDefault="0016336D" w:rsidP="00F40413">
      <w:pPr>
        <w:widowControl/>
        <w:autoSpaceDE/>
        <w:autoSpaceDN/>
        <w:adjustRightInd/>
        <w:ind w:left="1080"/>
        <w:rPr>
          <w:rFonts w:asciiTheme="minorHAnsi" w:hAnsiTheme="minorHAnsi" w:cstheme="minorHAnsi"/>
        </w:rPr>
      </w:pPr>
    </w:p>
    <w:p w14:paraId="3291466A" w14:textId="77777777" w:rsidR="005F128A" w:rsidRPr="00F63749" w:rsidRDefault="005F128A" w:rsidP="00F40413">
      <w:pPr>
        <w:widowControl/>
        <w:autoSpaceDE/>
        <w:autoSpaceDN/>
        <w:adjustRightInd/>
        <w:ind w:left="1080"/>
        <w:rPr>
          <w:rFonts w:asciiTheme="minorHAnsi" w:hAnsiTheme="minorHAnsi" w:cstheme="minorHAnsi"/>
        </w:rPr>
      </w:pPr>
    </w:p>
    <w:p w14:paraId="0A470C61" w14:textId="77777777" w:rsidR="005128CD" w:rsidRPr="00F63749" w:rsidRDefault="005128CD" w:rsidP="00634539">
      <w:pPr>
        <w:widowControl/>
        <w:autoSpaceDE/>
        <w:autoSpaceDN/>
        <w:adjustRightInd/>
        <w:rPr>
          <w:rFonts w:asciiTheme="minorHAnsi" w:hAnsiTheme="minorHAnsi" w:cstheme="minorHAnsi"/>
        </w:rPr>
        <w:sectPr w:rsidR="005128CD" w:rsidRPr="00F63749" w:rsidSect="00476C08">
          <w:headerReference w:type="default" r:id="rId15"/>
          <w:footerReference w:type="default" r:id="rId16"/>
          <w:pgSz w:w="12240" w:h="15840" w:code="1"/>
          <w:pgMar w:top="1440" w:right="1440" w:bottom="1440" w:left="1440" w:header="720" w:footer="720" w:gutter="0"/>
          <w:cols w:space="720"/>
          <w:noEndnote/>
          <w:docGrid w:linePitch="326"/>
        </w:sectPr>
      </w:pPr>
    </w:p>
    <w:p w14:paraId="52265BF8" w14:textId="77777777" w:rsidR="005F128A" w:rsidRPr="00F63749" w:rsidRDefault="005F128A" w:rsidP="00634539">
      <w:pPr>
        <w:widowControl/>
        <w:autoSpaceDE/>
        <w:autoSpaceDN/>
        <w:adjustRightInd/>
        <w:rPr>
          <w:rFonts w:asciiTheme="minorHAnsi" w:hAnsiTheme="minorHAnsi" w:cstheme="minorHAnsi"/>
        </w:rPr>
      </w:pPr>
    </w:p>
    <w:p w14:paraId="24A311E3" w14:textId="77777777" w:rsidR="005F128A" w:rsidRPr="00F63749" w:rsidRDefault="005F128A" w:rsidP="00F40413">
      <w:pPr>
        <w:widowControl/>
        <w:autoSpaceDE/>
        <w:autoSpaceDN/>
        <w:adjustRightInd/>
        <w:ind w:left="1080"/>
        <w:rPr>
          <w:rFonts w:asciiTheme="minorHAnsi" w:hAnsiTheme="minorHAnsi" w:cstheme="minorHAnsi"/>
        </w:rPr>
      </w:pPr>
    </w:p>
    <w:p w14:paraId="1EF1EE4F" w14:textId="77777777" w:rsidR="005F128A" w:rsidRPr="00F63749" w:rsidRDefault="005F128A" w:rsidP="00F40413">
      <w:pPr>
        <w:widowControl/>
        <w:autoSpaceDE/>
        <w:autoSpaceDN/>
        <w:adjustRightInd/>
        <w:ind w:left="1080"/>
        <w:rPr>
          <w:rFonts w:asciiTheme="minorHAnsi" w:hAnsiTheme="minorHAnsi" w:cstheme="minorHAnsi"/>
        </w:rPr>
      </w:pPr>
    </w:p>
    <w:p w14:paraId="6573BAF6" w14:textId="3FAD77B0" w:rsidR="00634539" w:rsidRPr="00774BF8" w:rsidRDefault="00634539" w:rsidP="00634539">
      <w:pPr>
        <w:tabs>
          <w:tab w:val="left" w:pos="3405"/>
        </w:tabs>
        <w:rPr>
          <w:rFonts w:asciiTheme="minorHAnsi" w:hAnsiTheme="minorHAnsi" w:cstheme="minorHAnsi"/>
        </w:rPr>
      </w:pPr>
    </w:p>
    <w:sectPr w:rsidR="00634539" w:rsidRPr="00774BF8" w:rsidSect="005128CD">
      <w:headerReference w:type="default" r:id="rId17"/>
      <w:footerReference w:type="default" r:id="rId18"/>
      <w:type w:val="continuous"/>
      <w:pgSz w:w="12240" w:h="15840" w:code="1"/>
      <w:pgMar w:top="1440" w:right="1440" w:bottom="1440" w:left="1440"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7B659" w14:textId="77777777" w:rsidR="00C8447D" w:rsidRDefault="00C8447D" w:rsidP="00C872A0">
      <w:r>
        <w:separator/>
      </w:r>
    </w:p>
  </w:endnote>
  <w:endnote w:type="continuationSeparator" w:id="0">
    <w:p w14:paraId="59B0AD08" w14:textId="77777777" w:rsidR="00C8447D" w:rsidRDefault="00C8447D" w:rsidP="00C87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auto"/>
    <w:pitch w:val="fixed"/>
    <w:sig w:usb0="00000001" w:usb1="09060000" w:usb2="00000010" w:usb3="00000000" w:csb0="00080000" w:csb1="00000000"/>
  </w:font>
  <w:font w:name="MS Mincho">
    <w:altName w:val="Yu Gothic"/>
    <w:panose1 w:val="02020609040205080304"/>
    <w:charset w:val="80"/>
    <w:family w:val="roman"/>
    <w:pitch w:val="fixed"/>
    <w:sig w:usb0="00000001" w:usb1="08070000" w:usb2="00000010" w:usb3="00000000" w:csb0="00020000" w:csb1="00000000"/>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432793"/>
      <w:docPartObj>
        <w:docPartGallery w:val="Page Numbers (Bottom of Page)"/>
        <w:docPartUnique/>
      </w:docPartObj>
    </w:sdtPr>
    <w:sdtEndPr>
      <w:rPr>
        <w:noProof/>
      </w:rPr>
    </w:sdtEndPr>
    <w:sdtContent>
      <w:p w14:paraId="11289CDA" w14:textId="504CB050" w:rsidR="002648FC" w:rsidRDefault="002648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8E56D4" w14:textId="4502FAB5" w:rsidR="00780E29" w:rsidRDefault="00780E2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24D72" w14:textId="77777777" w:rsidR="00780E29" w:rsidRDefault="00780E29">
    <w:pPr>
      <w:pStyle w:val="Footer"/>
      <w:jc w:val="center"/>
    </w:pPr>
  </w:p>
  <w:p w14:paraId="0AB20AA6" w14:textId="77777777" w:rsidR="00780E29" w:rsidRDefault="00780E29" w:rsidP="005C489D">
    <w:pPr>
      <w:pStyle w:val="Footer"/>
      <w:tabs>
        <w:tab w:val="clear" w:pos="4680"/>
        <w:tab w:val="clear" w:pos="9360"/>
        <w:tab w:val="left" w:pos="327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3F5BF" w14:textId="25062137" w:rsidR="00476C08" w:rsidRDefault="00476C08">
    <w:pPr>
      <w:pStyle w:val="Footer"/>
      <w:jc w:val="right"/>
    </w:pPr>
    <w:r>
      <w:fldChar w:fldCharType="begin"/>
    </w:r>
    <w:r>
      <w:instrText xml:space="preserve"> PAGE   \* MERGEFORMAT </w:instrText>
    </w:r>
    <w:r>
      <w:fldChar w:fldCharType="separate"/>
    </w:r>
    <w:r>
      <w:rPr>
        <w:noProof/>
      </w:rPr>
      <w:t>2</w:t>
    </w:r>
    <w:r>
      <w:rPr>
        <w:noProof/>
      </w:rPr>
      <w:fldChar w:fldCharType="end"/>
    </w:r>
  </w:p>
  <w:p w14:paraId="2409E6FE" w14:textId="77777777" w:rsidR="00780E29" w:rsidRDefault="00780E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475891"/>
      <w:docPartObj>
        <w:docPartGallery w:val="Page Numbers (Bottom of Page)"/>
        <w:docPartUnique/>
      </w:docPartObj>
    </w:sdtPr>
    <w:sdtEndPr>
      <w:rPr>
        <w:noProof/>
      </w:rPr>
    </w:sdtEndPr>
    <w:sdtContent>
      <w:p w14:paraId="2EB48E40" w14:textId="55C41B5C" w:rsidR="00476C08" w:rsidRDefault="00476C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E3659E" w14:textId="1668AEAF" w:rsidR="00780E29" w:rsidRPr="00E20610" w:rsidRDefault="00780E29" w:rsidP="00E206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AADA" w14:textId="7AB042DC" w:rsidR="00780E29" w:rsidRPr="000E07E7" w:rsidRDefault="00780E29" w:rsidP="00F54B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A7CC9" w14:textId="77777777" w:rsidR="00C8447D" w:rsidRDefault="00C8447D" w:rsidP="00C872A0">
      <w:r>
        <w:separator/>
      </w:r>
    </w:p>
  </w:footnote>
  <w:footnote w:type="continuationSeparator" w:id="0">
    <w:p w14:paraId="3286D1D4" w14:textId="77777777" w:rsidR="00C8447D" w:rsidRDefault="00C8447D" w:rsidP="00C87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B8D7" w14:textId="77777777" w:rsidR="00780E29" w:rsidRDefault="00780E29" w:rsidP="009A2ED6">
    <w:pPr>
      <w:pStyle w:val="Header"/>
      <w:jc w:val="center"/>
      <w:rPr>
        <w:b/>
      </w:rPr>
    </w:pPr>
  </w:p>
  <w:p w14:paraId="2DCFF2A3" w14:textId="77777777" w:rsidR="00780E29" w:rsidRPr="009A2ED6" w:rsidRDefault="00780E29" w:rsidP="009A2ED6">
    <w:pPr>
      <w:pStyle w:val="Header"/>
      <w:jc w:val="center"/>
      <w:rPr>
        <w:b/>
      </w:rPr>
    </w:pPr>
  </w:p>
  <w:p w14:paraId="1D9C2B96" w14:textId="77777777" w:rsidR="00780E29" w:rsidRPr="000767C0" w:rsidRDefault="00780E29" w:rsidP="009A2ED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92CC" w14:textId="0A117B51" w:rsidR="00780E29" w:rsidRPr="006F2309" w:rsidRDefault="00780E29" w:rsidP="006F2309">
    <w:pPr>
      <w:pStyle w:val="Header"/>
    </w:pPr>
    <w:r w:rsidRPr="006F230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A0A7" w14:textId="11A2137F" w:rsidR="00780E29" w:rsidRPr="00D2585B" w:rsidRDefault="00780E29" w:rsidP="00D258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E7B3" w14:textId="2FA7B352" w:rsidR="00780E29" w:rsidRPr="000767C0" w:rsidRDefault="00780E29" w:rsidP="009A2ED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Bullet List"/>
    <w:lvl w:ilvl="0">
      <w:start w:val="1"/>
      <w:numFmt w:val="decimal"/>
      <w:lvlText w:val="·"/>
      <w:lvlJc w:val="left"/>
      <w:rPr>
        <w:rFonts w:cs="Times New Roman"/>
      </w:rPr>
    </w:lvl>
    <w:lvl w:ilvl="1">
      <w:start w:val="1"/>
      <w:numFmt w:val="decimal"/>
      <w:lvlText w:val="·"/>
      <w:lvlJc w:val="left"/>
      <w:rPr>
        <w:rFonts w:cs="Times New Roman"/>
      </w:rPr>
    </w:lvl>
    <w:lvl w:ilvl="2">
      <w:start w:val="1"/>
      <w:numFmt w:val="decimal"/>
      <w:lvlText w:val="%3."/>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0000002"/>
    <w:multiLevelType w:val="multilevel"/>
    <w:tmpl w:val="021C6D6A"/>
    <w:name w:val="Roman"/>
    <w:lvl w:ilvl="0">
      <w:start w:val="1"/>
      <w:numFmt w:val="upperRoman"/>
      <w:lvlText w:val="%1."/>
      <w:lvlJc w:val="left"/>
      <w:rPr>
        <w:rFonts w:cs="Times New Roman"/>
      </w:rPr>
    </w:lvl>
    <w:lvl w:ilvl="1">
      <w:start w:val="1"/>
      <w:numFmt w:val="upperLetter"/>
      <w:lvlText w:val="%2."/>
      <w:lvlJc w:val="left"/>
      <w:rPr>
        <w:rFonts w:cs="Times New Roman"/>
      </w:rPr>
    </w:lvl>
    <w:lvl w:ilvl="2">
      <w:start w:val="1"/>
      <w:numFmt w:val="decimal"/>
      <w:lvlText w:val="%3."/>
      <w:lvlJc w:val="left"/>
      <w:rPr>
        <w:rFonts w:cs="Times New Roman"/>
      </w:rPr>
    </w:lvl>
    <w:lvl w:ilvl="3">
      <w:start w:val="1"/>
      <w:numFmt w:val="lowerLetter"/>
      <w:lvlText w:val="%4."/>
      <w:lvlJc w:val="left"/>
      <w:rPr>
        <w:rFonts w:cs="Times New Roman"/>
      </w:rPr>
    </w:lvl>
    <w:lvl w:ilvl="4">
      <w:start w:val="1"/>
      <w:numFmt w:val="lowerRoman"/>
      <w:lvlText w:val="%5."/>
      <w:lvlJc w:val="left"/>
      <w:rPr>
        <w:rFonts w:cs="Times New Roman"/>
      </w:rPr>
    </w:lvl>
    <w:lvl w:ilvl="5">
      <w:start w:val="1"/>
      <w:numFmt w:val="lowerLetter"/>
      <w:lvlText w:val="(%6)"/>
      <w:lvlJc w:val="left"/>
      <w:rPr>
        <w:rFonts w:cs="Times New Roman"/>
      </w:rPr>
    </w:lvl>
    <w:lvl w:ilvl="6">
      <w:start w:val="1"/>
      <w:numFmt w:val="lowerRoman"/>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 w15:restartNumberingAfterBreak="0">
    <w:nsid w:val="00000003"/>
    <w:multiLevelType w:val="multilevel"/>
    <w:tmpl w:val="00000000"/>
    <w:name w:val="AutoList11"/>
    <w:lvl w:ilvl="0">
      <w:start w:val="1"/>
      <w:numFmt w:val="upperLetter"/>
      <w:lvlText w:val="%1."/>
      <w:lvlJc w:val="left"/>
      <w:rPr>
        <w:rFonts w:cs="Times New Roman"/>
      </w:rPr>
    </w:lvl>
    <w:lvl w:ilvl="1">
      <w:start w:val="1"/>
      <w:numFmt w:val="decimal"/>
      <w:pStyle w:val="Level2"/>
      <w:lvlText w:val="%2."/>
      <w:lvlJc w:val="left"/>
      <w:rPr>
        <w:rFonts w:cs="Times New Roman"/>
      </w:rPr>
    </w:lvl>
    <w:lvl w:ilvl="2">
      <w:start w:val="1"/>
      <w:numFmt w:val="lowerLetter"/>
      <w:pStyle w:val="Level3"/>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3" w15:restartNumberingAfterBreak="0">
    <w:nsid w:val="00000004"/>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4" w15:restartNumberingAfterBreak="0">
    <w:nsid w:val="00000005"/>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5" w15:restartNumberingAfterBreak="0">
    <w:nsid w:val="00000006"/>
    <w:multiLevelType w:val="multilevel"/>
    <w:tmpl w:val="00000000"/>
    <w:name w:val="Bullet List"/>
    <w:lvl w:ilvl="0">
      <w:start w:val="1"/>
      <w:numFmt w:val="decimal"/>
      <w:lvlText w:val="·"/>
      <w:lvlJc w:val="left"/>
      <w:rPr>
        <w:rFonts w:cs="Times New Roman"/>
      </w:rPr>
    </w:lvl>
    <w:lvl w:ilvl="1">
      <w:start w:val="1"/>
      <w:numFmt w:val="decimal"/>
      <w:lvlText w:val="·"/>
      <w:lvlJc w:val="left"/>
      <w:rPr>
        <w:rFonts w:cs="Times New Roman"/>
      </w:rPr>
    </w:lvl>
    <w:lvl w:ilvl="2">
      <w:start w:val="1"/>
      <w:numFmt w:val="decimal"/>
      <w:lvlText w:val="%3."/>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00000007"/>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7" w15:restartNumberingAfterBreak="0">
    <w:nsid w:val="00000008"/>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8" w15:restartNumberingAfterBreak="0">
    <w:nsid w:val="00000009"/>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9" w15:restartNumberingAfterBreak="0">
    <w:nsid w:val="0000000A"/>
    <w:multiLevelType w:val="multilevel"/>
    <w:tmpl w:val="00000000"/>
    <w:name w:val="Bullet List"/>
    <w:lvl w:ilvl="0">
      <w:start w:val="1"/>
      <w:numFmt w:val="decimal"/>
      <w:lvlText w:val="·"/>
      <w:lvlJc w:val="left"/>
      <w:rPr>
        <w:rFonts w:cs="Times New Roman"/>
      </w:rPr>
    </w:lvl>
    <w:lvl w:ilvl="1">
      <w:start w:val="1"/>
      <w:numFmt w:val="decimal"/>
      <w:lvlText w:val="·"/>
      <w:lvlJc w:val="left"/>
      <w:rPr>
        <w:rFonts w:cs="Times New Roman"/>
      </w:rPr>
    </w:lvl>
    <w:lvl w:ilvl="2">
      <w:start w:val="1"/>
      <w:numFmt w:val="decimal"/>
      <w:lvlText w:val="%3."/>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0000000B"/>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11" w15:restartNumberingAfterBreak="0">
    <w:nsid w:val="0000000C"/>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12" w15:restartNumberingAfterBreak="0">
    <w:nsid w:val="0000000D"/>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13" w15:restartNumberingAfterBreak="0">
    <w:nsid w:val="0000000E"/>
    <w:multiLevelType w:val="multilevel"/>
    <w:tmpl w:val="00000000"/>
    <w:name w:val="Bullet List"/>
    <w:lvl w:ilvl="0">
      <w:start w:val="1"/>
      <w:numFmt w:val="decimal"/>
      <w:lvlText w:val="·"/>
      <w:lvlJc w:val="left"/>
      <w:rPr>
        <w:rFonts w:cs="Times New Roman"/>
      </w:rPr>
    </w:lvl>
    <w:lvl w:ilvl="1">
      <w:start w:val="1"/>
      <w:numFmt w:val="decimal"/>
      <w:lvlText w:val="·"/>
      <w:lvlJc w:val="left"/>
      <w:rPr>
        <w:rFonts w:cs="Times New Roman"/>
      </w:rPr>
    </w:lvl>
    <w:lvl w:ilvl="2">
      <w:start w:val="1"/>
      <w:numFmt w:val="decimal"/>
      <w:lvlText w:val="%3."/>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0000000F"/>
    <w:multiLevelType w:val="multilevel"/>
    <w:tmpl w:val="00000000"/>
    <w:name w:val="Triangles"/>
    <w:lvl w:ilvl="0">
      <w:start w:val="1"/>
      <w:numFmt w:val="decimal"/>
      <w:lvlText w:val="Ø"/>
      <w:lvlJc w:val="left"/>
      <w:rPr>
        <w:rFonts w:cs="Times New Roman"/>
      </w:rPr>
    </w:lvl>
    <w:lvl w:ilvl="1">
      <w:start w:val="1"/>
      <w:numFmt w:val="decimal"/>
      <w:lvlText w:val="Ø"/>
      <w:lvlJc w:val="left"/>
      <w:rPr>
        <w:rFonts w:cs="Times New Roman"/>
      </w:rPr>
    </w:lvl>
    <w:lvl w:ilvl="2">
      <w:start w:val="1"/>
      <w:numFmt w:val="decimal"/>
      <w:lvlText w:val="Ø"/>
      <w:lvlJc w:val="left"/>
      <w:rPr>
        <w:rFonts w:cs="Times New Roman"/>
      </w:rPr>
    </w:lvl>
    <w:lvl w:ilvl="3">
      <w:start w:val="1"/>
      <w:numFmt w:val="decimal"/>
      <w:lvlText w:val="Ø"/>
      <w:lvlJc w:val="left"/>
      <w:rPr>
        <w:rFonts w:cs="Times New Roman"/>
      </w:rPr>
    </w:lvl>
    <w:lvl w:ilvl="4">
      <w:start w:val="1"/>
      <w:numFmt w:val="decimal"/>
      <w:lvlText w:val="Ø"/>
      <w:lvlJc w:val="left"/>
      <w:rPr>
        <w:rFonts w:cs="Times New Roman"/>
      </w:rPr>
    </w:lvl>
    <w:lvl w:ilvl="5">
      <w:start w:val="1"/>
      <w:numFmt w:val="decimal"/>
      <w:lvlText w:val="Ø"/>
      <w:lvlJc w:val="left"/>
      <w:rPr>
        <w:rFonts w:cs="Times New Roman"/>
      </w:rPr>
    </w:lvl>
    <w:lvl w:ilvl="6">
      <w:start w:val="1"/>
      <w:numFmt w:val="decimal"/>
      <w:lvlText w:val="Ø"/>
      <w:lvlJc w:val="left"/>
      <w:rPr>
        <w:rFonts w:cs="Times New Roman"/>
      </w:rPr>
    </w:lvl>
    <w:lvl w:ilvl="7">
      <w:start w:val="1"/>
      <w:numFmt w:val="decimal"/>
      <w:lvlText w:val="Ø"/>
      <w:lvlJc w:val="left"/>
      <w:rPr>
        <w:rFonts w:cs="Times New Roman"/>
      </w:rPr>
    </w:lvl>
    <w:lvl w:ilvl="8">
      <w:numFmt w:val="decimal"/>
      <w:lvlText w:val=""/>
      <w:lvlJc w:val="left"/>
      <w:rPr>
        <w:rFonts w:cs="Times New Roman"/>
      </w:rPr>
    </w:lvl>
  </w:abstractNum>
  <w:abstractNum w:abstractNumId="15" w15:restartNumberingAfterBreak="0">
    <w:nsid w:val="00000010"/>
    <w:multiLevelType w:val="multilevel"/>
    <w:tmpl w:val="00000000"/>
    <w:name w:val="Triangles"/>
    <w:lvl w:ilvl="0">
      <w:start w:val="1"/>
      <w:numFmt w:val="decimal"/>
      <w:lvlText w:val="Ø"/>
      <w:lvlJc w:val="left"/>
      <w:rPr>
        <w:rFonts w:cs="Times New Roman"/>
      </w:rPr>
    </w:lvl>
    <w:lvl w:ilvl="1">
      <w:start w:val="1"/>
      <w:numFmt w:val="decimal"/>
      <w:lvlText w:val="Ø"/>
      <w:lvlJc w:val="left"/>
      <w:rPr>
        <w:rFonts w:cs="Times New Roman"/>
      </w:rPr>
    </w:lvl>
    <w:lvl w:ilvl="2">
      <w:start w:val="1"/>
      <w:numFmt w:val="decimal"/>
      <w:lvlText w:val="Ø"/>
      <w:lvlJc w:val="left"/>
      <w:rPr>
        <w:rFonts w:cs="Times New Roman"/>
      </w:rPr>
    </w:lvl>
    <w:lvl w:ilvl="3">
      <w:start w:val="1"/>
      <w:numFmt w:val="decimal"/>
      <w:lvlText w:val="Ø"/>
      <w:lvlJc w:val="left"/>
      <w:rPr>
        <w:rFonts w:cs="Times New Roman"/>
      </w:rPr>
    </w:lvl>
    <w:lvl w:ilvl="4">
      <w:start w:val="1"/>
      <w:numFmt w:val="decimal"/>
      <w:lvlText w:val="Ø"/>
      <w:lvlJc w:val="left"/>
      <w:rPr>
        <w:rFonts w:cs="Times New Roman"/>
      </w:rPr>
    </w:lvl>
    <w:lvl w:ilvl="5">
      <w:start w:val="1"/>
      <w:numFmt w:val="decimal"/>
      <w:lvlText w:val="Ø"/>
      <w:lvlJc w:val="left"/>
      <w:rPr>
        <w:rFonts w:cs="Times New Roman"/>
      </w:rPr>
    </w:lvl>
    <w:lvl w:ilvl="6">
      <w:start w:val="1"/>
      <w:numFmt w:val="decimal"/>
      <w:lvlText w:val="Ø"/>
      <w:lvlJc w:val="left"/>
      <w:rPr>
        <w:rFonts w:cs="Times New Roman"/>
      </w:rPr>
    </w:lvl>
    <w:lvl w:ilvl="7">
      <w:start w:val="1"/>
      <w:numFmt w:val="decimal"/>
      <w:lvlText w:val="Ø"/>
      <w:lvlJc w:val="left"/>
      <w:rPr>
        <w:rFonts w:cs="Times New Roman"/>
      </w:rPr>
    </w:lvl>
    <w:lvl w:ilvl="8">
      <w:numFmt w:val="decimal"/>
      <w:lvlText w:val=""/>
      <w:lvlJc w:val="left"/>
      <w:rPr>
        <w:rFonts w:cs="Times New Roman"/>
      </w:rPr>
    </w:lvl>
  </w:abstractNum>
  <w:abstractNum w:abstractNumId="16" w15:restartNumberingAfterBreak="0">
    <w:nsid w:val="00000011"/>
    <w:multiLevelType w:val="multilevel"/>
    <w:tmpl w:val="00000000"/>
    <w:name w:val="Bullet List"/>
    <w:lvl w:ilvl="0">
      <w:start w:val="1"/>
      <w:numFmt w:val="decimal"/>
      <w:lvlText w:val="·"/>
      <w:lvlJc w:val="left"/>
      <w:rPr>
        <w:rFonts w:cs="Times New Roman"/>
      </w:rPr>
    </w:lvl>
    <w:lvl w:ilvl="1">
      <w:start w:val="1"/>
      <w:numFmt w:val="decimal"/>
      <w:lvlText w:val="·"/>
      <w:lvlJc w:val="left"/>
      <w:rPr>
        <w:rFonts w:cs="Times New Roman"/>
      </w:rPr>
    </w:lvl>
    <w:lvl w:ilvl="2">
      <w:start w:val="1"/>
      <w:numFmt w:val="decimal"/>
      <w:lvlText w:val="%3."/>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00000012"/>
    <w:multiLevelType w:val="multilevel"/>
    <w:tmpl w:val="00000000"/>
    <w:name w:val="ParaNumbers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8" w15:restartNumberingAfterBreak="0">
    <w:nsid w:val="00000013"/>
    <w:multiLevelType w:val="multilevel"/>
    <w:tmpl w:val="00000000"/>
    <w:name w:val="AutoList2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9" w15:restartNumberingAfterBreak="0">
    <w:nsid w:val="00000014"/>
    <w:multiLevelType w:val="multilevel"/>
    <w:tmpl w:val="00000000"/>
    <w:name w:val="Bullet List"/>
    <w:lvl w:ilvl="0">
      <w:start w:val="1"/>
      <w:numFmt w:val="decimal"/>
      <w:lvlText w:val="·"/>
      <w:lvlJc w:val="left"/>
      <w:rPr>
        <w:rFonts w:cs="Times New Roman"/>
      </w:rPr>
    </w:lvl>
    <w:lvl w:ilvl="1">
      <w:start w:val="1"/>
      <w:numFmt w:val="decimal"/>
      <w:lvlText w:val="·"/>
      <w:lvlJc w:val="left"/>
      <w:rPr>
        <w:rFonts w:cs="Times New Roman"/>
      </w:rPr>
    </w:lvl>
    <w:lvl w:ilvl="2">
      <w:start w:val="1"/>
      <w:numFmt w:val="decimal"/>
      <w:lvlText w:val="%3."/>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00000015"/>
    <w:multiLevelType w:val="multilevel"/>
    <w:tmpl w:val="00000000"/>
    <w:name w:val="AutoList2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1" w15:restartNumberingAfterBreak="0">
    <w:nsid w:val="00000016"/>
    <w:multiLevelType w:val="multilevel"/>
    <w:tmpl w:val="00000000"/>
    <w:name w:val="AutoList25"/>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2" w15:restartNumberingAfterBreak="0">
    <w:nsid w:val="00000017"/>
    <w:multiLevelType w:val="multilevel"/>
    <w:tmpl w:val="00000000"/>
    <w:name w:val="AutoList26"/>
    <w:lvl w:ilvl="0">
      <w:start w:val="1"/>
      <w:numFmt w:val="decimal"/>
      <w:pStyle w:val="Level1"/>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3" w15:restartNumberingAfterBreak="0">
    <w:nsid w:val="0CD56A17"/>
    <w:multiLevelType w:val="hybridMultilevel"/>
    <w:tmpl w:val="43A21032"/>
    <w:lvl w:ilvl="0" w:tplc="04090013">
      <w:start w:val="1"/>
      <w:numFmt w:val="upperRoman"/>
      <w:lvlText w:val="%1."/>
      <w:lvlJc w:val="righ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4" w15:restartNumberingAfterBreak="0">
    <w:nsid w:val="1C1D3F80"/>
    <w:multiLevelType w:val="hybridMultilevel"/>
    <w:tmpl w:val="506A69B8"/>
    <w:lvl w:ilvl="0" w:tplc="59E05ED4">
      <w:start w:val="1"/>
      <w:numFmt w:val="upperLetter"/>
      <w:lvlText w:val="%1."/>
      <w:lvlJc w:val="left"/>
      <w:pPr>
        <w:ind w:left="600" w:hanging="360"/>
      </w:pPr>
      <w:rPr>
        <w:rFonts w:ascii="Calibri" w:eastAsia="Times New Roman" w:hAnsi="Calibri" w:cs="Times New Roman" w:hint="default"/>
        <w:color w:val="0000FF"/>
        <w:sz w:val="24"/>
        <w:u w:val="singl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 w15:restartNumberingAfterBreak="0">
    <w:nsid w:val="1E8935DA"/>
    <w:multiLevelType w:val="hybridMultilevel"/>
    <w:tmpl w:val="78248694"/>
    <w:lvl w:ilvl="0" w:tplc="26E6AB72">
      <w:start w:val="1"/>
      <w:numFmt w:val="upperRoman"/>
      <w:pStyle w:val="Heading2"/>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F6D47E6"/>
    <w:multiLevelType w:val="hybridMultilevel"/>
    <w:tmpl w:val="FF70EFE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7" w15:restartNumberingAfterBreak="0">
    <w:nsid w:val="1F9B3E10"/>
    <w:multiLevelType w:val="hybridMultilevel"/>
    <w:tmpl w:val="BE8A3B6C"/>
    <w:lvl w:ilvl="0" w:tplc="12EA0D7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BB477B"/>
    <w:multiLevelType w:val="hybridMultilevel"/>
    <w:tmpl w:val="AEE28388"/>
    <w:lvl w:ilvl="0" w:tplc="97CE5A9C">
      <w:start w:val="1"/>
      <w:numFmt w:val="upperLetter"/>
      <w:lvlText w:val="%1."/>
      <w:lvlJc w:val="left"/>
      <w:pPr>
        <w:ind w:left="720" w:hanging="360"/>
      </w:pPr>
      <w:rPr>
        <w:rFonts w:ascii="Calibri" w:hAnsi="Calibr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C5467A"/>
    <w:multiLevelType w:val="hybridMultilevel"/>
    <w:tmpl w:val="7BEEFD5C"/>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5A387265"/>
    <w:multiLevelType w:val="hybridMultilevel"/>
    <w:tmpl w:val="C3762A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BCF6043"/>
    <w:multiLevelType w:val="hybridMultilevel"/>
    <w:tmpl w:val="58DC6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C91B4A"/>
    <w:multiLevelType w:val="hybridMultilevel"/>
    <w:tmpl w:val="D26E6E88"/>
    <w:lvl w:ilvl="0" w:tplc="E818A044">
      <w:start w:val="1"/>
      <w:numFmt w:val="bullet"/>
      <w:lvlText w:val=""/>
      <w:lvlJc w:val="left"/>
      <w:pPr>
        <w:tabs>
          <w:tab w:val="num" w:pos="1440"/>
        </w:tabs>
        <w:ind w:left="1440" w:hanging="360"/>
      </w:pPr>
      <w:rPr>
        <w:rFonts w:ascii="Symbol" w:hAnsi="Symbol" w:hint="default"/>
        <w:sz w:val="24"/>
        <w:szCs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03320DA"/>
    <w:multiLevelType w:val="hybridMultilevel"/>
    <w:tmpl w:val="41F6FED6"/>
    <w:lvl w:ilvl="0" w:tplc="EA58EA52">
      <w:start w:val="1"/>
      <w:numFmt w:val="upperRoman"/>
      <w:lvlText w:val="%1."/>
      <w:lvlJc w:val="righ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108501630">
    <w:abstractNumId w:val="2"/>
    <w:lvlOverride w:ilvl="0">
      <w:startOverride w:val="1"/>
      <w:lvl w:ilvl="0">
        <w:start w:val="1"/>
        <w:numFmt w:val="upperLetter"/>
        <w:lvlText w:val="%1."/>
        <w:lvlJc w:val="left"/>
        <w:rPr>
          <w:rFonts w:cs="Times New Roman"/>
        </w:rPr>
      </w:lvl>
    </w:lvlOverride>
    <w:lvlOverride w:ilvl="1">
      <w:startOverride w:val="1"/>
      <w:lvl w:ilvl="1">
        <w:start w:val="1"/>
        <w:numFmt w:val="decimal"/>
        <w:pStyle w:val="Level2"/>
        <w:lvlText w:val="%2."/>
        <w:lvlJc w:val="left"/>
        <w:rPr>
          <w:rFonts w:cs="Times New Roman"/>
        </w:rPr>
      </w:lvl>
    </w:lvlOverride>
    <w:lvlOverride w:ilvl="2">
      <w:startOverride w:val="1"/>
      <w:lvl w:ilvl="2">
        <w:start w:val="1"/>
        <w:numFmt w:val="lowerLetter"/>
        <w:pStyle w:val="Level3"/>
        <w:lvlText w:val="(%3)"/>
        <w:lvlJc w:val="left"/>
        <w:rPr>
          <w:rFonts w:cs="Times New Roman"/>
        </w:rPr>
      </w:lvl>
    </w:lvlOverride>
    <w:lvlOverride w:ilvl="3">
      <w:startOverride w:val="1"/>
      <w:lvl w:ilvl="3">
        <w:start w:val="1"/>
        <w:numFmt w:val="decimal"/>
        <w:lvlText w:val="·"/>
        <w:lvlJc w:val="left"/>
        <w:rPr>
          <w:rFonts w:cs="Times New Roman"/>
        </w:rPr>
      </w:lvl>
    </w:lvlOverride>
    <w:lvlOverride w:ilvl="4">
      <w:startOverride w:val="1"/>
      <w:lvl w:ilvl="4">
        <w:start w:val="1"/>
        <w:numFmt w:val="upperRoman"/>
        <w:lvlText w:val="%5."/>
        <w:lvlJc w:val="left"/>
        <w:rPr>
          <w:rFonts w:cs="Times New Roman"/>
        </w:rPr>
      </w:lvl>
    </w:lvlOverride>
    <w:lvlOverride w:ilvl="5">
      <w:startOverride w:val="1"/>
      <w:lvl w:ilvl="5">
        <w:start w:val="1"/>
        <w:numFmt w:val="upperRoman"/>
        <w:lvlText w:val="%6."/>
        <w:lvlJc w:val="left"/>
        <w:rPr>
          <w:rFonts w:cs="Times New Roman"/>
        </w:rPr>
      </w:lvl>
    </w:lvlOverride>
    <w:lvlOverride w:ilvl="6">
      <w:startOverride w:val="1"/>
      <w:lvl w:ilvl="6">
        <w:start w:val="1"/>
        <w:numFmt w:val="upperRoman"/>
        <w:lvlText w:val="%7."/>
        <w:lvlJc w:val="left"/>
        <w:rPr>
          <w:rFonts w:cs="Times New Roman"/>
        </w:rPr>
      </w:lvl>
    </w:lvlOverride>
    <w:lvlOverride w:ilvl="7">
      <w:startOverride w:val="1"/>
      <w:lvl w:ilvl="7">
        <w:start w:val="1"/>
        <w:numFmt w:val="upperRoman"/>
        <w:lvlText w:val="%8."/>
        <w:lvlJc w:val="left"/>
        <w:rPr>
          <w:rFonts w:cs="Times New Roman"/>
        </w:rPr>
      </w:lvl>
    </w:lvlOverride>
  </w:num>
  <w:num w:numId="2" w16cid:durableId="1892500490">
    <w:abstractNumId w:val="2"/>
    <w:lvlOverride w:ilvl="0">
      <w:startOverride w:val="1"/>
      <w:lvl w:ilvl="0">
        <w:start w:val="1"/>
        <w:numFmt w:val="upperLetter"/>
        <w:lvlText w:val="%1."/>
        <w:lvlJc w:val="left"/>
        <w:rPr>
          <w:rFonts w:cs="Times New Roman"/>
        </w:rPr>
      </w:lvl>
    </w:lvlOverride>
    <w:lvlOverride w:ilvl="1">
      <w:startOverride w:val="1"/>
      <w:lvl w:ilvl="1">
        <w:start w:val="1"/>
        <w:numFmt w:val="decimal"/>
        <w:pStyle w:val="Level2"/>
        <w:lvlText w:val="%2."/>
        <w:lvlJc w:val="left"/>
        <w:rPr>
          <w:rFonts w:cs="Times New Roman"/>
        </w:rPr>
      </w:lvl>
    </w:lvlOverride>
    <w:lvlOverride w:ilvl="2">
      <w:startOverride w:val="1"/>
      <w:lvl w:ilvl="2">
        <w:start w:val="1"/>
        <w:numFmt w:val="lowerLetter"/>
        <w:pStyle w:val="Level3"/>
        <w:lvlText w:val="(%3)"/>
        <w:lvlJc w:val="left"/>
        <w:rPr>
          <w:rFonts w:cs="Times New Roman"/>
        </w:rPr>
      </w:lvl>
    </w:lvlOverride>
    <w:lvlOverride w:ilvl="3">
      <w:startOverride w:val="1"/>
      <w:lvl w:ilvl="3">
        <w:start w:val="1"/>
        <w:numFmt w:val="decimal"/>
        <w:lvlText w:val="·"/>
        <w:lvlJc w:val="left"/>
        <w:rPr>
          <w:rFonts w:cs="Times New Roman"/>
        </w:rPr>
      </w:lvl>
    </w:lvlOverride>
    <w:lvlOverride w:ilvl="4">
      <w:startOverride w:val="1"/>
      <w:lvl w:ilvl="4">
        <w:start w:val="1"/>
        <w:numFmt w:val="upperRoman"/>
        <w:lvlText w:val="%5."/>
        <w:lvlJc w:val="left"/>
        <w:rPr>
          <w:rFonts w:cs="Times New Roman"/>
        </w:rPr>
      </w:lvl>
    </w:lvlOverride>
    <w:lvlOverride w:ilvl="5">
      <w:startOverride w:val="1"/>
      <w:lvl w:ilvl="5">
        <w:start w:val="1"/>
        <w:numFmt w:val="upperRoman"/>
        <w:lvlText w:val="%6."/>
        <w:lvlJc w:val="left"/>
        <w:rPr>
          <w:rFonts w:cs="Times New Roman"/>
        </w:rPr>
      </w:lvl>
    </w:lvlOverride>
    <w:lvlOverride w:ilvl="6">
      <w:startOverride w:val="1"/>
      <w:lvl w:ilvl="6">
        <w:start w:val="1"/>
        <w:numFmt w:val="upperRoman"/>
        <w:lvlText w:val="%7."/>
        <w:lvlJc w:val="left"/>
        <w:rPr>
          <w:rFonts w:cs="Times New Roman"/>
        </w:rPr>
      </w:lvl>
    </w:lvlOverride>
    <w:lvlOverride w:ilvl="7">
      <w:startOverride w:val="1"/>
      <w:lvl w:ilvl="7">
        <w:start w:val="1"/>
        <w:numFmt w:val="upperRoman"/>
        <w:lvlText w:val="%8."/>
        <w:lvlJc w:val="left"/>
        <w:rPr>
          <w:rFonts w:cs="Times New Roman"/>
        </w:rPr>
      </w:lvl>
    </w:lvlOverride>
  </w:num>
  <w:num w:numId="3" w16cid:durableId="1149781258">
    <w:abstractNumId w:val="22"/>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4" w16cid:durableId="1129668191">
    <w:abstractNumId w:val="32"/>
  </w:num>
  <w:num w:numId="5" w16cid:durableId="437339714">
    <w:abstractNumId w:val="29"/>
  </w:num>
  <w:num w:numId="6" w16cid:durableId="1373268660">
    <w:abstractNumId w:val="26"/>
  </w:num>
  <w:num w:numId="7" w16cid:durableId="1614284284">
    <w:abstractNumId w:val="27"/>
  </w:num>
  <w:num w:numId="8" w16cid:durableId="1901401974">
    <w:abstractNumId w:val="31"/>
  </w:num>
  <w:num w:numId="9" w16cid:durableId="340623116">
    <w:abstractNumId w:val="28"/>
  </w:num>
  <w:num w:numId="10" w16cid:durableId="1713532647">
    <w:abstractNumId w:val="33"/>
  </w:num>
  <w:num w:numId="11" w16cid:durableId="247546233">
    <w:abstractNumId w:val="23"/>
  </w:num>
  <w:num w:numId="12" w16cid:durableId="1587691524">
    <w:abstractNumId w:val="25"/>
  </w:num>
  <w:num w:numId="13" w16cid:durableId="1576933315">
    <w:abstractNumId w:val="30"/>
  </w:num>
  <w:num w:numId="14" w16cid:durableId="439640513">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2A0"/>
    <w:rsid w:val="000003C7"/>
    <w:rsid w:val="00000405"/>
    <w:rsid w:val="000011DF"/>
    <w:rsid w:val="0000201A"/>
    <w:rsid w:val="00002B73"/>
    <w:rsid w:val="000036AB"/>
    <w:rsid w:val="00004200"/>
    <w:rsid w:val="00007781"/>
    <w:rsid w:val="000116C0"/>
    <w:rsid w:val="00014C7A"/>
    <w:rsid w:val="00016214"/>
    <w:rsid w:val="00016803"/>
    <w:rsid w:val="0001706D"/>
    <w:rsid w:val="00017349"/>
    <w:rsid w:val="00021274"/>
    <w:rsid w:val="000217D1"/>
    <w:rsid w:val="00021FE0"/>
    <w:rsid w:val="00022BEE"/>
    <w:rsid w:val="00023E67"/>
    <w:rsid w:val="000248F0"/>
    <w:rsid w:val="0002572C"/>
    <w:rsid w:val="00025F57"/>
    <w:rsid w:val="00026D63"/>
    <w:rsid w:val="00027093"/>
    <w:rsid w:val="00027F46"/>
    <w:rsid w:val="0003442F"/>
    <w:rsid w:val="00034A4E"/>
    <w:rsid w:val="00035083"/>
    <w:rsid w:val="0003567C"/>
    <w:rsid w:val="00036865"/>
    <w:rsid w:val="00036BF8"/>
    <w:rsid w:val="00036EB4"/>
    <w:rsid w:val="00036F0D"/>
    <w:rsid w:val="00037F48"/>
    <w:rsid w:val="000404ED"/>
    <w:rsid w:val="00042327"/>
    <w:rsid w:val="00043515"/>
    <w:rsid w:val="00044436"/>
    <w:rsid w:val="000447C9"/>
    <w:rsid w:val="000449F8"/>
    <w:rsid w:val="00045479"/>
    <w:rsid w:val="00045BD6"/>
    <w:rsid w:val="00045C51"/>
    <w:rsid w:val="00046151"/>
    <w:rsid w:val="000468C6"/>
    <w:rsid w:val="00046BEE"/>
    <w:rsid w:val="00046E13"/>
    <w:rsid w:val="000470EE"/>
    <w:rsid w:val="0005007B"/>
    <w:rsid w:val="00050FEB"/>
    <w:rsid w:val="000517FA"/>
    <w:rsid w:val="00052B36"/>
    <w:rsid w:val="00053A2C"/>
    <w:rsid w:val="00054416"/>
    <w:rsid w:val="00054900"/>
    <w:rsid w:val="00055243"/>
    <w:rsid w:val="00055B40"/>
    <w:rsid w:val="00055F2C"/>
    <w:rsid w:val="00057840"/>
    <w:rsid w:val="00060D39"/>
    <w:rsid w:val="00061875"/>
    <w:rsid w:val="000625FB"/>
    <w:rsid w:val="0006398D"/>
    <w:rsid w:val="00065AB2"/>
    <w:rsid w:val="0006611A"/>
    <w:rsid w:val="00066A7B"/>
    <w:rsid w:val="00066C52"/>
    <w:rsid w:val="000701E4"/>
    <w:rsid w:val="0007073F"/>
    <w:rsid w:val="0007157F"/>
    <w:rsid w:val="00071E71"/>
    <w:rsid w:val="000724F1"/>
    <w:rsid w:val="0007306B"/>
    <w:rsid w:val="00073B38"/>
    <w:rsid w:val="000743D1"/>
    <w:rsid w:val="00074876"/>
    <w:rsid w:val="000760CB"/>
    <w:rsid w:val="00076601"/>
    <w:rsid w:val="000767C0"/>
    <w:rsid w:val="00077410"/>
    <w:rsid w:val="00081300"/>
    <w:rsid w:val="00083A76"/>
    <w:rsid w:val="00084844"/>
    <w:rsid w:val="00085230"/>
    <w:rsid w:val="00086F2F"/>
    <w:rsid w:val="0008759E"/>
    <w:rsid w:val="00087EE9"/>
    <w:rsid w:val="00090155"/>
    <w:rsid w:val="000902ED"/>
    <w:rsid w:val="0009134A"/>
    <w:rsid w:val="00091ABD"/>
    <w:rsid w:val="00091AE2"/>
    <w:rsid w:val="00091B54"/>
    <w:rsid w:val="000923E0"/>
    <w:rsid w:val="00092555"/>
    <w:rsid w:val="000929B5"/>
    <w:rsid w:val="00092F1B"/>
    <w:rsid w:val="00093239"/>
    <w:rsid w:val="0009535D"/>
    <w:rsid w:val="0009583F"/>
    <w:rsid w:val="000969E2"/>
    <w:rsid w:val="000A134A"/>
    <w:rsid w:val="000A1CE9"/>
    <w:rsid w:val="000A2DE7"/>
    <w:rsid w:val="000A3878"/>
    <w:rsid w:val="000A40EC"/>
    <w:rsid w:val="000A55DB"/>
    <w:rsid w:val="000A658C"/>
    <w:rsid w:val="000A7279"/>
    <w:rsid w:val="000A7A05"/>
    <w:rsid w:val="000B07D7"/>
    <w:rsid w:val="000B1A5B"/>
    <w:rsid w:val="000B1ECC"/>
    <w:rsid w:val="000B22E4"/>
    <w:rsid w:val="000B3A37"/>
    <w:rsid w:val="000B440B"/>
    <w:rsid w:val="000B4852"/>
    <w:rsid w:val="000B6A8A"/>
    <w:rsid w:val="000C04C6"/>
    <w:rsid w:val="000C0E15"/>
    <w:rsid w:val="000C12C6"/>
    <w:rsid w:val="000C1882"/>
    <w:rsid w:val="000C1ED8"/>
    <w:rsid w:val="000C295F"/>
    <w:rsid w:val="000C2E74"/>
    <w:rsid w:val="000C368E"/>
    <w:rsid w:val="000C38BD"/>
    <w:rsid w:val="000C4141"/>
    <w:rsid w:val="000C43DE"/>
    <w:rsid w:val="000C46E4"/>
    <w:rsid w:val="000C5C82"/>
    <w:rsid w:val="000C7C9A"/>
    <w:rsid w:val="000D343F"/>
    <w:rsid w:val="000D4560"/>
    <w:rsid w:val="000D4A64"/>
    <w:rsid w:val="000D750A"/>
    <w:rsid w:val="000D7AAD"/>
    <w:rsid w:val="000E0408"/>
    <w:rsid w:val="000E07E7"/>
    <w:rsid w:val="000E0DD1"/>
    <w:rsid w:val="000E1AA2"/>
    <w:rsid w:val="000E20A2"/>
    <w:rsid w:val="000E46F3"/>
    <w:rsid w:val="000E5C64"/>
    <w:rsid w:val="000E6466"/>
    <w:rsid w:val="000E7F42"/>
    <w:rsid w:val="000F1D68"/>
    <w:rsid w:val="000F1E49"/>
    <w:rsid w:val="000F46ED"/>
    <w:rsid w:val="000F4DA3"/>
    <w:rsid w:val="000F5631"/>
    <w:rsid w:val="000F5A36"/>
    <w:rsid w:val="000F63C1"/>
    <w:rsid w:val="000F6A5C"/>
    <w:rsid w:val="000F7ECC"/>
    <w:rsid w:val="00101A7B"/>
    <w:rsid w:val="001038F8"/>
    <w:rsid w:val="001039FA"/>
    <w:rsid w:val="001056A7"/>
    <w:rsid w:val="0011011A"/>
    <w:rsid w:val="00110CB0"/>
    <w:rsid w:val="001113A1"/>
    <w:rsid w:val="00112C81"/>
    <w:rsid w:val="0011326F"/>
    <w:rsid w:val="00113DC6"/>
    <w:rsid w:val="0011522A"/>
    <w:rsid w:val="00115B48"/>
    <w:rsid w:val="00115DF5"/>
    <w:rsid w:val="00116055"/>
    <w:rsid w:val="001170E4"/>
    <w:rsid w:val="00117115"/>
    <w:rsid w:val="001174A0"/>
    <w:rsid w:val="001206B1"/>
    <w:rsid w:val="00120C6D"/>
    <w:rsid w:val="0012164B"/>
    <w:rsid w:val="00122228"/>
    <w:rsid w:val="0012279E"/>
    <w:rsid w:val="00122839"/>
    <w:rsid w:val="00122BD3"/>
    <w:rsid w:val="00123AC4"/>
    <w:rsid w:val="00125065"/>
    <w:rsid w:val="00125345"/>
    <w:rsid w:val="00125C8A"/>
    <w:rsid w:val="00126880"/>
    <w:rsid w:val="00132862"/>
    <w:rsid w:val="00132F71"/>
    <w:rsid w:val="001330E6"/>
    <w:rsid w:val="001341FE"/>
    <w:rsid w:val="00134F5C"/>
    <w:rsid w:val="00134F5D"/>
    <w:rsid w:val="001358F0"/>
    <w:rsid w:val="00136DA3"/>
    <w:rsid w:val="001376D1"/>
    <w:rsid w:val="00140C21"/>
    <w:rsid w:val="00141758"/>
    <w:rsid w:val="0014199D"/>
    <w:rsid w:val="00141D63"/>
    <w:rsid w:val="00142198"/>
    <w:rsid w:val="00143ACD"/>
    <w:rsid w:val="0014420A"/>
    <w:rsid w:val="00144A53"/>
    <w:rsid w:val="00145BC1"/>
    <w:rsid w:val="001469F6"/>
    <w:rsid w:val="001471B8"/>
    <w:rsid w:val="00147B01"/>
    <w:rsid w:val="00147F8B"/>
    <w:rsid w:val="00150F03"/>
    <w:rsid w:val="001515BB"/>
    <w:rsid w:val="00151CFD"/>
    <w:rsid w:val="00152207"/>
    <w:rsid w:val="00155591"/>
    <w:rsid w:val="00156CD6"/>
    <w:rsid w:val="00156E0C"/>
    <w:rsid w:val="00157520"/>
    <w:rsid w:val="00161740"/>
    <w:rsid w:val="0016336D"/>
    <w:rsid w:val="00163E90"/>
    <w:rsid w:val="00172085"/>
    <w:rsid w:val="00173853"/>
    <w:rsid w:val="0017552C"/>
    <w:rsid w:val="00176DF8"/>
    <w:rsid w:val="00177A1E"/>
    <w:rsid w:val="00177D70"/>
    <w:rsid w:val="00182B5C"/>
    <w:rsid w:val="00182CE0"/>
    <w:rsid w:val="001834AA"/>
    <w:rsid w:val="001843E2"/>
    <w:rsid w:val="00184E43"/>
    <w:rsid w:val="00185C7D"/>
    <w:rsid w:val="001861B8"/>
    <w:rsid w:val="00187065"/>
    <w:rsid w:val="00187182"/>
    <w:rsid w:val="001902FE"/>
    <w:rsid w:val="001927A4"/>
    <w:rsid w:val="00192881"/>
    <w:rsid w:val="00192C14"/>
    <w:rsid w:val="00193E53"/>
    <w:rsid w:val="001941DE"/>
    <w:rsid w:val="00195153"/>
    <w:rsid w:val="001958C8"/>
    <w:rsid w:val="001A083F"/>
    <w:rsid w:val="001A2967"/>
    <w:rsid w:val="001A335E"/>
    <w:rsid w:val="001A3671"/>
    <w:rsid w:val="001A6B79"/>
    <w:rsid w:val="001A7BB9"/>
    <w:rsid w:val="001A7F60"/>
    <w:rsid w:val="001B0219"/>
    <w:rsid w:val="001B02D7"/>
    <w:rsid w:val="001B0632"/>
    <w:rsid w:val="001B0AF1"/>
    <w:rsid w:val="001B160F"/>
    <w:rsid w:val="001B284A"/>
    <w:rsid w:val="001B346B"/>
    <w:rsid w:val="001B6DA7"/>
    <w:rsid w:val="001B77A2"/>
    <w:rsid w:val="001C154D"/>
    <w:rsid w:val="001C1E47"/>
    <w:rsid w:val="001C2B11"/>
    <w:rsid w:val="001C3276"/>
    <w:rsid w:val="001C4123"/>
    <w:rsid w:val="001C44E8"/>
    <w:rsid w:val="001C560E"/>
    <w:rsid w:val="001C58C2"/>
    <w:rsid w:val="001C620B"/>
    <w:rsid w:val="001D1819"/>
    <w:rsid w:val="001D1A16"/>
    <w:rsid w:val="001D6530"/>
    <w:rsid w:val="001D681F"/>
    <w:rsid w:val="001D6D59"/>
    <w:rsid w:val="001D7428"/>
    <w:rsid w:val="001D7613"/>
    <w:rsid w:val="001E0EFF"/>
    <w:rsid w:val="001E1B35"/>
    <w:rsid w:val="001E1C5D"/>
    <w:rsid w:val="001E1FD1"/>
    <w:rsid w:val="001E2D62"/>
    <w:rsid w:val="001E2FBB"/>
    <w:rsid w:val="001E4F8A"/>
    <w:rsid w:val="001E5ABD"/>
    <w:rsid w:val="001E5C43"/>
    <w:rsid w:val="001E5FE4"/>
    <w:rsid w:val="001E71BA"/>
    <w:rsid w:val="001F0B51"/>
    <w:rsid w:val="001F1D8A"/>
    <w:rsid w:val="001F359C"/>
    <w:rsid w:val="001F3750"/>
    <w:rsid w:val="001F40E1"/>
    <w:rsid w:val="001F58B8"/>
    <w:rsid w:val="00200D27"/>
    <w:rsid w:val="002011AC"/>
    <w:rsid w:val="00201EB9"/>
    <w:rsid w:val="00202BD7"/>
    <w:rsid w:val="002048CC"/>
    <w:rsid w:val="0020506D"/>
    <w:rsid w:val="00205391"/>
    <w:rsid w:val="00205A99"/>
    <w:rsid w:val="00205B95"/>
    <w:rsid w:val="0020733F"/>
    <w:rsid w:val="00207B94"/>
    <w:rsid w:val="00210E15"/>
    <w:rsid w:val="00211626"/>
    <w:rsid w:val="0021277A"/>
    <w:rsid w:val="00212BC7"/>
    <w:rsid w:val="0021380C"/>
    <w:rsid w:val="00213FCA"/>
    <w:rsid w:val="00216621"/>
    <w:rsid w:val="00216B0E"/>
    <w:rsid w:val="00217433"/>
    <w:rsid w:val="00217437"/>
    <w:rsid w:val="00222350"/>
    <w:rsid w:val="002231D3"/>
    <w:rsid w:val="002235F3"/>
    <w:rsid w:val="002247E7"/>
    <w:rsid w:val="0022537C"/>
    <w:rsid w:val="0022685E"/>
    <w:rsid w:val="00227868"/>
    <w:rsid w:val="00230915"/>
    <w:rsid w:val="00230D53"/>
    <w:rsid w:val="0023191B"/>
    <w:rsid w:val="002337B2"/>
    <w:rsid w:val="00233C64"/>
    <w:rsid w:val="002404BA"/>
    <w:rsid w:val="002427F7"/>
    <w:rsid w:val="00243015"/>
    <w:rsid w:val="0024338F"/>
    <w:rsid w:val="002466D8"/>
    <w:rsid w:val="002511A8"/>
    <w:rsid w:val="002511E9"/>
    <w:rsid w:val="002512E8"/>
    <w:rsid w:val="00251FA2"/>
    <w:rsid w:val="002523FB"/>
    <w:rsid w:val="002529E8"/>
    <w:rsid w:val="00253249"/>
    <w:rsid w:val="002536CB"/>
    <w:rsid w:val="0025526A"/>
    <w:rsid w:val="00255EA4"/>
    <w:rsid w:val="00260A89"/>
    <w:rsid w:val="00260C9F"/>
    <w:rsid w:val="00261A11"/>
    <w:rsid w:val="00262A51"/>
    <w:rsid w:val="00262DDC"/>
    <w:rsid w:val="002648FC"/>
    <w:rsid w:val="00265778"/>
    <w:rsid w:val="002658D0"/>
    <w:rsid w:val="002679E5"/>
    <w:rsid w:val="00270695"/>
    <w:rsid w:val="002707B8"/>
    <w:rsid w:val="0027084D"/>
    <w:rsid w:val="002725BC"/>
    <w:rsid w:val="002731DE"/>
    <w:rsid w:val="002735F9"/>
    <w:rsid w:val="00273A0B"/>
    <w:rsid w:val="00273CD1"/>
    <w:rsid w:val="00274463"/>
    <w:rsid w:val="0027502F"/>
    <w:rsid w:val="00277C24"/>
    <w:rsid w:val="0028166F"/>
    <w:rsid w:val="00281733"/>
    <w:rsid w:val="0028174D"/>
    <w:rsid w:val="00281A30"/>
    <w:rsid w:val="002823D9"/>
    <w:rsid w:val="002831C6"/>
    <w:rsid w:val="00283FF9"/>
    <w:rsid w:val="00286A70"/>
    <w:rsid w:val="00290B29"/>
    <w:rsid w:val="00292313"/>
    <w:rsid w:val="00294168"/>
    <w:rsid w:val="00294245"/>
    <w:rsid w:val="002948AE"/>
    <w:rsid w:val="00294FD0"/>
    <w:rsid w:val="002954DC"/>
    <w:rsid w:val="0029647F"/>
    <w:rsid w:val="00296B1E"/>
    <w:rsid w:val="00297ABC"/>
    <w:rsid w:val="002A2421"/>
    <w:rsid w:val="002A40A1"/>
    <w:rsid w:val="002A4594"/>
    <w:rsid w:val="002A4934"/>
    <w:rsid w:val="002A50A7"/>
    <w:rsid w:val="002A65C4"/>
    <w:rsid w:val="002A6CAA"/>
    <w:rsid w:val="002A6EA8"/>
    <w:rsid w:val="002B020A"/>
    <w:rsid w:val="002B2168"/>
    <w:rsid w:val="002B334F"/>
    <w:rsid w:val="002B3E37"/>
    <w:rsid w:val="002B4100"/>
    <w:rsid w:val="002B4250"/>
    <w:rsid w:val="002B429D"/>
    <w:rsid w:val="002B43F3"/>
    <w:rsid w:val="002B4830"/>
    <w:rsid w:val="002B4F49"/>
    <w:rsid w:val="002B63FA"/>
    <w:rsid w:val="002B7D36"/>
    <w:rsid w:val="002C1E78"/>
    <w:rsid w:val="002C21A1"/>
    <w:rsid w:val="002C4E8C"/>
    <w:rsid w:val="002C65D1"/>
    <w:rsid w:val="002D0261"/>
    <w:rsid w:val="002D1D1E"/>
    <w:rsid w:val="002D473A"/>
    <w:rsid w:val="002D4F37"/>
    <w:rsid w:val="002D54B7"/>
    <w:rsid w:val="002D61CE"/>
    <w:rsid w:val="002D6E03"/>
    <w:rsid w:val="002E030B"/>
    <w:rsid w:val="002E211F"/>
    <w:rsid w:val="002E397D"/>
    <w:rsid w:val="002E43B7"/>
    <w:rsid w:val="002E4405"/>
    <w:rsid w:val="002E4FDC"/>
    <w:rsid w:val="002E50F9"/>
    <w:rsid w:val="002E516E"/>
    <w:rsid w:val="002E5F0C"/>
    <w:rsid w:val="002E6386"/>
    <w:rsid w:val="002E6E73"/>
    <w:rsid w:val="002E799C"/>
    <w:rsid w:val="002F140C"/>
    <w:rsid w:val="002F313C"/>
    <w:rsid w:val="002F4FA0"/>
    <w:rsid w:val="002F5F07"/>
    <w:rsid w:val="002F78C9"/>
    <w:rsid w:val="002F7F47"/>
    <w:rsid w:val="0030105C"/>
    <w:rsid w:val="00304846"/>
    <w:rsid w:val="00304930"/>
    <w:rsid w:val="0030523E"/>
    <w:rsid w:val="00306137"/>
    <w:rsid w:val="00312D97"/>
    <w:rsid w:val="00312FDE"/>
    <w:rsid w:val="0031493F"/>
    <w:rsid w:val="00315E58"/>
    <w:rsid w:val="00320A32"/>
    <w:rsid w:val="00322518"/>
    <w:rsid w:val="00322B3A"/>
    <w:rsid w:val="00322C51"/>
    <w:rsid w:val="003235C8"/>
    <w:rsid w:val="003249AC"/>
    <w:rsid w:val="0032597C"/>
    <w:rsid w:val="00327926"/>
    <w:rsid w:val="00327E12"/>
    <w:rsid w:val="003306BF"/>
    <w:rsid w:val="00331F49"/>
    <w:rsid w:val="00334155"/>
    <w:rsid w:val="00336613"/>
    <w:rsid w:val="00336FF6"/>
    <w:rsid w:val="0033715B"/>
    <w:rsid w:val="003400CE"/>
    <w:rsid w:val="00340ED2"/>
    <w:rsid w:val="00341DD1"/>
    <w:rsid w:val="00343604"/>
    <w:rsid w:val="00344186"/>
    <w:rsid w:val="00344D3F"/>
    <w:rsid w:val="0034504D"/>
    <w:rsid w:val="00345174"/>
    <w:rsid w:val="0034562A"/>
    <w:rsid w:val="003478A8"/>
    <w:rsid w:val="00351ABE"/>
    <w:rsid w:val="00351DAD"/>
    <w:rsid w:val="0035483B"/>
    <w:rsid w:val="0035620E"/>
    <w:rsid w:val="0035765D"/>
    <w:rsid w:val="00360CDE"/>
    <w:rsid w:val="003625AF"/>
    <w:rsid w:val="00363176"/>
    <w:rsid w:val="00363AF6"/>
    <w:rsid w:val="00364027"/>
    <w:rsid w:val="0036420B"/>
    <w:rsid w:val="003657BA"/>
    <w:rsid w:val="00366FCA"/>
    <w:rsid w:val="003675BA"/>
    <w:rsid w:val="00371330"/>
    <w:rsid w:val="00373067"/>
    <w:rsid w:val="00373624"/>
    <w:rsid w:val="00374643"/>
    <w:rsid w:val="00374E61"/>
    <w:rsid w:val="0037554E"/>
    <w:rsid w:val="003759CE"/>
    <w:rsid w:val="00375AFE"/>
    <w:rsid w:val="00380246"/>
    <w:rsid w:val="0038038C"/>
    <w:rsid w:val="00380DBE"/>
    <w:rsid w:val="003810F0"/>
    <w:rsid w:val="003822A8"/>
    <w:rsid w:val="00382632"/>
    <w:rsid w:val="00383151"/>
    <w:rsid w:val="00383223"/>
    <w:rsid w:val="00384D3F"/>
    <w:rsid w:val="003861AB"/>
    <w:rsid w:val="0038622A"/>
    <w:rsid w:val="00386A92"/>
    <w:rsid w:val="00387B03"/>
    <w:rsid w:val="00387C8A"/>
    <w:rsid w:val="0039036E"/>
    <w:rsid w:val="003904B3"/>
    <w:rsid w:val="00391D6F"/>
    <w:rsid w:val="00392C0A"/>
    <w:rsid w:val="0039497C"/>
    <w:rsid w:val="00395A18"/>
    <w:rsid w:val="0039632A"/>
    <w:rsid w:val="00396CFB"/>
    <w:rsid w:val="00397D49"/>
    <w:rsid w:val="003A15AE"/>
    <w:rsid w:val="003A1E5E"/>
    <w:rsid w:val="003A1F58"/>
    <w:rsid w:val="003A20DA"/>
    <w:rsid w:val="003A2119"/>
    <w:rsid w:val="003A4F3E"/>
    <w:rsid w:val="003A53CD"/>
    <w:rsid w:val="003A6DB0"/>
    <w:rsid w:val="003A79DB"/>
    <w:rsid w:val="003B2977"/>
    <w:rsid w:val="003B3314"/>
    <w:rsid w:val="003B3D85"/>
    <w:rsid w:val="003B3DD0"/>
    <w:rsid w:val="003B572B"/>
    <w:rsid w:val="003B5B99"/>
    <w:rsid w:val="003B7931"/>
    <w:rsid w:val="003C24E4"/>
    <w:rsid w:val="003C25AC"/>
    <w:rsid w:val="003C45C1"/>
    <w:rsid w:val="003C553A"/>
    <w:rsid w:val="003C5C8B"/>
    <w:rsid w:val="003C664A"/>
    <w:rsid w:val="003C70C3"/>
    <w:rsid w:val="003D0C21"/>
    <w:rsid w:val="003D248B"/>
    <w:rsid w:val="003D2F9B"/>
    <w:rsid w:val="003D4ED4"/>
    <w:rsid w:val="003D53B8"/>
    <w:rsid w:val="003D5D7B"/>
    <w:rsid w:val="003D6D33"/>
    <w:rsid w:val="003D750D"/>
    <w:rsid w:val="003E01A1"/>
    <w:rsid w:val="003E1251"/>
    <w:rsid w:val="003E2170"/>
    <w:rsid w:val="003E375A"/>
    <w:rsid w:val="003E4294"/>
    <w:rsid w:val="003E4B5E"/>
    <w:rsid w:val="003E6165"/>
    <w:rsid w:val="003E6A8F"/>
    <w:rsid w:val="003E6E8B"/>
    <w:rsid w:val="003E7A6E"/>
    <w:rsid w:val="003E7AEA"/>
    <w:rsid w:val="003F0994"/>
    <w:rsid w:val="003F0FB1"/>
    <w:rsid w:val="003F2C9D"/>
    <w:rsid w:val="003F2E2D"/>
    <w:rsid w:val="003F46FA"/>
    <w:rsid w:val="003F6C61"/>
    <w:rsid w:val="003F7844"/>
    <w:rsid w:val="003F78C1"/>
    <w:rsid w:val="003F7A1E"/>
    <w:rsid w:val="004007AC"/>
    <w:rsid w:val="00401DF0"/>
    <w:rsid w:val="0040227E"/>
    <w:rsid w:val="00403973"/>
    <w:rsid w:val="00403ADC"/>
    <w:rsid w:val="0040424A"/>
    <w:rsid w:val="004103CD"/>
    <w:rsid w:val="00410A18"/>
    <w:rsid w:val="00410CBE"/>
    <w:rsid w:val="004119E8"/>
    <w:rsid w:val="00411E44"/>
    <w:rsid w:val="004134D7"/>
    <w:rsid w:val="004138A5"/>
    <w:rsid w:val="00414885"/>
    <w:rsid w:val="004148C0"/>
    <w:rsid w:val="00414F98"/>
    <w:rsid w:val="0041560D"/>
    <w:rsid w:val="00416112"/>
    <w:rsid w:val="00422070"/>
    <w:rsid w:val="0042395F"/>
    <w:rsid w:val="0042568D"/>
    <w:rsid w:val="00425EE1"/>
    <w:rsid w:val="00426918"/>
    <w:rsid w:val="0042694A"/>
    <w:rsid w:val="00430008"/>
    <w:rsid w:val="00430741"/>
    <w:rsid w:val="00431115"/>
    <w:rsid w:val="00431F6C"/>
    <w:rsid w:val="00435253"/>
    <w:rsid w:val="004359BB"/>
    <w:rsid w:val="00440DF1"/>
    <w:rsid w:val="004419F6"/>
    <w:rsid w:val="00443054"/>
    <w:rsid w:val="00443D46"/>
    <w:rsid w:val="00446455"/>
    <w:rsid w:val="0045049B"/>
    <w:rsid w:val="00451D3D"/>
    <w:rsid w:val="00451DA6"/>
    <w:rsid w:val="00454277"/>
    <w:rsid w:val="00454FE1"/>
    <w:rsid w:val="00456A58"/>
    <w:rsid w:val="00456AB3"/>
    <w:rsid w:val="00456C45"/>
    <w:rsid w:val="00457149"/>
    <w:rsid w:val="0046047E"/>
    <w:rsid w:val="00464590"/>
    <w:rsid w:val="00464C75"/>
    <w:rsid w:val="004658D1"/>
    <w:rsid w:val="00466B8D"/>
    <w:rsid w:val="00470794"/>
    <w:rsid w:val="00471DCC"/>
    <w:rsid w:val="004729E0"/>
    <w:rsid w:val="00473850"/>
    <w:rsid w:val="00473A4D"/>
    <w:rsid w:val="00473DD7"/>
    <w:rsid w:val="00473E98"/>
    <w:rsid w:val="004740E8"/>
    <w:rsid w:val="004745DA"/>
    <w:rsid w:val="00474896"/>
    <w:rsid w:val="00475E79"/>
    <w:rsid w:val="00476C08"/>
    <w:rsid w:val="0047789A"/>
    <w:rsid w:val="00480BEA"/>
    <w:rsid w:val="004811CE"/>
    <w:rsid w:val="00481F38"/>
    <w:rsid w:val="00483334"/>
    <w:rsid w:val="004834B7"/>
    <w:rsid w:val="00483779"/>
    <w:rsid w:val="0048380E"/>
    <w:rsid w:val="00486665"/>
    <w:rsid w:val="0048668C"/>
    <w:rsid w:val="00486971"/>
    <w:rsid w:val="00486BE3"/>
    <w:rsid w:val="00487D91"/>
    <w:rsid w:val="00490395"/>
    <w:rsid w:val="0049137F"/>
    <w:rsid w:val="00491ECF"/>
    <w:rsid w:val="00492379"/>
    <w:rsid w:val="004923EB"/>
    <w:rsid w:val="0049240B"/>
    <w:rsid w:val="0049342D"/>
    <w:rsid w:val="00493FD1"/>
    <w:rsid w:val="0049420B"/>
    <w:rsid w:val="0049474F"/>
    <w:rsid w:val="004954D4"/>
    <w:rsid w:val="00497316"/>
    <w:rsid w:val="00497C0D"/>
    <w:rsid w:val="00497CF7"/>
    <w:rsid w:val="004A17E0"/>
    <w:rsid w:val="004A57F6"/>
    <w:rsid w:val="004A5A2F"/>
    <w:rsid w:val="004A613F"/>
    <w:rsid w:val="004B0D97"/>
    <w:rsid w:val="004B106A"/>
    <w:rsid w:val="004B31ED"/>
    <w:rsid w:val="004B394F"/>
    <w:rsid w:val="004B3D81"/>
    <w:rsid w:val="004C1432"/>
    <w:rsid w:val="004C3ECD"/>
    <w:rsid w:val="004C4576"/>
    <w:rsid w:val="004C5E86"/>
    <w:rsid w:val="004C641B"/>
    <w:rsid w:val="004C7EFC"/>
    <w:rsid w:val="004D0505"/>
    <w:rsid w:val="004D05C8"/>
    <w:rsid w:val="004D0B18"/>
    <w:rsid w:val="004D0DD0"/>
    <w:rsid w:val="004D194A"/>
    <w:rsid w:val="004D4A2C"/>
    <w:rsid w:val="004D7611"/>
    <w:rsid w:val="004E11D8"/>
    <w:rsid w:val="004E22AA"/>
    <w:rsid w:val="004E3225"/>
    <w:rsid w:val="004E40FD"/>
    <w:rsid w:val="004E4C79"/>
    <w:rsid w:val="004E505A"/>
    <w:rsid w:val="004E58BC"/>
    <w:rsid w:val="004E6043"/>
    <w:rsid w:val="004E72DE"/>
    <w:rsid w:val="004E7417"/>
    <w:rsid w:val="004E7689"/>
    <w:rsid w:val="004F4B9A"/>
    <w:rsid w:val="004F4D6A"/>
    <w:rsid w:val="004F5900"/>
    <w:rsid w:val="004F5FF4"/>
    <w:rsid w:val="004F706D"/>
    <w:rsid w:val="004F7483"/>
    <w:rsid w:val="004F7758"/>
    <w:rsid w:val="0050077F"/>
    <w:rsid w:val="00500DEF"/>
    <w:rsid w:val="00501CB0"/>
    <w:rsid w:val="00502D50"/>
    <w:rsid w:val="0051107A"/>
    <w:rsid w:val="00511BBB"/>
    <w:rsid w:val="00512339"/>
    <w:rsid w:val="005128CD"/>
    <w:rsid w:val="005129C3"/>
    <w:rsid w:val="005133E4"/>
    <w:rsid w:val="00513906"/>
    <w:rsid w:val="00513BF3"/>
    <w:rsid w:val="005141CD"/>
    <w:rsid w:val="0051489E"/>
    <w:rsid w:val="00514AFF"/>
    <w:rsid w:val="00516517"/>
    <w:rsid w:val="005175EF"/>
    <w:rsid w:val="005179A1"/>
    <w:rsid w:val="00521191"/>
    <w:rsid w:val="005218C3"/>
    <w:rsid w:val="00522159"/>
    <w:rsid w:val="0052483D"/>
    <w:rsid w:val="00525623"/>
    <w:rsid w:val="0052604A"/>
    <w:rsid w:val="00531978"/>
    <w:rsid w:val="005353EA"/>
    <w:rsid w:val="005367D5"/>
    <w:rsid w:val="00536FF5"/>
    <w:rsid w:val="00537E35"/>
    <w:rsid w:val="00540A1E"/>
    <w:rsid w:val="00540D4C"/>
    <w:rsid w:val="00541BE6"/>
    <w:rsid w:val="00542FFC"/>
    <w:rsid w:val="00543D20"/>
    <w:rsid w:val="00543F37"/>
    <w:rsid w:val="00545AD4"/>
    <w:rsid w:val="005461C0"/>
    <w:rsid w:val="00547B1C"/>
    <w:rsid w:val="005504BC"/>
    <w:rsid w:val="005504ED"/>
    <w:rsid w:val="00551791"/>
    <w:rsid w:val="00551B5C"/>
    <w:rsid w:val="00552EB3"/>
    <w:rsid w:val="00553AA5"/>
    <w:rsid w:val="005543E0"/>
    <w:rsid w:val="00555259"/>
    <w:rsid w:val="005556B2"/>
    <w:rsid w:val="00561459"/>
    <w:rsid w:val="00561B12"/>
    <w:rsid w:val="0056204C"/>
    <w:rsid w:val="00562433"/>
    <w:rsid w:val="00562F0E"/>
    <w:rsid w:val="005647C8"/>
    <w:rsid w:val="00565D72"/>
    <w:rsid w:val="00565F80"/>
    <w:rsid w:val="005660FD"/>
    <w:rsid w:val="005672B5"/>
    <w:rsid w:val="005700FC"/>
    <w:rsid w:val="00571660"/>
    <w:rsid w:val="0057283B"/>
    <w:rsid w:val="00575B51"/>
    <w:rsid w:val="00575B5C"/>
    <w:rsid w:val="00576178"/>
    <w:rsid w:val="0057789C"/>
    <w:rsid w:val="005819C5"/>
    <w:rsid w:val="005824E9"/>
    <w:rsid w:val="005837BD"/>
    <w:rsid w:val="0058464C"/>
    <w:rsid w:val="00584756"/>
    <w:rsid w:val="005860FD"/>
    <w:rsid w:val="00587EE4"/>
    <w:rsid w:val="00590091"/>
    <w:rsid w:val="0059072C"/>
    <w:rsid w:val="005915D6"/>
    <w:rsid w:val="00591A40"/>
    <w:rsid w:val="00591F96"/>
    <w:rsid w:val="00594F37"/>
    <w:rsid w:val="00597441"/>
    <w:rsid w:val="005A0888"/>
    <w:rsid w:val="005A1AFE"/>
    <w:rsid w:val="005A2F63"/>
    <w:rsid w:val="005A2F6F"/>
    <w:rsid w:val="005A573D"/>
    <w:rsid w:val="005A59F4"/>
    <w:rsid w:val="005A5B9A"/>
    <w:rsid w:val="005A5C27"/>
    <w:rsid w:val="005A5EEE"/>
    <w:rsid w:val="005A6B9B"/>
    <w:rsid w:val="005A7708"/>
    <w:rsid w:val="005B0F17"/>
    <w:rsid w:val="005B368D"/>
    <w:rsid w:val="005B3E85"/>
    <w:rsid w:val="005B50B8"/>
    <w:rsid w:val="005B5B2D"/>
    <w:rsid w:val="005B5BFC"/>
    <w:rsid w:val="005B7C09"/>
    <w:rsid w:val="005C138B"/>
    <w:rsid w:val="005C1BFC"/>
    <w:rsid w:val="005C3F96"/>
    <w:rsid w:val="005C489D"/>
    <w:rsid w:val="005C59CE"/>
    <w:rsid w:val="005C5F99"/>
    <w:rsid w:val="005C6529"/>
    <w:rsid w:val="005D027D"/>
    <w:rsid w:val="005D1B1B"/>
    <w:rsid w:val="005D1F76"/>
    <w:rsid w:val="005D1FFE"/>
    <w:rsid w:val="005D25EC"/>
    <w:rsid w:val="005D2ABC"/>
    <w:rsid w:val="005D2D13"/>
    <w:rsid w:val="005D5383"/>
    <w:rsid w:val="005D54CA"/>
    <w:rsid w:val="005D5717"/>
    <w:rsid w:val="005D5CD7"/>
    <w:rsid w:val="005D6827"/>
    <w:rsid w:val="005D7D4E"/>
    <w:rsid w:val="005D7FB3"/>
    <w:rsid w:val="005E038B"/>
    <w:rsid w:val="005E1543"/>
    <w:rsid w:val="005E18EB"/>
    <w:rsid w:val="005E1D1F"/>
    <w:rsid w:val="005E20BF"/>
    <w:rsid w:val="005E2179"/>
    <w:rsid w:val="005E2647"/>
    <w:rsid w:val="005E28CB"/>
    <w:rsid w:val="005E3EFB"/>
    <w:rsid w:val="005E56E6"/>
    <w:rsid w:val="005E61ED"/>
    <w:rsid w:val="005F128A"/>
    <w:rsid w:val="005F1373"/>
    <w:rsid w:val="005F2092"/>
    <w:rsid w:val="005F4085"/>
    <w:rsid w:val="005F70AA"/>
    <w:rsid w:val="00600B02"/>
    <w:rsid w:val="00600D22"/>
    <w:rsid w:val="00601444"/>
    <w:rsid w:val="006025A4"/>
    <w:rsid w:val="00602EF3"/>
    <w:rsid w:val="006036FD"/>
    <w:rsid w:val="006049B0"/>
    <w:rsid w:val="006109F6"/>
    <w:rsid w:val="0061177B"/>
    <w:rsid w:val="006124DB"/>
    <w:rsid w:val="0061276B"/>
    <w:rsid w:val="0061362E"/>
    <w:rsid w:val="00615341"/>
    <w:rsid w:val="0061616D"/>
    <w:rsid w:val="006163AE"/>
    <w:rsid w:val="00616ADA"/>
    <w:rsid w:val="006175A7"/>
    <w:rsid w:val="006220FA"/>
    <w:rsid w:val="006239C7"/>
    <w:rsid w:val="00623BE6"/>
    <w:rsid w:val="0062454B"/>
    <w:rsid w:val="006252C6"/>
    <w:rsid w:val="0062576C"/>
    <w:rsid w:val="00626033"/>
    <w:rsid w:val="00630505"/>
    <w:rsid w:val="00630922"/>
    <w:rsid w:val="00630E11"/>
    <w:rsid w:val="00631143"/>
    <w:rsid w:val="00631459"/>
    <w:rsid w:val="00631C17"/>
    <w:rsid w:val="0063248E"/>
    <w:rsid w:val="006324CB"/>
    <w:rsid w:val="00632CF0"/>
    <w:rsid w:val="00632E7D"/>
    <w:rsid w:val="006331B0"/>
    <w:rsid w:val="0063415D"/>
    <w:rsid w:val="00634539"/>
    <w:rsid w:val="006345B2"/>
    <w:rsid w:val="006360DB"/>
    <w:rsid w:val="00636B85"/>
    <w:rsid w:val="006375CA"/>
    <w:rsid w:val="00643DC9"/>
    <w:rsid w:val="006460B8"/>
    <w:rsid w:val="0064646B"/>
    <w:rsid w:val="006479EF"/>
    <w:rsid w:val="006514A3"/>
    <w:rsid w:val="006529AA"/>
    <w:rsid w:val="00654707"/>
    <w:rsid w:val="0066010E"/>
    <w:rsid w:val="00660D00"/>
    <w:rsid w:val="00664D23"/>
    <w:rsid w:val="0066658E"/>
    <w:rsid w:val="006668D8"/>
    <w:rsid w:val="00666D5A"/>
    <w:rsid w:val="006672E3"/>
    <w:rsid w:val="00667656"/>
    <w:rsid w:val="00670051"/>
    <w:rsid w:val="00670523"/>
    <w:rsid w:val="00670587"/>
    <w:rsid w:val="00672D7A"/>
    <w:rsid w:val="0067419C"/>
    <w:rsid w:val="00675794"/>
    <w:rsid w:val="006765F9"/>
    <w:rsid w:val="00680333"/>
    <w:rsid w:val="00680E08"/>
    <w:rsid w:val="00681DA9"/>
    <w:rsid w:val="00683C7D"/>
    <w:rsid w:val="006856D8"/>
    <w:rsid w:val="00686D1E"/>
    <w:rsid w:val="00686E4E"/>
    <w:rsid w:val="00687F36"/>
    <w:rsid w:val="00690C0D"/>
    <w:rsid w:val="006915C5"/>
    <w:rsid w:val="00692151"/>
    <w:rsid w:val="00692678"/>
    <w:rsid w:val="00692B5D"/>
    <w:rsid w:val="00693E90"/>
    <w:rsid w:val="00694365"/>
    <w:rsid w:val="0069437A"/>
    <w:rsid w:val="00694B40"/>
    <w:rsid w:val="00695011"/>
    <w:rsid w:val="00696E76"/>
    <w:rsid w:val="00697198"/>
    <w:rsid w:val="00697AE2"/>
    <w:rsid w:val="006A01D7"/>
    <w:rsid w:val="006A424B"/>
    <w:rsid w:val="006A6EF2"/>
    <w:rsid w:val="006A7B6C"/>
    <w:rsid w:val="006B16CD"/>
    <w:rsid w:val="006B22CB"/>
    <w:rsid w:val="006B2C36"/>
    <w:rsid w:val="006B4C20"/>
    <w:rsid w:val="006B5FC7"/>
    <w:rsid w:val="006B664F"/>
    <w:rsid w:val="006B72DC"/>
    <w:rsid w:val="006B7CB1"/>
    <w:rsid w:val="006C0489"/>
    <w:rsid w:val="006C0DF1"/>
    <w:rsid w:val="006C19FF"/>
    <w:rsid w:val="006C4152"/>
    <w:rsid w:val="006C4B0D"/>
    <w:rsid w:val="006C5C95"/>
    <w:rsid w:val="006C70ED"/>
    <w:rsid w:val="006D045D"/>
    <w:rsid w:val="006D05F8"/>
    <w:rsid w:val="006D219A"/>
    <w:rsid w:val="006D2FCF"/>
    <w:rsid w:val="006D3126"/>
    <w:rsid w:val="006D3407"/>
    <w:rsid w:val="006D34ED"/>
    <w:rsid w:val="006D44D3"/>
    <w:rsid w:val="006D49F8"/>
    <w:rsid w:val="006D526E"/>
    <w:rsid w:val="006D52C6"/>
    <w:rsid w:val="006D64A8"/>
    <w:rsid w:val="006D68FE"/>
    <w:rsid w:val="006D6F0C"/>
    <w:rsid w:val="006E02C8"/>
    <w:rsid w:val="006E0832"/>
    <w:rsid w:val="006E11C5"/>
    <w:rsid w:val="006E2139"/>
    <w:rsid w:val="006E2E96"/>
    <w:rsid w:val="006E31DC"/>
    <w:rsid w:val="006E4ADC"/>
    <w:rsid w:val="006E5B1C"/>
    <w:rsid w:val="006E6CC3"/>
    <w:rsid w:val="006F01DD"/>
    <w:rsid w:val="006F10FB"/>
    <w:rsid w:val="006F1799"/>
    <w:rsid w:val="006F1912"/>
    <w:rsid w:val="006F22ED"/>
    <w:rsid w:val="006F2309"/>
    <w:rsid w:val="006F4D78"/>
    <w:rsid w:val="006F511E"/>
    <w:rsid w:val="006F5CBA"/>
    <w:rsid w:val="006F5D72"/>
    <w:rsid w:val="00700807"/>
    <w:rsid w:val="00702538"/>
    <w:rsid w:val="007025D9"/>
    <w:rsid w:val="0070369D"/>
    <w:rsid w:val="00704431"/>
    <w:rsid w:val="007052B7"/>
    <w:rsid w:val="00705A09"/>
    <w:rsid w:val="00710360"/>
    <w:rsid w:val="00714CC3"/>
    <w:rsid w:val="00716505"/>
    <w:rsid w:val="0072002A"/>
    <w:rsid w:val="0072015A"/>
    <w:rsid w:val="00720230"/>
    <w:rsid w:val="00720865"/>
    <w:rsid w:val="00723121"/>
    <w:rsid w:val="007232E0"/>
    <w:rsid w:val="007249B2"/>
    <w:rsid w:val="00724A9A"/>
    <w:rsid w:val="00725BBB"/>
    <w:rsid w:val="007270F4"/>
    <w:rsid w:val="00731276"/>
    <w:rsid w:val="00733729"/>
    <w:rsid w:val="00733D36"/>
    <w:rsid w:val="007340FB"/>
    <w:rsid w:val="00736D1A"/>
    <w:rsid w:val="00737B21"/>
    <w:rsid w:val="007408CB"/>
    <w:rsid w:val="00740F2A"/>
    <w:rsid w:val="0074312B"/>
    <w:rsid w:val="007443F6"/>
    <w:rsid w:val="007453B6"/>
    <w:rsid w:val="007458FA"/>
    <w:rsid w:val="007467DE"/>
    <w:rsid w:val="00747710"/>
    <w:rsid w:val="00747E84"/>
    <w:rsid w:val="00750ADF"/>
    <w:rsid w:val="00753357"/>
    <w:rsid w:val="00755256"/>
    <w:rsid w:val="007552CC"/>
    <w:rsid w:val="00755907"/>
    <w:rsid w:val="007562DA"/>
    <w:rsid w:val="0075756B"/>
    <w:rsid w:val="00757C70"/>
    <w:rsid w:val="0076059A"/>
    <w:rsid w:val="007627D2"/>
    <w:rsid w:val="00762C7C"/>
    <w:rsid w:val="00762FBE"/>
    <w:rsid w:val="007634A9"/>
    <w:rsid w:val="0076356B"/>
    <w:rsid w:val="007651EA"/>
    <w:rsid w:val="007654D5"/>
    <w:rsid w:val="007664E4"/>
    <w:rsid w:val="00766A7A"/>
    <w:rsid w:val="00771BAB"/>
    <w:rsid w:val="00771C54"/>
    <w:rsid w:val="007740BD"/>
    <w:rsid w:val="007747BE"/>
    <w:rsid w:val="00774BF8"/>
    <w:rsid w:val="00775886"/>
    <w:rsid w:val="007768DF"/>
    <w:rsid w:val="007768FB"/>
    <w:rsid w:val="00776F99"/>
    <w:rsid w:val="00777C67"/>
    <w:rsid w:val="007802AD"/>
    <w:rsid w:val="0078047F"/>
    <w:rsid w:val="00780E29"/>
    <w:rsid w:val="00781203"/>
    <w:rsid w:val="00781312"/>
    <w:rsid w:val="00781F73"/>
    <w:rsid w:val="00782FF3"/>
    <w:rsid w:val="00783189"/>
    <w:rsid w:val="007845E1"/>
    <w:rsid w:val="00784ACA"/>
    <w:rsid w:val="00784C55"/>
    <w:rsid w:val="00785927"/>
    <w:rsid w:val="00785982"/>
    <w:rsid w:val="00785B2E"/>
    <w:rsid w:val="00787686"/>
    <w:rsid w:val="00787E50"/>
    <w:rsid w:val="0079063F"/>
    <w:rsid w:val="00793D9F"/>
    <w:rsid w:val="00795EF2"/>
    <w:rsid w:val="007968B8"/>
    <w:rsid w:val="00796B1B"/>
    <w:rsid w:val="007A0B2C"/>
    <w:rsid w:val="007A0FEC"/>
    <w:rsid w:val="007A12C9"/>
    <w:rsid w:val="007A17BB"/>
    <w:rsid w:val="007A272C"/>
    <w:rsid w:val="007A2B3E"/>
    <w:rsid w:val="007A2EE6"/>
    <w:rsid w:val="007A584C"/>
    <w:rsid w:val="007A6EEF"/>
    <w:rsid w:val="007A71AC"/>
    <w:rsid w:val="007A7AF1"/>
    <w:rsid w:val="007B18D0"/>
    <w:rsid w:val="007B1F3E"/>
    <w:rsid w:val="007B21AB"/>
    <w:rsid w:val="007B2E9D"/>
    <w:rsid w:val="007B5E8E"/>
    <w:rsid w:val="007B6843"/>
    <w:rsid w:val="007C0A36"/>
    <w:rsid w:val="007C0B6B"/>
    <w:rsid w:val="007C0D75"/>
    <w:rsid w:val="007C126B"/>
    <w:rsid w:val="007C13B8"/>
    <w:rsid w:val="007C2617"/>
    <w:rsid w:val="007C2FE3"/>
    <w:rsid w:val="007C3072"/>
    <w:rsid w:val="007C38C6"/>
    <w:rsid w:val="007C4D6B"/>
    <w:rsid w:val="007C4FEE"/>
    <w:rsid w:val="007C68B5"/>
    <w:rsid w:val="007C79A2"/>
    <w:rsid w:val="007D1457"/>
    <w:rsid w:val="007D1D5D"/>
    <w:rsid w:val="007D2511"/>
    <w:rsid w:val="007D354A"/>
    <w:rsid w:val="007D41D8"/>
    <w:rsid w:val="007D4FDA"/>
    <w:rsid w:val="007D5AD8"/>
    <w:rsid w:val="007D6269"/>
    <w:rsid w:val="007D62F3"/>
    <w:rsid w:val="007D6425"/>
    <w:rsid w:val="007D7696"/>
    <w:rsid w:val="007E01D5"/>
    <w:rsid w:val="007E120E"/>
    <w:rsid w:val="007E48CF"/>
    <w:rsid w:val="007F00FF"/>
    <w:rsid w:val="007F035B"/>
    <w:rsid w:val="007F1946"/>
    <w:rsid w:val="007F2D88"/>
    <w:rsid w:val="007F31B2"/>
    <w:rsid w:val="007F34B6"/>
    <w:rsid w:val="007F352D"/>
    <w:rsid w:val="007F446E"/>
    <w:rsid w:val="007F497E"/>
    <w:rsid w:val="007F549E"/>
    <w:rsid w:val="007F607A"/>
    <w:rsid w:val="007F6FB1"/>
    <w:rsid w:val="007F71DF"/>
    <w:rsid w:val="0080076A"/>
    <w:rsid w:val="00801EB3"/>
    <w:rsid w:val="00803052"/>
    <w:rsid w:val="008033C2"/>
    <w:rsid w:val="0080342B"/>
    <w:rsid w:val="00803AF3"/>
    <w:rsid w:val="00803DB8"/>
    <w:rsid w:val="00804AA4"/>
    <w:rsid w:val="00805FBE"/>
    <w:rsid w:val="00806A19"/>
    <w:rsid w:val="00806A3A"/>
    <w:rsid w:val="00810570"/>
    <w:rsid w:val="00812232"/>
    <w:rsid w:val="00812AA1"/>
    <w:rsid w:val="008131FA"/>
    <w:rsid w:val="008133C0"/>
    <w:rsid w:val="00814A3A"/>
    <w:rsid w:val="00815A3E"/>
    <w:rsid w:val="008164E8"/>
    <w:rsid w:val="008177EE"/>
    <w:rsid w:val="00820BED"/>
    <w:rsid w:val="00821692"/>
    <w:rsid w:val="00821B54"/>
    <w:rsid w:val="00822091"/>
    <w:rsid w:val="00822725"/>
    <w:rsid w:val="00822A6D"/>
    <w:rsid w:val="00823311"/>
    <w:rsid w:val="00823C69"/>
    <w:rsid w:val="008246E3"/>
    <w:rsid w:val="008259CF"/>
    <w:rsid w:val="00825E35"/>
    <w:rsid w:val="00827686"/>
    <w:rsid w:val="00827EC4"/>
    <w:rsid w:val="00830CC4"/>
    <w:rsid w:val="0083168B"/>
    <w:rsid w:val="00831D33"/>
    <w:rsid w:val="00832D88"/>
    <w:rsid w:val="00832F6E"/>
    <w:rsid w:val="00833354"/>
    <w:rsid w:val="0083338D"/>
    <w:rsid w:val="00833722"/>
    <w:rsid w:val="00833FB6"/>
    <w:rsid w:val="00834BC3"/>
    <w:rsid w:val="00842FE7"/>
    <w:rsid w:val="00844277"/>
    <w:rsid w:val="00844434"/>
    <w:rsid w:val="00844F3B"/>
    <w:rsid w:val="008455EF"/>
    <w:rsid w:val="00845891"/>
    <w:rsid w:val="0084695A"/>
    <w:rsid w:val="00850E16"/>
    <w:rsid w:val="00852018"/>
    <w:rsid w:val="008543E8"/>
    <w:rsid w:val="00856121"/>
    <w:rsid w:val="00856143"/>
    <w:rsid w:val="00860AF0"/>
    <w:rsid w:val="008618B2"/>
    <w:rsid w:val="008626CE"/>
    <w:rsid w:val="0086271D"/>
    <w:rsid w:val="00862760"/>
    <w:rsid w:val="00867A25"/>
    <w:rsid w:val="008700BA"/>
    <w:rsid w:val="00873666"/>
    <w:rsid w:val="0087426E"/>
    <w:rsid w:val="00874736"/>
    <w:rsid w:val="008748B4"/>
    <w:rsid w:val="008751F6"/>
    <w:rsid w:val="00875CD5"/>
    <w:rsid w:val="00876854"/>
    <w:rsid w:val="00876986"/>
    <w:rsid w:val="008769F5"/>
    <w:rsid w:val="00877E49"/>
    <w:rsid w:val="008804BC"/>
    <w:rsid w:val="00880D1A"/>
    <w:rsid w:val="00880D91"/>
    <w:rsid w:val="00881D81"/>
    <w:rsid w:val="00881E2C"/>
    <w:rsid w:val="00882F2B"/>
    <w:rsid w:val="00883566"/>
    <w:rsid w:val="008849FF"/>
    <w:rsid w:val="00884ED9"/>
    <w:rsid w:val="008859AC"/>
    <w:rsid w:val="008869C8"/>
    <w:rsid w:val="00886AC3"/>
    <w:rsid w:val="00896574"/>
    <w:rsid w:val="008979C1"/>
    <w:rsid w:val="008A0025"/>
    <w:rsid w:val="008A2094"/>
    <w:rsid w:val="008A2249"/>
    <w:rsid w:val="008A337D"/>
    <w:rsid w:val="008A338C"/>
    <w:rsid w:val="008A37BA"/>
    <w:rsid w:val="008A4178"/>
    <w:rsid w:val="008A4E18"/>
    <w:rsid w:val="008A571F"/>
    <w:rsid w:val="008A64F4"/>
    <w:rsid w:val="008A674D"/>
    <w:rsid w:val="008A78EC"/>
    <w:rsid w:val="008A7991"/>
    <w:rsid w:val="008A7C07"/>
    <w:rsid w:val="008B0E67"/>
    <w:rsid w:val="008B11C9"/>
    <w:rsid w:val="008B155F"/>
    <w:rsid w:val="008B1863"/>
    <w:rsid w:val="008B1BC6"/>
    <w:rsid w:val="008B6B71"/>
    <w:rsid w:val="008C0158"/>
    <w:rsid w:val="008C174F"/>
    <w:rsid w:val="008C3F3A"/>
    <w:rsid w:val="008C4902"/>
    <w:rsid w:val="008C5042"/>
    <w:rsid w:val="008C544B"/>
    <w:rsid w:val="008D1581"/>
    <w:rsid w:val="008D1BAD"/>
    <w:rsid w:val="008D1C55"/>
    <w:rsid w:val="008D33E2"/>
    <w:rsid w:val="008D4019"/>
    <w:rsid w:val="008D51F3"/>
    <w:rsid w:val="008E051D"/>
    <w:rsid w:val="008E0F34"/>
    <w:rsid w:val="008E1E03"/>
    <w:rsid w:val="008E2B3B"/>
    <w:rsid w:val="008E4A0D"/>
    <w:rsid w:val="008E7142"/>
    <w:rsid w:val="008F093F"/>
    <w:rsid w:val="008F1B64"/>
    <w:rsid w:val="008F2A12"/>
    <w:rsid w:val="008F431C"/>
    <w:rsid w:val="008F43B7"/>
    <w:rsid w:val="008F4901"/>
    <w:rsid w:val="008F5289"/>
    <w:rsid w:val="008F5430"/>
    <w:rsid w:val="008F6AD8"/>
    <w:rsid w:val="008F79E8"/>
    <w:rsid w:val="0090108A"/>
    <w:rsid w:val="00901219"/>
    <w:rsid w:val="00901BA6"/>
    <w:rsid w:val="009042CC"/>
    <w:rsid w:val="00904571"/>
    <w:rsid w:val="00904605"/>
    <w:rsid w:val="00906134"/>
    <w:rsid w:val="00907160"/>
    <w:rsid w:val="009076A8"/>
    <w:rsid w:val="00907EF2"/>
    <w:rsid w:val="00910D95"/>
    <w:rsid w:val="00912314"/>
    <w:rsid w:val="009127A4"/>
    <w:rsid w:val="00912AE9"/>
    <w:rsid w:val="00913D5F"/>
    <w:rsid w:val="00914A3B"/>
    <w:rsid w:val="009159B2"/>
    <w:rsid w:val="0091695C"/>
    <w:rsid w:val="00916A3B"/>
    <w:rsid w:val="009179D3"/>
    <w:rsid w:val="00917B96"/>
    <w:rsid w:val="00920BBD"/>
    <w:rsid w:val="00921D13"/>
    <w:rsid w:val="0092393F"/>
    <w:rsid w:val="00925876"/>
    <w:rsid w:val="0092646E"/>
    <w:rsid w:val="009310B5"/>
    <w:rsid w:val="00931611"/>
    <w:rsid w:val="009329AE"/>
    <w:rsid w:val="00933C53"/>
    <w:rsid w:val="00934C83"/>
    <w:rsid w:val="009369AE"/>
    <w:rsid w:val="0094439D"/>
    <w:rsid w:val="00944AFA"/>
    <w:rsid w:val="00945650"/>
    <w:rsid w:val="00945FE2"/>
    <w:rsid w:val="0094621D"/>
    <w:rsid w:val="00950727"/>
    <w:rsid w:val="009508E4"/>
    <w:rsid w:val="00951E7E"/>
    <w:rsid w:val="00951FDB"/>
    <w:rsid w:val="009522DA"/>
    <w:rsid w:val="00953E02"/>
    <w:rsid w:val="00954323"/>
    <w:rsid w:val="00954BC2"/>
    <w:rsid w:val="009567B8"/>
    <w:rsid w:val="00957E7E"/>
    <w:rsid w:val="00960D34"/>
    <w:rsid w:val="009611D2"/>
    <w:rsid w:val="009621A0"/>
    <w:rsid w:val="00962BC2"/>
    <w:rsid w:val="00964224"/>
    <w:rsid w:val="0096696A"/>
    <w:rsid w:val="00967201"/>
    <w:rsid w:val="00967C74"/>
    <w:rsid w:val="00971FDA"/>
    <w:rsid w:val="009722A8"/>
    <w:rsid w:val="00972548"/>
    <w:rsid w:val="009728FF"/>
    <w:rsid w:val="00974888"/>
    <w:rsid w:val="00974B47"/>
    <w:rsid w:val="00974D53"/>
    <w:rsid w:val="00974D5D"/>
    <w:rsid w:val="009760C4"/>
    <w:rsid w:val="00976E27"/>
    <w:rsid w:val="009772A5"/>
    <w:rsid w:val="00977550"/>
    <w:rsid w:val="00980B5D"/>
    <w:rsid w:val="00981173"/>
    <w:rsid w:val="00981A75"/>
    <w:rsid w:val="00981F83"/>
    <w:rsid w:val="009841A8"/>
    <w:rsid w:val="009868BE"/>
    <w:rsid w:val="00986B64"/>
    <w:rsid w:val="00986EFA"/>
    <w:rsid w:val="009876A4"/>
    <w:rsid w:val="009917E9"/>
    <w:rsid w:val="00992416"/>
    <w:rsid w:val="00993789"/>
    <w:rsid w:val="00994B4C"/>
    <w:rsid w:val="00994F61"/>
    <w:rsid w:val="00996057"/>
    <w:rsid w:val="00996394"/>
    <w:rsid w:val="00996C89"/>
    <w:rsid w:val="009979B9"/>
    <w:rsid w:val="009A03C7"/>
    <w:rsid w:val="009A0703"/>
    <w:rsid w:val="009A1399"/>
    <w:rsid w:val="009A22FD"/>
    <w:rsid w:val="009A2ED6"/>
    <w:rsid w:val="009A31E7"/>
    <w:rsid w:val="009A546A"/>
    <w:rsid w:val="009A621C"/>
    <w:rsid w:val="009A6677"/>
    <w:rsid w:val="009A6C66"/>
    <w:rsid w:val="009A6EF9"/>
    <w:rsid w:val="009A7BBC"/>
    <w:rsid w:val="009B2A11"/>
    <w:rsid w:val="009B5581"/>
    <w:rsid w:val="009B5940"/>
    <w:rsid w:val="009B63ED"/>
    <w:rsid w:val="009B710D"/>
    <w:rsid w:val="009C3862"/>
    <w:rsid w:val="009C4171"/>
    <w:rsid w:val="009C475C"/>
    <w:rsid w:val="009C5878"/>
    <w:rsid w:val="009C60A5"/>
    <w:rsid w:val="009C75C9"/>
    <w:rsid w:val="009D1492"/>
    <w:rsid w:val="009D169E"/>
    <w:rsid w:val="009D17E7"/>
    <w:rsid w:val="009D2602"/>
    <w:rsid w:val="009D3234"/>
    <w:rsid w:val="009D41B7"/>
    <w:rsid w:val="009D5CA7"/>
    <w:rsid w:val="009D65CD"/>
    <w:rsid w:val="009D6E2E"/>
    <w:rsid w:val="009D7298"/>
    <w:rsid w:val="009E03C7"/>
    <w:rsid w:val="009E12B5"/>
    <w:rsid w:val="009E3C1C"/>
    <w:rsid w:val="009E3F6F"/>
    <w:rsid w:val="009E6ACB"/>
    <w:rsid w:val="009F1043"/>
    <w:rsid w:val="009F2D78"/>
    <w:rsid w:val="009F36CA"/>
    <w:rsid w:val="009F4FE2"/>
    <w:rsid w:val="009F58F9"/>
    <w:rsid w:val="009F6167"/>
    <w:rsid w:val="009F752A"/>
    <w:rsid w:val="00A003BE"/>
    <w:rsid w:val="00A00EE1"/>
    <w:rsid w:val="00A022AB"/>
    <w:rsid w:val="00A02B33"/>
    <w:rsid w:val="00A03435"/>
    <w:rsid w:val="00A03567"/>
    <w:rsid w:val="00A0385F"/>
    <w:rsid w:val="00A0678D"/>
    <w:rsid w:val="00A06C2D"/>
    <w:rsid w:val="00A079D0"/>
    <w:rsid w:val="00A11132"/>
    <w:rsid w:val="00A11756"/>
    <w:rsid w:val="00A11969"/>
    <w:rsid w:val="00A157B9"/>
    <w:rsid w:val="00A158FB"/>
    <w:rsid w:val="00A1712E"/>
    <w:rsid w:val="00A17F2D"/>
    <w:rsid w:val="00A20667"/>
    <w:rsid w:val="00A22348"/>
    <w:rsid w:val="00A243D6"/>
    <w:rsid w:val="00A24C62"/>
    <w:rsid w:val="00A254EC"/>
    <w:rsid w:val="00A25F51"/>
    <w:rsid w:val="00A26182"/>
    <w:rsid w:val="00A30382"/>
    <w:rsid w:val="00A30CEC"/>
    <w:rsid w:val="00A32604"/>
    <w:rsid w:val="00A32EF3"/>
    <w:rsid w:val="00A33959"/>
    <w:rsid w:val="00A35312"/>
    <w:rsid w:val="00A354C8"/>
    <w:rsid w:val="00A407E6"/>
    <w:rsid w:val="00A417AE"/>
    <w:rsid w:val="00A43345"/>
    <w:rsid w:val="00A447E6"/>
    <w:rsid w:val="00A463E3"/>
    <w:rsid w:val="00A50AD6"/>
    <w:rsid w:val="00A50D0F"/>
    <w:rsid w:val="00A50E2B"/>
    <w:rsid w:val="00A51495"/>
    <w:rsid w:val="00A54097"/>
    <w:rsid w:val="00A57661"/>
    <w:rsid w:val="00A58CAB"/>
    <w:rsid w:val="00A60E34"/>
    <w:rsid w:val="00A62074"/>
    <w:rsid w:val="00A62395"/>
    <w:rsid w:val="00A62606"/>
    <w:rsid w:val="00A62EA7"/>
    <w:rsid w:val="00A63274"/>
    <w:rsid w:val="00A6459E"/>
    <w:rsid w:val="00A64686"/>
    <w:rsid w:val="00A64CAE"/>
    <w:rsid w:val="00A6578C"/>
    <w:rsid w:val="00A71A0A"/>
    <w:rsid w:val="00A72227"/>
    <w:rsid w:val="00A72CC1"/>
    <w:rsid w:val="00A73E12"/>
    <w:rsid w:val="00A748F2"/>
    <w:rsid w:val="00A74939"/>
    <w:rsid w:val="00A76AED"/>
    <w:rsid w:val="00A77B52"/>
    <w:rsid w:val="00A77BE7"/>
    <w:rsid w:val="00A80044"/>
    <w:rsid w:val="00A81845"/>
    <w:rsid w:val="00A8271D"/>
    <w:rsid w:val="00A82B34"/>
    <w:rsid w:val="00A83611"/>
    <w:rsid w:val="00A84B21"/>
    <w:rsid w:val="00A8580C"/>
    <w:rsid w:val="00A85A45"/>
    <w:rsid w:val="00A85F3E"/>
    <w:rsid w:val="00A86A92"/>
    <w:rsid w:val="00A86CEB"/>
    <w:rsid w:val="00A90AA5"/>
    <w:rsid w:val="00A912BA"/>
    <w:rsid w:val="00A924F3"/>
    <w:rsid w:val="00A92AF0"/>
    <w:rsid w:val="00A94369"/>
    <w:rsid w:val="00A97923"/>
    <w:rsid w:val="00AA0E31"/>
    <w:rsid w:val="00AA1803"/>
    <w:rsid w:val="00AA20EA"/>
    <w:rsid w:val="00AA446F"/>
    <w:rsid w:val="00AA59A6"/>
    <w:rsid w:val="00AA739B"/>
    <w:rsid w:val="00AB0D80"/>
    <w:rsid w:val="00AB16D9"/>
    <w:rsid w:val="00AB1C49"/>
    <w:rsid w:val="00AB1FC8"/>
    <w:rsid w:val="00AB284D"/>
    <w:rsid w:val="00AB2F02"/>
    <w:rsid w:val="00AB304E"/>
    <w:rsid w:val="00AB6C17"/>
    <w:rsid w:val="00AC0A9D"/>
    <w:rsid w:val="00AC0C9E"/>
    <w:rsid w:val="00AC20C0"/>
    <w:rsid w:val="00AC2876"/>
    <w:rsid w:val="00AC3349"/>
    <w:rsid w:val="00AC33C8"/>
    <w:rsid w:val="00AC449A"/>
    <w:rsid w:val="00AC4C13"/>
    <w:rsid w:val="00AC4C74"/>
    <w:rsid w:val="00AC4CD2"/>
    <w:rsid w:val="00AC5D5B"/>
    <w:rsid w:val="00AC7BE1"/>
    <w:rsid w:val="00AD059B"/>
    <w:rsid w:val="00AD102A"/>
    <w:rsid w:val="00AD1502"/>
    <w:rsid w:val="00AD1796"/>
    <w:rsid w:val="00AD1974"/>
    <w:rsid w:val="00AD2353"/>
    <w:rsid w:val="00AD239A"/>
    <w:rsid w:val="00AD26D4"/>
    <w:rsid w:val="00AD3102"/>
    <w:rsid w:val="00AD3EDC"/>
    <w:rsid w:val="00AD4BF1"/>
    <w:rsid w:val="00AD505E"/>
    <w:rsid w:val="00AD5CCC"/>
    <w:rsid w:val="00AD6CC5"/>
    <w:rsid w:val="00AD713A"/>
    <w:rsid w:val="00AD7E0B"/>
    <w:rsid w:val="00AE0E58"/>
    <w:rsid w:val="00AE594A"/>
    <w:rsid w:val="00AF0189"/>
    <w:rsid w:val="00AF061D"/>
    <w:rsid w:val="00AF12CE"/>
    <w:rsid w:val="00AF3FE0"/>
    <w:rsid w:val="00AF45EB"/>
    <w:rsid w:val="00AF4794"/>
    <w:rsid w:val="00AF695E"/>
    <w:rsid w:val="00AF7191"/>
    <w:rsid w:val="00AF7C74"/>
    <w:rsid w:val="00B001EB"/>
    <w:rsid w:val="00B004D7"/>
    <w:rsid w:val="00B00586"/>
    <w:rsid w:val="00B00972"/>
    <w:rsid w:val="00B0098B"/>
    <w:rsid w:val="00B0271B"/>
    <w:rsid w:val="00B041BF"/>
    <w:rsid w:val="00B06B70"/>
    <w:rsid w:val="00B16A33"/>
    <w:rsid w:val="00B17AC0"/>
    <w:rsid w:val="00B17B7B"/>
    <w:rsid w:val="00B17D41"/>
    <w:rsid w:val="00B21333"/>
    <w:rsid w:val="00B24AD9"/>
    <w:rsid w:val="00B25959"/>
    <w:rsid w:val="00B267CA"/>
    <w:rsid w:val="00B32A7C"/>
    <w:rsid w:val="00B3572E"/>
    <w:rsid w:val="00B40734"/>
    <w:rsid w:val="00B40C90"/>
    <w:rsid w:val="00B41FAA"/>
    <w:rsid w:val="00B44EFF"/>
    <w:rsid w:val="00B46F12"/>
    <w:rsid w:val="00B5134D"/>
    <w:rsid w:val="00B516F5"/>
    <w:rsid w:val="00B5413B"/>
    <w:rsid w:val="00B54341"/>
    <w:rsid w:val="00B559F2"/>
    <w:rsid w:val="00B56DBF"/>
    <w:rsid w:val="00B57130"/>
    <w:rsid w:val="00B57816"/>
    <w:rsid w:val="00B57D82"/>
    <w:rsid w:val="00B6087C"/>
    <w:rsid w:val="00B60E4E"/>
    <w:rsid w:val="00B61973"/>
    <w:rsid w:val="00B61ED6"/>
    <w:rsid w:val="00B62E41"/>
    <w:rsid w:val="00B6403E"/>
    <w:rsid w:val="00B65E5A"/>
    <w:rsid w:val="00B66C2A"/>
    <w:rsid w:val="00B6741C"/>
    <w:rsid w:val="00B70AD6"/>
    <w:rsid w:val="00B710C6"/>
    <w:rsid w:val="00B71940"/>
    <w:rsid w:val="00B72D36"/>
    <w:rsid w:val="00B735E5"/>
    <w:rsid w:val="00B743E8"/>
    <w:rsid w:val="00B75FEC"/>
    <w:rsid w:val="00B76239"/>
    <w:rsid w:val="00B775F5"/>
    <w:rsid w:val="00B808E4"/>
    <w:rsid w:val="00B810C9"/>
    <w:rsid w:val="00B81A7D"/>
    <w:rsid w:val="00B823A3"/>
    <w:rsid w:val="00B83729"/>
    <w:rsid w:val="00B839FB"/>
    <w:rsid w:val="00B83DFF"/>
    <w:rsid w:val="00B84A9F"/>
    <w:rsid w:val="00B85C12"/>
    <w:rsid w:val="00B8620B"/>
    <w:rsid w:val="00B909F2"/>
    <w:rsid w:val="00B928DE"/>
    <w:rsid w:val="00B92912"/>
    <w:rsid w:val="00B92BEA"/>
    <w:rsid w:val="00B95605"/>
    <w:rsid w:val="00B968AA"/>
    <w:rsid w:val="00B96B6A"/>
    <w:rsid w:val="00BA0943"/>
    <w:rsid w:val="00BA0C81"/>
    <w:rsid w:val="00BA1F04"/>
    <w:rsid w:val="00BA21E1"/>
    <w:rsid w:val="00BA23ED"/>
    <w:rsid w:val="00BA423F"/>
    <w:rsid w:val="00BA64E8"/>
    <w:rsid w:val="00BA6512"/>
    <w:rsid w:val="00BA75BB"/>
    <w:rsid w:val="00BA7CD8"/>
    <w:rsid w:val="00BB0343"/>
    <w:rsid w:val="00BB09F8"/>
    <w:rsid w:val="00BB0DDB"/>
    <w:rsid w:val="00BB235B"/>
    <w:rsid w:val="00BB27EB"/>
    <w:rsid w:val="00BB344E"/>
    <w:rsid w:val="00BB3CBD"/>
    <w:rsid w:val="00BB458D"/>
    <w:rsid w:val="00BB5CDE"/>
    <w:rsid w:val="00BB6000"/>
    <w:rsid w:val="00BB600D"/>
    <w:rsid w:val="00BB72F4"/>
    <w:rsid w:val="00BB7D5B"/>
    <w:rsid w:val="00BC0BB3"/>
    <w:rsid w:val="00BC0E8D"/>
    <w:rsid w:val="00BC10BC"/>
    <w:rsid w:val="00BC17C3"/>
    <w:rsid w:val="00BC23FB"/>
    <w:rsid w:val="00BC2458"/>
    <w:rsid w:val="00BC6254"/>
    <w:rsid w:val="00BD05FC"/>
    <w:rsid w:val="00BD2B8D"/>
    <w:rsid w:val="00BD3834"/>
    <w:rsid w:val="00BD5923"/>
    <w:rsid w:val="00BD6750"/>
    <w:rsid w:val="00BD7018"/>
    <w:rsid w:val="00BD7A6B"/>
    <w:rsid w:val="00BD7D58"/>
    <w:rsid w:val="00BD7DD0"/>
    <w:rsid w:val="00BE0493"/>
    <w:rsid w:val="00BF4442"/>
    <w:rsid w:val="00BF487A"/>
    <w:rsid w:val="00BF5642"/>
    <w:rsid w:val="00BF640F"/>
    <w:rsid w:val="00BF7129"/>
    <w:rsid w:val="00C033E7"/>
    <w:rsid w:val="00C04166"/>
    <w:rsid w:val="00C07DF4"/>
    <w:rsid w:val="00C10836"/>
    <w:rsid w:val="00C11FD0"/>
    <w:rsid w:val="00C122BA"/>
    <w:rsid w:val="00C12D78"/>
    <w:rsid w:val="00C14885"/>
    <w:rsid w:val="00C15234"/>
    <w:rsid w:val="00C15A52"/>
    <w:rsid w:val="00C15E83"/>
    <w:rsid w:val="00C1632D"/>
    <w:rsid w:val="00C170C0"/>
    <w:rsid w:val="00C17DE9"/>
    <w:rsid w:val="00C204A6"/>
    <w:rsid w:val="00C2197D"/>
    <w:rsid w:val="00C22DAC"/>
    <w:rsid w:val="00C2352A"/>
    <w:rsid w:val="00C23BD1"/>
    <w:rsid w:val="00C300E4"/>
    <w:rsid w:val="00C303A9"/>
    <w:rsid w:val="00C303F0"/>
    <w:rsid w:val="00C306A7"/>
    <w:rsid w:val="00C30CD3"/>
    <w:rsid w:val="00C310C0"/>
    <w:rsid w:val="00C31569"/>
    <w:rsid w:val="00C31905"/>
    <w:rsid w:val="00C31AF7"/>
    <w:rsid w:val="00C33CFA"/>
    <w:rsid w:val="00C344E9"/>
    <w:rsid w:val="00C35F90"/>
    <w:rsid w:val="00C36BFD"/>
    <w:rsid w:val="00C37C60"/>
    <w:rsid w:val="00C42588"/>
    <w:rsid w:val="00C443EA"/>
    <w:rsid w:val="00C449C8"/>
    <w:rsid w:val="00C451D8"/>
    <w:rsid w:val="00C4636A"/>
    <w:rsid w:val="00C4663F"/>
    <w:rsid w:val="00C51EEC"/>
    <w:rsid w:val="00C5303D"/>
    <w:rsid w:val="00C53328"/>
    <w:rsid w:val="00C53BC4"/>
    <w:rsid w:val="00C55A51"/>
    <w:rsid w:val="00C55A71"/>
    <w:rsid w:val="00C608B8"/>
    <w:rsid w:val="00C610FD"/>
    <w:rsid w:val="00C632AD"/>
    <w:rsid w:val="00C6348B"/>
    <w:rsid w:val="00C63620"/>
    <w:rsid w:val="00C66BC5"/>
    <w:rsid w:val="00C67434"/>
    <w:rsid w:val="00C70077"/>
    <w:rsid w:val="00C704AA"/>
    <w:rsid w:val="00C70CC9"/>
    <w:rsid w:val="00C71652"/>
    <w:rsid w:val="00C7184D"/>
    <w:rsid w:val="00C72DC0"/>
    <w:rsid w:val="00C76AC4"/>
    <w:rsid w:val="00C779B2"/>
    <w:rsid w:val="00C77F54"/>
    <w:rsid w:val="00C80798"/>
    <w:rsid w:val="00C818BD"/>
    <w:rsid w:val="00C81B55"/>
    <w:rsid w:val="00C822E1"/>
    <w:rsid w:val="00C82687"/>
    <w:rsid w:val="00C82A5B"/>
    <w:rsid w:val="00C8447D"/>
    <w:rsid w:val="00C84DE1"/>
    <w:rsid w:val="00C8517B"/>
    <w:rsid w:val="00C85CAB"/>
    <w:rsid w:val="00C85F05"/>
    <w:rsid w:val="00C865A9"/>
    <w:rsid w:val="00C872A0"/>
    <w:rsid w:val="00C90EE5"/>
    <w:rsid w:val="00C93677"/>
    <w:rsid w:val="00C94FA3"/>
    <w:rsid w:val="00C9589E"/>
    <w:rsid w:val="00C95F1F"/>
    <w:rsid w:val="00C95FC8"/>
    <w:rsid w:val="00C97809"/>
    <w:rsid w:val="00C97DDC"/>
    <w:rsid w:val="00CA1905"/>
    <w:rsid w:val="00CA2E36"/>
    <w:rsid w:val="00CA396C"/>
    <w:rsid w:val="00CA3D17"/>
    <w:rsid w:val="00CA5380"/>
    <w:rsid w:val="00CB04A3"/>
    <w:rsid w:val="00CB0B25"/>
    <w:rsid w:val="00CB1B3B"/>
    <w:rsid w:val="00CB28CD"/>
    <w:rsid w:val="00CB5257"/>
    <w:rsid w:val="00CB52E3"/>
    <w:rsid w:val="00CB540B"/>
    <w:rsid w:val="00CC014E"/>
    <w:rsid w:val="00CC1054"/>
    <w:rsid w:val="00CC22A8"/>
    <w:rsid w:val="00CC4104"/>
    <w:rsid w:val="00CC665E"/>
    <w:rsid w:val="00CC6E87"/>
    <w:rsid w:val="00CC79E0"/>
    <w:rsid w:val="00CD059B"/>
    <w:rsid w:val="00CD1748"/>
    <w:rsid w:val="00CD251B"/>
    <w:rsid w:val="00CD25B8"/>
    <w:rsid w:val="00CD5E06"/>
    <w:rsid w:val="00CD670F"/>
    <w:rsid w:val="00CE0290"/>
    <w:rsid w:val="00CE0BF0"/>
    <w:rsid w:val="00CE0EF4"/>
    <w:rsid w:val="00CE0FA9"/>
    <w:rsid w:val="00CE1258"/>
    <w:rsid w:val="00CE2BEB"/>
    <w:rsid w:val="00CE3842"/>
    <w:rsid w:val="00CE4800"/>
    <w:rsid w:val="00CE51EE"/>
    <w:rsid w:val="00CE57AA"/>
    <w:rsid w:val="00CE7F54"/>
    <w:rsid w:val="00CF0BB6"/>
    <w:rsid w:val="00CF2BA3"/>
    <w:rsid w:val="00CF3423"/>
    <w:rsid w:val="00CF4C38"/>
    <w:rsid w:val="00D00330"/>
    <w:rsid w:val="00D0089D"/>
    <w:rsid w:val="00D00FD6"/>
    <w:rsid w:val="00D012B0"/>
    <w:rsid w:val="00D027E6"/>
    <w:rsid w:val="00D02E83"/>
    <w:rsid w:val="00D03079"/>
    <w:rsid w:val="00D03616"/>
    <w:rsid w:val="00D03F7E"/>
    <w:rsid w:val="00D05841"/>
    <w:rsid w:val="00D05C27"/>
    <w:rsid w:val="00D05D30"/>
    <w:rsid w:val="00D05F8E"/>
    <w:rsid w:val="00D07BB7"/>
    <w:rsid w:val="00D10BDF"/>
    <w:rsid w:val="00D110CF"/>
    <w:rsid w:val="00D1186B"/>
    <w:rsid w:val="00D11C10"/>
    <w:rsid w:val="00D12DCB"/>
    <w:rsid w:val="00D132FA"/>
    <w:rsid w:val="00D144D9"/>
    <w:rsid w:val="00D1582D"/>
    <w:rsid w:val="00D15D33"/>
    <w:rsid w:val="00D1749C"/>
    <w:rsid w:val="00D202A1"/>
    <w:rsid w:val="00D20CE3"/>
    <w:rsid w:val="00D214C1"/>
    <w:rsid w:val="00D228CE"/>
    <w:rsid w:val="00D23477"/>
    <w:rsid w:val="00D23754"/>
    <w:rsid w:val="00D24728"/>
    <w:rsid w:val="00D25027"/>
    <w:rsid w:val="00D254BA"/>
    <w:rsid w:val="00D256CC"/>
    <w:rsid w:val="00D2585B"/>
    <w:rsid w:val="00D305E7"/>
    <w:rsid w:val="00D31519"/>
    <w:rsid w:val="00D31E7C"/>
    <w:rsid w:val="00D32C28"/>
    <w:rsid w:val="00D3428F"/>
    <w:rsid w:val="00D3493F"/>
    <w:rsid w:val="00D34D18"/>
    <w:rsid w:val="00D35071"/>
    <w:rsid w:val="00D37B8F"/>
    <w:rsid w:val="00D37D8A"/>
    <w:rsid w:val="00D40574"/>
    <w:rsid w:val="00D41A52"/>
    <w:rsid w:val="00D43653"/>
    <w:rsid w:val="00D44789"/>
    <w:rsid w:val="00D46800"/>
    <w:rsid w:val="00D46C7E"/>
    <w:rsid w:val="00D46D6E"/>
    <w:rsid w:val="00D4786B"/>
    <w:rsid w:val="00D50B41"/>
    <w:rsid w:val="00D50E0E"/>
    <w:rsid w:val="00D51662"/>
    <w:rsid w:val="00D519B7"/>
    <w:rsid w:val="00D51D7E"/>
    <w:rsid w:val="00D54C49"/>
    <w:rsid w:val="00D55598"/>
    <w:rsid w:val="00D557BF"/>
    <w:rsid w:val="00D56517"/>
    <w:rsid w:val="00D571B4"/>
    <w:rsid w:val="00D60C9C"/>
    <w:rsid w:val="00D6289E"/>
    <w:rsid w:val="00D6337A"/>
    <w:rsid w:val="00D63C8B"/>
    <w:rsid w:val="00D63CFD"/>
    <w:rsid w:val="00D641D6"/>
    <w:rsid w:val="00D65888"/>
    <w:rsid w:val="00D66301"/>
    <w:rsid w:val="00D701DD"/>
    <w:rsid w:val="00D70B1F"/>
    <w:rsid w:val="00D717AD"/>
    <w:rsid w:val="00D72659"/>
    <w:rsid w:val="00D72C6E"/>
    <w:rsid w:val="00D72DDD"/>
    <w:rsid w:val="00D7419B"/>
    <w:rsid w:val="00D742B5"/>
    <w:rsid w:val="00D7654E"/>
    <w:rsid w:val="00D80209"/>
    <w:rsid w:val="00D8047B"/>
    <w:rsid w:val="00D81445"/>
    <w:rsid w:val="00D82509"/>
    <w:rsid w:val="00D825EA"/>
    <w:rsid w:val="00D82A17"/>
    <w:rsid w:val="00D83995"/>
    <w:rsid w:val="00D83CC0"/>
    <w:rsid w:val="00D83D8F"/>
    <w:rsid w:val="00D84607"/>
    <w:rsid w:val="00D84901"/>
    <w:rsid w:val="00D86250"/>
    <w:rsid w:val="00D8651C"/>
    <w:rsid w:val="00D86879"/>
    <w:rsid w:val="00D8695D"/>
    <w:rsid w:val="00D87EFC"/>
    <w:rsid w:val="00D91654"/>
    <w:rsid w:val="00D93768"/>
    <w:rsid w:val="00D93CB3"/>
    <w:rsid w:val="00D95665"/>
    <w:rsid w:val="00D96D6A"/>
    <w:rsid w:val="00D96F97"/>
    <w:rsid w:val="00D97421"/>
    <w:rsid w:val="00D97481"/>
    <w:rsid w:val="00D97C66"/>
    <w:rsid w:val="00DA10A4"/>
    <w:rsid w:val="00DA1B90"/>
    <w:rsid w:val="00DA42B5"/>
    <w:rsid w:val="00DA5B20"/>
    <w:rsid w:val="00DA70B4"/>
    <w:rsid w:val="00DA78F5"/>
    <w:rsid w:val="00DB0CC6"/>
    <w:rsid w:val="00DB32BF"/>
    <w:rsid w:val="00DB3ABE"/>
    <w:rsid w:val="00DB5B03"/>
    <w:rsid w:val="00DB6078"/>
    <w:rsid w:val="00DB63A4"/>
    <w:rsid w:val="00DB76D9"/>
    <w:rsid w:val="00DB7A60"/>
    <w:rsid w:val="00DC0E99"/>
    <w:rsid w:val="00DC162F"/>
    <w:rsid w:val="00DC2E09"/>
    <w:rsid w:val="00DC330A"/>
    <w:rsid w:val="00DC4A62"/>
    <w:rsid w:val="00DC6559"/>
    <w:rsid w:val="00DC6563"/>
    <w:rsid w:val="00DC6A5E"/>
    <w:rsid w:val="00DC7221"/>
    <w:rsid w:val="00DD0F62"/>
    <w:rsid w:val="00DD20B7"/>
    <w:rsid w:val="00DD233A"/>
    <w:rsid w:val="00DD254F"/>
    <w:rsid w:val="00DD2820"/>
    <w:rsid w:val="00DD54CA"/>
    <w:rsid w:val="00DD57EB"/>
    <w:rsid w:val="00DD5DE3"/>
    <w:rsid w:val="00DD5F50"/>
    <w:rsid w:val="00DD7206"/>
    <w:rsid w:val="00DD7D54"/>
    <w:rsid w:val="00DE04F8"/>
    <w:rsid w:val="00DE069B"/>
    <w:rsid w:val="00DE096C"/>
    <w:rsid w:val="00DE1FFC"/>
    <w:rsid w:val="00DE2D03"/>
    <w:rsid w:val="00DE368D"/>
    <w:rsid w:val="00DE38DF"/>
    <w:rsid w:val="00DE3B47"/>
    <w:rsid w:val="00DE3D20"/>
    <w:rsid w:val="00DE4028"/>
    <w:rsid w:val="00DE43D9"/>
    <w:rsid w:val="00DE6CFB"/>
    <w:rsid w:val="00DE7017"/>
    <w:rsid w:val="00DE76B9"/>
    <w:rsid w:val="00DF0540"/>
    <w:rsid w:val="00DF1356"/>
    <w:rsid w:val="00DF505B"/>
    <w:rsid w:val="00DF631B"/>
    <w:rsid w:val="00DF78FB"/>
    <w:rsid w:val="00E005BB"/>
    <w:rsid w:val="00E006CC"/>
    <w:rsid w:val="00E00849"/>
    <w:rsid w:val="00E019D5"/>
    <w:rsid w:val="00E02095"/>
    <w:rsid w:val="00E05350"/>
    <w:rsid w:val="00E05851"/>
    <w:rsid w:val="00E05AD0"/>
    <w:rsid w:val="00E11F9C"/>
    <w:rsid w:val="00E125C6"/>
    <w:rsid w:val="00E162B6"/>
    <w:rsid w:val="00E1739F"/>
    <w:rsid w:val="00E1762B"/>
    <w:rsid w:val="00E179DC"/>
    <w:rsid w:val="00E20610"/>
    <w:rsid w:val="00E24AAC"/>
    <w:rsid w:val="00E258BC"/>
    <w:rsid w:val="00E25EE0"/>
    <w:rsid w:val="00E25FA3"/>
    <w:rsid w:val="00E30C19"/>
    <w:rsid w:val="00E3116D"/>
    <w:rsid w:val="00E37663"/>
    <w:rsid w:val="00E3787C"/>
    <w:rsid w:val="00E37E61"/>
    <w:rsid w:val="00E43E68"/>
    <w:rsid w:val="00E44556"/>
    <w:rsid w:val="00E44D46"/>
    <w:rsid w:val="00E454E2"/>
    <w:rsid w:val="00E458FF"/>
    <w:rsid w:val="00E46472"/>
    <w:rsid w:val="00E46890"/>
    <w:rsid w:val="00E46E66"/>
    <w:rsid w:val="00E4787F"/>
    <w:rsid w:val="00E50592"/>
    <w:rsid w:val="00E50A96"/>
    <w:rsid w:val="00E50ECC"/>
    <w:rsid w:val="00E523AE"/>
    <w:rsid w:val="00E52E82"/>
    <w:rsid w:val="00E52F76"/>
    <w:rsid w:val="00E537FF"/>
    <w:rsid w:val="00E556FA"/>
    <w:rsid w:val="00E557C1"/>
    <w:rsid w:val="00E565FB"/>
    <w:rsid w:val="00E56885"/>
    <w:rsid w:val="00E56AC9"/>
    <w:rsid w:val="00E577BF"/>
    <w:rsid w:val="00E60DC6"/>
    <w:rsid w:val="00E61319"/>
    <w:rsid w:val="00E65DDE"/>
    <w:rsid w:val="00E669C4"/>
    <w:rsid w:val="00E66EAD"/>
    <w:rsid w:val="00E6740C"/>
    <w:rsid w:val="00E7030A"/>
    <w:rsid w:val="00E70DF0"/>
    <w:rsid w:val="00E70E21"/>
    <w:rsid w:val="00E70FCB"/>
    <w:rsid w:val="00E71027"/>
    <w:rsid w:val="00E71691"/>
    <w:rsid w:val="00E71D99"/>
    <w:rsid w:val="00E71FB7"/>
    <w:rsid w:val="00E72466"/>
    <w:rsid w:val="00E725B6"/>
    <w:rsid w:val="00E72ED0"/>
    <w:rsid w:val="00E759AB"/>
    <w:rsid w:val="00E75ACD"/>
    <w:rsid w:val="00E76ADF"/>
    <w:rsid w:val="00E81AA1"/>
    <w:rsid w:val="00E821BF"/>
    <w:rsid w:val="00E835E9"/>
    <w:rsid w:val="00E840AA"/>
    <w:rsid w:val="00E85252"/>
    <w:rsid w:val="00E85665"/>
    <w:rsid w:val="00E858C0"/>
    <w:rsid w:val="00E8692D"/>
    <w:rsid w:val="00E87299"/>
    <w:rsid w:val="00E909DF"/>
    <w:rsid w:val="00E90EE0"/>
    <w:rsid w:val="00E92647"/>
    <w:rsid w:val="00E940B0"/>
    <w:rsid w:val="00E950BC"/>
    <w:rsid w:val="00E95510"/>
    <w:rsid w:val="00E95FC7"/>
    <w:rsid w:val="00EA120A"/>
    <w:rsid w:val="00EA1480"/>
    <w:rsid w:val="00EA2ABA"/>
    <w:rsid w:val="00EA2E7A"/>
    <w:rsid w:val="00EA3BAC"/>
    <w:rsid w:val="00EA4B05"/>
    <w:rsid w:val="00EA5046"/>
    <w:rsid w:val="00EA546C"/>
    <w:rsid w:val="00EA5653"/>
    <w:rsid w:val="00EA5B26"/>
    <w:rsid w:val="00EA5B42"/>
    <w:rsid w:val="00EA70FF"/>
    <w:rsid w:val="00EA7911"/>
    <w:rsid w:val="00EA7C36"/>
    <w:rsid w:val="00EB1EB7"/>
    <w:rsid w:val="00EB264B"/>
    <w:rsid w:val="00EB30C9"/>
    <w:rsid w:val="00EB31F4"/>
    <w:rsid w:val="00EB37BB"/>
    <w:rsid w:val="00EB4370"/>
    <w:rsid w:val="00EB5A71"/>
    <w:rsid w:val="00EB6D36"/>
    <w:rsid w:val="00EC26B0"/>
    <w:rsid w:val="00EC3897"/>
    <w:rsid w:val="00EC3E42"/>
    <w:rsid w:val="00EC3E4C"/>
    <w:rsid w:val="00EC4745"/>
    <w:rsid w:val="00EC4FED"/>
    <w:rsid w:val="00EC5A36"/>
    <w:rsid w:val="00EC6B24"/>
    <w:rsid w:val="00EC7073"/>
    <w:rsid w:val="00EC7600"/>
    <w:rsid w:val="00ED3388"/>
    <w:rsid w:val="00ED440C"/>
    <w:rsid w:val="00EE15CE"/>
    <w:rsid w:val="00EE1C69"/>
    <w:rsid w:val="00EE2BC4"/>
    <w:rsid w:val="00EE3379"/>
    <w:rsid w:val="00EE52D6"/>
    <w:rsid w:val="00EE6C9E"/>
    <w:rsid w:val="00EE77F7"/>
    <w:rsid w:val="00EE7DB4"/>
    <w:rsid w:val="00EF0435"/>
    <w:rsid w:val="00EF11AE"/>
    <w:rsid w:val="00EF1969"/>
    <w:rsid w:val="00EF2589"/>
    <w:rsid w:val="00EF25EC"/>
    <w:rsid w:val="00EF34B9"/>
    <w:rsid w:val="00EF383F"/>
    <w:rsid w:val="00EF5378"/>
    <w:rsid w:val="00EF573C"/>
    <w:rsid w:val="00EF6541"/>
    <w:rsid w:val="00EF6550"/>
    <w:rsid w:val="00F02B7B"/>
    <w:rsid w:val="00F0678A"/>
    <w:rsid w:val="00F074BF"/>
    <w:rsid w:val="00F077A8"/>
    <w:rsid w:val="00F07B5E"/>
    <w:rsid w:val="00F102CD"/>
    <w:rsid w:val="00F1048B"/>
    <w:rsid w:val="00F10951"/>
    <w:rsid w:val="00F10B61"/>
    <w:rsid w:val="00F132A8"/>
    <w:rsid w:val="00F1394D"/>
    <w:rsid w:val="00F142FD"/>
    <w:rsid w:val="00F15947"/>
    <w:rsid w:val="00F177C2"/>
    <w:rsid w:val="00F201B9"/>
    <w:rsid w:val="00F218B7"/>
    <w:rsid w:val="00F21A48"/>
    <w:rsid w:val="00F24E6F"/>
    <w:rsid w:val="00F25BBC"/>
    <w:rsid w:val="00F26294"/>
    <w:rsid w:val="00F31BDD"/>
    <w:rsid w:val="00F33550"/>
    <w:rsid w:val="00F338E7"/>
    <w:rsid w:val="00F33973"/>
    <w:rsid w:val="00F35F68"/>
    <w:rsid w:val="00F3765A"/>
    <w:rsid w:val="00F40413"/>
    <w:rsid w:val="00F40E31"/>
    <w:rsid w:val="00F42E3D"/>
    <w:rsid w:val="00F43B23"/>
    <w:rsid w:val="00F5030C"/>
    <w:rsid w:val="00F52C95"/>
    <w:rsid w:val="00F5367B"/>
    <w:rsid w:val="00F5387B"/>
    <w:rsid w:val="00F5467E"/>
    <w:rsid w:val="00F54BA5"/>
    <w:rsid w:val="00F54BE0"/>
    <w:rsid w:val="00F54FF0"/>
    <w:rsid w:val="00F57CFE"/>
    <w:rsid w:val="00F60A49"/>
    <w:rsid w:val="00F60F45"/>
    <w:rsid w:val="00F63749"/>
    <w:rsid w:val="00F63864"/>
    <w:rsid w:val="00F6407E"/>
    <w:rsid w:val="00F66D2D"/>
    <w:rsid w:val="00F71596"/>
    <w:rsid w:val="00F7399D"/>
    <w:rsid w:val="00F73E5E"/>
    <w:rsid w:val="00F74C40"/>
    <w:rsid w:val="00F76033"/>
    <w:rsid w:val="00F7618B"/>
    <w:rsid w:val="00F7699A"/>
    <w:rsid w:val="00F8252F"/>
    <w:rsid w:val="00F8391F"/>
    <w:rsid w:val="00F83B13"/>
    <w:rsid w:val="00F84339"/>
    <w:rsid w:val="00F846A9"/>
    <w:rsid w:val="00F8554C"/>
    <w:rsid w:val="00F856E9"/>
    <w:rsid w:val="00F85F2D"/>
    <w:rsid w:val="00F862D0"/>
    <w:rsid w:val="00F86355"/>
    <w:rsid w:val="00F869A4"/>
    <w:rsid w:val="00F86D4B"/>
    <w:rsid w:val="00F90909"/>
    <w:rsid w:val="00F93B5C"/>
    <w:rsid w:val="00F94116"/>
    <w:rsid w:val="00F95126"/>
    <w:rsid w:val="00F95B7B"/>
    <w:rsid w:val="00F95D6A"/>
    <w:rsid w:val="00F962F3"/>
    <w:rsid w:val="00F96371"/>
    <w:rsid w:val="00F96718"/>
    <w:rsid w:val="00FA04AD"/>
    <w:rsid w:val="00FA19CC"/>
    <w:rsid w:val="00FA1DC6"/>
    <w:rsid w:val="00FA2035"/>
    <w:rsid w:val="00FA296B"/>
    <w:rsid w:val="00FA2C37"/>
    <w:rsid w:val="00FA41CF"/>
    <w:rsid w:val="00FA467D"/>
    <w:rsid w:val="00FA69A5"/>
    <w:rsid w:val="00FA6B86"/>
    <w:rsid w:val="00FA759D"/>
    <w:rsid w:val="00FB2C32"/>
    <w:rsid w:val="00FB37FF"/>
    <w:rsid w:val="00FB5436"/>
    <w:rsid w:val="00FB57A6"/>
    <w:rsid w:val="00FB5905"/>
    <w:rsid w:val="00FC0D89"/>
    <w:rsid w:val="00FC0FA3"/>
    <w:rsid w:val="00FC1E77"/>
    <w:rsid w:val="00FC41C1"/>
    <w:rsid w:val="00FC4360"/>
    <w:rsid w:val="00FC6328"/>
    <w:rsid w:val="00FC6FB3"/>
    <w:rsid w:val="00FD0B7B"/>
    <w:rsid w:val="00FD1787"/>
    <w:rsid w:val="00FD20F9"/>
    <w:rsid w:val="00FD2772"/>
    <w:rsid w:val="00FD31FF"/>
    <w:rsid w:val="00FE00B5"/>
    <w:rsid w:val="00FE027F"/>
    <w:rsid w:val="00FE2EE5"/>
    <w:rsid w:val="00FE32C0"/>
    <w:rsid w:val="00FE6F63"/>
    <w:rsid w:val="00FE71B9"/>
    <w:rsid w:val="00FE739D"/>
    <w:rsid w:val="00FE76F1"/>
    <w:rsid w:val="00FF01BC"/>
    <w:rsid w:val="00FF15AD"/>
    <w:rsid w:val="00FF1BB7"/>
    <w:rsid w:val="00FF2778"/>
    <w:rsid w:val="00FF2BC5"/>
    <w:rsid w:val="00FF3188"/>
    <w:rsid w:val="00FF4AE2"/>
    <w:rsid w:val="00FF50FC"/>
    <w:rsid w:val="00FF6828"/>
    <w:rsid w:val="00FF7058"/>
    <w:rsid w:val="00FF738C"/>
    <w:rsid w:val="00FF7B28"/>
    <w:rsid w:val="00FF7DEE"/>
    <w:rsid w:val="06E314B2"/>
    <w:rsid w:val="0C035588"/>
    <w:rsid w:val="0D3E7C66"/>
    <w:rsid w:val="1158F661"/>
    <w:rsid w:val="14F922AC"/>
    <w:rsid w:val="15202189"/>
    <w:rsid w:val="15BDADCB"/>
    <w:rsid w:val="17522061"/>
    <w:rsid w:val="18E1D560"/>
    <w:rsid w:val="1A73D251"/>
    <w:rsid w:val="1EB2E692"/>
    <w:rsid w:val="2153B2B7"/>
    <w:rsid w:val="231685B9"/>
    <w:rsid w:val="280661FE"/>
    <w:rsid w:val="28FA3780"/>
    <w:rsid w:val="29A244EE"/>
    <w:rsid w:val="2BD5DADD"/>
    <w:rsid w:val="31D3D235"/>
    <w:rsid w:val="38E9BC9D"/>
    <w:rsid w:val="3C0B93F8"/>
    <w:rsid w:val="418EA6FF"/>
    <w:rsid w:val="48A0DF64"/>
    <w:rsid w:val="492A8009"/>
    <w:rsid w:val="4B59220C"/>
    <w:rsid w:val="4DC78CEE"/>
    <w:rsid w:val="542250D6"/>
    <w:rsid w:val="55BE2137"/>
    <w:rsid w:val="56B79B22"/>
    <w:rsid w:val="57305CBB"/>
    <w:rsid w:val="57DDDCE1"/>
    <w:rsid w:val="58AF4872"/>
    <w:rsid w:val="5916E180"/>
    <w:rsid w:val="5B9FD43A"/>
    <w:rsid w:val="5F816E9F"/>
    <w:rsid w:val="600E0160"/>
    <w:rsid w:val="633917BE"/>
    <w:rsid w:val="684E2E80"/>
    <w:rsid w:val="69A806E7"/>
    <w:rsid w:val="7055C1DD"/>
    <w:rsid w:val="735E3398"/>
    <w:rsid w:val="738D629F"/>
    <w:rsid w:val="77A63ABB"/>
    <w:rsid w:val="796F7124"/>
    <w:rsid w:val="7A7DFFB6"/>
    <w:rsid w:val="7C19D017"/>
    <w:rsid w:val="7CFDB8F9"/>
    <w:rsid w:val="7E7EF59F"/>
    <w:rsid w:val="7F09BC49"/>
    <w:rsid w:val="7F83F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7E1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uiPriority="0"/>
    <w:lsdException w:name="index 2" w:locked="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3F0"/>
    <w:pPr>
      <w:widowControl w:val="0"/>
      <w:autoSpaceDE w:val="0"/>
      <w:autoSpaceDN w:val="0"/>
      <w:adjustRightInd w:val="0"/>
    </w:pPr>
    <w:rPr>
      <w:sz w:val="24"/>
      <w:szCs w:val="24"/>
    </w:rPr>
  </w:style>
  <w:style w:type="paragraph" w:styleId="Heading1">
    <w:name w:val="heading 1"/>
    <w:basedOn w:val="Normal"/>
    <w:next w:val="Normal"/>
    <w:link w:val="Heading1Char"/>
    <w:autoRedefine/>
    <w:uiPriority w:val="99"/>
    <w:qFormat/>
    <w:locked/>
    <w:rsid w:val="00120C6D"/>
    <w:pPr>
      <w:keepNext/>
      <w:keepLines/>
      <w:widowControl/>
      <w:autoSpaceDE/>
      <w:autoSpaceDN/>
      <w:adjustRightInd/>
      <w:spacing w:before="480" w:line="276" w:lineRule="auto"/>
      <w:outlineLvl w:val="0"/>
    </w:pPr>
    <w:rPr>
      <w:rFonts w:ascii="Times New Roman" w:hAnsi="Times New Roman"/>
      <w:b/>
      <w:bCs/>
      <w:iCs/>
      <w:sz w:val="28"/>
      <w:szCs w:val="28"/>
    </w:rPr>
  </w:style>
  <w:style w:type="paragraph" w:styleId="Heading2">
    <w:name w:val="heading 2"/>
    <w:basedOn w:val="Normal"/>
    <w:next w:val="Normal"/>
    <w:link w:val="Heading2Char"/>
    <w:autoRedefine/>
    <w:uiPriority w:val="99"/>
    <w:qFormat/>
    <w:locked/>
    <w:rsid w:val="00476C08"/>
    <w:pPr>
      <w:keepNext/>
      <w:keepLines/>
      <w:numPr>
        <w:numId w:val="12"/>
      </w:numPr>
      <w:spacing w:before="120"/>
      <w:outlineLvl w:val="1"/>
    </w:pPr>
    <w:rPr>
      <w:rFonts w:asciiTheme="minorHAnsi" w:hAnsiTheme="minorHAnsi" w:cstheme="minorHAnsi"/>
      <w:b/>
      <w:bCs/>
      <w:sz w:val="32"/>
      <w:szCs w:val="32"/>
    </w:rPr>
  </w:style>
  <w:style w:type="paragraph" w:styleId="Heading3">
    <w:name w:val="heading 3"/>
    <w:basedOn w:val="Normal"/>
    <w:next w:val="Normal"/>
    <w:link w:val="Heading3Char"/>
    <w:autoRedefine/>
    <w:uiPriority w:val="99"/>
    <w:qFormat/>
    <w:locked/>
    <w:rsid w:val="00A63274"/>
    <w:pPr>
      <w:keepNext/>
      <w:keepLines/>
      <w:spacing w:before="120"/>
      <w:outlineLvl w:val="2"/>
    </w:pPr>
    <w:rPr>
      <w:rFonts w:asciiTheme="minorHAnsi" w:hAnsiTheme="minorHAnsi" w:cstheme="minorHAnsi"/>
      <w:b/>
      <w:bCs/>
      <w:sz w:val="28"/>
      <w:szCs w:val="28"/>
    </w:rPr>
  </w:style>
  <w:style w:type="paragraph" w:styleId="Heading4">
    <w:name w:val="heading 4"/>
    <w:basedOn w:val="Normal"/>
    <w:next w:val="Normal"/>
    <w:link w:val="Heading4Char"/>
    <w:autoRedefine/>
    <w:unhideWhenUsed/>
    <w:qFormat/>
    <w:locked/>
    <w:rsid w:val="00E44D46"/>
    <w:pPr>
      <w:keepNext/>
      <w:keepLines/>
      <w:spacing w:before="40"/>
      <w:outlineLvl w:val="3"/>
    </w:pPr>
    <w:rPr>
      <w:rFonts w:eastAsiaTheme="majorEastAsia" w:cstheme="majorBidi"/>
      <w:b/>
      <w:iCs/>
    </w:rPr>
  </w:style>
  <w:style w:type="paragraph" w:styleId="Heading5">
    <w:name w:val="heading 5"/>
    <w:basedOn w:val="Normal"/>
    <w:next w:val="Normal"/>
    <w:link w:val="Heading5Char"/>
    <w:unhideWhenUsed/>
    <w:qFormat/>
    <w:locked/>
    <w:rsid w:val="00D93C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0C6D"/>
    <w:rPr>
      <w:rFonts w:ascii="Times New Roman" w:hAnsi="Times New Roman"/>
      <w:b/>
      <w:bCs/>
      <w:iCs/>
      <w:sz w:val="28"/>
      <w:szCs w:val="28"/>
    </w:rPr>
  </w:style>
  <w:style w:type="character" w:customStyle="1" w:styleId="Heading2Char">
    <w:name w:val="Heading 2 Char"/>
    <w:basedOn w:val="DefaultParagraphFont"/>
    <w:link w:val="Heading2"/>
    <w:uiPriority w:val="99"/>
    <w:locked/>
    <w:rsid w:val="00476C08"/>
    <w:rPr>
      <w:rFonts w:asciiTheme="minorHAnsi" w:hAnsiTheme="minorHAnsi" w:cstheme="minorHAnsi"/>
      <w:b/>
      <w:bCs/>
      <w:sz w:val="32"/>
      <w:szCs w:val="32"/>
    </w:rPr>
  </w:style>
  <w:style w:type="character" w:customStyle="1" w:styleId="Heading3Char">
    <w:name w:val="Heading 3 Char"/>
    <w:basedOn w:val="DefaultParagraphFont"/>
    <w:link w:val="Heading3"/>
    <w:uiPriority w:val="99"/>
    <w:locked/>
    <w:rsid w:val="00A63274"/>
    <w:rPr>
      <w:rFonts w:asciiTheme="minorHAnsi" w:hAnsiTheme="minorHAnsi" w:cstheme="minorHAnsi"/>
      <w:b/>
      <w:bCs/>
      <w:sz w:val="28"/>
      <w:szCs w:val="28"/>
    </w:rPr>
  </w:style>
  <w:style w:type="character" w:styleId="FootnoteReference">
    <w:name w:val="footnote reference"/>
    <w:basedOn w:val="DefaultParagraphFont"/>
    <w:uiPriority w:val="99"/>
    <w:rsid w:val="006B4C20"/>
    <w:rPr>
      <w:rFonts w:cs="Times New Roman"/>
    </w:rPr>
  </w:style>
  <w:style w:type="paragraph" w:customStyle="1" w:styleId="Level1">
    <w:name w:val="Level 1"/>
    <w:basedOn w:val="Normal"/>
    <w:uiPriority w:val="99"/>
    <w:rsid w:val="006B4C20"/>
    <w:pPr>
      <w:numPr>
        <w:numId w:val="3"/>
      </w:numPr>
      <w:ind w:left="222" w:hanging="8"/>
      <w:outlineLvl w:val="0"/>
    </w:pPr>
  </w:style>
  <w:style w:type="paragraph" w:styleId="TOC1">
    <w:name w:val="toc 1"/>
    <w:basedOn w:val="Normal"/>
    <w:next w:val="Normal"/>
    <w:uiPriority w:val="39"/>
    <w:rsid w:val="006B4C20"/>
    <w:pPr>
      <w:spacing w:before="360"/>
    </w:pPr>
    <w:rPr>
      <w:rFonts w:asciiTheme="majorHAnsi" w:hAnsiTheme="majorHAnsi"/>
      <w:b/>
      <w:bCs/>
      <w:caps/>
    </w:rPr>
  </w:style>
  <w:style w:type="paragraph" w:styleId="TOC2">
    <w:name w:val="toc 2"/>
    <w:basedOn w:val="Normal"/>
    <w:next w:val="Normal"/>
    <w:link w:val="TOC2Char"/>
    <w:autoRedefine/>
    <w:uiPriority w:val="39"/>
    <w:rsid w:val="00F43B23"/>
    <w:pPr>
      <w:spacing w:before="240"/>
    </w:pPr>
    <w:rPr>
      <w:rFonts w:asciiTheme="minorHAnsi" w:hAnsiTheme="minorHAnsi" w:cstheme="minorHAnsi"/>
      <w:bCs/>
      <w:sz w:val="28"/>
      <w:szCs w:val="20"/>
    </w:rPr>
  </w:style>
  <w:style w:type="paragraph" w:customStyle="1" w:styleId="Level2">
    <w:name w:val="Level 2"/>
    <w:basedOn w:val="Normal"/>
    <w:uiPriority w:val="99"/>
    <w:rsid w:val="006B4C20"/>
    <w:pPr>
      <w:numPr>
        <w:ilvl w:val="1"/>
        <w:numId w:val="2"/>
      </w:numPr>
      <w:ind w:left="1440" w:hanging="720"/>
      <w:outlineLvl w:val="1"/>
    </w:pPr>
  </w:style>
  <w:style w:type="paragraph" w:customStyle="1" w:styleId="Level3">
    <w:name w:val="Level 3"/>
    <w:basedOn w:val="Normal"/>
    <w:uiPriority w:val="99"/>
    <w:rsid w:val="006B4C20"/>
    <w:pPr>
      <w:numPr>
        <w:ilvl w:val="2"/>
        <w:numId w:val="1"/>
      </w:numPr>
      <w:ind w:left="2160" w:hanging="720"/>
      <w:outlineLvl w:val="2"/>
    </w:pPr>
  </w:style>
  <w:style w:type="paragraph" w:customStyle="1" w:styleId="Level4">
    <w:name w:val="Level 4"/>
    <w:basedOn w:val="Normal"/>
    <w:uiPriority w:val="99"/>
    <w:rsid w:val="006B4C20"/>
    <w:pPr>
      <w:ind w:left="2160"/>
    </w:pPr>
  </w:style>
  <w:style w:type="character" w:customStyle="1" w:styleId="QuickFormat1">
    <w:name w:val="QuickFormat1"/>
    <w:uiPriority w:val="99"/>
    <w:rsid w:val="006B4C20"/>
    <w:rPr>
      <w:rFonts w:ascii="Microsoft Uighur" w:hAnsi="Microsoft Uighur"/>
      <w:color w:val="000000"/>
      <w:sz w:val="20"/>
    </w:rPr>
  </w:style>
  <w:style w:type="paragraph" w:customStyle="1" w:styleId="a">
    <w:name w:val="_"/>
    <w:basedOn w:val="Normal"/>
    <w:uiPriority w:val="99"/>
    <w:rsid w:val="006B4C20"/>
    <w:pPr>
      <w:ind w:left="42" w:hanging="42"/>
    </w:pPr>
  </w:style>
  <w:style w:type="paragraph" w:styleId="Index1">
    <w:name w:val="index 1"/>
    <w:basedOn w:val="Normal"/>
    <w:next w:val="Normal"/>
    <w:uiPriority w:val="99"/>
    <w:rsid w:val="006B4C20"/>
    <w:pPr>
      <w:ind w:left="412" w:hanging="1440"/>
    </w:pPr>
  </w:style>
  <w:style w:type="paragraph" w:styleId="Index2">
    <w:name w:val="index 2"/>
    <w:basedOn w:val="Normal"/>
    <w:next w:val="Normal"/>
    <w:uiPriority w:val="99"/>
    <w:rsid w:val="006B4C20"/>
    <w:pPr>
      <w:ind w:left="412" w:hanging="1028"/>
    </w:pPr>
  </w:style>
  <w:style w:type="paragraph" w:styleId="BalloonText">
    <w:name w:val="Balloon Text"/>
    <w:basedOn w:val="Normal"/>
    <w:link w:val="BalloonTextChar"/>
    <w:uiPriority w:val="99"/>
    <w:semiHidden/>
    <w:rsid w:val="009A546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546A"/>
    <w:rPr>
      <w:rFonts w:ascii="Tahoma" w:hAnsi="Tahoma" w:cs="Tahoma"/>
      <w:sz w:val="16"/>
      <w:szCs w:val="16"/>
    </w:rPr>
  </w:style>
  <w:style w:type="paragraph" w:styleId="Header">
    <w:name w:val="header"/>
    <w:basedOn w:val="Normal"/>
    <w:link w:val="HeaderChar"/>
    <w:uiPriority w:val="99"/>
    <w:rsid w:val="00157520"/>
    <w:pPr>
      <w:tabs>
        <w:tab w:val="center" w:pos="4680"/>
        <w:tab w:val="right" w:pos="9360"/>
      </w:tabs>
    </w:pPr>
  </w:style>
  <w:style w:type="character" w:customStyle="1" w:styleId="HeaderChar">
    <w:name w:val="Header Char"/>
    <w:basedOn w:val="DefaultParagraphFont"/>
    <w:link w:val="Header"/>
    <w:uiPriority w:val="99"/>
    <w:locked/>
    <w:rsid w:val="00157520"/>
    <w:rPr>
      <w:rFonts w:ascii="Times New Roman" w:hAnsi="Times New Roman" w:cs="Times New Roman"/>
      <w:sz w:val="24"/>
      <w:szCs w:val="24"/>
    </w:rPr>
  </w:style>
  <w:style w:type="paragraph" w:styleId="Footer">
    <w:name w:val="footer"/>
    <w:basedOn w:val="Normal"/>
    <w:link w:val="FooterChar"/>
    <w:uiPriority w:val="99"/>
    <w:rsid w:val="00157520"/>
    <w:pPr>
      <w:tabs>
        <w:tab w:val="center" w:pos="4680"/>
        <w:tab w:val="right" w:pos="9360"/>
      </w:tabs>
    </w:pPr>
  </w:style>
  <w:style w:type="character" w:customStyle="1" w:styleId="FooterChar">
    <w:name w:val="Footer Char"/>
    <w:basedOn w:val="DefaultParagraphFont"/>
    <w:link w:val="Footer"/>
    <w:uiPriority w:val="99"/>
    <w:locked/>
    <w:rsid w:val="00157520"/>
    <w:rPr>
      <w:rFonts w:ascii="Times New Roman" w:hAnsi="Times New Roman" w:cs="Times New Roman"/>
      <w:sz w:val="24"/>
      <w:szCs w:val="24"/>
    </w:rPr>
  </w:style>
  <w:style w:type="paragraph" w:styleId="ListParagraph">
    <w:name w:val="List Paragraph"/>
    <w:basedOn w:val="Normal"/>
    <w:uiPriority w:val="34"/>
    <w:qFormat/>
    <w:rsid w:val="00F5367B"/>
    <w:pPr>
      <w:widowControl/>
      <w:autoSpaceDE/>
      <w:autoSpaceDN/>
      <w:adjustRightInd/>
      <w:spacing w:after="200" w:line="276" w:lineRule="auto"/>
      <w:ind w:left="720"/>
      <w:contextualSpacing/>
    </w:pPr>
    <w:rPr>
      <w:rFonts w:cs="Calibri"/>
      <w:sz w:val="22"/>
      <w:szCs w:val="22"/>
    </w:rPr>
  </w:style>
  <w:style w:type="character" w:customStyle="1" w:styleId="itxtrst">
    <w:name w:val="itxtrst"/>
    <w:basedOn w:val="DefaultParagraphFont"/>
    <w:uiPriority w:val="99"/>
    <w:rsid w:val="00FC1E77"/>
    <w:rPr>
      <w:rFonts w:cs="Times New Roman"/>
    </w:rPr>
  </w:style>
  <w:style w:type="table" w:styleId="TableGrid">
    <w:name w:val="Table Grid"/>
    <w:basedOn w:val="TableNormal"/>
    <w:uiPriority w:val="99"/>
    <w:locked/>
    <w:rsid w:val="00FC1E7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uiPriority w:val="99"/>
    <w:locked/>
    <w:rsid w:val="00C204A6"/>
    <w:rPr>
      <w:rFonts w:ascii="Times New Roman" w:hAnsi="Times New Roman" w:cs="Times New Roman"/>
      <w:bCs/>
      <w:sz w:val="24"/>
      <w:szCs w:val="24"/>
    </w:rPr>
  </w:style>
  <w:style w:type="paragraph" w:customStyle="1" w:styleId="Style2">
    <w:name w:val="Style2"/>
    <w:basedOn w:val="Normal"/>
    <w:next w:val="Normal"/>
    <w:link w:val="Style2Char"/>
    <w:uiPriority w:val="99"/>
    <w:rsid w:val="00FA6B86"/>
    <w:pPr>
      <w:spacing w:before="120" w:after="120"/>
      <w:ind w:left="720"/>
    </w:pPr>
  </w:style>
  <w:style w:type="character" w:customStyle="1" w:styleId="Style2Char">
    <w:name w:val="Style2 Char"/>
    <w:basedOn w:val="DefaultParagraphFont"/>
    <w:link w:val="Style2"/>
    <w:uiPriority w:val="99"/>
    <w:locked/>
    <w:rsid w:val="00FA6B86"/>
    <w:rPr>
      <w:rFonts w:ascii="Times New Roman" w:hAnsi="Times New Roman" w:cs="Times New Roman"/>
      <w:sz w:val="24"/>
      <w:szCs w:val="24"/>
    </w:rPr>
  </w:style>
  <w:style w:type="character" w:styleId="Hyperlink">
    <w:name w:val="Hyperlink"/>
    <w:basedOn w:val="DefaultParagraphFont"/>
    <w:uiPriority w:val="99"/>
    <w:rsid w:val="00FA6B86"/>
    <w:rPr>
      <w:rFonts w:cs="Times New Roman"/>
      <w:color w:val="0000FF"/>
      <w:u w:val="single"/>
    </w:rPr>
  </w:style>
  <w:style w:type="paragraph" w:styleId="TOAHeading">
    <w:name w:val="toa heading"/>
    <w:basedOn w:val="Normal"/>
    <w:next w:val="Normal"/>
    <w:uiPriority w:val="99"/>
    <w:rsid w:val="00FA6B86"/>
    <w:pPr>
      <w:spacing w:before="120"/>
    </w:pPr>
    <w:rPr>
      <w:rFonts w:ascii="Arial" w:hAnsi="Arial" w:cs="Arial"/>
      <w:b/>
      <w:bCs/>
    </w:rPr>
  </w:style>
  <w:style w:type="paragraph" w:customStyle="1" w:styleId="StyleStyle2Left1">
    <w:name w:val="Style Style2 + Left:  1&quot;"/>
    <w:basedOn w:val="Style2"/>
    <w:uiPriority w:val="99"/>
    <w:rsid w:val="00FA6B86"/>
    <w:pPr>
      <w:ind w:left="1440"/>
    </w:pPr>
    <w:rPr>
      <w:szCs w:val="20"/>
    </w:rPr>
  </w:style>
  <w:style w:type="paragraph" w:styleId="TOCHeading">
    <w:name w:val="TOC Heading"/>
    <w:basedOn w:val="Heading1"/>
    <w:next w:val="Normal"/>
    <w:uiPriority w:val="39"/>
    <w:qFormat/>
    <w:rsid w:val="00216621"/>
    <w:pPr>
      <w:outlineLvl w:val="9"/>
    </w:pPr>
    <w:rPr>
      <w:lang w:eastAsia="ja-JP"/>
    </w:rPr>
  </w:style>
  <w:style w:type="paragraph" w:customStyle="1" w:styleId="block1">
    <w:name w:val="block1"/>
    <w:basedOn w:val="Normal"/>
    <w:uiPriority w:val="99"/>
    <w:rsid w:val="00216621"/>
    <w:pPr>
      <w:widowControl/>
      <w:autoSpaceDE/>
      <w:autoSpaceDN/>
      <w:adjustRightInd/>
      <w:spacing w:before="100" w:beforeAutospacing="1" w:after="100" w:afterAutospacing="1"/>
    </w:pPr>
    <w:rPr>
      <w:sz w:val="19"/>
      <w:szCs w:val="19"/>
    </w:rPr>
  </w:style>
  <w:style w:type="paragraph" w:styleId="NoSpacing">
    <w:name w:val="No Spacing"/>
    <w:uiPriority w:val="1"/>
    <w:qFormat/>
    <w:rsid w:val="00CE0EF4"/>
  </w:style>
  <w:style w:type="paragraph" w:styleId="FootnoteText">
    <w:name w:val="footnote text"/>
    <w:basedOn w:val="Normal"/>
    <w:link w:val="FootnoteTextChar"/>
    <w:uiPriority w:val="99"/>
    <w:semiHidden/>
    <w:rsid w:val="00541BE6"/>
    <w:pPr>
      <w:widowControl/>
      <w:autoSpaceDE/>
      <w:autoSpaceDN/>
      <w:adjustRightInd/>
    </w:pPr>
    <w:rPr>
      <w:sz w:val="20"/>
      <w:szCs w:val="20"/>
    </w:rPr>
  </w:style>
  <w:style w:type="character" w:customStyle="1" w:styleId="FootnoteTextChar">
    <w:name w:val="Footnote Text Char"/>
    <w:basedOn w:val="DefaultParagraphFont"/>
    <w:link w:val="FootnoteText"/>
    <w:uiPriority w:val="99"/>
    <w:semiHidden/>
    <w:locked/>
    <w:rsid w:val="00541BE6"/>
    <w:rPr>
      <w:rFonts w:eastAsia="Times New Roman" w:cs="Times New Roman"/>
      <w:sz w:val="20"/>
      <w:szCs w:val="20"/>
    </w:rPr>
  </w:style>
  <w:style w:type="paragraph" w:customStyle="1" w:styleId="Default">
    <w:name w:val="Default"/>
    <w:rsid w:val="00200D27"/>
    <w:pPr>
      <w:autoSpaceDE w:val="0"/>
      <w:autoSpaceDN w:val="0"/>
      <w:adjustRightInd w:val="0"/>
    </w:pPr>
    <w:rPr>
      <w:rFonts w:ascii="Times New Roman" w:hAnsi="Times New Roman"/>
      <w:color w:val="000000"/>
      <w:sz w:val="24"/>
      <w:szCs w:val="24"/>
    </w:rPr>
  </w:style>
  <w:style w:type="character" w:styleId="CommentReference">
    <w:name w:val="annotation reference"/>
    <w:basedOn w:val="DefaultParagraphFont"/>
    <w:uiPriority w:val="99"/>
    <w:semiHidden/>
    <w:rsid w:val="002B7D36"/>
    <w:rPr>
      <w:rFonts w:cs="Times New Roman"/>
      <w:sz w:val="16"/>
      <w:szCs w:val="16"/>
    </w:rPr>
  </w:style>
  <w:style w:type="paragraph" w:styleId="CommentText">
    <w:name w:val="annotation text"/>
    <w:basedOn w:val="Normal"/>
    <w:link w:val="CommentTextChar"/>
    <w:uiPriority w:val="99"/>
    <w:semiHidden/>
    <w:rsid w:val="002B7D36"/>
    <w:pPr>
      <w:widowControl/>
      <w:autoSpaceDE/>
      <w:autoSpaceDN/>
      <w:adjustRightInd/>
    </w:pPr>
    <w:rPr>
      <w:rFonts w:cs="Calibri"/>
      <w:sz w:val="20"/>
      <w:szCs w:val="20"/>
    </w:rPr>
  </w:style>
  <w:style w:type="character" w:customStyle="1" w:styleId="CommentTextChar">
    <w:name w:val="Comment Text Char"/>
    <w:basedOn w:val="DefaultParagraphFont"/>
    <w:link w:val="CommentText"/>
    <w:uiPriority w:val="99"/>
    <w:semiHidden/>
    <w:locked/>
    <w:rsid w:val="002B7D36"/>
    <w:rPr>
      <w:rFonts w:eastAsia="Times New Roman" w:cs="Calibri"/>
      <w:sz w:val="20"/>
      <w:szCs w:val="20"/>
    </w:rPr>
  </w:style>
  <w:style w:type="character" w:styleId="FollowedHyperlink">
    <w:name w:val="FollowedHyperlink"/>
    <w:basedOn w:val="DefaultParagraphFont"/>
    <w:uiPriority w:val="99"/>
    <w:semiHidden/>
    <w:rsid w:val="00F6407E"/>
    <w:rPr>
      <w:rFonts w:cs="Times New Roman"/>
      <w:color w:val="800080"/>
      <w:u w:val="single"/>
    </w:rPr>
  </w:style>
  <w:style w:type="paragraph" w:styleId="TOC3">
    <w:name w:val="toc 3"/>
    <w:basedOn w:val="Normal"/>
    <w:next w:val="Normal"/>
    <w:autoRedefine/>
    <w:uiPriority w:val="39"/>
    <w:locked/>
    <w:rsid w:val="0092393F"/>
    <w:pPr>
      <w:tabs>
        <w:tab w:val="right" w:leader="dot" w:pos="9530"/>
      </w:tabs>
      <w:ind w:left="240"/>
    </w:pPr>
    <w:rPr>
      <w:rFonts w:asciiTheme="minorHAnsi" w:hAnsiTheme="minorHAnsi" w:cstheme="minorHAnsi"/>
      <w:szCs w:val="20"/>
    </w:rPr>
  </w:style>
  <w:style w:type="paragraph" w:styleId="TOC4">
    <w:name w:val="toc 4"/>
    <w:basedOn w:val="Normal"/>
    <w:next w:val="Normal"/>
    <w:autoRedefine/>
    <w:uiPriority w:val="39"/>
    <w:locked/>
    <w:rsid w:val="003C664A"/>
    <w:pPr>
      <w:ind w:left="480"/>
    </w:pPr>
    <w:rPr>
      <w:rFonts w:asciiTheme="minorHAnsi" w:hAnsiTheme="minorHAnsi" w:cstheme="minorHAnsi"/>
      <w:sz w:val="20"/>
      <w:szCs w:val="20"/>
    </w:rPr>
  </w:style>
  <w:style w:type="paragraph" w:styleId="TOC5">
    <w:name w:val="toc 5"/>
    <w:basedOn w:val="Normal"/>
    <w:next w:val="Normal"/>
    <w:autoRedefine/>
    <w:uiPriority w:val="99"/>
    <w:locked/>
    <w:rsid w:val="003C664A"/>
    <w:pPr>
      <w:ind w:left="720"/>
    </w:pPr>
    <w:rPr>
      <w:rFonts w:asciiTheme="minorHAnsi" w:hAnsiTheme="minorHAnsi" w:cstheme="minorHAnsi"/>
      <w:sz w:val="20"/>
      <w:szCs w:val="20"/>
    </w:rPr>
  </w:style>
  <w:style w:type="paragraph" w:styleId="TOC6">
    <w:name w:val="toc 6"/>
    <w:basedOn w:val="Normal"/>
    <w:next w:val="Normal"/>
    <w:autoRedefine/>
    <w:uiPriority w:val="99"/>
    <w:locked/>
    <w:rsid w:val="003C664A"/>
    <w:pPr>
      <w:ind w:left="960"/>
    </w:pPr>
    <w:rPr>
      <w:rFonts w:asciiTheme="minorHAnsi" w:hAnsiTheme="minorHAnsi" w:cstheme="minorHAnsi"/>
      <w:sz w:val="20"/>
      <w:szCs w:val="20"/>
    </w:rPr>
  </w:style>
  <w:style w:type="paragraph" w:styleId="TOC7">
    <w:name w:val="toc 7"/>
    <w:basedOn w:val="Normal"/>
    <w:next w:val="Normal"/>
    <w:autoRedefine/>
    <w:uiPriority w:val="99"/>
    <w:locked/>
    <w:rsid w:val="003C664A"/>
    <w:pPr>
      <w:ind w:left="1200"/>
    </w:pPr>
    <w:rPr>
      <w:rFonts w:asciiTheme="minorHAnsi" w:hAnsiTheme="minorHAnsi" w:cstheme="minorHAnsi"/>
      <w:sz w:val="20"/>
      <w:szCs w:val="20"/>
    </w:rPr>
  </w:style>
  <w:style w:type="paragraph" w:styleId="TOC8">
    <w:name w:val="toc 8"/>
    <w:basedOn w:val="Normal"/>
    <w:next w:val="Normal"/>
    <w:autoRedefine/>
    <w:uiPriority w:val="99"/>
    <w:locked/>
    <w:rsid w:val="003C664A"/>
    <w:pPr>
      <w:ind w:left="1440"/>
    </w:pPr>
    <w:rPr>
      <w:rFonts w:asciiTheme="minorHAnsi" w:hAnsiTheme="minorHAnsi" w:cstheme="minorHAnsi"/>
      <w:sz w:val="20"/>
      <w:szCs w:val="20"/>
    </w:rPr>
  </w:style>
  <w:style w:type="paragraph" w:styleId="TOC9">
    <w:name w:val="toc 9"/>
    <w:basedOn w:val="Normal"/>
    <w:next w:val="Normal"/>
    <w:autoRedefine/>
    <w:uiPriority w:val="99"/>
    <w:locked/>
    <w:rsid w:val="003C664A"/>
    <w:pPr>
      <w:ind w:left="1680"/>
    </w:pPr>
    <w:rPr>
      <w:rFonts w:asciiTheme="minorHAnsi" w:hAnsiTheme="minorHAnsi" w:cstheme="minorHAnsi"/>
      <w:sz w:val="20"/>
      <w:szCs w:val="20"/>
    </w:rPr>
  </w:style>
  <w:style w:type="paragraph" w:styleId="CommentSubject">
    <w:name w:val="annotation subject"/>
    <w:basedOn w:val="CommentText"/>
    <w:next w:val="CommentText"/>
    <w:link w:val="CommentSubjectChar"/>
    <w:uiPriority w:val="99"/>
    <w:semiHidden/>
    <w:rsid w:val="00D1186B"/>
    <w:pPr>
      <w:widowControl w:val="0"/>
      <w:autoSpaceDE w:val="0"/>
      <w:autoSpaceDN w:val="0"/>
      <w:adjustRightInd w:val="0"/>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locked/>
    <w:rsid w:val="00D1186B"/>
    <w:rPr>
      <w:rFonts w:ascii="Times New Roman" w:eastAsia="Times New Roman" w:hAnsi="Times New Roman" w:cs="Calibri"/>
      <w:b/>
      <w:bCs/>
      <w:sz w:val="20"/>
      <w:szCs w:val="20"/>
    </w:rPr>
  </w:style>
  <w:style w:type="table" w:customStyle="1" w:styleId="TableGrid1">
    <w:name w:val="Table Grid1"/>
    <w:basedOn w:val="TableNormal"/>
    <w:next w:val="TableGrid"/>
    <w:uiPriority w:val="59"/>
    <w:rsid w:val="00F60A4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F061D"/>
    <w:rPr>
      <w:rFonts w:ascii="Times New Roman" w:hAnsi="Times New Roman"/>
      <w:sz w:val="24"/>
      <w:szCs w:val="24"/>
    </w:rPr>
  </w:style>
  <w:style w:type="character" w:styleId="SubtleReference">
    <w:name w:val="Subtle Reference"/>
    <w:basedOn w:val="DefaultParagraphFont"/>
    <w:uiPriority w:val="31"/>
    <w:qFormat/>
    <w:rsid w:val="00DF78FB"/>
    <w:rPr>
      <w:smallCaps/>
      <w:color w:val="C0504D" w:themeColor="accent2"/>
      <w:u w:val="single"/>
    </w:rPr>
  </w:style>
  <w:style w:type="paragraph" w:styleId="NormalWeb">
    <w:name w:val="Normal (Web)"/>
    <w:basedOn w:val="Normal"/>
    <w:uiPriority w:val="99"/>
    <w:unhideWhenUsed/>
    <w:rsid w:val="00783189"/>
  </w:style>
  <w:style w:type="table" w:styleId="TableGridLight">
    <w:name w:val="Grid Table Light"/>
    <w:basedOn w:val="TableNormal"/>
    <w:uiPriority w:val="40"/>
    <w:rsid w:val="00185C7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6345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rsid w:val="00E44D46"/>
    <w:rPr>
      <w:rFonts w:eastAsiaTheme="majorEastAsia" w:cstheme="majorBidi"/>
      <w:b/>
      <w:iCs/>
      <w:sz w:val="24"/>
      <w:szCs w:val="24"/>
    </w:rPr>
  </w:style>
  <w:style w:type="character" w:customStyle="1" w:styleId="Heading5Char">
    <w:name w:val="Heading 5 Char"/>
    <w:basedOn w:val="DefaultParagraphFont"/>
    <w:link w:val="Heading5"/>
    <w:rsid w:val="00D93CB3"/>
    <w:rPr>
      <w:rFonts w:asciiTheme="majorHAnsi" w:eastAsiaTheme="majorEastAsia" w:hAnsiTheme="majorHAnsi" w:cstheme="majorBidi"/>
      <w:color w:val="365F91" w:themeColor="accent1" w:themeShade="BF"/>
      <w:sz w:val="24"/>
      <w:szCs w:val="24"/>
    </w:rPr>
  </w:style>
  <w:style w:type="paragraph" w:customStyle="1" w:styleId="HeadingLevel3Appendices">
    <w:name w:val="Heading Level 3 Appendices"/>
    <w:basedOn w:val="Normal"/>
    <w:link w:val="HeadingLevel3AppendicesChar"/>
    <w:qFormat/>
    <w:rsid w:val="00C303F0"/>
    <w:pPr>
      <w:tabs>
        <w:tab w:val="right" w:leader="dot" w:pos="9530"/>
      </w:tabs>
    </w:pPr>
    <w:rPr>
      <w:noProof/>
    </w:rPr>
  </w:style>
  <w:style w:type="character" w:customStyle="1" w:styleId="TOC2Char">
    <w:name w:val="TOC 2 Char"/>
    <w:basedOn w:val="DefaultParagraphFont"/>
    <w:link w:val="TOC2"/>
    <w:uiPriority w:val="39"/>
    <w:rsid w:val="00F43B23"/>
    <w:rPr>
      <w:rFonts w:asciiTheme="minorHAnsi" w:hAnsiTheme="minorHAnsi" w:cstheme="minorHAnsi"/>
      <w:bCs/>
      <w:sz w:val="28"/>
      <w:szCs w:val="20"/>
    </w:rPr>
  </w:style>
  <w:style w:type="character" w:customStyle="1" w:styleId="HeadingLevel3AppendicesChar">
    <w:name w:val="Heading Level 3 Appendices Char"/>
    <w:basedOn w:val="TOC2Char"/>
    <w:link w:val="HeadingLevel3Appendices"/>
    <w:rsid w:val="00C303F0"/>
    <w:rPr>
      <w:rFonts w:asciiTheme="minorHAnsi" w:hAnsiTheme="minorHAnsi" w:cstheme="minorHAnsi"/>
      <w:bCs/>
      <w:smallCaps/>
      <w:noProof/>
      <w:sz w:val="24"/>
      <w:szCs w:val="24"/>
    </w:rPr>
  </w:style>
  <w:style w:type="paragraph" w:customStyle="1" w:styleId="paragraph">
    <w:name w:val="paragraph"/>
    <w:basedOn w:val="Normal"/>
    <w:rsid w:val="00322B3A"/>
    <w:pPr>
      <w:widowControl/>
      <w:autoSpaceDE/>
      <w:autoSpaceDN/>
      <w:adjustRightInd/>
      <w:spacing w:before="100" w:beforeAutospacing="1" w:after="100" w:afterAutospacing="1"/>
    </w:pPr>
    <w:rPr>
      <w:rFonts w:ascii="Times New Roman" w:hAnsi="Times New Roman"/>
    </w:rPr>
  </w:style>
  <w:style w:type="character" w:customStyle="1" w:styleId="normaltextrun">
    <w:name w:val="normaltextrun"/>
    <w:basedOn w:val="DefaultParagraphFont"/>
    <w:rsid w:val="00322B3A"/>
  </w:style>
  <w:style w:type="character" w:customStyle="1" w:styleId="eop">
    <w:name w:val="eop"/>
    <w:basedOn w:val="DefaultParagraphFont"/>
    <w:rsid w:val="00322B3A"/>
  </w:style>
  <w:style w:type="table" w:customStyle="1" w:styleId="GridTable41">
    <w:name w:val="Grid Table 41"/>
    <w:basedOn w:val="TableNormal"/>
    <w:next w:val="GridTable4"/>
    <w:uiPriority w:val="49"/>
    <w:rsid w:val="00322B3A"/>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95343">
      <w:bodyDiv w:val="1"/>
      <w:marLeft w:val="0"/>
      <w:marRight w:val="0"/>
      <w:marTop w:val="0"/>
      <w:marBottom w:val="0"/>
      <w:divBdr>
        <w:top w:val="none" w:sz="0" w:space="0" w:color="auto"/>
        <w:left w:val="none" w:sz="0" w:space="0" w:color="auto"/>
        <w:bottom w:val="none" w:sz="0" w:space="0" w:color="auto"/>
        <w:right w:val="none" w:sz="0" w:space="0" w:color="auto"/>
      </w:divBdr>
    </w:div>
    <w:div w:id="289867719">
      <w:bodyDiv w:val="1"/>
      <w:marLeft w:val="0"/>
      <w:marRight w:val="0"/>
      <w:marTop w:val="0"/>
      <w:marBottom w:val="0"/>
      <w:divBdr>
        <w:top w:val="none" w:sz="0" w:space="0" w:color="auto"/>
        <w:left w:val="none" w:sz="0" w:space="0" w:color="auto"/>
        <w:bottom w:val="none" w:sz="0" w:space="0" w:color="auto"/>
        <w:right w:val="none" w:sz="0" w:space="0" w:color="auto"/>
      </w:divBdr>
    </w:div>
    <w:div w:id="787431808">
      <w:bodyDiv w:val="1"/>
      <w:marLeft w:val="0"/>
      <w:marRight w:val="0"/>
      <w:marTop w:val="0"/>
      <w:marBottom w:val="0"/>
      <w:divBdr>
        <w:top w:val="none" w:sz="0" w:space="0" w:color="auto"/>
        <w:left w:val="none" w:sz="0" w:space="0" w:color="auto"/>
        <w:bottom w:val="none" w:sz="0" w:space="0" w:color="auto"/>
        <w:right w:val="none" w:sz="0" w:space="0" w:color="auto"/>
      </w:divBdr>
    </w:div>
    <w:div w:id="958335334">
      <w:bodyDiv w:val="1"/>
      <w:marLeft w:val="0"/>
      <w:marRight w:val="0"/>
      <w:marTop w:val="0"/>
      <w:marBottom w:val="0"/>
      <w:divBdr>
        <w:top w:val="none" w:sz="0" w:space="0" w:color="auto"/>
        <w:left w:val="none" w:sz="0" w:space="0" w:color="auto"/>
        <w:bottom w:val="none" w:sz="0" w:space="0" w:color="auto"/>
        <w:right w:val="none" w:sz="0" w:space="0" w:color="auto"/>
      </w:divBdr>
    </w:div>
    <w:div w:id="1145120416">
      <w:marLeft w:val="0"/>
      <w:marRight w:val="0"/>
      <w:marTop w:val="0"/>
      <w:marBottom w:val="0"/>
      <w:divBdr>
        <w:top w:val="none" w:sz="0" w:space="0" w:color="auto"/>
        <w:left w:val="none" w:sz="0" w:space="0" w:color="auto"/>
        <w:bottom w:val="none" w:sz="0" w:space="0" w:color="auto"/>
        <w:right w:val="none" w:sz="0" w:space="0" w:color="auto"/>
      </w:divBdr>
    </w:div>
    <w:div w:id="1145120417">
      <w:marLeft w:val="0"/>
      <w:marRight w:val="0"/>
      <w:marTop w:val="0"/>
      <w:marBottom w:val="0"/>
      <w:divBdr>
        <w:top w:val="none" w:sz="0" w:space="0" w:color="auto"/>
        <w:left w:val="none" w:sz="0" w:space="0" w:color="auto"/>
        <w:bottom w:val="none" w:sz="0" w:space="0" w:color="auto"/>
        <w:right w:val="none" w:sz="0" w:space="0" w:color="auto"/>
      </w:divBdr>
    </w:div>
    <w:div w:id="1145120418">
      <w:marLeft w:val="0"/>
      <w:marRight w:val="0"/>
      <w:marTop w:val="0"/>
      <w:marBottom w:val="0"/>
      <w:divBdr>
        <w:top w:val="none" w:sz="0" w:space="0" w:color="auto"/>
        <w:left w:val="none" w:sz="0" w:space="0" w:color="auto"/>
        <w:bottom w:val="none" w:sz="0" w:space="0" w:color="auto"/>
        <w:right w:val="none" w:sz="0" w:space="0" w:color="auto"/>
      </w:divBdr>
    </w:div>
    <w:div w:id="1145120419">
      <w:marLeft w:val="0"/>
      <w:marRight w:val="0"/>
      <w:marTop w:val="0"/>
      <w:marBottom w:val="0"/>
      <w:divBdr>
        <w:top w:val="none" w:sz="0" w:space="0" w:color="auto"/>
        <w:left w:val="none" w:sz="0" w:space="0" w:color="auto"/>
        <w:bottom w:val="none" w:sz="0" w:space="0" w:color="auto"/>
        <w:right w:val="none" w:sz="0" w:space="0" w:color="auto"/>
      </w:divBdr>
    </w:div>
    <w:div w:id="1145120420">
      <w:marLeft w:val="0"/>
      <w:marRight w:val="0"/>
      <w:marTop w:val="0"/>
      <w:marBottom w:val="0"/>
      <w:divBdr>
        <w:top w:val="none" w:sz="0" w:space="0" w:color="auto"/>
        <w:left w:val="none" w:sz="0" w:space="0" w:color="auto"/>
        <w:bottom w:val="none" w:sz="0" w:space="0" w:color="auto"/>
        <w:right w:val="none" w:sz="0" w:space="0" w:color="auto"/>
      </w:divBdr>
    </w:div>
    <w:div w:id="1145120421">
      <w:marLeft w:val="0"/>
      <w:marRight w:val="0"/>
      <w:marTop w:val="0"/>
      <w:marBottom w:val="0"/>
      <w:divBdr>
        <w:top w:val="none" w:sz="0" w:space="0" w:color="auto"/>
        <w:left w:val="none" w:sz="0" w:space="0" w:color="auto"/>
        <w:bottom w:val="none" w:sz="0" w:space="0" w:color="auto"/>
        <w:right w:val="none" w:sz="0" w:space="0" w:color="auto"/>
      </w:divBdr>
    </w:div>
    <w:div w:id="11451204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33B0D-8D02-461B-AD51-358F7422F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4754</Words>
  <Characters>27204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2023-06-09T19:24:00Z</dcterms:created>
  <dcterms:modified xsi:type="dcterms:W3CDTF">2023-06-12T15:50:00Z</dcterms:modified>
</cp:coreProperties>
</file>