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6189CAD4" w:rsidR="000A134A" w:rsidRPr="00E70500" w:rsidRDefault="002511E9" w:rsidP="008948B2">
      <w:pPr>
        <w:pStyle w:val="Heading1"/>
      </w:pPr>
      <w:bookmarkStart w:id="0" w:name="_Toc118900169"/>
      <w:bookmarkStart w:id="1" w:name="_Toc118905008"/>
      <w:r w:rsidRPr="00E70500">
        <w:rPr>
          <w:iCs/>
        </w:rPr>
        <w:t>FY 20</w:t>
      </w:r>
      <w:r w:rsidR="00185C7D" w:rsidRPr="00E70500">
        <w:rPr>
          <w:iCs/>
        </w:rPr>
        <w:t>22</w:t>
      </w:r>
      <w:r w:rsidR="001C1E47" w:rsidRPr="00E70500">
        <w:rPr>
          <w:iCs/>
        </w:rPr>
        <w:t xml:space="preserve"> </w:t>
      </w:r>
      <w:r w:rsidR="000A134A" w:rsidRPr="00E70500">
        <w:rPr>
          <w:iCs/>
        </w:rPr>
        <w:t xml:space="preserve">Follow-up </w:t>
      </w:r>
      <w:r w:rsidR="00626033" w:rsidRPr="00E70500">
        <w:t>Federal Annual Monitoring</w:t>
      </w:r>
      <w:r w:rsidR="000A134A" w:rsidRPr="00E70500">
        <w:t xml:space="preserve"> Evaluation (FAME) Report</w:t>
      </w:r>
      <w:bookmarkEnd w:id="0"/>
      <w:bookmarkEnd w:id="1"/>
    </w:p>
    <w:p w14:paraId="5D01BB79" w14:textId="77777777" w:rsidR="000A134A" w:rsidRPr="00E70500" w:rsidRDefault="000A134A" w:rsidP="0061177B">
      <w:pPr>
        <w:widowControl/>
        <w:autoSpaceDE/>
        <w:autoSpaceDN/>
        <w:adjustRightInd/>
        <w:rPr>
          <w:rFonts w:asciiTheme="minorHAnsi" w:hAnsiTheme="minorHAnsi" w:cstheme="minorHAnsi"/>
          <w:bCs/>
          <w:iCs/>
        </w:rPr>
      </w:pPr>
    </w:p>
    <w:p w14:paraId="2681F091" w14:textId="77777777" w:rsidR="000A134A" w:rsidRPr="00E70500" w:rsidRDefault="000A134A" w:rsidP="007A71AC">
      <w:pPr>
        <w:widowControl/>
        <w:autoSpaceDE/>
        <w:autoSpaceDN/>
        <w:adjustRightInd/>
        <w:jc w:val="center"/>
        <w:rPr>
          <w:rFonts w:asciiTheme="minorHAnsi" w:hAnsiTheme="minorHAnsi" w:cstheme="minorHAnsi"/>
        </w:rPr>
      </w:pPr>
      <w:r w:rsidRPr="00E70500">
        <w:rPr>
          <w:rFonts w:asciiTheme="minorHAnsi" w:hAnsiTheme="minorHAnsi" w:cstheme="minorHAnsi"/>
        </w:rPr>
        <w:t xml:space="preserve"> </w:t>
      </w:r>
    </w:p>
    <w:p w14:paraId="61F6BBD2" w14:textId="77777777" w:rsidR="000A134A" w:rsidRPr="0012661F" w:rsidRDefault="000A134A" w:rsidP="0061177B">
      <w:pPr>
        <w:widowControl/>
        <w:autoSpaceDE/>
        <w:autoSpaceDN/>
        <w:adjustRightInd/>
        <w:rPr>
          <w:rFonts w:asciiTheme="minorHAnsi" w:hAnsiTheme="minorHAnsi" w:cstheme="minorHAnsi"/>
          <w:b/>
        </w:rPr>
      </w:pPr>
    </w:p>
    <w:p w14:paraId="51905CA0" w14:textId="10108497" w:rsidR="000A134A" w:rsidRPr="00452EA6" w:rsidRDefault="00BA2405" w:rsidP="001C1E47">
      <w:pPr>
        <w:widowControl/>
        <w:autoSpaceDE/>
        <w:autoSpaceDN/>
        <w:adjustRightInd/>
        <w:rPr>
          <w:rFonts w:asciiTheme="minorHAnsi" w:hAnsiTheme="minorHAnsi" w:cstheme="minorHAnsi"/>
          <w:b/>
          <w:sz w:val="28"/>
          <w:szCs w:val="28"/>
        </w:rPr>
      </w:pPr>
      <w:r w:rsidRPr="00452EA6">
        <w:rPr>
          <w:rFonts w:asciiTheme="minorHAnsi" w:hAnsiTheme="minorHAnsi" w:cstheme="minorHAnsi"/>
          <w:b/>
          <w:sz w:val="28"/>
          <w:szCs w:val="28"/>
        </w:rPr>
        <w:t>Vermont Occupational Safety and Health Administration</w:t>
      </w:r>
      <w:r w:rsidR="00A01E22" w:rsidRPr="00452EA6">
        <w:rPr>
          <w:rFonts w:asciiTheme="minorHAnsi" w:hAnsiTheme="minorHAnsi" w:cstheme="minorHAnsi"/>
          <w:b/>
          <w:sz w:val="28"/>
          <w:szCs w:val="28"/>
        </w:rPr>
        <w:t xml:space="preserve"> (VOSHA)</w:t>
      </w:r>
    </w:p>
    <w:p w14:paraId="2A3E5133" w14:textId="77777777" w:rsidR="000A134A" w:rsidRPr="00E70500" w:rsidRDefault="000A134A" w:rsidP="0061177B">
      <w:pPr>
        <w:widowControl/>
        <w:autoSpaceDE/>
        <w:autoSpaceDN/>
        <w:adjustRightInd/>
        <w:rPr>
          <w:rFonts w:asciiTheme="minorHAnsi" w:hAnsiTheme="minorHAnsi" w:cstheme="minorHAnsi"/>
          <w:bCs/>
        </w:rPr>
      </w:pPr>
    </w:p>
    <w:p w14:paraId="33BDDAA9" w14:textId="3CAF9528" w:rsidR="000A134A" w:rsidRPr="00E70500" w:rsidRDefault="005E3EB2" w:rsidP="0061177B">
      <w:pPr>
        <w:widowControl/>
        <w:autoSpaceDE/>
        <w:autoSpaceDN/>
        <w:adjustRightInd/>
        <w:rPr>
          <w:rFonts w:asciiTheme="minorHAnsi" w:hAnsiTheme="minorHAnsi" w:cstheme="minorHAnsi"/>
          <w:bCs/>
        </w:rPr>
      </w:pPr>
      <w:r>
        <w:rPr>
          <w:noProof/>
        </w:rPr>
        <w:drawing>
          <wp:inline distT="0" distB="0" distL="0" distR="0" wp14:anchorId="36F9F9AC" wp14:editId="2EEC02AB">
            <wp:extent cx="2052818" cy="770998"/>
            <wp:effectExtent l="76200" t="76200" r="81280" b="67310"/>
            <wp:docPr id="2" name="Picture 2" descr="Logo, Vermont Department of La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Vermont Department of Lab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6873" cy="783788"/>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0E828210" w14:textId="7B1CD882" w:rsidR="000A134A" w:rsidRPr="00E70500" w:rsidRDefault="000A134A" w:rsidP="0061177B">
      <w:pPr>
        <w:widowControl/>
        <w:autoSpaceDE/>
        <w:autoSpaceDN/>
        <w:adjustRightInd/>
        <w:rPr>
          <w:rFonts w:asciiTheme="minorHAnsi" w:hAnsiTheme="minorHAnsi" w:cstheme="minorHAnsi"/>
          <w:bCs/>
        </w:rPr>
      </w:pPr>
    </w:p>
    <w:p w14:paraId="3FC46738" w14:textId="77777777" w:rsidR="000A134A" w:rsidRPr="00E70500" w:rsidRDefault="000A134A" w:rsidP="0061177B">
      <w:pPr>
        <w:widowControl/>
        <w:autoSpaceDE/>
        <w:autoSpaceDN/>
        <w:adjustRightInd/>
        <w:rPr>
          <w:rFonts w:asciiTheme="minorHAnsi" w:hAnsiTheme="minorHAnsi" w:cstheme="minorHAnsi"/>
          <w:b/>
        </w:rPr>
      </w:pPr>
    </w:p>
    <w:p w14:paraId="6CB8AD27" w14:textId="7356AD48" w:rsidR="000A134A" w:rsidRPr="00E70500" w:rsidRDefault="000A134A" w:rsidP="001C1E47">
      <w:pPr>
        <w:widowControl/>
        <w:tabs>
          <w:tab w:val="left" w:pos="720"/>
          <w:tab w:val="left" w:pos="1440"/>
          <w:tab w:val="left" w:pos="2160"/>
        </w:tabs>
        <w:autoSpaceDE/>
        <w:autoSpaceDN/>
        <w:adjustRightInd/>
        <w:rPr>
          <w:rFonts w:asciiTheme="minorHAnsi" w:eastAsia="Batang" w:hAnsiTheme="minorHAnsi" w:cstheme="minorHAnsi"/>
          <w:b/>
        </w:rPr>
      </w:pPr>
      <w:r w:rsidRPr="00E70500">
        <w:rPr>
          <w:rFonts w:asciiTheme="minorHAnsi" w:eastAsia="Batang" w:hAnsiTheme="minorHAnsi" w:cstheme="minorHAnsi"/>
          <w:b/>
        </w:rPr>
        <w:t>Ev</w:t>
      </w:r>
      <w:r w:rsidR="00882F2B" w:rsidRPr="00E70500">
        <w:rPr>
          <w:rFonts w:asciiTheme="minorHAnsi" w:eastAsia="Batang" w:hAnsiTheme="minorHAnsi" w:cstheme="minorHAnsi"/>
          <w:b/>
        </w:rPr>
        <w:t>aluation Period: October 1, 20</w:t>
      </w:r>
      <w:r w:rsidR="00F54BE0" w:rsidRPr="00E70500">
        <w:rPr>
          <w:rFonts w:asciiTheme="minorHAnsi" w:eastAsia="Batang" w:hAnsiTheme="minorHAnsi" w:cstheme="minorHAnsi"/>
          <w:b/>
        </w:rPr>
        <w:t>21</w:t>
      </w:r>
      <w:r w:rsidRPr="00E70500">
        <w:rPr>
          <w:rFonts w:asciiTheme="minorHAnsi" w:eastAsia="Batang" w:hAnsiTheme="minorHAnsi" w:cstheme="minorHAnsi"/>
          <w:b/>
        </w:rPr>
        <w:t xml:space="preserve"> –</w:t>
      </w:r>
      <w:r w:rsidR="00882F2B" w:rsidRPr="00E70500">
        <w:rPr>
          <w:rFonts w:asciiTheme="minorHAnsi" w:eastAsia="Batang" w:hAnsiTheme="minorHAnsi" w:cstheme="minorHAnsi"/>
          <w:b/>
        </w:rPr>
        <w:t xml:space="preserve"> September 30, 20</w:t>
      </w:r>
      <w:r w:rsidR="00F54BE0" w:rsidRPr="00E70500">
        <w:rPr>
          <w:rFonts w:asciiTheme="minorHAnsi" w:eastAsia="Batang" w:hAnsiTheme="minorHAnsi" w:cstheme="minorHAnsi"/>
          <w:b/>
        </w:rPr>
        <w:t>22</w:t>
      </w:r>
    </w:p>
    <w:p w14:paraId="03D79AE5" w14:textId="77777777" w:rsidR="000A134A" w:rsidRPr="00E70500" w:rsidRDefault="000A134A" w:rsidP="007A71AC">
      <w:pPr>
        <w:widowControl/>
        <w:autoSpaceDE/>
        <w:autoSpaceDN/>
        <w:adjustRightInd/>
        <w:jc w:val="center"/>
        <w:rPr>
          <w:rFonts w:asciiTheme="minorHAnsi" w:hAnsiTheme="minorHAnsi" w:cstheme="minorHAnsi"/>
        </w:rPr>
      </w:pPr>
    </w:p>
    <w:p w14:paraId="015E020F" w14:textId="77777777" w:rsidR="000A134A" w:rsidRPr="00E70500" w:rsidRDefault="000A134A" w:rsidP="0061177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rPr>
      </w:pPr>
    </w:p>
    <w:p w14:paraId="0E81BC24" w14:textId="77777777" w:rsidR="000A134A" w:rsidRPr="00E70500"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rPr>
      </w:pPr>
    </w:p>
    <w:p w14:paraId="221B5785" w14:textId="77777777" w:rsidR="000A134A" w:rsidRPr="00E70500"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b/>
        </w:rPr>
      </w:pPr>
    </w:p>
    <w:p w14:paraId="0DF94F44" w14:textId="37522164" w:rsidR="000A134A" w:rsidRPr="00E70500"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eastAsia="Batang" w:hAnsiTheme="minorHAnsi" w:cstheme="minorHAnsi"/>
          <w:b/>
        </w:rPr>
      </w:pPr>
      <w:r w:rsidRPr="00E70500">
        <w:rPr>
          <w:rFonts w:asciiTheme="minorHAnsi" w:eastAsia="Batang" w:hAnsiTheme="minorHAnsi" w:cstheme="minorHAnsi"/>
          <w:b/>
        </w:rPr>
        <w:t xml:space="preserve">Initial Approval Date:  </w:t>
      </w:r>
      <w:r w:rsidR="00070A61">
        <w:rPr>
          <w:rFonts w:asciiTheme="minorHAnsi" w:eastAsia="Batang" w:hAnsiTheme="minorHAnsi" w:cstheme="minorHAnsi"/>
          <w:b/>
        </w:rPr>
        <w:t>October 17, 1973</w:t>
      </w:r>
    </w:p>
    <w:p w14:paraId="3062998A" w14:textId="0CE45931" w:rsidR="000A134A" w:rsidRPr="00E70500"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eastAsia="Batang" w:hAnsiTheme="minorHAnsi" w:cstheme="minorHAnsi"/>
          <w:b/>
        </w:rPr>
      </w:pPr>
      <w:r w:rsidRPr="00E70500">
        <w:rPr>
          <w:rFonts w:asciiTheme="minorHAnsi" w:eastAsia="Batang" w:hAnsiTheme="minorHAnsi" w:cstheme="minorHAnsi"/>
          <w:b/>
        </w:rPr>
        <w:t xml:space="preserve">Program Certification Date: </w:t>
      </w:r>
      <w:r w:rsidR="00070A61" w:rsidRPr="00070A61">
        <w:rPr>
          <w:rFonts w:asciiTheme="minorHAnsi" w:eastAsia="Batang" w:hAnsiTheme="minorHAnsi" w:cstheme="minorHAnsi"/>
          <w:b/>
        </w:rPr>
        <w:t>March 4, 1977</w:t>
      </w:r>
    </w:p>
    <w:p w14:paraId="51A91D4F" w14:textId="312FFBC8" w:rsidR="000A134A" w:rsidRPr="00070A61"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b/>
        </w:rPr>
      </w:pPr>
      <w:r w:rsidRPr="00E70500">
        <w:rPr>
          <w:rFonts w:asciiTheme="minorHAnsi" w:eastAsia="Batang" w:hAnsiTheme="minorHAnsi" w:cstheme="minorHAnsi"/>
          <w:b/>
        </w:rPr>
        <w:t xml:space="preserve">Final Approval Date: </w:t>
      </w:r>
      <w:r w:rsidR="00070A61" w:rsidRPr="00070A61">
        <w:rPr>
          <w:rFonts w:asciiTheme="minorHAnsi" w:eastAsia="Batang" w:hAnsiTheme="minorHAnsi" w:cstheme="minorHAnsi"/>
          <w:b/>
        </w:rPr>
        <w:t>None</w:t>
      </w:r>
    </w:p>
    <w:p w14:paraId="5FD63D8C" w14:textId="77777777" w:rsidR="000A134A" w:rsidRPr="00E70500" w:rsidRDefault="000A134A" w:rsidP="0061177B">
      <w:pPr>
        <w:widowControl/>
        <w:autoSpaceDE/>
        <w:autoSpaceDN/>
        <w:adjustRightInd/>
        <w:rPr>
          <w:rFonts w:asciiTheme="minorHAnsi" w:hAnsiTheme="minorHAnsi" w:cstheme="minorHAnsi"/>
          <w:b/>
          <w:bCs/>
        </w:rPr>
      </w:pPr>
    </w:p>
    <w:p w14:paraId="3903FDED" w14:textId="77777777" w:rsidR="000A134A" w:rsidRPr="00E70500" w:rsidRDefault="000A134A" w:rsidP="007A71AC">
      <w:pPr>
        <w:widowControl/>
        <w:autoSpaceDE/>
        <w:autoSpaceDN/>
        <w:adjustRightInd/>
        <w:jc w:val="center"/>
        <w:rPr>
          <w:rFonts w:asciiTheme="minorHAnsi" w:hAnsiTheme="minorHAnsi" w:cstheme="minorHAnsi"/>
          <w:b/>
        </w:rPr>
      </w:pPr>
    </w:p>
    <w:p w14:paraId="336BF8F1" w14:textId="77777777" w:rsidR="000A134A" w:rsidRPr="00E70500" w:rsidRDefault="000A134A" w:rsidP="00C53328">
      <w:pPr>
        <w:widowControl/>
        <w:autoSpaceDE/>
        <w:autoSpaceDN/>
        <w:adjustRightInd/>
        <w:rPr>
          <w:rFonts w:asciiTheme="minorHAnsi" w:hAnsiTheme="minorHAnsi" w:cstheme="minorHAnsi"/>
          <w:b/>
        </w:rPr>
      </w:pPr>
      <w:r w:rsidRPr="00E70500">
        <w:rPr>
          <w:rFonts w:asciiTheme="minorHAnsi" w:hAnsiTheme="minorHAnsi" w:cstheme="minorHAnsi"/>
          <w:b/>
        </w:rPr>
        <w:t>Prepared by:</w:t>
      </w:r>
    </w:p>
    <w:p w14:paraId="503A1070" w14:textId="77777777" w:rsidR="000A134A" w:rsidRPr="00E70500" w:rsidRDefault="000A134A" w:rsidP="00C53328">
      <w:pPr>
        <w:widowControl/>
        <w:autoSpaceDE/>
        <w:autoSpaceDN/>
        <w:adjustRightInd/>
        <w:rPr>
          <w:rFonts w:asciiTheme="minorHAnsi" w:hAnsiTheme="minorHAnsi" w:cstheme="minorHAnsi"/>
          <w:b/>
        </w:rPr>
      </w:pPr>
      <w:r w:rsidRPr="00E70500">
        <w:rPr>
          <w:rFonts w:asciiTheme="minorHAnsi" w:hAnsiTheme="minorHAnsi" w:cstheme="minorHAnsi"/>
          <w:b/>
        </w:rPr>
        <w:t xml:space="preserve">U. S. Department of Labor </w:t>
      </w:r>
    </w:p>
    <w:p w14:paraId="5E957F30" w14:textId="77777777" w:rsidR="000A134A" w:rsidRPr="00E70500" w:rsidRDefault="000A134A" w:rsidP="00C53328">
      <w:pPr>
        <w:widowControl/>
        <w:autoSpaceDE/>
        <w:autoSpaceDN/>
        <w:adjustRightInd/>
        <w:rPr>
          <w:rFonts w:asciiTheme="minorHAnsi" w:hAnsiTheme="minorHAnsi" w:cstheme="minorHAnsi"/>
          <w:b/>
        </w:rPr>
      </w:pPr>
      <w:r w:rsidRPr="00E70500">
        <w:rPr>
          <w:rFonts w:asciiTheme="minorHAnsi" w:hAnsiTheme="minorHAnsi" w:cstheme="minorHAnsi"/>
          <w:b/>
        </w:rPr>
        <w:t>Occupational Safety and Health Administration</w:t>
      </w:r>
    </w:p>
    <w:p w14:paraId="283D40DC" w14:textId="75087BC3" w:rsidR="000A134A" w:rsidRPr="00E70500" w:rsidRDefault="000A134A" w:rsidP="00C53328">
      <w:pPr>
        <w:widowControl/>
        <w:autoSpaceDE/>
        <w:autoSpaceDN/>
        <w:adjustRightInd/>
        <w:rPr>
          <w:rFonts w:asciiTheme="minorHAnsi" w:hAnsiTheme="minorHAnsi" w:cstheme="minorHAnsi"/>
          <w:b/>
        </w:rPr>
      </w:pPr>
      <w:r w:rsidRPr="00E70500">
        <w:rPr>
          <w:rFonts w:asciiTheme="minorHAnsi" w:hAnsiTheme="minorHAnsi" w:cstheme="minorHAnsi"/>
          <w:b/>
        </w:rPr>
        <w:t xml:space="preserve">Region </w:t>
      </w:r>
      <w:r w:rsidR="00031B23">
        <w:rPr>
          <w:rFonts w:asciiTheme="minorHAnsi" w:hAnsiTheme="minorHAnsi" w:cstheme="minorHAnsi"/>
          <w:b/>
        </w:rPr>
        <w:t>I</w:t>
      </w:r>
    </w:p>
    <w:p w14:paraId="50EE0B64" w14:textId="5E24248C" w:rsidR="000A134A" w:rsidRPr="0006711A" w:rsidRDefault="0006711A" w:rsidP="00C53328">
      <w:pPr>
        <w:widowControl/>
        <w:autoSpaceDE/>
        <w:autoSpaceDN/>
        <w:adjustRightInd/>
        <w:rPr>
          <w:rFonts w:asciiTheme="minorHAnsi" w:hAnsiTheme="minorHAnsi" w:cstheme="minorHAnsi"/>
          <w:b/>
        </w:rPr>
      </w:pPr>
      <w:r w:rsidRPr="0006711A">
        <w:rPr>
          <w:rFonts w:asciiTheme="minorHAnsi" w:hAnsiTheme="minorHAnsi" w:cstheme="minorHAnsi"/>
          <w:b/>
        </w:rPr>
        <w:t>Boston, Massachusetts</w:t>
      </w:r>
    </w:p>
    <w:p w14:paraId="5737E281" w14:textId="77777777" w:rsidR="000A134A" w:rsidRPr="00E70500" w:rsidRDefault="000A134A" w:rsidP="007A71AC">
      <w:pPr>
        <w:widowControl/>
        <w:autoSpaceDE/>
        <w:autoSpaceDN/>
        <w:adjustRightInd/>
        <w:jc w:val="center"/>
        <w:rPr>
          <w:rFonts w:asciiTheme="minorHAnsi" w:hAnsiTheme="minorHAnsi" w:cstheme="minorHAnsi"/>
          <w:b/>
        </w:rPr>
      </w:pPr>
    </w:p>
    <w:p w14:paraId="15F94D47" w14:textId="77777777" w:rsidR="000A134A" w:rsidRPr="00E70500" w:rsidRDefault="000A134A" w:rsidP="007A71AC">
      <w:pPr>
        <w:widowControl/>
        <w:autoSpaceDE/>
        <w:autoSpaceDN/>
        <w:adjustRightInd/>
        <w:jc w:val="center"/>
        <w:rPr>
          <w:rFonts w:asciiTheme="minorHAnsi" w:hAnsiTheme="minorHAnsi" w:cstheme="minorHAnsi"/>
          <w:b/>
        </w:rPr>
      </w:pPr>
    </w:p>
    <w:p w14:paraId="18164B2D" w14:textId="77777777" w:rsidR="000A134A" w:rsidRPr="00E70500" w:rsidRDefault="000A134A" w:rsidP="007A71AC">
      <w:pPr>
        <w:widowControl/>
        <w:autoSpaceDE/>
        <w:autoSpaceDN/>
        <w:adjustRightInd/>
        <w:jc w:val="center"/>
        <w:rPr>
          <w:rFonts w:asciiTheme="minorHAnsi" w:hAnsiTheme="minorHAnsi" w:cstheme="minorHAnsi"/>
          <w:b/>
        </w:rPr>
      </w:pPr>
    </w:p>
    <w:p w14:paraId="2A4EC189" w14:textId="77777777" w:rsidR="000A134A" w:rsidRPr="00E70500" w:rsidRDefault="000A134A" w:rsidP="007A71AC">
      <w:pPr>
        <w:widowControl/>
        <w:autoSpaceDE/>
        <w:autoSpaceDN/>
        <w:adjustRightInd/>
        <w:jc w:val="center"/>
        <w:rPr>
          <w:rFonts w:asciiTheme="minorHAnsi" w:hAnsiTheme="minorHAnsi" w:cstheme="minorHAnsi"/>
          <w:b/>
        </w:rPr>
      </w:pPr>
    </w:p>
    <w:p w14:paraId="2A63637C" w14:textId="77777777" w:rsidR="000A134A" w:rsidRPr="00E70500" w:rsidRDefault="000A134A" w:rsidP="007A71AC">
      <w:pPr>
        <w:widowControl/>
        <w:autoSpaceDE/>
        <w:autoSpaceDN/>
        <w:adjustRightInd/>
        <w:jc w:val="center"/>
        <w:rPr>
          <w:rFonts w:asciiTheme="minorHAnsi" w:hAnsiTheme="minorHAnsi" w:cstheme="minorHAnsi"/>
          <w:b/>
        </w:rPr>
      </w:pPr>
    </w:p>
    <w:p w14:paraId="41EC6729" w14:textId="77777777" w:rsidR="000A134A" w:rsidRPr="00E70500" w:rsidRDefault="000A134A" w:rsidP="007A71AC">
      <w:pPr>
        <w:widowControl/>
        <w:autoSpaceDE/>
        <w:autoSpaceDN/>
        <w:adjustRightInd/>
        <w:jc w:val="center"/>
        <w:rPr>
          <w:rFonts w:asciiTheme="minorHAnsi" w:hAnsiTheme="minorHAnsi" w:cstheme="minorHAnsi"/>
          <w:b/>
        </w:rPr>
      </w:pPr>
      <w:r w:rsidRPr="00E70500">
        <w:rPr>
          <w:rFonts w:asciiTheme="minorHAnsi" w:hAnsiTheme="minorHAnsi" w:cstheme="minorHAnsi"/>
          <w:noProof/>
        </w:rPr>
        <w:drawing>
          <wp:inline distT="0" distB="0" distL="0" distR="0" wp14:anchorId="1D849888" wp14:editId="6629BCB6">
            <wp:extent cx="1600200" cy="1009650"/>
            <wp:effectExtent l="0" t="0" r="0" b="0"/>
            <wp:docPr id="4" name="Picture 4" descr="O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SH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6D1C94C" w14:textId="77777777" w:rsidR="00F43B23" w:rsidRPr="00E70500" w:rsidRDefault="00F43B23">
      <w:pPr>
        <w:widowControl/>
        <w:autoSpaceDE/>
        <w:autoSpaceDN/>
        <w:adjustRightInd/>
        <w:rPr>
          <w:rFonts w:asciiTheme="minorHAnsi" w:hAnsiTheme="minorHAnsi" w:cstheme="minorHAnsi"/>
          <w:b/>
        </w:rPr>
      </w:pPr>
      <w:r w:rsidRPr="00E70500">
        <w:rPr>
          <w:rFonts w:asciiTheme="minorHAnsi" w:hAnsiTheme="minorHAnsi" w:cstheme="minorHAnsi"/>
          <w:b/>
        </w:rPr>
        <w:br w:type="page"/>
      </w:r>
    </w:p>
    <w:p w14:paraId="253E64F1" w14:textId="2FAB4601" w:rsidR="002A6CAA" w:rsidRPr="00795447" w:rsidRDefault="00F43B23">
      <w:pPr>
        <w:widowControl/>
        <w:autoSpaceDE/>
        <w:autoSpaceDN/>
        <w:adjustRightInd/>
        <w:rPr>
          <w:rFonts w:asciiTheme="minorHAnsi" w:hAnsiTheme="minorHAnsi" w:cstheme="minorHAnsi"/>
          <w:b/>
          <w:sz w:val="28"/>
          <w:szCs w:val="28"/>
        </w:rPr>
      </w:pPr>
      <w:r w:rsidRPr="00795447">
        <w:rPr>
          <w:rFonts w:asciiTheme="minorHAnsi" w:hAnsiTheme="minorHAnsi" w:cstheme="minorHAnsi"/>
          <w:b/>
          <w:sz w:val="28"/>
          <w:szCs w:val="28"/>
        </w:rPr>
        <w:lastRenderedPageBreak/>
        <w:t>Table of Contents</w:t>
      </w:r>
    </w:p>
    <w:p w14:paraId="161B9969" w14:textId="35F1BB15" w:rsidR="000F63C1" w:rsidRPr="00795447" w:rsidRDefault="000F63C1" w:rsidP="00795447">
      <w:pPr>
        <w:pStyle w:val="TOC2"/>
        <w:rPr>
          <w:rFonts w:eastAsiaTheme="minorEastAsia"/>
          <w:b/>
        </w:rPr>
      </w:pPr>
      <w:r w:rsidRPr="00E70500">
        <w:rPr>
          <w:sz w:val="24"/>
          <w:szCs w:val="24"/>
        </w:rPr>
        <w:fldChar w:fldCharType="begin"/>
      </w:r>
      <w:r w:rsidRPr="00E70500">
        <w:rPr>
          <w:sz w:val="24"/>
          <w:szCs w:val="24"/>
        </w:rPr>
        <w:instrText xml:space="preserve"> TOC \o "2-3" \h \z \u \t "Level 1,1" </w:instrText>
      </w:r>
      <w:r w:rsidRPr="00E70500">
        <w:rPr>
          <w:sz w:val="24"/>
          <w:szCs w:val="24"/>
        </w:rPr>
        <w:fldChar w:fldCharType="separate"/>
      </w:r>
      <w:hyperlink w:anchor="_Toc119418663" w:history="1">
        <w:r w:rsidRPr="00795447">
          <w:rPr>
            <w:rStyle w:val="Hyperlink"/>
            <w:rFonts w:cstheme="minorHAnsi"/>
          </w:rPr>
          <w:t>I.</w:t>
        </w:r>
        <w:r w:rsidRPr="00795447">
          <w:rPr>
            <w:rFonts w:eastAsiaTheme="minorEastAsia"/>
            <w:b/>
          </w:rPr>
          <w:tab/>
        </w:r>
        <w:r w:rsidRPr="00795447">
          <w:rPr>
            <w:rStyle w:val="Hyperlink"/>
            <w:rFonts w:cstheme="minorHAnsi"/>
          </w:rPr>
          <w:t>Executive Summary</w:t>
        </w:r>
        <w:r w:rsidRPr="00795447">
          <w:rPr>
            <w:webHidden/>
          </w:rPr>
          <w:tab/>
        </w:r>
        <w:r w:rsidRPr="00795447">
          <w:rPr>
            <w:webHidden/>
          </w:rPr>
          <w:fldChar w:fldCharType="begin"/>
        </w:r>
        <w:r w:rsidRPr="00795447">
          <w:rPr>
            <w:webHidden/>
          </w:rPr>
          <w:instrText xml:space="preserve"> PAGEREF _Toc119418663 \h </w:instrText>
        </w:r>
        <w:r w:rsidRPr="00795447">
          <w:rPr>
            <w:webHidden/>
          </w:rPr>
        </w:r>
        <w:r w:rsidRPr="00795447">
          <w:rPr>
            <w:webHidden/>
          </w:rPr>
          <w:fldChar w:fldCharType="separate"/>
        </w:r>
        <w:r w:rsidRPr="00795447">
          <w:rPr>
            <w:webHidden/>
          </w:rPr>
          <w:t>3</w:t>
        </w:r>
        <w:r w:rsidRPr="00795447">
          <w:rPr>
            <w:webHidden/>
          </w:rPr>
          <w:fldChar w:fldCharType="end"/>
        </w:r>
      </w:hyperlink>
    </w:p>
    <w:p w14:paraId="3BD91ACD" w14:textId="1A5D8977" w:rsidR="000F63C1" w:rsidRPr="00795447" w:rsidRDefault="008948B2" w:rsidP="00795447">
      <w:pPr>
        <w:pStyle w:val="TOC2"/>
        <w:rPr>
          <w:rFonts w:eastAsiaTheme="minorEastAsia"/>
          <w:b/>
        </w:rPr>
      </w:pPr>
      <w:hyperlink w:anchor="_Toc119418664" w:history="1">
        <w:r w:rsidR="000F63C1" w:rsidRPr="00795447">
          <w:rPr>
            <w:rStyle w:val="Hyperlink"/>
            <w:rFonts w:cstheme="minorHAnsi"/>
          </w:rPr>
          <w:t>II.</w:t>
        </w:r>
        <w:r w:rsidR="000F63C1" w:rsidRPr="00795447">
          <w:rPr>
            <w:rFonts w:eastAsiaTheme="minorEastAsia"/>
            <w:b/>
          </w:rPr>
          <w:tab/>
        </w:r>
        <w:r w:rsidR="000F63C1" w:rsidRPr="00795447">
          <w:rPr>
            <w:rStyle w:val="Hyperlink"/>
            <w:rFonts w:cstheme="minorHAnsi"/>
          </w:rPr>
          <w:t>State Plan Background</w:t>
        </w:r>
        <w:r w:rsidR="000F63C1" w:rsidRPr="00795447">
          <w:rPr>
            <w:webHidden/>
          </w:rPr>
          <w:tab/>
        </w:r>
        <w:r w:rsidR="00405AF9" w:rsidRPr="00795447">
          <w:rPr>
            <w:webHidden/>
          </w:rPr>
          <w:t>3</w:t>
        </w:r>
      </w:hyperlink>
    </w:p>
    <w:p w14:paraId="12E60A29" w14:textId="7B718D63" w:rsidR="000F63C1" w:rsidRPr="00795447" w:rsidRDefault="008948B2" w:rsidP="00795447">
      <w:pPr>
        <w:pStyle w:val="TOC2"/>
        <w:rPr>
          <w:rFonts w:eastAsiaTheme="minorEastAsia"/>
          <w:b/>
        </w:rPr>
      </w:pPr>
      <w:hyperlink w:anchor="_Toc119418665" w:history="1">
        <w:r w:rsidR="000F63C1" w:rsidRPr="00795447">
          <w:rPr>
            <w:rStyle w:val="Hyperlink"/>
            <w:rFonts w:cstheme="minorHAnsi"/>
          </w:rPr>
          <w:t>III.</w:t>
        </w:r>
        <w:r w:rsidR="000F63C1" w:rsidRPr="00795447">
          <w:rPr>
            <w:rFonts w:eastAsiaTheme="minorEastAsia"/>
            <w:b/>
          </w:rPr>
          <w:tab/>
        </w:r>
        <w:r w:rsidR="000F63C1" w:rsidRPr="00795447">
          <w:rPr>
            <w:rStyle w:val="Hyperlink"/>
            <w:rFonts w:cstheme="minorHAnsi"/>
          </w:rPr>
          <w:t>Assessment of State Plan Progress and Performance</w:t>
        </w:r>
        <w:r w:rsidR="000F63C1" w:rsidRPr="00795447">
          <w:rPr>
            <w:webHidden/>
          </w:rPr>
          <w:tab/>
        </w:r>
        <w:r w:rsidR="00405AF9" w:rsidRPr="00795447">
          <w:rPr>
            <w:webHidden/>
          </w:rPr>
          <w:t>5</w:t>
        </w:r>
      </w:hyperlink>
    </w:p>
    <w:p w14:paraId="1E2078A6" w14:textId="0751F7AF" w:rsidR="000F63C1" w:rsidRPr="00E70500" w:rsidRDefault="008948B2">
      <w:pPr>
        <w:pStyle w:val="TOC3"/>
        <w:tabs>
          <w:tab w:val="left" w:pos="720"/>
          <w:tab w:val="right" w:leader="dot" w:pos="9530"/>
        </w:tabs>
        <w:rPr>
          <w:rFonts w:eastAsiaTheme="minorEastAsia"/>
          <w:noProof/>
          <w:szCs w:val="24"/>
        </w:rPr>
      </w:pPr>
      <w:hyperlink w:anchor="_Toc119418666" w:history="1">
        <w:r w:rsidR="000F63C1" w:rsidRPr="00E70500">
          <w:rPr>
            <w:rStyle w:val="Hyperlink"/>
            <w:rFonts w:cstheme="minorHAnsi"/>
            <w:noProof/>
            <w:szCs w:val="24"/>
          </w:rPr>
          <w:t>A.</w:t>
        </w:r>
        <w:r w:rsidR="000F63C1" w:rsidRPr="00E70500">
          <w:rPr>
            <w:rFonts w:eastAsiaTheme="minorEastAsia"/>
            <w:noProof/>
            <w:szCs w:val="24"/>
          </w:rPr>
          <w:tab/>
        </w:r>
        <w:r w:rsidR="000F63C1" w:rsidRPr="00E70500">
          <w:rPr>
            <w:rStyle w:val="Hyperlink"/>
            <w:rFonts w:cstheme="minorHAnsi"/>
            <w:noProof/>
            <w:szCs w:val="24"/>
          </w:rPr>
          <w:t>Data and Methodology</w:t>
        </w:r>
        <w:r w:rsidR="000F63C1" w:rsidRPr="00E70500">
          <w:rPr>
            <w:noProof/>
            <w:webHidden/>
            <w:szCs w:val="24"/>
          </w:rPr>
          <w:tab/>
        </w:r>
        <w:r w:rsidR="00405AF9">
          <w:rPr>
            <w:noProof/>
            <w:webHidden/>
            <w:szCs w:val="24"/>
          </w:rPr>
          <w:t>5</w:t>
        </w:r>
      </w:hyperlink>
    </w:p>
    <w:p w14:paraId="5EC14328" w14:textId="0FFDB656" w:rsidR="000F63C1" w:rsidRPr="00E70500" w:rsidRDefault="008948B2">
      <w:pPr>
        <w:pStyle w:val="TOC3"/>
        <w:tabs>
          <w:tab w:val="left" w:pos="720"/>
          <w:tab w:val="right" w:leader="dot" w:pos="9530"/>
        </w:tabs>
        <w:rPr>
          <w:rFonts w:eastAsiaTheme="minorEastAsia"/>
          <w:noProof/>
          <w:szCs w:val="24"/>
        </w:rPr>
      </w:pPr>
      <w:hyperlink w:anchor="_Toc119418667" w:history="1">
        <w:r w:rsidR="000F63C1" w:rsidRPr="00E70500">
          <w:rPr>
            <w:rStyle w:val="Hyperlink"/>
            <w:rFonts w:cstheme="minorHAnsi"/>
            <w:noProof/>
            <w:szCs w:val="24"/>
          </w:rPr>
          <w:t>B.</w:t>
        </w:r>
        <w:r w:rsidR="000F63C1" w:rsidRPr="00E70500">
          <w:rPr>
            <w:rFonts w:eastAsiaTheme="minorEastAsia"/>
            <w:noProof/>
            <w:szCs w:val="24"/>
          </w:rPr>
          <w:tab/>
        </w:r>
        <w:r w:rsidR="000F63C1" w:rsidRPr="00E70500">
          <w:rPr>
            <w:rStyle w:val="Hyperlink"/>
            <w:rFonts w:cstheme="minorHAnsi"/>
            <w:noProof/>
            <w:szCs w:val="24"/>
          </w:rPr>
          <w:t>Findings and Observations</w:t>
        </w:r>
        <w:r w:rsidR="000F63C1" w:rsidRPr="00E70500">
          <w:rPr>
            <w:noProof/>
            <w:webHidden/>
            <w:szCs w:val="24"/>
          </w:rPr>
          <w:tab/>
        </w:r>
        <w:r w:rsidR="000B530C">
          <w:rPr>
            <w:noProof/>
            <w:webHidden/>
            <w:szCs w:val="24"/>
          </w:rPr>
          <w:t>5</w:t>
        </w:r>
      </w:hyperlink>
    </w:p>
    <w:p w14:paraId="373A40FB" w14:textId="6AB3A133" w:rsidR="000F63C1" w:rsidRPr="00E70500" w:rsidRDefault="008948B2">
      <w:pPr>
        <w:pStyle w:val="TOC3"/>
        <w:tabs>
          <w:tab w:val="left" w:pos="720"/>
          <w:tab w:val="right" w:leader="dot" w:pos="9530"/>
        </w:tabs>
        <w:rPr>
          <w:rFonts w:eastAsiaTheme="minorEastAsia"/>
          <w:noProof/>
          <w:szCs w:val="24"/>
        </w:rPr>
      </w:pPr>
      <w:hyperlink w:anchor="_Toc119418668" w:history="1">
        <w:r w:rsidR="000F63C1" w:rsidRPr="00E70500">
          <w:rPr>
            <w:rStyle w:val="Hyperlink"/>
            <w:rFonts w:cstheme="minorHAnsi"/>
            <w:noProof/>
            <w:szCs w:val="24"/>
          </w:rPr>
          <w:t>C.</w:t>
        </w:r>
        <w:r w:rsidR="000F63C1" w:rsidRPr="00E70500">
          <w:rPr>
            <w:rFonts w:eastAsiaTheme="minorEastAsia"/>
            <w:noProof/>
            <w:szCs w:val="24"/>
          </w:rPr>
          <w:tab/>
        </w:r>
        <w:r w:rsidR="000F63C1" w:rsidRPr="00E70500">
          <w:rPr>
            <w:rStyle w:val="Hyperlink"/>
            <w:rFonts w:cstheme="minorHAnsi"/>
            <w:noProof/>
            <w:szCs w:val="24"/>
          </w:rPr>
          <w:t>State Activity Mandated Measures (SAMM) Highlights</w:t>
        </w:r>
        <w:r w:rsidR="000F63C1" w:rsidRPr="00E70500">
          <w:rPr>
            <w:noProof/>
            <w:webHidden/>
            <w:szCs w:val="24"/>
          </w:rPr>
          <w:tab/>
        </w:r>
        <w:r w:rsidR="000B530C">
          <w:rPr>
            <w:noProof/>
            <w:webHidden/>
            <w:szCs w:val="24"/>
          </w:rPr>
          <w:t>7</w:t>
        </w:r>
      </w:hyperlink>
    </w:p>
    <w:p w14:paraId="50DBA2CB" w14:textId="58BB996B" w:rsidR="000F63C1" w:rsidRPr="00E70500" w:rsidRDefault="008948B2">
      <w:pPr>
        <w:pStyle w:val="TOC3"/>
        <w:tabs>
          <w:tab w:val="right" w:leader="dot" w:pos="9530"/>
        </w:tabs>
        <w:rPr>
          <w:rFonts w:eastAsiaTheme="minorEastAsia"/>
          <w:noProof/>
          <w:szCs w:val="24"/>
        </w:rPr>
      </w:pPr>
      <w:hyperlink w:anchor="_Toc119418669" w:history="1">
        <w:r w:rsidR="000F63C1" w:rsidRPr="00E70500">
          <w:rPr>
            <w:rStyle w:val="Hyperlink"/>
            <w:rFonts w:cstheme="minorHAnsi"/>
            <w:noProof/>
            <w:szCs w:val="24"/>
          </w:rPr>
          <w:t>Appendix A – New and Continued Findings and Recommendations</w:t>
        </w:r>
        <w:r w:rsidR="000F63C1" w:rsidRPr="00E70500">
          <w:rPr>
            <w:noProof/>
            <w:webHidden/>
            <w:szCs w:val="24"/>
          </w:rPr>
          <w:tab/>
        </w:r>
        <w:r w:rsidR="000F63C1" w:rsidRPr="00E70500">
          <w:rPr>
            <w:noProof/>
            <w:webHidden/>
            <w:szCs w:val="24"/>
          </w:rPr>
          <w:fldChar w:fldCharType="begin"/>
        </w:r>
        <w:r w:rsidR="000F63C1" w:rsidRPr="00E70500">
          <w:rPr>
            <w:noProof/>
            <w:webHidden/>
            <w:szCs w:val="24"/>
          </w:rPr>
          <w:instrText xml:space="preserve"> PAGEREF _Toc119418669 \h </w:instrText>
        </w:r>
        <w:r w:rsidR="000F63C1" w:rsidRPr="00E70500">
          <w:rPr>
            <w:noProof/>
            <w:webHidden/>
            <w:szCs w:val="24"/>
          </w:rPr>
        </w:r>
        <w:r w:rsidR="000F63C1" w:rsidRPr="00E70500">
          <w:rPr>
            <w:noProof/>
            <w:webHidden/>
            <w:szCs w:val="24"/>
          </w:rPr>
          <w:fldChar w:fldCharType="separate"/>
        </w:r>
        <w:r w:rsidR="000F63C1" w:rsidRPr="00E70500">
          <w:rPr>
            <w:noProof/>
            <w:webHidden/>
            <w:szCs w:val="24"/>
          </w:rPr>
          <w:t>1</w:t>
        </w:r>
        <w:r w:rsidR="006522E1">
          <w:rPr>
            <w:noProof/>
            <w:webHidden/>
            <w:szCs w:val="24"/>
          </w:rPr>
          <w:t>0</w:t>
        </w:r>
        <w:r w:rsidR="000F63C1" w:rsidRPr="00E70500">
          <w:rPr>
            <w:noProof/>
            <w:webHidden/>
            <w:szCs w:val="24"/>
          </w:rPr>
          <w:fldChar w:fldCharType="end"/>
        </w:r>
      </w:hyperlink>
    </w:p>
    <w:p w14:paraId="150115C6" w14:textId="135AD14C" w:rsidR="000F63C1" w:rsidRPr="00E70500" w:rsidRDefault="008948B2">
      <w:pPr>
        <w:pStyle w:val="TOC3"/>
        <w:tabs>
          <w:tab w:val="right" w:leader="dot" w:pos="9530"/>
        </w:tabs>
        <w:rPr>
          <w:rFonts w:eastAsiaTheme="minorEastAsia"/>
          <w:noProof/>
          <w:szCs w:val="24"/>
        </w:rPr>
      </w:pPr>
      <w:hyperlink w:anchor="_Toc119418670" w:history="1">
        <w:r w:rsidR="000F63C1" w:rsidRPr="00E70500">
          <w:rPr>
            <w:rStyle w:val="Hyperlink"/>
            <w:rFonts w:cstheme="minorHAnsi"/>
            <w:noProof/>
            <w:szCs w:val="24"/>
          </w:rPr>
          <w:t>Appendix B – Observations Subject to Continued Monitoring</w:t>
        </w:r>
        <w:r w:rsidR="000F63C1" w:rsidRPr="00E70500">
          <w:rPr>
            <w:noProof/>
            <w:webHidden/>
            <w:szCs w:val="24"/>
          </w:rPr>
          <w:tab/>
        </w:r>
        <w:r w:rsidR="000F63C1" w:rsidRPr="00E70500">
          <w:rPr>
            <w:noProof/>
            <w:webHidden/>
            <w:szCs w:val="24"/>
          </w:rPr>
          <w:fldChar w:fldCharType="begin"/>
        </w:r>
        <w:r w:rsidR="000F63C1" w:rsidRPr="00E70500">
          <w:rPr>
            <w:noProof/>
            <w:webHidden/>
            <w:szCs w:val="24"/>
          </w:rPr>
          <w:instrText xml:space="preserve"> PAGEREF _Toc119418670 \h </w:instrText>
        </w:r>
        <w:r w:rsidR="000F63C1" w:rsidRPr="00E70500">
          <w:rPr>
            <w:noProof/>
            <w:webHidden/>
            <w:szCs w:val="24"/>
          </w:rPr>
        </w:r>
        <w:r w:rsidR="000F63C1" w:rsidRPr="00E70500">
          <w:rPr>
            <w:noProof/>
            <w:webHidden/>
            <w:szCs w:val="24"/>
          </w:rPr>
          <w:fldChar w:fldCharType="separate"/>
        </w:r>
        <w:r w:rsidR="000F63C1" w:rsidRPr="00E70500">
          <w:rPr>
            <w:noProof/>
            <w:webHidden/>
            <w:szCs w:val="24"/>
          </w:rPr>
          <w:t>1</w:t>
        </w:r>
        <w:r w:rsidR="006522E1">
          <w:rPr>
            <w:noProof/>
            <w:webHidden/>
            <w:szCs w:val="24"/>
          </w:rPr>
          <w:t>1</w:t>
        </w:r>
        <w:r w:rsidR="000F63C1" w:rsidRPr="00E70500">
          <w:rPr>
            <w:noProof/>
            <w:webHidden/>
            <w:szCs w:val="24"/>
          </w:rPr>
          <w:fldChar w:fldCharType="end"/>
        </w:r>
      </w:hyperlink>
    </w:p>
    <w:p w14:paraId="65AD001B" w14:textId="0FF69DE5" w:rsidR="000F63C1" w:rsidRPr="00E70500" w:rsidRDefault="008948B2">
      <w:pPr>
        <w:pStyle w:val="TOC3"/>
        <w:tabs>
          <w:tab w:val="right" w:leader="dot" w:pos="9530"/>
        </w:tabs>
        <w:rPr>
          <w:rFonts w:eastAsiaTheme="minorEastAsia"/>
          <w:noProof/>
          <w:szCs w:val="24"/>
        </w:rPr>
      </w:pPr>
      <w:hyperlink w:anchor="_Toc119418671" w:history="1">
        <w:r w:rsidR="000F63C1" w:rsidRPr="00E70500">
          <w:rPr>
            <w:rStyle w:val="Hyperlink"/>
            <w:rFonts w:cstheme="minorHAnsi"/>
            <w:noProof/>
            <w:szCs w:val="24"/>
          </w:rPr>
          <w:t>Appendix C - Status of FY 20</w:t>
        </w:r>
        <w:r w:rsidR="00304E8A">
          <w:rPr>
            <w:rStyle w:val="Hyperlink"/>
            <w:rFonts w:cstheme="minorHAnsi"/>
            <w:noProof/>
            <w:szCs w:val="24"/>
          </w:rPr>
          <w:t>21</w:t>
        </w:r>
        <w:r w:rsidR="000F63C1" w:rsidRPr="00E70500">
          <w:rPr>
            <w:rStyle w:val="Hyperlink"/>
            <w:rFonts w:cstheme="minorHAnsi"/>
            <w:noProof/>
            <w:szCs w:val="24"/>
          </w:rPr>
          <w:t xml:space="preserve"> Findings and Recommendations</w:t>
        </w:r>
        <w:r w:rsidR="000F63C1" w:rsidRPr="00E70500">
          <w:rPr>
            <w:noProof/>
            <w:webHidden/>
            <w:szCs w:val="24"/>
          </w:rPr>
          <w:tab/>
        </w:r>
        <w:r w:rsidR="000F63C1" w:rsidRPr="00E70500">
          <w:rPr>
            <w:noProof/>
            <w:webHidden/>
            <w:szCs w:val="24"/>
          </w:rPr>
          <w:fldChar w:fldCharType="begin"/>
        </w:r>
        <w:r w:rsidR="000F63C1" w:rsidRPr="00E70500">
          <w:rPr>
            <w:noProof/>
            <w:webHidden/>
            <w:szCs w:val="24"/>
          </w:rPr>
          <w:instrText xml:space="preserve"> PAGEREF _Toc119418671 \h </w:instrText>
        </w:r>
        <w:r w:rsidR="000F63C1" w:rsidRPr="00E70500">
          <w:rPr>
            <w:noProof/>
            <w:webHidden/>
            <w:szCs w:val="24"/>
          </w:rPr>
        </w:r>
        <w:r w:rsidR="000F63C1" w:rsidRPr="00E70500">
          <w:rPr>
            <w:noProof/>
            <w:webHidden/>
            <w:szCs w:val="24"/>
          </w:rPr>
          <w:fldChar w:fldCharType="separate"/>
        </w:r>
        <w:r w:rsidR="000F63C1" w:rsidRPr="00E70500">
          <w:rPr>
            <w:noProof/>
            <w:webHidden/>
            <w:szCs w:val="24"/>
          </w:rPr>
          <w:t>1</w:t>
        </w:r>
        <w:r w:rsidR="006522E1">
          <w:rPr>
            <w:noProof/>
            <w:webHidden/>
            <w:szCs w:val="24"/>
          </w:rPr>
          <w:t>3</w:t>
        </w:r>
        <w:r w:rsidR="000F63C1" w:rsidRPr="00E70500">
          <w:rPr>
            <w:noProof/>
            <w:webHidden/>
            <w:szCs w:val="24"/>
          </w:rPr>
          <w:fldChar w:fldCharType="end"/>
        </w:r>
      </w:hyperlink>
    </w:p>
    <w:p w14:paraId="38E9E7F9" w14:textId="4E632144" w:rsidR="000F63C1" w:rsidRPr="00E70500" w:rsidRDefault="008948B2">
      <w:pPr>
        <w:pStyle w:val="TOC3"/>
        <w:tabs>
          <w:tab w:val="right" w:leader="dot" w:pos="9530"/>
        </w:tabs>
        <w:rPr>
          <w:rFonts w:eastAsiaTheme="minorEastAsia"/>
          <w:noProof/>
          <w:szCs w:val="24"/>
        </w:rPr>
      </w:pPr>
      <w:hyperlink w:anchor="_Toc119418672" w:history="1">
        <w:r w:rsidR="000F63C1" w:rsidRPr="00E70500">
          <w:rPr>
            <w:rStyle w:val="Hyperlink"/>
            <w:rFonts w:cstheme="minorHAnsi"/>
            <w:noProof/>
            <w:szCs w:val="24"/>
          </w:rPr>
          <w:t>Appendix D – FY 2022 State Activity Mandated Measures (SAMM) Report</w:t>
        </w:r>
        <w:r w:rsidR="000F63C1" w:rsidRPr="00E70500">
          <w:rPr>
            <w:noProof/>
            <w:webHidden/>
            <w:szCs w:val="24"/>
          </w:rPr>
          <w:tab/>
        </w:r>
        <w:r w:rsidR="000F63C1" w:rsidRPr="00E70500">
          <w:rPr>
            <w:noProof/>
            <w:webHidden/>
            <w:szCs w:val="24"/>
          </w:rPr>
          <w:fldChar w:fldCharType="begin"/>
        </w:r>
        <w:r w:rsidR="000F63C1" w:rsidRPr="00E70500">
          <w:rPr>
            <w:noProof/>
            <w:webHidden/>
            <w:szCs w:val="24"/>
          </w:rPr>
          <w:instrText xml:space="preserve"> PAGEREF _Toc119418672 \h </w:instrText>
        </w:r>
        <w:r w:rsidR="000F63C1" w:rsidRPr="00E70500">
          <w:rPr>
            <w:noProof/>
            <w:webHidden/>
            <w:szCs w:val="24"/>
          </w:rPr>
        </w:r>
        <w:r w:rsidR="000F63C1" w:rsidRPr="00E70500">
          <w:rPr>
            <w:noProof/>
            <w:webHidden/>
            <w:szCs w:val="24"/>
          </w:rPr>
          <w:fldChar w:fldCharType="separate"/>
        </w:r>
        <w:r w:rsidR="000F63C1" w:rsidRPr="00E70500">
          <w:rPr>
            <w:noProof/>
            <w:webHidden/>
            <w:szCs w:val="24"/>
          </w:rPr>
          <w:t>1</w:t>
        </w:r>
        <w:r w:rsidR="006522E1">
          <w:rPr>
            <w:noProof/>
            <w:webHidden/>
            <w:szCs w:val="24"/>
          </w:rPr>
          <w:t>4</w:t>
        </w:r>
        <w:r w:rsidR="000F63C1" w:rsidRPr="00E70500">
          <w:rPr>
            <w:noProof/>
            <w:webHidden/>
            <w:szCs w:val="24"/>
          </w:rPr>
          <w:fldChar w:fldCharType="end"/>
        </w:r>
      </w:hyperlink>
    </w:p>
    <w:p w14:paraId="68939D7E" w14:textId="77777777" w:rsidR="005C2C49" w:rsidRDefault="000F63C1" w:rsidP="000F63C1">
      <w:pPr>
        <w:rPr>
          <w:rFonts w:asciiTheme="minorHAnsi" w:hAnsiTheme="minorHAnsi" w:cstheme="minorHAnsi"/>
        </w:rPr>
      </w:pPr>
      <w:r w:rsidRPr="00E70500">
        <w:rPr>
          <w:rFonts w:asciiTheme="minorHAnsi" w:hAnsiTheme="minorHAnsi" w:cstheme="minorHAnsi"/>
        </w:rPr>
        <w:fldChar w:fldCharType="end"/>
      </w:r>
    </w:p>
    <w:p w14:paraId="2A952C03" w14:textId="13330EEC" w:rsidR="00B823A3" w:rsidRDefault="00B823A3" w:rsidP="000F63C1">
      <w:pPr>
        <w:rPr>
          <w:rFonts w:asciiTheme="minorHAnsi" w:hAnsiTheme="minorHAnsi" w:cstheme="minorHAnsi"/>
        </w:rPr>
      </w:pPr>
      <w:r w:rsidRPr="00E70500">
        <w:rPr>
          <w:rFonts w:asciiTheme="minorHAnsi" w:hAnsiTheme="minorHAnsi" w:cstheme="minorHAnsi"/>
        </w:rPr>
        <w:br w:type="page"/>
      </w:r>
    </w:p>
    <w:p w14:paraId="28D03E5D" w14:textId="77777777" w:rsidR="005C2C49" w:rsidRPr="00E70500" w:rsidRDefault="005C2C49" w:rsidP="000F63C1">
      <w:pPr>
        <w:rPr>
          <w:rFonts w:asciiTheme="minorHAnsi" w:hAnsiTheme="minorHAnsi" w:cstheme="minorHAnsi"/>
        </w:rPr>
      </w:pPr>
    </w:p>
    <w:p w14:paraId="57C8B837" w14:textId="77777777" w:rsidR="000A134A" w:rsidRPr="00795447" w:rsidRDefault="000A134A" w:rsidP="00795447">
      <w:pPr>
        <w:pStyle w:val="Heading2"/>
      </w:pPr>
      <w:bookmarkStart w:id="2" w:name="_Toc338764303"/>
      <w:bookmarkStart w:id="3" w:name="_Toc118900170"/>
      <w:bookmarkStart w:id="4" w:name="_Toc118905009"/>
      <w:bookmarkStart w:id="5" w:name="_Toc119418663"/>
      <w:r w:rsidRPr="00795447">
        <w:t>Executive Summary</w:t>
      </w:r>
      <w:bookmarkEnd w:id="2"/>
      <w:bookmarkEnd w:id="3"/>
      <w:bookmarkEnd w:id="4"/>
      <w:bookmarkEnd w:id="5"/>
    </w:p>
    <w:p w14:paraId="4A4FF058" w14:textId="77777777" w:rsidR="000A134A" w:rsidRPr="00E70500" w:rsidRDefault="000A134A" w:rsidP="00783189">
      <w:pPr>
        <w:widowControl/>
        <w:autoSpaceDE/>
        <w:autoSpaceDN/>
        <w:adjustRightInd/>
        <w:rPr>
          <w:rFonts w:asciiTheme="minorHAnsi" w:hAnsiTheme="minorHAnsi" w:cstheme="minorHAnsi"/>
          <w:b/>
        </w:rPr>
      </w:pPr>
    </w:p>
    <w:p w14:paraId="156C4534" w14:textId="2A554481" w:rsidR="00B30995" w:rsidRDefault="00B30995" w:rsidP="00AA21BF">
      <w:pPr>
        <w:rPr>
          <w:rFonts w:asciiTheme="minorHAnsi" w:hAnsiTheme="minorHAnsi" w:cstheme="minorHAnsi"/>
        </w:rPr>
      </w:pPr>
      <w:r w:rsidRPr="001C1E47">
        <w:rPr>
          <w:rFonts w:cs="Calibri"/>
        </w:rPr>
        <w:t xml:space="preserve">The primary purpose of this report is to assess the </w:t>
      </w:r>
      <w:r>
        <w:rPr>
          <w:rFonts w:cs="Calibri"/>
        </w:rPr>
        <w:t xml:space="preserve">Vermont </w:t>
      </w:r>
      <w:r w:rsidRPr="001C1E47">
        <w:rPr>
          <w:rFonts w:cs="Calibri"/>
        </w:rPr>
        <w:t xml:space="preserve">State Plan’s </w:t>
      </w:r>
      <w:r>
        <w:rPr>
          <w:rFonts w:cs="Calibri"/>
        </w:rPr>
        <w:t xml:space="preserve">(VOSHA’s) </w:t>
      </w:r>
      <w:r w:rsidRPr="001C1E47">
        <w:rPr>
          <w:rFonts w:cs="Calibri"/>
        </w:rPr>
        <w:t>progress in Fiscal Year (FY) 2022 in resolving outstanding findings from the previous FY 2021 Comprehensive Federal Annual Monitoring Evaluation (FAME) Report.</w:t>
      </w:r>
    </w:p>
    <w:p w14:paraId="3AB36E0C" w14:textId="77777777" w:rsidR="00B30995" w:rsidRDefault="00B30995" w:rsidP="00AA21BF">
      <w:pPr>
        <w:rPr>
          <w:rFonts w:asciiTheme="minorHAnsi" w:hAnsiTheme="minorHAnsi" w:cstheme="minorHAnsi"/>
        </w:rPr>
      </w:pPr>
    </w:p>
    <w:p w14:paraId="023CBE6D" w14:textId="286875EE" w:rsidR="007548F8" w:rsidRDefault="00AA21BF" w:rsidP="007548F8">
      <w:pPr>
        <w:rPr>
          <w:rFonts w:asciiTheme="minorHAnsi" w:hAnsiTheme="minorHAnsi" w:cstheme="minorHAnsi"/>
        </w:rPr>
      </w:pPr>
      <w:r w:rsidRPr="00E70500">
        <w:rPr>
          <w:rFonts w:asciiTheme="minorHAnsi" w:hAnsiTheme="minorHAnsi" w:cstheme="minorHAnsi"/>
        </w:rPr>
        <w:t xml:space="preserve">In FY 2022, VOSHA </w:t>
      </w:r>
      <w:r w:rsidR="00804610">
        <w:rPr>
          <w:rFonts w:asciiTheme="minorHAnsi" w:hAnsiTheme="minorHAnsi" w:cstheme="minorHAnsi"/>
        </w:rPr>
        <w:t>had</w:t>
      </w:r>
      <w:r w:rsidR="007548F8">
        <w:rPr>
          <w:rFonts w:asciiTheme="minorHAnsi" w:hAnsiTheme="minorHAnsi" w:cstheme="minorHAnsi"/>
        </w:rPr>
        <w:t xml:space="preserve"> notable results</w:t>
      </w:r>
      <w:r w:rsidR="009F63E6">
        <w:rPr>
          <w:rFonts w:asciiTheme="minorHAnsi" w:hAnsiTheme="minorHAnsi" w:cstheme="minorHAnsi"/>
        </w:rPr>
        <w:t xml:space="preserve">, </w:t>
      </w:r>
      <w:r w:rsidR="00114945">
        <w:rPr>
          <w:rFonts w:asciiTheme="minorHAnsi" w:hAnsiTheme="minorHAnsi" w:cstheme="minorHAnsi"/>
        </w:rPr>
        <w:t>particularly</w:t>
      </w:r>
      <w:r w:rsidR="00D2329A">
        <w:rPr>
          <w:rFonts w:asciiTheme="minorHAnsi" w:hAnsiTheme="minorHAnsi" w:cstheme="minorHAnsi"/>
        </w:rPr>
        <w:t xml:space="preserve"> in terms </w:t>
      </w:r>
      <w:r w:rsidR="000D3343">
        <w:rPr>
          <w:rFonts w:asciiTheme="minorHAnsi" w:hAnsiTheme="minorHAnsi" w:cstheme="minorHAnsi"/>
        </w:rPr>
        <w:t xml:space="preserve">of </w:t>
      </w:r>
      <w:r w:rsidR="00D2329A">
        <w:rPr>
          <w:rFonts w:asciiTheme="minorHAnsi" w:hAnsiTheme="minorHAnsi" w:cstheme="minorHAnsi"/>
        </w:rPr>
        <w:t xml:space="preserve">outreach. </w:t>
      </w:r>
      <w:r w:rsidR="00757B93">
        <w:rPr>
          <w:rFonts w:asciiTheme="minorHAnsi" w:hAnsiTheme="minorHAnsi" w:cstheme="minorHAnsi"/>
        </w:rPr>
        <w:t xml:space="preserve"> </w:t>
      </w:r>
      <w:r w:rsidR="00586C86">
        <w:rPr>
          <w:rFonts w:asciiTheme="minorHAnsi" w:hAnsiTheme="minorHAnsi" w:cstheme="minorHAnsi"/>
        </w:rPr>
        <w:t>T</w:t>
      </w:r>
      <w:r w:rsidR="004F4F88">
        <w:rPr>
          <w:rFonts w:asciiTheme="minorHAnsi" w:hAnsiTheme="minorHAnsi" w:cstheme="minorHAnsi"/>
        </w:rPr>
        <w:t xml:space="preserve">he State Plan </w:t>
      </w:r>
      <w:r w:rsidR="00114945">
        <w:rPr>
          <w:rFonts w:asciiTheme="minorHAnsi" w:hAnsiTheme="minorHAnsi" w:cstheme="minorHAnsi"/>
        </w:rPr>
        <w:t xml:space="preserve">created </w:t>
      </w:r>
      <w:r w:rsidR="004F4F88">
        <w:rPr>
          <w:rFonts w:asciiTheme="minorHAnsi" w:hAnsiTheme="minorHAnsi" w:cstheme="minorHAnsi"/>
        </w:rPr>
        <w:t xml:space="preserve">an online training </w:t>
      </w:r>
      <w:r w:rsidR="006A3338">
        <w:rPr>
          <w:rFonts w:asciiTheme="minorHAnsi" w:hAnsiTheme="minorHAnsi" w:cstheme="minorHAnsi"/>
        </w:rPr>
        <w:t xml:space="preserve">program </w:t>
      </w:r>
      <w:r w:rsidR="00114945">
        <w:rPr>
          <w:rFonts w:asciiTheme="minorHAnsi" w:hAnsiTheme="minorHAnsi" w:cstheme="minorHAnsi"/>
        </w:rPr>
        <w:t xml:space="preserve">that highlighted employers with </w:t>
      </w:r>
      <w:r w:rsidR="00A40EF5">
        <w:rPr>
          <w:rFonts w:asciiTheme="minorHAnsi" w:hAnsiTheme="minorHAnsi" w:cstheme="minorHAnsi"/>
        </w:rPr>
        <w:t xml:space="preserve">exemplary safety and health programs, and this </w:t>
      </w:r>
      <w:r w:rsidR="006A3338">
        <w:rPr>
          <w:rFonts w:asciiTheme="minorHAnsi" w:hAnsiTheme="minorHAnsi" w:cstheme="minorHAnsi"/>
        </w:rPr>
        <w:t>series was well</w:t>
      </w:r>
      <w:r w:rsidR="006D6A0B">
        <w:rPr>
          <w:rFonts w:asciiTheme="minorHAnsi" w:hAnsiTheme="minorHAnsi" w:cstheme="minorHAnsi"/>
        </w:rPr>
        <w:t>-</w:t>
      </w:r>
      <w:r w:rsidR="006A3338">
        <w:rPr>
          <w:rFonts w:asciiTheme="minorHAnsi" w:hAnsiTheme="minorHAnsi" w:cstheme="minorHAnsi"/>
        </w:rPr>
        <w:t xml:space="preserve">received by stakeholders. </w:t>
      </w:r>
      <w:r w:rsidR="00BB0064">
        <w:rPr>
          <w:rFonts w:asciiTheme="minorHAnsi" w:hAnsiTheme="minorHAnsi" w:cstheme="minorHAnsi"/>
        </w:rPr>
        <w:t xml:space="preserve"> </w:t>
      </w:r>
      <w:r w:rsidR="005A1007">
        <w:rPr>
          <w:rFonts w:asciiTheme="minorHAnsi" w:hAnsiTheme="minorHAnsi" w:cstheme="minorHAnsi"/>
        </w:rPr>
        <w:t>FY 2022 was also</w:t>
      </w:r>
      <w:r w:rsidR="005B20F6">
        <w:rPr>
          <w:rFonts w:asciiTheme="minorHAnsi" w:hAnsiTheme="minorHAnsi" w:cstheme="minorHAnsi"/>
        </w:rPr>
        <w:t xml:space="preserve"> the</w:t>
      </w:r>
      <w:r w:rsidR="005A1007">
        <w:rPr>
          <w:rFonts w:asciiTheme="minorHAnsi" w:hAnsiTheme="minorHAnsi" w:cstheme="minorHAnsi"/>
        </w:rPr>
        <w:t xml:space="preserve"> first full year that VOSHA had a full-time compliance assistance specialist</w:t>
      </w:r>
      <w:r w:rsidR="00396A99">
        <w:rPr>
          <w:rFonts w:asciiTheme="minorHAnsi" w:hAnsiTheme="minorHAnsi" w:cstheme="minorHAnsi"/>
        </w:rPr>
        <w:t xml:space="preserve"> (CAS)</w:t>
      </w:r>
      <w:r w:rsidR="005A1007">
        <w:rPr>
          <w:rFonts w:asciiTheme="minorHAnsi" w:hAnsiTheme="minorHAnsi" w:cstheme="minorHAnsi"/>
        </w:rPr>
        <w:t xml:space="preserve">.  For many years, the VOSHA Director performed </w:t>
      </w:r>
      <w:r w:rsidR="0036508E">
        <w:rPr>
          <w:rFonts w:asciiTheme="minorHAnsi" w:hAnsiTheme="minorHAnsi" w:cstheme="minorHAnsi"/>
        </w:rPr>
        <w:t xml:space="preserve">many of </w:t>
      </w:r>
      <w:r w:rsidR="00BC38B8" w:rsidRPr="005501B0">
        <w:rPr>
          <w:rFonts w:asciiTheme="minorHAnsi" w:hAnsiTheme="minorHAnsi" w:cstheme="minorHAnsi"/>
        </w:rPr>
        <w:t>the compliance assistance</w:t>
      </w:r>
      <w:r w:rsidR="005A1007">
        <w:rPr>
          <w:rFonts w:asciiTheme="minorHAnsi" w:hAnsiTheme="minorHAnsi" w:cstheme="minorHAnsi"/>
        </w:rPr>
        <w:t xml:space="preserve"> duties, but with a full-time CAS, the quality of outreaches improved, and </w:t>
      </w:r>
      <w:r w:rsidR="005B20F6">
        <w:rPr>
          <w:rFonts w:asciiTheme="minorHAnsi" w:hAnsiTheme="minorHAnsi" w:cstheme="minorHAnsi"/>
        </w:rPr>
        <w:t xml:space="preserve">the director </w:t>
      </w:r>
      <w:r w:rsidR="00DC5632">
        <w:rPr>
          <w:rFonts w:asciiTheme="minorHAnsi" w:hAnsiTheme="minorHAnsi" w:cstheme="minorHAnsi"/>
        </w:rPr>
        <w:t>ha</w:t>
      </w:r>
      <w:r w:rsidR="006D6A0B">
        <w:rPr>
          <w:rFonts w:asciiTheme="minorHAnsi" w:hAnsiTheme="minorHAnsi" w:cstheme="minorHAnsi"/>
        </w:rPr>
        <w:t>d</w:t>
      </w:r>
      <w:r w:rsidR="008202AE">
        <w:rPr>
          <w:rFonts w:asciiTheme="minorHAnsi" w:hAnsiTheme="minorHAnsi" w:cstheme="minorHAnsi"/>
        </w:rPr>
        <w:t xml:space="preserve"> more time to </w:t>
      </w:r>
      <w:r w:rsidR="00DC5632">
        <w:rPr>
          <w:rFonts w:asciiTheme="minorHAnsi" w:hAnsiTheme="minorHAnsi" w:cstheme="minorHAnsi"/>
        </w:rPr>
        <w:t xml:space="preserve">manage the </w:t>
      </w:r>
      <w:r w:rsidR="005B20F6">
        <w:rPr>
          <w:rFonts w:asciiTheme="minorHAnsi" w:hAnsiTheme="minorHAnsi" w:cstheme="minorHAnsi"/>
        </w:rPr>
        <w:t xml:space="preserve">State Plan.  </w:t>
      </w:r>
      <w:r w:rsidR="009C0366" w:rsidRPr="009C0366">
        <w:rPr>
          <w:rFonts w:asciiTheme="minorHAnsi" w:hAnsiTheme="minorHAnsi" w:cstheme="minorHAnsi"/>
        </w:rPr>
        <w:t xml:space="preserve">Another positive </w:t>
      </w:r>
      <w:r w:rsidR="006D6A0B">
        <w:rPr>
          <w:rFonts w:asciiTheme="minorHAnsi" w:hAnsiTheme="minorHAnsi" w:cstheme="minorHAnsi"/>
        </w:rPr>
        <w:t>note</w:t>
      </w:r>
      <w:r w:rsidR="009C0366" w:rsidRPr="009C0366">
        <w:rPr>
          <w:rFonts w:asciiTheme="minorHAnsi" w:hAnsiTheme="minorHAnsi" w:cstheme="minorHAnsi"/>
        </w:rPr>
        <w:t xml:space="preserve"> is </w:t>
      </w:r>
      <w:r w:rsidR="00735EBA">
        <w:rPr>
          <w:rFonts w:asciiTheme="minorHAnsi" w:hAnsiTheme="minorHAnsi" w:cstheme="minorHAnsi"/>
        </w:rPr>
        <w:t xml:space="preserve">that the </w:t>
      </w:r>
      <w:r w:rsidR="009C0366" w:rsidRPr="009C0366">
        <w:rPr>
          <w:rFonts w:asciiTheme="minorHAnsi" w:hAnsiTheme="minorHAnsi" w:cstheme="minorHAnsi"/>
        </w:rPr>
        <w:t xml:space="preserve">new </w:t>
      </w:r>
      <w:r w:rsidR="00407EC7">
        <w:rPr>
          <w:rFonts w:asciiTheme="minorHAnsi" w:hAnsiTheme="minorHAnsi" w:cstheme="minorHAnsi"/>
        </w:rPr>
        <w:t xml:space="preserve">workplace retaliation </w:t>
      </w:r>
      <w:r w:rsidR="009C0366" w:rsidRPr="009C0366">
        <w:rPr>
          <w:rFonts w:asciiTheme="minorHAnsi" w:hAnsiTheme="minorHAnsi" w:cstheme="minorHAnsi"/>
        </w:rPr>
        <w:t xml:space="preserve">investigator </w:t>
      </w:r>
      <w:r w:rsidR="005A1007">
        <w:rPr>
          <w:rFonts w:asciiTheme="minorHAnsi" w:hAnsiTheme="minorHAnsi" w:cstheme="minorHAnsi"/>
        </w:rPr>
        <w:t xml:space="preserve">proved </w:t>
      </w:r>
      <w:r w:rsidR="009C0366" w:rsidRPr="009C0366">
        <w:rPr>
          <w:rFonts w:asciiTheme="minorHAnsi" w:hAnsiTheme="minorHAnsi" w:cstheme="minorHAnsi"/>
        </w:rPr>
        <w:t xml:space="preserve">to be a quick learner and adjusted to this role </w:t>
      </w:r>
      <w:r w:rsidR="006577E9">
        <w:rPr>
          <w:rFonts w:asciiTheme="minorHAnsi" w:hAnsiTheme="minorHAnsi" w:cstheme="minorHAnsi"/>
        </w:rPr>
        <w:t>rather quickly</w:t>
      </w:r>
      <w:r w:rsidR="009C0366" w:rsidRPr="009C0366">
        <w:rPr>
          <w:rFonts w:asciiTheme="minorHAnsi" w:hAnsiTheme="minorHAnsi" w:cstheme="minorHAnsi"/>
        </w:rPr>
        <w:t>.</w:t>
      </w:r>
    </w:p>
    <w:p w14:paraId="2C42429E" w14:textId="6F61FD50" w:rsidR="000D3343" w:rsidRDefault="000D3343" w:rsidP="00AA21BF">
      <w:pPr>
        <w:rPr>
          <w:rFonts w:asciiTheme="minorHAnsi" w:hAnsiTheme="minorHAnsi" w:cstheme="minorHAnsi"/>
        </w:rPr>
      </w:pPr>
    </w:p>
    <w:p w14:paraId="1224CB0D" w14:textId="7996A7E8" w:rsidR="007D6AFC" w:rsidRDefault="007D6AFC" w:rsidP="00AA21BF">
      <w:pPr>
        <w:pStyle w:val="BodyText2"/>
        <w:spacing w:after="0" w:line="240" w:lineRule="auto"/>
        <w:rPr>
          <w:rFonts w:asciiTheme="minorHAnsi" w:hAnsiTheme="minorHAnsi" w:cstheme="minorHAnsi"/>
        </w:rPr>
      </w:pPr>
      <w:r w:rsidRPr="005C2C49">
        <w:rPr>
          <w:rFonts w:asciiTheme="minorHAnsi" w:hAnsiTheme="minorHAnsi" w:cstheme="minorHAnsi"/>
        </w:rPr>
        <w:t>However,</w:t>
      </w:r>
      <w:r w:rsidR="003137BD" w:rsidRPr="005C2C49">
        <w:rPr>
          <w:rFonts w:asciiTheme="minorHAnsi" w:hAnsiTheme="minorHAnsi" w:cstheme="minorHAnsi"/>
        </w:rPr>
        <w:t xml:space="preserve"> the State Plan experienced a few difficulties during the year</w:t>
      </w:r>
      <w:r w:rsidR="006A2105" w:rsidRPr="005C2C49">
        <w:rPr>
          <w:rFonts w:asciiTheme="minorHAnsi" w:hAnsiTheme="minorHAnsi" w:cstheme="minorHAnsi"/>
        </w:rPr>
        <w:t xml:space="preserve">.  </w:t>
      </w:r>
      <w:r w:rsidRPr="005C2C49">
        <w:rPr>
          <w:rFonts w:asciiTheme="minorHAnsi" w:hAnsiTheme="minorHAnsi" w:cstheme="minorHAnsi"/>
        </w:rPr>
        <w:t xml:space="preserve">In response to a COVID-19 </w:t>
      </w:r>
      <w:r w:rsidRPr="005236A2">
        <w:rPr>
          <w:rFonts w:asciiTheme="minorHAnsi" w:hAnsiTheme="minorHAnsi" w:cstheme="minorHAnsi"/>
        </w:rPr>
        <w:t>re</w:t>
      </w:r>
      <w:r w:rsidR="005C2C49" w:rsidRPr="005236A2">
        <w:rPr>
          <w:rFonts w:asciiTheme="minorHAnsi" w:hAnsiTheme="minorHAnsi" w:cstheme="minorHAnsi"/>
        </w:rPr>
        <w:t>surgence</w:t>
      </w:r>
      <w:r w:rsidRPr="005C2C49">
        <w:rPr>
          <w:rFonts w:asciiTheme="minorHAnsi" w:hAnsiTheme="minorHAnsi" w:cstheme="minorHAnsi"/>
        </w:rPr>
        <w:t xml:space="preserve"> in late 2021, </w:t>
      </w:r>
      <w:r w:rsidR="003137BD" w:rsidRPr="005C2C49">
        <w:rPr>
          <w:rFonts w:asciiTheme="minorHAnsi" w:hAnsiTheme="minorHAnsi" w:cstheme="minorHAnsi"/>
        </w:rPr>
        <w:t xml:space="preserve">VOSHA </w:t>
      </w:r>
      <w:r w:rsidRPr="005C2C49">
        <w:rPr>
          <w:rFonts w:asciiTheme="minorHAnsi" w:hAnsiTheme="minorHAnsi" w:cstheme="minorHAnsi"/>
        </w:rPr>
        <w:t xml:space="preserve">postponed </w:t>
      </w:r>
      <w:r w:rsidR="00553A28" w:rsidRPr="005C2C49">
        <w:rPr>
          <w:rFonts w:asciiTheme="minorHAnsi" w:hAnsiTheme="minorHAnsi" w:cstheme="minorHAnsi"/>
        </w:rPr>
        <w:t xml:space="preserve">programmed </w:t>
      </w:r>
      <w:r w:rsidRPr="005C2C49">
        <w:rPr>
          <w:rFonts w:asciiTheme="minorHAnsi" w:hAnsiTheme="minorHAnsi" w:cstheme="minorHAnsi"/>
        </w:rPr>
        <w:t xml:space="preserve">inspections </w:t>
      </w:r>
      <w:r w:rsidR="006D6A0B" w:rsidRPr="005C2C49">
        <w:rPr>
          <w:rFonts w:asciiTheme="minorHAnsi" w:hAnsiTheme="minorHAnsi" w:cstheme="minorHAnsi"/>
        </w:rPr>
        <w:t>until</w:t>
      </w:r>
      <w:r w:rsidRPr="005C2C49">
        <w:rPr>
          <w:rFonts w:asciiTheme="minorHAnsi" w:hAnsiTheme="minorHAnsi" w:cstheme="minorHAnsi"/>
        </w:rPr>
        <w:t xml:space="preserve"> the spring of FY 2022. </w:t>
      </w:r>
      <w:r w:rsidR="00BD7DD8" w:rsidRPr="005C2C49">
        <w:rPr>
          <w:rFonts w:asciiTheme="minorHAnsi" w:hAnsiTheme="minorHAnsi" w:cstheme="minorHAnsi"/>
        </w:rPr>
        <w:t xml:space="preserve"> </w:t>
      </w:r>
      <w:r w:rsidR="006A2105" w:rsidRPr="005C2C49">
        <w:rPr>
          <w:rFonts w:asciiTheme="minorHAnsi" w:hAnsiTheme="minorHAnsi" w:cstheme="minorHAnsi"/>
        </w:rPr>
        <w:t>As a result, only 60 percent of the inspection goal</w:t>
      </w:r>
      <w:r w:rsidR="003137BD" w:rsidRPr="005C2C49">
        <w:rPr>
          <w:rFonts w:asciiTheme="minorHAnsi" w:hAnsiTheme="minorHAnsi" w:cstheme="minorHAnsi"/>
        </w:rPr>
        <w:t xml:space="preserve"> was achieved. </w:t>
      </w:r>
      <w:r w:rsidRPr="005C2C49">
        <w:rPr>
          <w:rFonts w:asciiTheme="minorHAnsi" w:hAnsiTheme="minorHAnsi" w:cstheme="minorHAnsi"/>
        </w:rPr>
        <w:t xml:space="preserve"> </w:t>
      </w:r>
      <w:r w:rsidR="003137BD" w:rsidRPr="005C2C49">
        <w:rPr>
          <w:rFonts w:asciiTheme="minorHAnsi" w:hAnsiTheme="minorHAnsi" w:cstheme="minorHAnsi"/>
        </w:rPr>
        <w:t xml:space="preserve">Additionally, </w:t>
      </w:r>
      <w:r w:rsidR="00CB20CB" w:rsidRPr="005C2C49">
        <w:rPr>
          <w:rFonts w:asciiTheme="minorHAnsi" w:hAnsiTheme="minorHAnsi" w:cstheme="minorHAnsi"/>
        </w:rPr>
        <w:t xml:space="preserve">long periods of absence taken by </w:t>
      </w:r>
      <w:r w:rsidRPr="005C2C49">
        <w:rPr>
          <w:rFonts w:asciiTheme="minorHAnsi" w:hAnsiTheme="minorHAnsi" w:cstheme="minorHAnsi"/>
        </w:rPr>
        <w:t xml:space="preserve">two </w:t>
      </w:r>
      <w:r w:rsidR="008503BD" w:rsidRPr="005C2C49">
        <w:rPr>
          <w:rFonts w:asciiTheme="minorHAnsi" w:hAnsiTheme="minorHAnsi" w:cstheme="minorHAnsi"/>
        </w:rPr>
        <w:t xml:space="preserve">new </w:t>
      </w:r>
      <w:r w:rsidRPr="005C2C49">
        <w:rPr>
          <w:rFonts w:asciiTheme="minorHAnsi" w:hAnsiTheme="minorHAnsi" w:cstheme="minorHAnsi"/>
        </w:rPr>
        <w:t xml:space="preserve">compliance officers </w:t>
      </w:r>
      <w:r w:rsidR="00CB20CB" w:rsidRPr="005C2C49">
        <w:rPr>
          <w:rFonts w:asciiTheme="minorHAnsi" w:hAnsiTheme="minorHAnsi" w:cstheme="minorHAnsi"/>
        </w:rPr>
        <w:t>caused the lapse time for health to be higher than normal.</w:t>
      </w:r>
      <w:r w:rsidR="00CB20CB">
        <w:rPr>
          <w:rFonts w:asciiTheme="minorHAnsi" w:hAnsiTheme="minorHAnsi" w:cstheme="minorHAnsi"/>
        </w:rPr>
        <w:t xml:space="preserve"> </w:t>
      </w:r>
    </w:p>
    <w:p w14:paraId="7B3FF683" w14:textId="5FE104D0" w:rsidR="007D6AFC" w:rsidRDefault="007D6AFC" w:rsidP="00AA21BF">
      <w:pPr>
        <w:pStyle w:val="BodyText2"/>
        <w:spacing w:after="0" w:line="240" w:lineRule="auto"/>
        <w:rPr>
          <w:rFonts w:asciiTheme="minorHAnsi" w:hAnsiTheme="minorHAnsi" w:cstheme="minorHAnsi"/>
        </w:rPr>
      </w:pPr>
    </w:p>
    <w:p w14:paraId="71CE300A" w14:textId="7BAE6E8A" w:rsidR="00B4549A" w:rsidRDefault="006027C1" w:rsidP="00783B41">
      <w:pPr>
        <w:rPr>
          <w:rFonts w:asciiTheme="minorHAnsi" w:hAnsiTheme="minorHAnsi" w:cstheme="minorHAnsi"/>
        </w:rPr>
      </w:pPr>
      <w:r w:rsidRPr="00E70500">
        <w:rPr>
          <w:rFonts w:asciiTheme="minorHAnsi" w:hAnsiTheme="minorHAnsi" w:cstheme="minorHAnsi"/>
        </w:rPr>
        <w:t xml:space="preserve">VOSHA </w:t>
      </w:r>
      <w:r w:rsidR="00AA21BF" w:rsidRPr="00E70500">
        <w:rPr>
          <w:rFonts w:asciiTheme="minorHAnsi" w:hAnsiTheme="minorHAnsi" w:cstheme="minorHAnsi"/>
        </w:rPr>
        <w:t xml:space="preserve">had three observations in the FY 2021 Comprehensive FAME </w:t>
      </w:r>
      <w:r w:rsidR="00166BE7">
        <w:rPr>
          <w:rFonts w:asciiTheme="minorHAnsi" w:hAnsiTheme="minorHAnsi" w:cstheme="minorHAnsi"/>
        </w:rPr>
        <w:t>R</w:t>
      </w:r>
      <w:r w:rsidR="00AA21BF" w:rsidRPr="00E70500">
        <w:rPr>
          <w:rFonts w:asciiTheme="minorHAnsi" w:hAnsiTheme="minorHAnsi" w:cstheme="minorHAnsi"/>
        </w:rPr>
        <w:t xml:space="preserve">eport.  One observation regarding VOSHA not conducting enough inspections in state government has been </w:t>
      </w:r>
      <w:r w:rsidR="0055499A" w:rsidRPr="00E70500">
        <w:rPr>
          <w:rFonts w:asciiTheme="minorHAnsi" w:hAnsiTheme="minorHAnsi" w:cstheme="minorHAnsi"/>
        </w:rPr>
        <w:t xml:space="preserve">resolved. </w:t>
      </w:r>
      <w:r w:rsidR="00AB3252">
        <w:rPr>
          <w:rFonts w:asciiTheme="minorHAnsi" w:hAnsiTheme="minorHAnsi" w:cstheme="minorHAnsi"/>
        </w:rPr>
        <w:t xml:space="preserve"> </w:t>
      </w:r>
      <w:r w:rsidR="00AA21BF" w:rsidRPr="00E70500">
        <w:rPr>
          <w:rFonts w:asciiTheme="minorHAnsi" w:hAnsiTheme="minorHAnsi" w:cstheme="minorHAnsi"/>
        </w:rPr>
        <w:t>The other two observations, which pertain to the Voluntary Protection Program</w:t>
      </w:r>
      <w:r w:rsidR="00842030">
        <w:rPr>
          <w:rFonts w:asciiTheme="minorHAnsi" w:hAnsiTheme="minorHAnsi" w:cstheme="minorHAnsi"/>
        </w:rPr>
        <w:t xml:space="preserve">, </w:t>
      </w:r>
      <w:r w:rsidR="00AA21BF" w:rsidRPr="00E70500">
        <w:rPr>
          <w:rFonts w:asciiTheme="minorHAnsi" w:hAnsiTheme="minorHAnsi" w:cstheme="minorHAnsi"/>
        </w:rPr>
        <w:t xml:space="preserve">have been continued, pending the results of the FY 2023 Comprehensive FAME. </w:t>
      </w:r>
      <w:r w:rsidR="00AB3252">
        <w:rPr>
          <w:rFonts w:asciiTheme="minorHAnsi" w:hAnsiTheme="minorHAnsi" w:cstheme="minorHAnsi"/>
        </w:rPr>
        <w:t xml:space="preserve"> </w:t>
      </w:r>
      <w:r w:rsidR="00480377">
        <w:rPr>
          <w:rFonts w:asciiTheme="minorHAnsi" w:hAnsiTheme="minorHAnsi" w:cstheme="minorHAnsi"/>
        </w:rPr>
        <w:t xml:space="preserve">This report contains no </w:t>
      </w:r>
      <w:r w:rsidR="009E3D49">
        <w:rPr>
          <w:rFonts w:asciiTheme="minorHAnsi" w:hAnsiTheme="minorHAnsi" w:cstheme="minorHAnsi"/>
        </w:rPr>
        <w:t xml:space="preserve">new </w:t>
      </w:r>
      <w:r w:rsidR="00480377">
        <w:rPr>
          <w:rFonts w:asciiTheme="minorHAnsi" w:hAnsiTheme="minorHAnsi" w:cstheme="minorHAnsi"/>
        </w:rPr>
        <w:t>findings.</w:t>
      </w:r>
      <w:r w:rsidR="009F6C13">
        <w:rPr>
          <w:rFonts w:asciiTheme="minorHAnsi" w:hAnsiTheme="minorHAnsi" w:cstheme="minorHAnsi"/>
        </w:rPr>
        <w:t xml:space="preserve"> </w:t>
      </w:r>
    </w:p>
    <w:p w14:paraId="77575C40" w14:textId="77777777" w:rsidR="00B4549A" w:rsidRDefault="00B4549A" w:rsidP="00783B41">
      <w:pPr>
        <w:rPr>
          <w:rFonts w:asciiTheme="minorHAnsi" w:hAnsiTheme="minorHAnsi" w:cstheme="minorHAnsi"/>
        </w:rPr>
      </w:pPr>
    </w:p>
    <w:p w14:paraId="6A7D671B" w14:textId="073148D5" w:rsidR="00783189" w:rsidRPr="00E70500" w:rsidRDefault="00783189" w:rsidP="00783189">
      <w:pPr>
        <w:widowControl/>
        <w:autoSpaceDE/>
        <w:autoSpaceDN/>
        <w:adjustRightInd/>
        <w:rPr>
          <w:rFonts w:asciiTheme="minorHAnsi" w:hAnsiTheme="minorHAnsi" w:cstheme="minorHAnsi"/>
        </w:rPr>
      </w:pPr>
    </w:p>
    <w:p w14:paraId="67E95E6F" w14:textId="6755D6C3" w:rsidR="000A134A" w:rsidRPr="00E70500" w:rsidRDefault="001E71BA" w:rsidP="00795447">
      <w:pPr>
        <w:pStyle w:val="Heading2"/>
      </w:pPr>
      <w:bookmarkStart w:id="6" w:name="_Toc118900171"/>
      <w:bookmarkStart w:id="7" w:name="_Toc118905010"/>
      <w:bookmarkStart w:id="8" w:name="_Toc119418664"/>
      <w:r w:rsidRPr="00E70500">
        <w:t>State Plan Background</w:t>
      </w:r>
      <w:bookmarkEnd w:id="6"/>
      <w:bookmarkEnd w:id="7"/>
      <w:bookmarkEnd w:id="8"/>
    </w:p>
    <w:p w14:paraId="7ED8AA2D" w14:textId="77777777" w:rsidR="000A134A" w:rsidRPr="00E70500" w:rsidRDefault="000A134A" w:rsidP="00783189">
      <w:pPr>
        <w:widowControl/>
        <w:autoSpaceDE/>
        <w:autoSpaceDN/>
        <w:adjustRightInd/>
        <w:rPr>
          <w:rFonts w:asciiTheme="minorHAnsi" w:hAnsiTheme="minorHAnsi" w:cstheme="minorHAnsi"/>
          <w:i/>
        </w:rPr>
      </w:pPr>
    </w:p>
    <w:p w14:paraId="199F418F" w14:textId="29CC14EF" w:rsidR="004E5BFD" w:rsidRPr="00E70500" w:rsidRDefault="004E5BFD" w:rsidP="004E5BFD">
      <w:pPr>
        <w:widowControl/>
        <w:autoSpaceDE/>
        <w:autoSpaceDN/>
        <w:adjustRightInd/>
        <w:rPr>
          <w:rFonts w:asciiTheme="minorHAnsi" w:hAnsiTheme="minorHAnsi" w:cstheme="minorHAnsi"/>
          <w:iCs/>
        </w:rPr>
      </w:pPr>
      <w:r w:rsidRPr="00E70500">
        <w:rPr>
          <w:rFonts w:asciiTheme="minorHAnsi" w:hAnsiTheme="minorHAnsi" w:cstheme="minorHAnsi"/>
          <w:iCs/>
        </w:rPr>
        <w:t xml:space="preserve">The Vermont Department of Labor, Division of Workers’ Compensation and Safety has been administering VOSHA since July 1, 2005. </w:t>
      </w:r>
      <w:r w:rsidR="00577C34">
        <w:rPr>
          <w:rFonts w:asciiTheme="minorHAnsi" w:hAnsiTheme="minorHAnsi" w:cstheme="minorHAnsi"/>
          <w:iCs/>
        </w:rPr>
        <w:t xml:space="preserve"> </w:t>
      </w:r>
      <w:r w:rsidRPr="00E70500">
        <w:rPr>
          <w:rFonts w:asciiTheme="minorHAnsi" w:hAnsiTheme="minorHAnsi" w:cstheme="minorHAnsi"/>
          <w:iCs/>
        </w:rPr>
        <w:t xml:space="preserve">The Commissioner of Labor is the State Plan designee, and VOSHA’s headquarters are in Montpelier, Vermont. </w:t>
      </w:r>
    </w:p>
    <w:p w14:paraId="274DA1FA" w14:textId="77777777" w:rsidR="000A27B5" w:rsidRPr="00E70500" w:rsidRDefault="000A27B5" w:rsidP="004E5BFD">
      <w:pPr>
        <w:widowControl/>
        <w:autoSpaceDE/>
        <w:autoSpaceDN/>
        <w:adjustRightInd/>
        <w:rPr>
          <w:rFonts w:asciiTheme="minorHAnsi" w:hAnsiTheme="minorHAnsi" w:cstheme="minorHAnsi"/>
          <w:iCs/>
        </w:rPr>
      </w:pPr>
    </w:p>
    <w:p w14:paraId="3AC5E6DC" w14:textId="618A6786" w:rsidR="004E5BFD" w:rsidRPr="00E70500" w:rsidRDefault="004E5BFD" w:rsidP="004E5BFD">
      <w:pPr>
        <w:widowControl/>
        <w:autoSpaceDE/>
        <w:autoSpaceDN/>
        <w:adjustRightInd/>
        <w:rPr>
          <w:rFonts w:asciiTheme="minorHAnsi" w:hAnsiTheme="minorHAnsi" w:cstheme="minorHAnsi"/>
          <w:iCs/>
        </w:rPr>
      </w:pPr>
      <w:r w:rsidRPr="00E70500">
        <w:rPr>
          <w:rFonts w:asciiTheme="minorHAnsi" w:hAnsiTheme="minorHAnsi" w:cstheme="minorHAnsi"/>
          <w:iCs/>
        </w:rPr>
        <w:t xml:space="preserve">VOSHA’s statutory authority is contained in Title 21 of the Vermont Statutes Annotated (V.S.A.) §§201-232. </w:t>
      </w:r>
      <w:r w:rsidR="00615DFA">
        <w:rPr>
          <w:rFonts w:asciiTheme="minorHAnsi" w:hAnsiTheme="minorHAnsi" w:cstheme="minorHAnsi"/>
          <w:iCs/>
        </w:rPr>
        <w:t xml:space="preserve"> </w:t>
      </w:r>
      <w:r w:rsidRPr="00E70500">
        <w:rPr>
          <w:rFonts w:asciiTheme="minorHAnsi" w:hAnsiTheme="minorHAnsi" w:cstheme="minorHAnsi"/>
          <w:iCs/>
        </w:rPr>
        <w:t xml:space="preserve">Under these statutes, VOSHA conducts workplace inspections, issues citations and penalties, and provides administrative and judicial review processes for employers seeking to contest citations and/or penalties. </w:t>
      </w:r>
      <w:r w:rsidR="00615DFA">
        <w:rPr>
          <w:rFonts w:asciiTheme="minorHAnsi" w:hAnsiTheme="minorHAnsi" w:cstheme="minorHAnsi"/>
          <w:iCs/>
        </w:rPr>
        <w:t xml:space="preserve"> </w:t>
      </w:r>
      <w:r w:rsidRPr="00E70500">
        <w:rPr>
          <w:rFonts w:asciiTheme="minorHAnsi" w:hAnsiTheme="minorHAnsi" w:cstheme="minorHAnsi"/>
          <w:iCs/>
        </w:rPr>
        <w:t>Title 21 V.S.A. §231 prohibits employers from retaliating against workers who exercise their rights under VOSHA’s occupational safety and health statutes and authorizes the investigation and prosecution of complaints of workplace retaliation.</w:t>
      </w:r>
      <w:r w:rsidR="00615DFA">
        <w:rPr>
          <w:rFonts w:asciiTheme="minorHAnsi" w:hAnsiTheme="minorHAnsi" w:cstheme="minorHAnsi"/>
          <w:iCs/>
        </w:rPr>
        <w:t xml:space="preserve"> </w:t>
      </w:r>
      <w:r w:rsidRPr="00E70500">
        <w:rPr>
          <w:rFonts w:asciiTheme="minorHAnsi" w:hAnsiTheme="minorHAnsi" w:cstheme="minorHAnsi"/>
          <w:iCs/>
        </w:rPr>
        <w:t xml:space="preserve"> An express private right of action for workers who believe that workplace retaliation or discrimination has occurred is contained in 21 V.S.A. §232. </w:t>
      </w:r>
    </w:p>
    <w:p w14:paraId="3E65A658" w14:textId="77777777" w:rsidR="000A27B5" w:rsidRPr="00E70500" w:rsidRDefault="000A27B5" w:rsidP="004E5BFD">
      <w:pPr>
        <w:widowControl/>
        <w:autoSpaceDE/>
        <w:autoSpaceDN/>
        <w:adjustRightInd/>
        <w:rPr>
          <w:rFonts w:asciiTheme="minorHAnsi" w:hAnsiTheme="minorHAnsi" w:cstheme="minorHAnsi"/>
          <w:iCs/>
        </w:rPr>
      </w:pPr>
    </w:p>
    <w:p w14:paraId="553662FB" w14:textId="54D6C55B" w:rsidR="004E5BFD" w:rsidRPr="00E70500" w:rsidRDefault="004E5BFD" w:rsidP="004E5BFD">
      <w:pPr>
        <w:widowControl/>
        <w:autoSpaceDE/>
        <w:autoSpaceDN/>
        <w:adjustRightInd/>
        <w:rPr>
          <w:rFonts w:asciiTheme="minorHAnsi" w:hAnsiTheme="minorHAnsi" w:cstheme="minorHAnsi"/>
          <w:iCs/>
        </w:rPr>
      </w:pPr>
      <w:r w:rsidRPr="00E70500">
        <w:rPr>
          <w:rFonts w:asciiTheme="minorHAnsi" w:hAnsiTheme="minorHAnsi" w:cstheme="minorHAnsi"/>
          <w:iCs/>
        </w:rPr>
        <w:t xml:space="preserve">In 1978, the U.S. Court of Appeals, in </w:t>
      </w:r>
      <w:r w:rsidRPr="00E70500">
        <w:rPr>
          <w:rFonts w:asciiTheme="minorHAnsi" w:hAnsiTheme="minorHAnsi" w:cstheme="minorHAnsi"/>
          <w:i/>
          <w:iCs/>
        </w:rPr>
        <w:t>AFL-CIO v. Marshall</w:t>
      </w:r>
      <w:r w:rsidRPr="00E70500">
        <w:rPr>
          <w:rFonts w:asciiTheme="minorHAnsi" w:hAnsiTheme="minorHAnsi" w:cstheme="minorHAnsi"/>
          <w:iCs/>
        </w:rPr>
        <w:t xml:space="preserve">, ordered OSHA to create a formula to set enforcement staffing benchmark levels for each State Plan. </w:t>
      </w:r>
      <w:r w:rsidR="00407EC7">
        <w:rPr>
          <w:rFonts w:asciiTheme="minorHAnsi" w:hAnsiTheme="minorHAnsi" w:cstheme="minorHAnsi"/>
          <w:iCs/>
        </w:rPr>
        <w:t xml:space="preserve"> </w:t>
      </w:r>
      <w:r w:rsidRPr="00E70500">
        <w:rPr>
          <w:rFonts w:asciiTheme="minorHAnsi" w:hAnsiTheme="minorHAnsi" w:cstheme="minorHAnsi"/>
          <w:iCs/>
        </w:rPr>
        <w:t xml:space="preserve">Meeting these staffing benchmark levels is a requirement for a State Plan to attain final approval status. </w:t>
      </w:r>
      <w:r w:rsidR="00407EC7">
        <w:rPr>
          <w:rFonts w:asciiTheme="minorHAnsi" w:hAnsiTheme="minorHAnsi" w:cstheme="minorHAnsi"/>
          <w:iCs/>
        </w:rPr>
        <w:t xml:space="preserve"> </w:t>
      </w:r>
      <w:r w:rsidRPr="00E70500">
        <w:rPr>
          <w:rFonts w:asciiTheme="minorHAnsi" w:hAnsiTheme="minorHAnsi" w:cstheme="minorHAnsi"/>
          <w:iCs/>
        </w:rPr>
        <w:t xml:space="preserve">VOSHA does not have final approval status and, due to a limited state budget, cannot allocate the number of staff that is sufficient to meet its benchmark levels. </w:t>
      </w:r>
    </w:p>
    <w:p w14:paraId="3DED514D" w14:textId="77777777" w:rsidR="00704EE9" w:rsidRPr="00E70500" w:rsidRDefault="00704EE9" w:rsidP="004E5BFD">
      <w:pPr>
        <w:widowControl/>
        <w:autoSpaceDE/>
        <w:autoSpaceDN/>
        <w:adjustRightInd/>
        <w:rPr>
          <w:rFonts w:asciiTheme="minorHAnsi" w:hAnsiTheme="minorHAnsi" w:cstheme="minorHAnsi"/>
          <w:iCs/>
        </w:rPr>
      </w:pPr>
    </w:p>
    <w:p w14:paraId="228027F4" w14:textId="34D745AA" w:rsidR="004E5BFD" w:rsidRPr="00E70500" w:rsidRDefault="004E5BFD" w:rsidP="004E5BFD">
      <w:pPr>
        <w:widowControl/>
        <w:autoSpaceDE/>
        <w:autoSpaceDN/>
        <w:adjustRightInd/>
        <w:rPr>
          <w:rFonts w:asciiTheme="minorHAnsi" w:hAnsiTheme="minorHAnsi" w:cstheme="minorHAnsi"/>
          <w:iCs/>
        </w:rPr>
      </w:pPr>
      <w:r w:rsidRPr="00E70500">
        <w:rPr>
          <w:rFonts w:asciiTheme="minorHAnsi" w:hAnsiTheme="minorHAnsi" w:cstheme="minorHAnsi"/>
          <w:iCs/>
        </w:rPr>
        <w:t xml:space="preserve">The program manager and the compliance supervisor are VOSHA’s first-line supervisors. </w:t>
      </w:r>
      <w:r w:rsidR="00AE7DAF">
        <w:rPr>
          <w:rFonts w:asciiTheme="minorHAnsi" w:hAnsiTheme="minorHAnsi" w:cstheme="minorHAnsi"/>
          <w:iCs/>
        </w:rPr>
        <w:t xml:space="preserve"> </w:t>
      </w:r>
      <w:r w:rsidRPr="00E70500">
        <w:rPr>
          <w:rFonts w:asciiTheme="minorHAnsi" w:hAnsiTheme="minorHAnsi" w:cstheme="minorHAnsi"/>
          <w:iCs/>
        </w:rPr>
        <w:t>At full staffing, VOSHA has seven compliance safety and health officers (CSHOs), one workplace retaliation investigator, a</w:t>
      </w:r>
      <w:r w:rsidR="00396A99">
        <w:rPr>
          <w:rFonts w:asciiTheme="minorHAnsi" w:hAnsiTheme="minorHAnsi" w:cstheme="minorHAnsi"/>
          <w:iCs/>
        </w:rPr>
        <w:t xml:space="preserve"> CAS</w:t>
      </w:r>
      <w:r w:rsidRPr="00E70500">
        <w:rPr>
          <w:rFonts w:asciiTheme="minorHAnsi" w:hAnsiTheme="minorHAnsi" w:cstheme="minorHAnsi"/>
          <w:iCs/>
        </w:rPr>
        <w:t>, and a program technician.</w:t>
      </w:r>
      <w:r w:rsidR="00615DFA">
        <w:rPr>
          <w:rFonts w:asciiTheme="minorHAnsi" w:hAnsiTheme="minorHAnsi" w:cstheme="minorHAnsi"/>
          <w:iCs/>
        </w:rPr>
        <w:t xml:space="preserve"> </w:t>
      </w:r>
      <w:r w:rsidRPr="00E70500">
        <w:rPr>
          <w:rFonts w:asciiTheme="minorHAnsi" w:hAnsiTheme="minorHAnsi" w:cstheme="minorHAnsi"/>
          <w:iCs/>
        </w:rPr>
        <w:t xml:space="preserve"> VOSHA’s state and local government consultation program consists of two safety and health consultants who commit a portion of their time to providing on-site consultation services to state and local government workplaces. </w:t>
      </w:r>
    </w:p>
    <w:p w14:paraId="1B77971C" w14:textId="77777777" w:rsidR="000A27B5" w:rsidRPr="00E70500" w:rsidRDefault="000A27B5" w:rsidP="004E5BFD">
      <w:pPr>
        <w:widowControl/>
        <w:autoSpaceDE/>
        <w:autoSpaceDN/>
        <w:adjustRightInd/>
        <w:rPr>
          <w:rFonts w:asciiTheme="minorHAnsi" w:hAnsiTheme="minorHAnsi" w:cstheme="minorHAnsi"/>
          <w:iCs/>
          <w:color w:val="0070C0"/>
        </w:rPr>
      </w:pPr>
    </w:p>
    <w:p w14:paraId="29897D48" w14:textId="1B3C545B" w:rsidR="004E5BFD" w:rsidRPr="00E70500" w:rsidRDefault="004E5BFD" w:rsidP="004E5BFD">
      <w:pPr>
        <w:widowControl/>
        <w:autoSpaceDE/>
        <w:autoSpaceDN/>
        <w:adjustRightInd/>
        <w:rPr>
          <w:rFonts w:asciiTheme="minorHAnsi" w:hAnsiTheme="minorHAnsi" w:cstheme="minorHAnsi"/>
          <w:b/>
          <w:bCs/>
          <w:iCs/>
          <w:vertAlign w:val="superscript"/>
        </w:rPr>
      </w:pPr>
      <w:r w:rsidRPr="00E70500">
        <w:rPr>
          <w:rFonts w:asciiTheme="minorHAnsi" w:hAnsiTheme="minorHAnsi" w:cstheme="minorHAnsi"/>
          <w:iCs/>
        </w:rPr>
        <w:t>In FY 202</w:t>
      </w:r>
      <w:r w:rsidR="00020900" w:rsidRPr="00E70500">
        <w:rPr>
          <w:rFonts w:asciiTheme="minorHAnsi" w:hAnsiTheme="minorHAnsi" w:cstheme="minorHAnsi"/>
          <w:iCs/>
        </w:rPr>
        <w:t>2</w:t>
      </w:r>
      <w:r w:rsidRPr="00E70500">
        <w:rPr>
          <w:rFonts w:asciiTheme="minorHAnsi" w:hAnsiTheme="minorHAnsi" w:cstheme="minorHAnsi"/>
          <w:iCs/>
        </w:rPr>
        <w:t>, VOSHA covered approximately 2</w:t>
      </w:r>
      <w:r w:rsidR="00B1677E" w:rsidRPr="00E70500">
        <w:rPr>
          <w:rFonts w:asciiTheme="minorHAnsi" w:hAnsiTheme="minorHAnsi" w:cstheme="minorHAnsi"/>
          <w:iCs/>
        </w:rPr>
        <w:t>9</w:t>
      </w:r>
      <w:r w:rsidR="00C42215" w:rsidRPr="00E70500">
        <w:rPr>
          <w:rFonts w:asciiTheme="minorHAnsi" w:hAnsiTheme="minorHAnsi" w:cstheme="minorHAnsi"/>
          <w:iCs/>
        </w:rPr>
        <w:t>2</w:t>
      </w:r>
      <w:r w:rsidR="00B1677E" w:rsidRPr="00E70500">
        <w:rPr>
          <w:rFonts w:asciiTheme="minorHAnsi" w:hAnsiTheme="minorHAnsi" w:cstheme="minorHAnsi"/>
          <w:iCs/>
        </w:rPr>
        <w:t>,</w:t>
      </w:r>
      <w:r w:rsidR="00C42215" w:rsidRPr="00E70500">
        <w:rPr>
          <w:rFonts w:asciiTheme="minorHAnsi" w:hAnsiTheme="minorHAnsi" w:cstheme="minorHAnsi"/>
          <w:iCs/>
        </w:rPr>
        <w:t>077</w:t>
      </w:r>
      <w:r w:rsidRPr="00E70500">
        <w:rPr>
          <w:rFonts w:asciiTheme="minorHAnsi" w:hAnsiTheme="minorHAnsi" w:cstheme="minorHAnsi"/>
          <w:iCs/>
        </w:rPr>
        <w:t xml:space="preserve"> workers, including 2</w:t>
      </w:r>
      <w:r w:rsidR="003E0681" w:rsidRPr="00E70500">
        <w:rPr>
          <w:rFonts w:asciiTheme="minorHAnsi" w:hAnsiTheme="minorHAnsi" w:cstheme="minorHAnsi"/>
          <w:iCs/>
        </w:rPr>
        <w:t>47,459</w:t>
      </w:r>
      <w:r w:rsidRPr="00E70500">
        <w:rPr>
          <w:rFonts w:asciiTheme="minorHAnsi" w:hAnsiTheme="minorHAnsi" w:cstheme="minorHAnsi"/>
          <w:iCs/>
        </w:rPr>
        <w:t xml:space="preserve"> private sector workers, 15,3</w:t>
      </w:r>
      <w:r w:rsidR="0048704F" w:rsidRPr="00E70500">
        <w:rPr>
          <w:rFonts w:asciiTheme="minorHAnsi" w:hAnsiTheme="minorHAnsi" w:cstheme="minorHAnsi"/>
          <w:iCs/>
        </w:rPr>
        <w:t>4</w:t>
      </w:r>
      <w:r w:rsidRPr="00E70500">
        <w:rPr>
          <w:rFonts w:asciiTheme="minorHAnsi" w:hAnsiTheme="minorHAnsi" w:cstheme="minorHAnsi"/>
          <w:iCs/>
        </w:rPr>
        <w:t xml:space="preserve">6 state </w:t>
      </w:r>
      <w:r w:rsidR="00AC512C">
        <w:rPr>
          <w:rFonts w:asciiTheme="minorHAnsi" w:hAnsiTheme="minorHAnsi" w:cstheme="minorHAnsi"/>
          <w:iCs/>
        </w:rPr>
        <w:t xml:space="preserve">government </w:t>
      </w:r>
      <w:r w:rsidRPr="00E70500">
        <w:rPr>
          <w:rFonts w:asciiTheme="minorHAnsi" w:hAnsiTheme="minorHAnsi" w:cstheme="minorHAnsi"/>
          <w:iCs/>
        </w:rPr>
        <w:t>workers, and 2</w:t>
      </w:r>
      <w:r w:rsidR="0048704F" w:rsidRPr="00E70500">
        <w:rPr>
          <w:rFonts w:asciiTheme="minorHAnsi" w:hAnsiTheme="minorHAnsi" w:cstheme="minorHAnsi"/>
          <w:iCs/>
        </w:rPr>
        <w:t>9,272</w:t>
      </w:r>
      <w:r w:rsidRPr="00E70500">
        <w:rPr>
          <w:rFonts w:asciiTheme="minorHAnsi" w:hAnsiTheme="minorHAnsi" w:cstheme="minorHAnsi"/>
          <w:iCs/>
        </w:rPr>
        <w:t xml:space="preserve"> local government workers. </w:t>
      </w:r>
      <w:r w:rsidR="00AE7DAF">
        <w:rPr>
          <w:rFonts w:asciiTheme="minorHAnsi" w:hAnsiTheme="minorHAnsi" w:cstheme="minorHAnsi"/>
          <w:iCs/>
        </w:rPr>
        <w:t xml:space="preserve"> </w:t>
      </w:r>
      <w:r w:rsidRPr="00E70500">
        <w:rPr>
          <w:rFonts w:asciiTheme="minorHAnsi" w:hAnsiTheme="minorHAnsi" w:cstheme="minorHAnsi"/>
          <w:iCs/>
        </w:rPr>
        <w:t>There were approximately 2</w:t>
      </w:r>
      <w:r w:rsidR="00F17862" w:rsidRPr="00E70500">
        <w:rPr>
          <w:rFonts w:asciiTheme="minorHAnsi" w:hAnsiTheme="minorHAnsi" w:cstheme="minorHAnsi"/>
          <w:iCs/>
        </w:rPr>
        <w:t>8,434</w:t>
      </w:r>
      <w:r w:rsidRPr="00E70500">
        <w:rPr>
          <w:rFonts w:asciiTheme="minorHAnsi" w:hAnsiTheme="minorHAnsi" w:cstheme="minorHAnsi"/>
          <w:iCs/>
        </w:rPr>
        <w:t xml:space="preserve"> private sector establishments, 25</w:t>
      </w:r>
      <w:r w:rsidR="00540A14" w:rsidRPr="00E70500">
        <w:rPr>
          <w:rFonts w:asciiTheme="minorHAnsi" w:hAnsiTheme="minorHAnsi" w:cstheme="minorHAnsi"/>
          <w:iCs/>
        </w:rPr>
        <w:t>3</w:t>
      </w:r>
      <w:r w:rsidRPr="00E70500">
        <w:rPr>
          <w:rFonts w:asciiTheme="minorHAnsi" w:hAnsiTheme="minorHAnsi" w:cstheme="minorHAnsi"/>
          <w:iCs/>
        </w:rPr>
        <w:t xml:space="preserve"> state government worksites, and 73</w:t>
      </w:r>
      <w:r w:rsidR="005F3A12" w:rsidRPr="00E70500">
        <w:rPr>
          <w:rFonts w:asciiTheme="minorHAnsi" w:hAnsiTheme="minorHAnsi" w:cstheme="minorHAnsi"/>
          <w:iCs/>
        </w:rPr>
        <w:t>0</w:t>
      </w:r>
      <w:r w:rsidRPr="00E70500">
        <w:rPr>
          <w:rFonts w:asciiTheme="minorHAnsi" w:hAnsiTheme="minorHAnsi" w:cstheme="minorHAnsi"/>
          <w:iCs/>
        </w:rPr>
        <w:t xml:space="preserve"> local government worksites in the state in FY 202</w:t>
      </w:r>
      <w:r w:rsidR="006751E1" w:rsidRPr="00E70500">
        <w:rPr>
          <w:rFonts w:asciiTheme="minorHAnsi" w:hAnsiTheme="minorHAnsi" w:cstheme="minorHAnsi"/>
          <w:iCs/>
        </w:rPr>
        <w:t>2</w:t>
      </w:r>
      <w:r w:rsidRPr="00E70500">
        <w:rPr>
          <w:rFonts w:asciiTheme="minorHAnsi" w:hAnsiTheme="minorHAnsi" w:cstheme="minorHAnsi"/>
          <w:iCs/>
        </w:rPr>
        <w:t>.</w:t>
      </w:r>
      <w:r w:rsidR="005F3A12" w:rsidRPr="000A6545">
        <w:rPr>
          <w:rStyle w:val="FootnoteReference"/>
          <w:rFonts w:asciiTheme="minorHAnsi" w:hAnsiTheme="minorHAnsi" w:cstheme="minorHAnsi"/>
          <w:b/>
          <w:bCs/>
          <w:iCs/>
          <w:sz w:val="32"/>
          <w:szCs w:val="32"/>
          <w:vertAlign w:val="superscript"/>
        </w:rPr>
        <w:footnoteReference w:id="2"/>
      </w:r>
    </w:p>
    <w:p w14:paraId="13532211" w14:textId="77777777" w:rsidR="00D42FF4" w:rsidRPr="00E70500" w:rsidRDefault="00D42FF4" w:rsidP="004E5BFD">
      <w:pPr>
        <w:widowControl/>
        <w:autoSpaceDE/>
        <w:autoSpaceDN/>
        <w:adjustRightInd/>
        <w:rPr>
          <w:rFonts w:asciiTheme="minorHAnsi" w:hAnsiTheme="minorHAnsi" w:cstheme="minorHAnsi"/>
          <w:iCs/>
        </w:rPr>
      </w:pPr>
    </w:p>
    <w:p w14:paraId="51241EC3" w14:textId="79044F63" w:rsidR="004E5BFD" w:rsidRPr="00E70500" w:rsidRDefault="004E5BFD" w:rsidP="004E5BFD">
      <w:pPr>
        <w:widowControl/>
        <w:autoSpaceDE/>
        <w:autoSpaceDN/>
        <w:adjustRightInd/>
        <w:rPr>
          <w:rFonts w:asciiTheme="minorHAnsi" w:hAnsiTheme="minorHAnsi" w:cstheme="minorHAnsi"/>
          <w:iCs/>
        </w:rPr>
      </w:pPr>
      <w:r w:rsidRPr="00E70500">
        <w:rPr>
          <w:rFonts w:asciiTheme="minorHAnsi" w:hAnsiTheme="minorHAnsi" w:cstheme="minorHAnsi"/>
          <w:iCs/>
        </w:rPr>
        <w:t xml:space="preserve">VOSHA’s coverage of state and local government workers is identical to that of private sector workers, including citation issuance and first instance sanctions. </w:t>
      </w:r>
      <w:r w:rsidR="00AE7DAF">
        <w:rPr>
          <w:rFonts w:asciiTheme="minorHAnsi" w:hAnsiTheme="minorHAnsi" w:cstheme="minorHAnsi"/>
          <w:iCs/>
        </w:rPr>
        <w:t xml:space="preserve"> </w:t>
      </w:r>
      <w:r w:rsidRPr="00E70500">
        <w:rPr>
          <w:rFonts w:asciiTheme="minorHAnsi" w:hAnsiTheme="minorHAnsi" w:cstheme="minorHAnsi"/>
          <w:iCs/>
        </w:rPr>
        <w:t xml:space="preserve">VOSHA also administers the </w:t>
      </w:r>
      <w:r w:rsidR="00856A14">
        <w:rPr>
          <w:rFonts w:asciiTheme="minorHAnsi" w:hAnsiTheme="minorHAnsi" w:cstheme="minorHAnsi"/>
          <w:iCs/>
        </w:rPr>
        <w:t>Green Mountain Voluntary Protection Program (</w:t>
      </w:r>
      <w:r w:rsidR="00546F87">
        <w:rPr>
          <w:rFonts w:asciiTheme="minorHAnsi" w:hAnsiTheme="minorHAnsi" w:cstheme="minorHAnsi"/>
          <w:iCs/>
        </w:rPr>
        <w:t>GMVPP</w:t>
      </w:r>
      <w:r w:rsidR="00856A14">
        <w:rPr>
          <w:rFonts w:asciiTheme="minorHAnsi" w:hAnsiTheme="minorHAnsi" w:cstheme="minorHAnsi"/>
          <w:iCs/>
        </w:rPr>
        <w:t>)</w:t>
      </w:r>
      <w:r w:rsidRPr="00E70500">
        <w:rPr>
          <w:rFonts w:asciiTheme="minorHAnsi" w:hAnsiTheme="minorHAnsi" w:cstheme="minorHAnsi"/>
          <w:iCs/>
        </w:rPr>
        <w:t>.</w:t>
      </w:r>
      <w:r w:rsidR="00AE7DAF">
        <w:rPr>
          <w:rFonts w:asciiTheme="minorHAnsi" w:hAnsiTheme="minorHAnsi" w:cstheme="minorHAnsi"/>
          <w:iCs/>
        </w:rPr>
        <w:t xml:space="preserve"> </w:t>
      </w:r>
      <w:r w:rsidRPr="00E70500">
        <w:rPr>
          <w:rFonts w:asciiTheme="minorHAnsi" w:hAnsiTheme="minorHAnsi" w:cstheme="minorHAnsi"/>
          <w:iCs/>
        </w:rPr>
        <w:t xml:space="preserve"> The State Plan has two unique standards: one addressing permissible exposure limits</w:t>
      </w:r>
      <w:r w:rsidR="00D1745F">
        <w:rPr>
          <w:rFonts w:asciiTheme="minorHAnsi" w:hAnsiTheme="minorHAnsi" w:cstheme="minorHAnsi"/>
          <w:iCs/>
        </w:rPr>
        <w:t xml:space="preserve"> (PELs)</w:t>
      </w:r>
      <w:r w:rsidRPr="00E70500">
        <w:rPr>
          <w:rFonts w:asciiTheme="minorHAnsi" w:hAnsiTheme="minorHAnsi" w:cstheme="minorHAnsi"/>
          <w:iCs/>
        </w:rPr>
        <w:t xml:space="preserve"> and one for electrical power generation, transmission, and distribution.</w:t>
      </w:r>
      <w:r w:rsidR="003B2BEB">
        <w:rPr>
          <w:rFonts w:asciiTheme="minorHAnsi" w:hAnsiTheme="minorHAnsi" w:cstheme="minorHAnsi"/>
          <w:iCs/>
        </w:rPr>
        <w:t xml:space="preserve"> </w:t>
      </w:r>
      <w:r w:rsidRPr="00E70500">
        <w:rPr>
          <w:rFonts w:asciiTheme="minorHAnsi" w:hAnsiTheme="minorHAnsi" w:cstheme="minorHAnsi"/>
          <w:iCs/>
        </w:rPr>
        <w:t xml:space="preserve"> The PELs enforced by VOSHA are considerably stricter than OSHA’s current PELs. </w:t>
      </w:r>
    </w:p>
    <w:p w14:paraId="31711F0C" w14:textId="77777777" w:rsidR="00D42FF4" w:rsidRPr="00E70500" w:rsidRDefault="00D42FF4" w:rsidP="004E5BFD">
      <w:pPr>
        <w:widowControl/>
        <w:autoSpaceDE/>
        <w:autoSpaceDN/>
        <w:adjustRightInd/>
        <w:rPr>
          <w:rFonts w:asciiTheme="minorHAnsi" w:hAnsiTheme="minorHAnsi" w:cstheme="minorHAnsi"/>
          <w:iCs/>
        </w:rPr>
      </w:pPr>
    </w:p>
    <w:p w14:paraId="50E21A0A" w14:textId="05A6C7D6" w:rsidR="004E5BFD" w:rsidRPr="00E70500" w:rsidRDefault="00A123CD" w:rsidP="004E5BFD">
      <w:pPr>
        <w:widowControl/>
        <w:autoSpaceDE/>
        <w:autoSpaceDN/>
        <w:adjustRightInd/>
        <w:rPr>
          <w:rFonts w:asciiTheme="minorHAnsi" w:hAnsiTheme="minorHAnsi" w:cstheme="minorHAnsi"/>
          <w:iCs/>
        </w:rPr>
      </w:pPr>
      <w:r>
        <w:rPr>
          <w:rFonts w:asciiTheme="minorHAnsi" w:hAnsiTheme="minorHAnsi" w:cstheme="minorHAnsi"/>
          <w:iCs/>
        </w:rPr>
        <w:t xml:space="preserve">Based on FY 2022 financial close-out forms, </w:t>
      </w:r>
      <w:r w:rsidR="004E5BFD" w:rsidRPr="0016495D">
        <w:rPr>
          <w:rFonts w:asciiTheme="minorHAnsi" w:hAnsiTheme="minorHAnsi" w:cstheme="minorHAnsi"/>
          <w:iCs/>
        </w:rPr>
        <w:t xml:space="preserve">VOSHA’s </w:t>
      </w:r>
      <w:r>
        <w:rPr>
          <w:rFonts w:asciiTheme="minorHAnsi" w:hAnsiTheme="minorHAnsi" w:cstheme="minorHAnsi"/>
          <w:iCs/>
        </w:rPr>
        <w:t xml:space="preserve">initial federal </w:t>
      </w:r>
      <w:r w:rsidR="004E5BFD" w:rsidRPr="0016495D">
        <w:rPr>
          <w:rFonts w:asciiTheme="minorHAnsi" w:hAnsiTheme="minorHAnsi" w:cstheme="minorHAnsi"/>
          <w:iCs/>
        </w:rPr>
        <w:t>funding award was $8</w:t>
      </w:r>
      <w:r w:rsidR="00DC4F0E" w:rsidRPr="0016495D">
        <w:rPr>
          <w:rFonts w:asciiTheme="minorHAnsi" w:hAnsiTheme="minorHAnsi" w:cstheme="minorHAnsi"/>
          <w:iCs/>
        </w:rPr>
        <w:t>55</w:t>
      </w:r>
      <w:r w:rsidR="004E5BFD" w:rsidRPr="0016495D">
        <w:rPr>
          <w:rFonts w:asciiTheme="minorHAnsi" w:hAnsiTheme="minorHAnsi" w:cstheme="minorHAnsi"/>
          <w:iCs/>
        </w:rPr>
        <w:t>,</w:t>
      </w:r>
      <w:r w:rsidR="00DC4F0E" w:rsidRPr="0016495D">
        <w:rPr>
          <w:rFonts w:asciiTheme="minorHAnsi" w:hAnsiTheme="minorHAnsi" w:cstheme="minorHAnsi"/>
          <w:iCs/>
        </w:rPr>
        <w:t>7</w:t>
      </w:r>
      <w:r w:rsidR="004E5BFD" w:rsidRPr="0016495D">
        <w:rPr>
          <w:rFonts w:asciiTheme="minorHAnsi" w:hAnsiTheme="minorHAnsi" w:cstheme="minorHAnsi"/>
          <w:iCs/>
        </w:rPr>
        <w:t>00.</w:t>
      </w:r>
      <w:r w:rsidR="00DC4F0E" w:rsidRPr="0016495D">
        <w:rPr>
          <w:rFonts w:asciiTheme="minorHAnsi" w:hAnsiTheme="minorHAnsi" w:cstheme="minorHAnsi"/>
          <w:iCs/>
        </w:rPr>
        <w:t xml:space="preserve"> </w:t>
      </w:r>
      <w:r w:rsidR="004E5BFD" w:rsidRPr="0016495D">
        <w:rPr>
          <w:rFonts w:asciiTheme="minorHAnsi" w:hAnsiTheme="minorHAnsi" w:cstheme="minorHAnsi"/>
          <w:iCs/>
        </w:rPr>
        <w:t xml:space="preserve"> </w:t>
      </w:r>
      <w:r w:rsidR="00031186" w:rsidRPr="00891A55">
        <w:rPr>
          <w:rFonts w:asciiTheme="minorHAnsi" w:hAnsiTheme="minorHAnsi" w:cstheme="minorHAnsi"/>
          <w:color w:val="000000"/>
        </w:rPr>
        <w:t>The State Plan contributed a total of $</w:t>
      </w:r>
      <w:r w:rsidR="00031186">
        <w:rPr>
          <w:rFonts w:asciiTheme="minorHAnsi" w:hAnsiTheme="minorHAnsi" w:cstheme="minorHAnsi"/>
          <w:color w:val="000000"/>
        </w:rPr>
        <w:t>899,742</w:t>
      </w:r>
      <w:r w:rsidR="00031186" w:rsidRPr="00891A55">
        <w:rPr>
          <w:rFonts w:asciiTheme="minorHAnsi" w:hAnsiTheme="minorHAnsi" w:cstheme="minorHAnsi"/>
          <w:color w:val="000000"/>
        </w:rPr>
        <w:t xml:space="preserve"> which consisted of the 50 percent match of $</w:t>
      </w:r>
      <w:r w:rsidR="00031186">
        <w:rPr>
          <w:rFonts w:asciiTheme="minorHAnsi" w:hAnsiTheme="minorHAnsi" w:cstheme="minorHAnsi"/>
          <w:color w:val="000000"/>
        </w:rPr>
        <w:t>855,700</w:t>
      </w:r>
      <w:r w:rsidR="00031186" w:rsidRPr="00891A55">
        <w:rPr>
          <w:rFonts w:asciiTheme="minorHAnsi" w:hAnsiTheme="minorHAnsi" w:cstheme="minorHAnsi"/>
          <w:color w:val="000000"/>
        </w:rPr>
        <w:t xml:space="preserve"> plus an additional $</w:t>
      </w:r>
      <w:r w:rsidR="00A62772">
        <w:rPr>
          <w:rFonts w:asciiTheme="minorHAnsi" w:hAnsiTheme="minorHAnsi" w:cstheme="minorHAnsi"/>
          <w:color w:val="000000"/>
        </w:rPr>
        <w:t>44,042</w:t>
      </w:r>
      <w:r w:rsidR="00031186" w:rsidRPr="00891A55">
        <w:rPr>
          <w:rFonts w:asciiTheme="minorHAnsi" w:hAnsiTheme="minorHAnsi" w:cstheme="minorHAnsi"/>
          <w:color w:val="000000"/>
        </w:rPr>
        <w:t xml:space="preserve">. </w:t>
      </w:r>
      <w:r w:rsidR="0002300C">
        <w:rPr>
          <w:rFonts w:asciiTheme="minorHAnsi" w:hAnsiTheme="minorHAnsi" w:cstheme="minorHAnsi"/>
          <w:color w:val="000000"/>
        </w:rPr>
        <w:t xml:space="preserve"> </w:t>
      </w:r>
      <w:r w:rsidR="004E5BFD" w:rsidRPr="0016495D">
        <w:rPr>
          <w:rFonts w:asciiTheme="minorHAnsi" w:hAnsiTheme="minorHAnsi" w:cstheme="minorHAnsi"/>
          <w:iCs/>
        </w:rPr>
        <w:t>Thus, VOSHA’s final FY 202</w:t>
      </w:r>
      <w:r w:rsidR="00964D22" w:rsidRPr="0016495D">
        <w:rPr>
          <w:rFonts w:asciiTheme="minorHAnsi" w:hAnsiTheme="minorHAnsi" w:cstheme="minorHAnsi"/>
          <w:iCs/>
        </w:rPr>
        <w:t>2</w:t>
      </w:r>
      <w:r w:rsidR="004E5BFD" w:rsidRPr="0016495D">
        <w:rPr>
          <w:rFonts w:asciiTheme="minorHAnsi" w:hAnsiTheme="minorHAnsi" w:cstheme="minorHAnsi"/>
          <w:iCs/>
        </w:rPr>
        <w:t xml:space="preserve"> funding amount was </w:t>
      </w:r>
      <w:r w:rsidR="00A62772">
        <w:rPr>
          <w:rFonts w:asciiTheme="minorHAnsi" w:hAnsiTheme="minorHAnsi" w:cstheme="minorHAnsi"/>
          <w:iCs/>
        </w:rPr>
        <w:t>$</w:t>
      </w:r>
      <w:r w:rsidR="00964D22" w:rsidRPr="0016495D">
        <w:t>1,755,442</w:t>
      </w:r>
      <w:r w:rsidR="00964D22" w:rsidRPr="0016495D">
        <w:rPr>
          <w:rFonts w:asciiTheme="minorHAnsi" w:hAnsiTheme="minorHAnsi" w:cstheme="minorHAnsi"/>
          <w:iCs/>
        </w:rPr>
        <w:t xml:space="preserve"> </w:t>
      </w:r>
      <w:r w:rsidR="004E5BFD" w:rsidRPr="0016495D">
        <w:rPr>
          <w:rFonts w:asciiTheme="minorHAnsi" w:hAnsiTheme="minorHAnsi" w:cstheme="minorHAnsi"/>
          <w:iCs/>
        </w:rPr>
        <w:t>($</w:t>
      </w:r>
      <w:r w:rsidR="00845318" w:rsidRPr="0016495D">
        <w:rPr>
          <w:rFonts w:asciiTheme="minorHAnsi" w:hAnsiTheme="minorHAnsi" w:cstheme="minorHAnsi"/>
          <w:iCs/>
        </w:rPr>
        <w:t>855,700</w:t>
      </w:r>
      <w:r w:rsidR="004E5BFD" w:rsidRPr="0016495D">
        <w:rPr>
          <w:rFonts w:asciiTheme="minorHAnsi" w:hAnsiTheme="minorHAnsi" w:cstheme="minorHAnsi"/>
          <w:iCs/>
        </w:rPr>
        <w:t xml:space="preserve"> in federal funds and $8</w:t>
      </w:r>
      <w:r w:rsidR="0016495D" w:rsidRPr="0016495D">
        <w:rPr>
          <w:rFonts w:asciiTheme="minorHAnsi" w:hAnsiTheme="minorHAnsi" w:cstheme="minorHAnsi"/>
          <w:iCs/>
        </w:rPr>
        <w:t>99,742</w:t>
      </w:r>
      <w:r w:rsidR="004E5BFD" w:rsidRPr="0016495D">
        <w:rPr>
          <w:rFonts w:asciiTheme="minorHAnsi" w:hAnsiTheme="minorHAnsi" w:cstheme="minorHAnsi"/>
          <w:iCs/>
        </w:rPr>
        <w:t xml:space="preserve"> in state funds).</w:t>
      </w:r>
    </w:p>
    <w:p w14:paraId="07E4A0DB" w14:textId="77777777" w:rsidR="00783189" w:rsidRPr="00E70500" w:rsidRDefault="00783189" w:rsidP="00783189">
      <w:pPr>
        <w:widowControl/>
        <w:autoSpaceDE/>
        <w:autoSpaceDN/>
        <w:adjustRightInd/>
        <w:contextualSpacing/>
        <w:rPr>
          <w:rFonts w:asciiTheme="minorHAnsi" w:hAnsiTheme="minorHAnsi" w:cstheme="minorHAnsi"/>
          <w:b/>
        </w:rPr>
      </w:pPr>
    </w:p>
    <w:p w14:paraId="13621DE4" w14:textId="77777777" w:rsidR="00EA301E" w:rsidRDefault="00EA301E" w:rsidP="00783189">
      <w:pPr>
        <w:widowControl/>
        <w:autoSpaceDE/>
        <w:autoSpaceDN/>
        <w:adjustRightInd/>
        <w:contextualSpacing/>
        <w:rPr>
          <w:rFonts w:asciiTheme="minorHAnsi" w:hAnsiTheme="minorHAnsi" w:cstheme="minorHAnsi"/>
          <w:b/>
        </w:rPr>
      </w:pPr>
    </w:p>
    <w:p w14:paraId="68FBAFD2" w14:textId="279ED51A" w:rsidR="00781312" w:rsidRPr="00E70500" w:rsidRDefault="00781312" w:rsidP="00783189">
      <w:pPr>
        <w:widowControl/>
        <w:autoSpaceDE/>
        <w:autoSpaceDN/>
        <w:adjustRightInd/>
        <w:contextualSpacing/>
        <w:rPr>
          <w:rFonts w:asciiTheme="minorHAnsi" w:hAnsiTheme="minorHAnsi" w:cstheme="minorHAnsi"/>
          <w:b/>
        </w:rPr>
      </w:pPr>
      <w:r w:rsidRPr="00E70500">
        <w:rPr>
          <w:rFonts w:asciiTheme="minorHAnsi" w:hAnsiTheme="minorHAnsi" w:cstheme="minorHAnsi"/>
          <w:b/>
        </w:rPr>
        <w:t>New Issues</w:t>
      </w:r>
    </w:p>
    <w:p w14:paraId="2D3DC15B" w14:textId="77777777" w:rsidR="00D831E8" w:rsidRDefault="00D831E8" w:rsidP="00783189">
      <w:pPr>
        <w:widowControl/>
        <w:autoSpaceDE/>
        <w:autoSpaceDN/>
        <w:adjustRightInd/>
        <w:rPr>
          <w:rFonts w:asciiTheme="minorHAnsi" w:hAnsiTheme="minorHAnsi" w:cstheme="minorHAnsi"/>
        </w:rPr>
      </w:pPr>
    </w:p>
    <w:p w14:paraId="4D45CF2E" w14:textId="67F4967A" w:rsidR="00780E29" w:rsidRDefault="00B70BE5" w:rsidP="00783189">
      <w:pPr>
        <w:widowControl/>
        <w:autoSpaceDE/>
        <w:autoSpaceDN/>
        <w:adjustRightInd/>
        <w:rPr>
          <w:rFonts w:asciiTheme="minorHAnsi" w:hAnsiTheme="minorHAnsi" w:cstheme="minorHAnsi"/>
          <w:iCs/>
        </w:rPr>
      </w:pPr>
      <w:r w:rsidRPr="00EC4BEE">
        <w:rPr>
          <w:rFonts w:asciiTheme="minorHAnsi" w:hAnsiTheme="minorHAnsi" w:cstheme="minorHAnsi"/>
          <w:iCs/>
        </w:rPr>
        <w:t>None.</w:t>
      </w:r>
    </w:p>
    <w:p w14:paraId="6636D17B" w14:textId="48A874C8" w:rsidR="00EC4BEE" w:rsidRDefault="00EC4BEE" w:rsidP="00783189">
      <w:pPr>
        <w:widowControl/>
        <w:autoSpaceDE/>
        <w:autoSpaceDN/>
        <w:adjustRightInd/>
        <w:rPr>
          <w:rFonts w:asciiTheme="minorHAnsi" w:hAnsiTheme="minorHAnsi" w:cstheme="minorHAnsi"/>
          <w:iCs/>
        </w:rPr>
      </w:pPr>
    </w:p>
    <w:p w14:paraId="01950842" w14:textId="4D6A7928" w:rsidR="00E774C7" w:rsidRDefault="00E774C7" w:rsidP="00783189">
      <w:pPr>
        <w:widowControl/>
        <w:autoSpaceDE/>
        <w:autoSpaceDN/>
        <w:adjustRightInd/>
        <w:rPr>
          <w:rFonts w:asciiTheme="minorHAnsi" w:hAnsiTheme="minorHAnsi" w:cstheme="minorHAnsi"/>
          <w:iCs/>
        </w:rPr>
      </w:pPr>
    </w:p>
    <w:p w14:paraId="74904707" w14:textId="684943ED" w:rsidR="00E774C7" w:rsidRDefault="00E774C7" w:rsidP="00783189">
      <w:pPr>
        <w:widowControl/>
        <w:autoSpaceDE/>
        <w:autoSpaceDN/>
        <w:adjustRightInd/>
        <w:rPr>
          <w:rFonts w:asciiTheme="minorHAnsi" w:hAnsiTheme="minorHAnsi" w:cstheme="minorHAnsi"/>
          <w:iCs/>
        </w:rPr>
      </w:pPr>
    </w:p>
    <w:p w14:paraId="5DBFD4A1" w14:textId="452FCA0F" w:rsidR="005501B0" w:rsidRDefault="005501B0" w:rsidP="00783189">
      <w:pPr>
        <w:widowControl/>
        <w:autoSpaceDE/>
        <w:autoSpaceDN/>
        <w:adjustRightInd/>
        <w:rPr>
          <w:rFonts w:asciiTheme="minorHAnsi" w:hAnsiTheme="minorHAnsi" w:cstheme="minorHAnsi"/>
          <w:iCs/>
        </w:rPr>
      </w:pPr>
    </w:p>
    <w:p w14:paraId="556773B8" w14:textId="7CCF449D" w:rsidR="005501B0" w:rsidRDefault="005501B0" w:rsidP="00783189">
      <w:pPr>
        <w:widowControl/>
        <w:autoSpaceDE/>
        <w:autoSpaceDN/>
        <w:adjustRightInd/>
        <w:rPr>
          <w:rFonts w:asciiTheme="minorHAnsi" w:hAnsiTheme="minorHAnsi" w:cstheme="minorHAnsi"/>
          <w:iCs/>
        </w:rPr>
      </w:pPr>
    </w:p>
    <w:p w14:paraId="36883505" w14:textId="77777777" w:rsidR="005501B0" w:rsidRDefault="005501B0" w:rsidP="00783189">
      <w:pPr>
        <w:widowControl/>
        <w:autoSpaceDE/>
        <w:autoSpaceDN/>
        <w:adjustRightInd/>
        <w:rPr>
          <w:rFonts w:asciiTheme="minorHAnsi" w:hAnsiTheme="minorHAnsi" w:cstheme="minorHAnsi"/>
          <w:iCs/>
        </w:rPr>
      </w:pPr>
    </w:p>
    <w:p w14:paraId="79E5CFA0" w14:textId="77777777" w:rsidR="00D831E8" w:rsidRPr="00EC4BEE" w:rsidRDefault="00D831E8" w:rsidP="00783189">
      <w:pPr>
        <w:widowControl/>
        <w:autoSpaceDE/>
        <w:autoSpaceDN/>
        <w:adjustRightInd/>
        <w:rPr>
          <w:rFonts w:asciiTheme="minorHAnsi" w:hAnsiTheme="minorHAnsi" w:cstheme="minorHAnsi"/>
          <w:iCs/>
        </w:rPr>
      </w:pPr>
    </w:p>
    <w:p w14:paraId="0A29FCDE" w14:textId="40051B71" w:rsidR="00054900" w:rsidRPr="00E70500" w:rsidRDefault="00054900" w:rsidP="00795447">
      <w:pPr>
        <w:pStyle w:val="Heading2"/>
      </w:pPr>
      <w:bookmarkStart w:id="9" w:name="_Toc118900172"/>
      <w:bookmarkStart w:id="10" w:name="_Toc118905011"/>
      <w:bookmarkStart w:id="11" w:name="_Toc119418665"/>
      <w:r w:rsidRPr="00E70500">
        <w:lastRenderedPageBreak/>
        <w:t xml:space="preserve">Assessment of State Plan </w:t>
      </w:r>
      <w:r w:rsidR="001E2FBB" w:rsidRPr="00E70500">
        <w:t xml:space="preserve">Progress and </w:t>
      </w:r>
      <w:r w:rsidRPr="00E70500">
        <w:t>Performance</w:t>
      </w:r>
      <w:bookmarkEnd w:id="9"/>
      <w:bookmarkEnd w:id="10"/>
      <w:bookmarkEnd w:id="11"/>
    </w:p>
    <w:p w14:paraId="07D68C5F" w14:textId="77777777" w:rsidR="00054900" w:rsidRPr="00E70500" w:rsidRDefault="00054900" w:rsidP="00783189">
      <w:pPr>
        <w:widowControl/>
        <w:autoSpaceDE/>
        <w:autoSpaceDN/>
        <w:adjustRightInd/>
        <w:rPr>
          <w:rFonts w:asciiTheme="minorHAnsi" w:hAnsiTheme="minorHAnsi" w:cstheme="minorHAnsi"/>
        </w:rPr>
      </w:pPr>
    </w:p>
    <w:p w14:paraId="4CD3C312" w14:textId="77777777" w:rsidR="000A134A" w:rsidRPr="00795447" w:rsidRDefault="000A134A" w:rsidP="00795447">
      <w:pPr>
        <w:pStyle w:val="Heading3"/>
      </w:pPr>
      <w:bookmarkStart w:id="12" w:name="_Toc118900173"/>
      <w:bookmarkStart w:id="13" w:name="_Toc118905012"/>
      <w:bookmarkStart w:id="14" w:name="_Toc119418666"/>
      <w:r w:rsidRPr="00795447">
        <w:t>Data and Methodology</w:t>
      </w:r>
      <w:bookmarkEnd w:id="12"/>
      <w:bookmarkEnd w:id="13"/>
      <w:bookmarkEnd w:id="14"/>
    </w:p>
    <w:p w14:paraId="72EF69F8" w14:textId="77777777" w:rsidR="000A134A" w:rsidRPr="00E70500" w:rsidRDefault="000A134A" w:rsidP="00783189">
      <w:pPr>
        <w:widowControl/>
        <w:autoSpaceDE/>
        <w:autoSpaceDN/>
        <w:adjustRightInd/>
        <w:ind w:left="1440"/>
        <w:rPr>
          <w:rFonts w:asciiTheme="minorHAnsi" w:hAnsiTheme="minorHAnsi" w:cstheme="minorHAnsi"/>
          <w:bCs/>
        </w:rPr>
      </w:pPr>
    </w:p>
    <w:p w14:paraId="3EEE3A69" w14:textId="77777777" w:rsidR="005504BC" w:rsidRPr="00E70500" w:rsidRDefault="000A134A" w:rsidP="00783189">
      <w:pPr>
        <w:widowControl/>
        <w:autoSpaceDE/>
        <w:autoSpaceDN/>
        <w:adjustRightInd/>
        <w:rPr>
          <w:rFonts w:asciiTheme="minorHAnsi" w:hAnsiTheme="minorHAnsi" w:cstheme="minorHAnsi"/>
          <w:bCs/>
        </w:rPr>
      </w:pPr>
      <w:r w:rsidRPr="00E70500">
        <w:rPr>
          <w:rFonts w:asciiTheme="minorHAnsi" w:hAnsiTheme="minorHAnsi" w:cstheme="minorHAnsi"/>
          <w:bCs/>
        </w:rPr>
        <w:t>OSHA has established a two-year cycle for the FAME process.  This is the follow-up year</w:t>
      </w:r>
      <w:r w:rsidR="005E3EFB" w:rsidRPr="00E70500">
        <w:rPr>
          <w:rFonts w:asciiTheme="minorHAnsi" w:hAnsiTheme="minorHAnsi" w:cstheme="minorHAnsi"/>
          <w:bCs/>
        </w:rPr>
        <w:t>,</w:t>
      </w:r>
      <w:r w:rsidRPr="00E70500">
        <w:rPr>
          <w:rFonts w:asciiTheme="minorHAnsi" w:hAnsiTheme="minorHAnsi" w:cstheme="minorHAnsi"/>
          <w:bCs/>
        </w:rPr>
        <w:t xml:space="preserve"> and as such</w:t>
      </w:r>
      <w:r w:rsidR="005E3EFB" w:rsidRPr="00E70500">
        <w:rPr>
          <w:rFonts w:asciiTheme="minorHAnsi" w:hAnsiTheme="minorHAnsi" w:cstheme="minorHAnsi"/>
          <w:bCs/>
        </w:rPr>
        <w:t>,</w:t>
      </w:r>
      <w:r w:rsidRPr="00E70500">
        <w:rPr>
          <w:rFonts w:asciiTheme="minorHAnsi" w:hAnsiTheme="minorHAnsi" w:cstheme="minorHAnsi"/>
          <w:bCs/>
        </w:rPr>
        <w:t xml:space="preserve"> OSHA did not perform </w:t>
      </w:r>
      <w:r w:rsidR="00957E7E" w:rsidRPr="00E70500">
        <w:rPr>
          <w:rFonts w:asciiTheme="minorHAnsi" w:hAnsiTheme="minorHAnsi" w:cstheme="minorHAnsi"/>
          <w:bCs/>
        </w:rPr>
        <w:t>an on</w:t>
      </w:r>
      <w:r w:rsidR="00DC6559" w:rsidRPr="00E70500">
        <w:rPr>
          <w:rFonts w:asciiTheme="minorHAnsi" w:hAnsiTheme="minorHAnsi" w:cstheme="minorHAnsi"/>
          <w:bCs/>
        </w:rPr>
        <w:t>-</w:t>
      </w:r>
      <w:r w:rsidR="00957E7E" w:rsidRPr="00E70500">
        <w:rPr>
          <w:rFonts w:asciiTheme="minorHAnsi" w:hAnsiTheme="minorHAnsi" w:cstheme="minorHAnsi"/>
          <w:bCs/>
        </w:rPr>
        <w:t>site</w:t>
      </w:r>
      <w:r w:rsidRPr="00E70500">
        <w:rPr>
          <w:rFonts w:asciiTheme="minorHAnsi" w:hAnsiTheme="minorHAnsi" w:cstheme="minorHAnsi"/>
          <w:bCs/>
        </w:rPr>
        <w:t xml:space="preserve"> case file review associated with a comprehensive FAME.  This strategy allows the State Plan to focus on correcting deficiencies identified in the most recent comprehensive FAME</w:t>
      </w:r>
      <w:r w:rsidR="003A4F3E" w:rsidRPr="00E70500">
        <w:rPr>
          <w:rFonts w:asciiTheme="minorHAnsi" w:hAnsiTheme="minorHAnsi" w:cstheme="minorHAnsi"/>
          <w:bCs/>
        </w:rPr>
        <w:t>.</w:t>
      </w:r>
      <w:r w:rsidR="00733729" w:rsidRPr="00E70500">
        <w:rPr>
          <w:rFonts w:asciiTheme="minorHAnsi" w:hAnsiTheme="minorHAnsi" w:cstheme="minorHAnsi"/>
          <w:bCs/>
        </w:rPr>
        <w:t xml:space="preserve">  </w:t>
      </w:r>
      <w:r w:rsidR="005504BC" w:rsidRPr="00E70500">
        <w:rPr>
          <w:rFonts w:asciiTheme="minorHAnsi" w:hAnsiTheme="minorHAnsi" w:cstheme="minorHAnsi"/>
          <w:bCs/>
        </w:rPr>
        <w:t>The analyses and conclusions described in this report are based on information obtained from a variety of monitoring sources, including:</w:t>
      </w:r>
    </w:p>
    <w:p w14:paraId="54439AF2" w14:textId="77777777" w:rsidR="005504BC" w:rsidRPr="00E70500" w:rsidRDefault="005504BC" w:rsidP="007A71AC">
      <w:pPr>
        <w:widowControl/>
        <w:autoSpaceDE/>
        <w:autoSpaceDN/>
        <w:adjustRightInd/>
        <w:rPr>
          <w:rFonts w:asciiTheme="minorHAnsi" w:hAnsiTheme="minorHAnsi" w:cstheme="minorHAnsi"/>
          <w:bCs/>
        </w:rPr>
      </w:pPr>
    </w:p>
    <w:p w14:paraId="409C16B9" w14:textId="550629EA" w:rsidR="005504BC" w:rsidRDefault="005504BC" w:rsidP="008626CE">
      <w:pPr>
        <w:pStyle w:val="ListParagraph"/>
        <w:numPr>
          <w:ilvl w:val="0"/>
          <w:numId w:val="7"/>
        </w:numPr>
        <w:spacing w:after="0" w:line="240" w:lineRule="auto"/>
        <w:rPr>
          <w:rFonts w:asciiTheme="minorHAnsi" w:hAnsiTheme="minorHAnsi" w:cstheme="minorHAnsi"/>
          <w:bCs/>
          <w:sz w:val="24"/>
          <w:szCs w:val="24"/>
        </w:rPr>
      </w:pPr>
      <w:r w:rsidRPr="00E70500">
        <w:rPr>
          <w:rFonts w:asciiTheme="minorHAnsi" w:hAnsiTheme="minorHAnsi" w:cstheme="minorHAnsi"/>
          <w:bCs/>
          <w:sz w:val="24"/>
          <w:szCs w:val="24"/>
        </w:rPr>
        <w:t>State Activity Mandated Measures</w:t>
      </w:r>
      <w:r w:rsidR="00AC512C">
        <w:rPr>
          <w:rFonts w:asciiTheme="minorHAnsi" w:hAnsiTheme="minorHAnsi" w:cstheme="minorHAnsi"/>
          <w:bCs/>
          <w:sz w:val="24"/>
          <w:szCs w:val="24"/>
        </w:rPr>
        <w:t xml:space="preserve"> (SAMM)</w:t>
      </w:r>
      <w:r w:rsidRPr="00E70500">
        <w:rPr>
          <w:rFonts w:asciiTheme="minorHAnsi" w:hAnsiTheme="minorHAnsi" w:cstheme="minorHAnsi"/>
          <w:bCs/>
          <w:sz w:val="24"/>
          <w:szCs w:val="24"/>
        </w:rPr>
        <w:t xml:space="preserve"> Report </w:t>
      </w:r>
    </w:p>
    <w:p w14:paraId="3F588832" w14:textId="27CF9DEF" w:rsidR="004C3166" w:rsidRPr="00E70500" w:rsidRDefault="004C3166" w:rsidP="008626CE">
      <w:pPr>
        <w:pStyle w:val="ListParagraph"/>
        <w:numPr>
          <w:ilvl w:val="0"/>
          <w:numId w:val="7"/>
        </w:num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Mandated Activities Report for Consultation </w:t>
      </w:r>
    </w:p>
    <w:p w14:paraId="4054753A" w14:textId="53A777DB" w:rsidR="00FF4AE2" w:rsidRPr="00E70500" w:rsidRDefault="00FF4AE2" w:rsidP="008626CE">
      <w:pPr>
        <w:pStyle w:val="ListParagraph"/>
        <w:numPr>
          <w:ilvl w:val="0"/>
          <w:numId w:val="7"/>
        </w:numPr>
        <w:spacing w:after="0" w:line="240" w:lineRule="auto"/>
        <w:rPr>
          <w:rFonts w:asciiTheme="minorHAnsi" w:hAnsiTheme="minorHAnsi" w:cstheme="minorHAnsi"/>
          <w:bCs/>
          <w:sz w:val="24"/>
          <w:szCs w:val="24"/>
        </w:rPr>
      </w:pPr>
      <w:r w:rsidRPr="00E70500">
        <w:rPr>
          <w:rFonts w:asciiTheme="minorHAnsi" w:hAnsiTheme="minorHAnsi" w:cstheme="minorHAnsi"/>
          <w:bCs/>
          <w:sz w:val="24"/>
          <w:szCs w:val="24"/>
        </w:rPr>
        <w:t xml:space="preserve">State OSHA Annual Report </w:t>
      </w:r>
    </w:p>
    <w:p w14:paraId="03220F96" w14:textId="7DC041C1" w:rsidR="00FF4AE2" w:rsidRPr="00E70500" w:rsidRDefault="00FF4AE2" w:rsidP="008626CE">
      <w:pPr>
        <w:pStyle w:val="ListParagraph"/>
        <w:numPr>
          <w:ilvl w:val="0"/>
          <w:numId w:val="7"/>
        </w:numPr>
        <w:spacing w:after="0" w:line="240" w:lineRule="auto"/>
        <w:rPr>
          <w:rFonts w:asciiTheme="minorHAnsi" w:hAnsiTheme="minorHAnsi" w:cstheme="minorHAnsi"/>
          <w:bCs/>
          <w:sz w:val="24"/>
          <w:szCs w:val="24"/>
        </w:rPr>
      </w:pPr>
      <w:r w:rsidRPr="00E70500">
        <w:rPr>
          <w:rFonts w:asciiTheme="minorHAnsi" w:hAnsiTheme="minorHAnsi" w:cstheme="minorHAnsi"/>
          <w:bCs/>
          <w:sz w:val="24"/>
          <w:szCs w:val="24"/>
        </w:rPr>
        <w:t>State Plan Annual Performance Plan</w:t>
      </w:r>
      <w:r w:rsidR="0061362E" w:rsidRPr="00E70500">
        <w:rPr>
          <w:rFonts w:asciiTheme="minorHAnsi" w:hAnsiTheme="minorHAnsi" w:cstheme="minorHAnsi"/>
          <w:bCs/>
          <w:sz w:val="24"/>
          <w:szCs w:val="24"/>
        </w:rPr>
        <w:t xml:space="preserve"> </w:t>
      </w:r>
    </w:p>
    <w:p w14:paraId="4CBC94FB" w14:textId="77777777" w:rsidR="00FF4AE2" w:rsidRPr="00E70500" w:rsidRDefault="00FF4AE2" w:rsidP="008626CE">
      <w:pPr>
        <w:pStyle w:val="ListParagraph"/>
        <w:numPr>
          <w:ilvl w:val="0"/>
          <w:numId w:val="7"/>
        </w:numPr>
        <w:spacing w:after="0" w:line="240" w:lineRule="auto"/>
        <w:rPr>
          <w:rFonts w:asciiTheme="minorHAnsi" w:hAnsiTheme="minorHAnsi" w:cstheme="minorHAnsi"/>
          <w:bCs/>
          <w:sz w:val="24"/>
          <w:szCs w:val="24"/>
        </w:rPr>
      </w:pPr>
      <w:r w:rsidRPr="00E70500">
        <w:rPr>
          <w:rFonts w:asciiTheme="minorHAnsi" w:hAnsiTheme="minorHAnsi" w:cstheme="minorHAnsi"/>
          <w:bCs/>
          <w:sz w:val="24"/>
          <w:szCs w:val="24"/>
        </w:rPr>
        <w:t xml:space="preserve">State Plan Grant </w:t>
      </w:r>
      <w:r w:rsidR="00DC6559" w:rsidRPr="00E70500">
        <w:rPr>
          <w:rFonts w:asciiTheme="minorHAnsi" w:hAnsiTheme="minorHAnsi" w:cstheme="minorHAnsi"/>
          <w:bCs/>
          <w:sz w:val="24"/>
          <w:szCs w:val="24"/>
        </w:rPr>
        <w:t>A</w:t>
      </w:r>
      <w:r w:rsidRPr="00E70500">
        <w:rPr>
          <w:rFonts w:asciiTheme="minorHAnsi" w:hAnsiTheme="minorHAnsi" w:cstheme="minorHAnsi"/>
          <w:bCs/>
          <w:sz w:val="24"/>
          <w:szCs w:val="24"/>
        </w:rPr>
        <w:t xml:space="preserve">pplication </w:t>
      </w:r>
    </w:p>
    <w:p w14:paraId="79AC3075" w14:textId="77777777" w:rsidR="00FF4AE2" w:rsidRPr="00E70500" w:rsidRDefault="00FF4AE2" w:rsidP="008626CE">
      <w:pPr>
        <w:pStyle w:val="ListParagraph"/>
        <w:numPr>
          <w:ilvl w:val="0"/>
          <w:numId w:val="7"/>
        </w:numPr>
        <w:spacing w:after="0" w:line="240" w:lineRule="auto"/>
        <w:rPr>
          <w:rFonts w:asciiTheme="minorHAnsi" w:hAnsiTheme="minorHAnsi" w:cstheme="minorHAnsi"/>
          <w:bCs/>
          <w:sz w:val="24"/>
          <w:szCs w:val="24"/>
        </w:rPr>
      </w:pPr>
      <w:r w:rsidRPr="00E70500">
        <w:rPr>
          <w:rFonts w:asciiTheme="minorHAnsi" w:hAnsiTheme="minorHAnsi" w:cstheme="minorHAnsi"/>
          <w:bCs/>
          <w:sz w:val="24"/>
          <w:szCs w:val="24"/>
        </w:rPr>
        <w:t>Quarterly monitoring meetings between OSHA and the State Plan</w:t>
      </w:r>
    </w:p>
    <w:p w14:paraId="7EA0158E" w14:textId="77777777" w:rsidR="001E2FBB" w:rsidRPr="00E70500" w:rsidRDefault="001E2FBB" w:rsidP="00783189">
      <w:pPr>
        <w:widowControl/>
        <w:autoSpaceDE/>
        <w:autoSpaceDN/>
        <w:adjustRightInd/>
        <w:rPr>
          <w:rFonts w:asciiTheme="minorHAnsi" w:hAnsiTheme="minorHAnsi" w:cstheme="minorHAnsi"/>
          <w:bCs/>
          <w:i/>
        </w:rPr>
      </w:pPr>
    </w:p>
    <w:p w14:paraId="5E67DDEC" w14:textId="77777777" w:rsidR="000A134A" w:rsidRPr="00E70500" w:rsidRDefault="000A134A" w:rsidP="00795447">
      <w:pPr>
        <w:pStyle w:val="Heading3"/>
      </w:pPr>
      <w:bookmarkStart w:id="15" w:name="_Toc118900174"/>
      <w:bookmarkStart w:id="16" w:name="_Toc118905013"/>
      <w:bookmarkStart w:id="17" w:name="_Toc119418667"/>
      <w:r w:rsidRPr="00E70500">
        <w:t>Findings and Observations</w:t>
      </w:r>
      <w:bookmarkEnd w:id="15"/>
      <w:bookmarkEnd w:id="16"/>
      <w:bookmarkEnd w:id="17"/>
    </w:p>
    <w:p w14:paraId="51B991F5" w14:textId="77777777" w:rsidR="000A134A" w:rsidRPr="00E70500" w:rsidRDefault="000A134A" w:rsidP="00783189">
      <w:pPr>
        <w:widowControl/>
        <w:autoSpaceDE/>
        <w:autoSpaceDN/>
        <w:adjustRightInd/>
        <w:rPr>
          <w:rFonts w:asciiTheme="minorHAnsi" w:hAnsiTheme="minorHAnsi" w:cstheme="minorHAnsi"/>
        </w:rPr>
      </w:pPr>
    </w:p>
    <w:p w14:paraId="7F551E23" w14:textId="2266CF91" w:rsidR="003A4C7A" w:rsidRPr="00E70500" w:rsidRDefault="003A4C7A" w:rsidP="00783189">
      <w:pPr>
        <w:widowControl/>
        <w:autoSpaceDE/>
        <w:autoSpaceDN/>
        <w:adjustRightInd/>
        <w:rPr>
          <w:rFonts w:asciiTheme="minorHAnsi" w:hAnsiTheme="minorHAnsi" w:cstheme="minorHAnsi"/>
        </w:rPr>
      </w:pPr>
      <w:r>
        <w:t xml:space="preserve">This report contains no new or continued findings or recommendations. </w:t>
      </w:r>
      <w:r w:rsidR="00197A9D">
        <w:t xml:space="preserve"> </w:t>
      </w:r>
      <w:r>
        <w:t xml:space="preserve">Appendix B describes observations and related federal monitoring plans; </w:t>
      </w:r>
      <w:r w:rsidRPr="005C2C49">
        <w:t>this appendix lists one closed observation</w:t>
      </w:r>
      <w:r w:rsidR="00534687" w:rsidRPr="005C2C49">
        <w:t xml:space="preserve"> and</w:t>
      </w:r>
      <w:r w:rsidRPr="005C2C49">
        <w:t xml:space="preserve"> two continued observation</w:t>
      </w:r>
      <w:r w:rsidR="00E84770" w:rsidRPr="005C2C49">
        <w:t>s</w:t>
      </w:r>
      <w:r>
        <w:t>.</w:t>
      </w:r>
      <w:r w:rsidR="00785215">
        <w:t xml:space="preserve"> </w:t>
      </w:r>
      <w:r>
        <w:t xml:space="preserve"> Appendix C is used to describe the status of previous findings and associated completed corrective actions. </w:t>
      </w:r>
      <w:r w:rsidR="00785215">
        <w:t xml:space="preserve"> </w:t>
      </w:r>
      <w:r>
        <w:t xml:space="preserve">However, there were no findings in the previous FAME Report. </w:t>
      </w:r>
      <w:r w:rsidR="003B7D29">
        <w:t xml:space="preserve"> </w:t>
      </w:r>
      <w:r>
        <w:t xml:space="preserve">In summary, this report contains </w:t>
      </w:r>
      <w:r w:rsidR="00534687" w:rsidRPr="005C2C49">
        <w:t>two continued</w:t>
      </w:r>
      <w:r>
        <w:t xml:space="preserve"> observations</w:t>
      </w:r>
      <w:r w:rsidR="00534687">
        <w:t>.</w:t>
      </w:r>
    </w:p>
    <w:p w14:paraId="699539B4" w14:textId="77777777" w:rsidR="004E505A" w:rsidRPr="00E70500" w:rsidRDefault="004E505A" w:rsidP="00783189">
      <w:pPr>
        <w:widowControl/>
        <w:autoSpaceDE/>
        <w:autoSpaceDN/>
        <w:adjustRightInd/>
        <w:rPr>
          <w:rFonts w:asciiTheme="minorHAnsi" w:hAnsiTheme="minorHAnsi" w:cstheme="minorHAnsi"/>
          <w:highlight w:val="yellow"/>
        </w:rPr>
      </w:pPr>
    </w:p>
    <w:p w14:paraId="49B482D8" w14:textId="77777777" w:rsidR="00443054" w:rsidRPr="00E70500" w:rsidRDefault="00443054" w:rsidP="00E44D46">
      <w:pPr>
        <w:pStyle w:val="Heading4"/>
        <w:rPr>
          <w:rFonts w:asciiTheme="minorHAnsi" w:hAnsiTheme="minorHAnsi" w:cstheme="minorHAnsi"/>
          <w:b w:val="0"/>
        </w:rPr>
      </w:pPr>
      <w:bookmarkStart w:id="18" w:name="_Toc118900176"/>
      <w:bookmarkStart w:id="19" w:name="_Toc118905015"/>
      <w:r w:rsidRPr="00E70500">
        <w:rPr>
          <w:rFonts w:asciiTheme="minorHAnsi" w:hAnsiTheme="minorHAnsi" w:cstheme="minorHAnsi"/>
        </w:rPr>
        <w:t>Observations</w:t>
      </w:r>
      <w:bookmarkEnd w:id="18"/>
      <w:bookmarkEnd w:id="19"/>
    </w:p>
    <w:p w14:paraId="2D0C820B" w14:textId="77777777" w:rsidR="005C1BFC" w:rsidRPr="00E70500" w:rsidRDefault="005C1BFC" w:rsidP="00783189">
      <w:pPr>
        <w:widowControl/>
        <w:autoSpaceDE/>
        <w:autoSpaceDN/>
        <w:adjustRightInd/>
        <w:rPr>
          <w:rFonts w:asciiTheme="minorHAnsi" w:hAnsiTheme="minorHAnsi" w:cstheme="minorHAnsi"/>
          <w:bCs/>
          <w:highlight w:val="yellow"/>
          <w:u w:val="single"/>
        </w:rPr>
      </w:pPr>
    </w:p>
    <w:p w14:paraId="53E5B736" w14:textId="4673C892" w:rsidR="00D97421" w:rsidRPr="00E774C7" w:rsidRDefault="00D97421" w:rsidP="00783189">
      <w:pPr>
        <w:widowControl/>
        <w:autoSpaceDE/>
        <w:autoSpaceDN/>
        <w:adjustRightInd/>
        <w:rPr>
          <w:rFonts w:asciiTheme="minorHAnsi" w:hAnsiTheme="minorHAnsi" w:cstheme="minorHAnsi"/>
          <w:b/>
          <w:bCs/>
        </w:rPr>
      </w:pPr>
      <w:r w:rsidRPr="00E774C7">
        <w:rPr>
          <w:rFonts w:asciiTheme="minorHAnsi" w:hAnsiTheme="minorHAnsi" w:cstheme="minorHAnsi"/>
          <w:b/>
          <w:bCs/>
        </w:rPr>
        <w:t xml:space="preserve">Closed </w:t>
      </w:r>
      <w:r w:rsidR="0061362E" w:rsidRPr="00E774C7">
        <w:rPr>
          <w:rFonts w:asciiTheme="minorHAnsi" w:hAnsiTheme="minorHAnsi" w:cstheme="minorHAnsi"/>
          <w:b/>
          <w:bCs/>
        </w:rPr>
        <w:t xml:space="preserve">FY 2021 </w:t>
      </w:r>
      <w:r w:rsidRPr="00E774C7">
        <w:rPr>
          <w:rFonts w:asciiTheme="minorHAnsi" w:hAnsiTheme="minorHAnsi" w:cstheme="minorHAnsi"/>
          <w:b/>
          <w:bCs/>
        </w:rPr>
        <w:t>Observation</w:t>
      </w:r>
    </w:p>
    <w:p w14:paraId="2EB27CF1" w14:textId="77777777" w:rsidR="00D97421" w:rsidRPr="00E70500" w:rsidRDefault="00D97421" w:rsidP="00783189">
      <w:pPr>
        <w:widowControl/>
        <w:autoSpaceDE/>
        <w:autoSpaceDN/>
        <w:adjustRightInd/>
        <w:rPr>
          <w:rFonts w:asciiTheme="minorHAnsi" w:hAnsiTheme="minorHAnsi" w:cstheme="minorHAnsi"/>
          <w:bCs/>
          <w:iCs/>
          <w:color w:val="0070C0"/>
          <w:u w:val="single"/>
        </w:rPr>
      </w:pPr>
    </w:p>
    <w:p w14:paraId="41D6A657" w14:textId="75425686" w:rsidR="00713D9B" w:rsidRDefault="000404D5" w:rsidP="000404D5">
      <w:pPr>
        <w:widowControl/>
        <w:rPr>
          <w:rFonts w:asciiTheme="minorHAnsi" w:hAnsiTheme="minorHAnsi" w:cstheme="minorHAnsi"/>
          <w:bCs/>
          <w:color w:val="000000" w:themeColor="text1"/>
        </w:rPr>
      </w:pPr>
      <w:r w:rsidRPr="00E774C7">
        <w:rPr>
          <w:rFonts w:asciiTheme="minorHAnsi" w:hAnsiTheme="minorHAnsi" w:cstheme="minorHAnsi"/>
          <w:b/>
          <w:bCs/>
          <w:color w:val="000000" w:themeColor="text1"/>
        </w:rPr>
        <w:t>Observation FY 2021-OB-01: (formerly Observations FY 2020-OB-03 and FY 2019-OB-04)</w:t>
      </w:r>
      <w:r w:rsidRPr="00E774C7">
        <w:rPr>
          <w:rFonts w:asciiTheme="minorHAnsi" w:hAnsiTheme="minorHAnsi" w:cstheme="minorHAnsi"/>
          <w:color w:val="000000" w:themeColor="text1"/>
        </w:rPr>
        <w:t>:</w:t>
      </w:r>
      <w:r w:rsidRPr="000404D5">
        <w:rPr>
          <w:rFonts w:asciiTheme="minorHAnsi" w:hAnsiTheme="minorHAnsi" w:cstheme="minorHAnsi"/>
          <w:bCs/>
          <w:color w:val="000000" w:themeColor="text1"/>
        </w:rPr>
        <w:t xml:space="preserve"> </w:t>
      </w:r>
      <w:r w:rsidR="00713D9B">
        <w:rPr>
          <w:rFonts w:asciiTheme="minorHAnsi" w:hAnsiTheme="minorHAnsi" w:cstheme="minorHAnsi"/>
          <w:bCs/>
          <w:color w:val="000000" w:themeColor="text1"/>
        </w:rPr>
        <w:t xml:space="preserve"> </w:t>
      </w:r>
      <w:r w:rsidR="00713D9B" w:rsidRPr="005C2C49">
        <w:rPr>
          <w:rFonts w:asciiTheme="minorHAnsi" w:hAnsiTheme="minorHAnsi" w:cstheme="minorHAnsi"/>
          <w:bCs/>
          <w:color w:val="000000" w:themeColor="text1"/>
        </w:rPr>
        <w:t>In FY 2021, VOSHA conducted only three inspections in state government, two of which were programmed</w:t>
      </w:r>
      <w:r w:rsidR="00713D9B">
        <w:rPr>
          <w:rFonts w:asciiTheme="minorHAnsi" w:hAnsiTheme="minorHAnsi" w:cstheme="minorHAnsi"/>
          <w:bCs/>
          <w:color w:val="000000" w:themeColor="text1"/>
        </w:rPr>
        <w:t>.</w:t>
      </w:r>
    </w:p>
    <w:p w14:paraId="69597D3C" w14:textId="77777777" w:rsidR="000404D5" w:rsidRPr="000404D5" w:rsidRDefault="000404D5" w:rsidP="000404D5">
      <w:pPr>
        <w:widowControl/>
        <w:rPr>
          <w:rFonts w:asciiTheme="minorHAnsi" w:hAnsiTheme="minorHAnsi" w:cstheme="minorHAnsi"/>
          <w:color w:val="000000" w:themeColor="text1"/>
        </w:rPr>
      </w:pPr>
    </w:p>
    <w:p w14:paraId="5716694A" w14:textId="0DD47998" w:rsidR="00943F9E" w:rsidRDefault="000404D5" w:rsidP="00943F9E">
      <w:r w:rsidRPr="00E774C7">
        <w:rPr>
          <w:rFonts w:asciiTheme="minorHAnsi" w:hAnsiTheme="minorHAnsi" w:cstheme="minorHAnsi"/>
          <w:b/>
          <w:bCs/>
          <w:color w:val="000000"/>
        </w:rPr>
        <w:t>Status</w:t>
      </w:r>
      <w:r w:rsidRPr="000404D5">
        <w:rPr>
          <w:rFonts w:asciiTheme="minorHAnsi" w:hAnsiTheme="minorHAnsi" w:cstheme="minorHAnsi"/>
          <w:color w:val="000000"/>
        </w:rPr>
        <w:t xml:space="preserve">: </w:t>
      </w:r>
      <w:r w:rsidR="00E37A2B">
        <w:t>T</w:t>
      </w:r>
      <w:r w:rsidR="00943F9E" w:rsidRPr="000D544E">
        <w:t xml:space="preserve">he State Plan did not </w:t>
      </w:r>
      <w:r w:rsidR="00943F9E">
        <w:t xml:space="preserve">conduct </w:t>
      </w:r>
      <w:r w:rsidR="00943F9E" w:rsidRPr="000D544E">
        <w:t xml:space="preserve">any inspections at the state level </w:t>
      </w:r>
      <w:r w:rsidR="000A3D77">
        <w:t>in FY 2022.</w:t>
      </w:r>
      <w:r w:rsidR="00DB364D">
        <w:t xml:space="preserve"> </w:t>
      </w:r>
      <w:r w:rsidR="000B1627">
        <w:t xml:space="preserve"> </w:t>
      </w:r>
      <w:r w:rsidR="00DB364D">
        <w:t xml:space="preserve">However, </w:t>
      </w:r>
      <w:r w:rsidR="00C35C70">
        <w:t>n</w:t>
      </w:r>
      <w:r w:rsidR="00DB364D">
        <w:t xml:space="preserve">o complaints were received from state workers during the fiscal year, so no complaint inspections were conducted. </w:t>
      </w:r>
      <w:r w:rsidR="002A1572">
        <w:t xml:space="preserve"> </w:t>
      </w:r>
      <w:r w:rsidR="00943F9E" w:rsidRPr="000D544E">
        <w:t>In terms of p</w:t>
      </w:r>
      <w:r w:rsidR="00943F9E">
        <w:t xml:space="preserve">rogrammed </w:t>
      </w:r>
      <w:r w:rsidR="00943F9E" w:rsidRPr="000D544E">
        <w:t>inspections,</w:t>
      </w:r>
      <w:r w:rsidR="00943F9E">
        <w:t xml:space="preserve"> </w:t>
      </w:r>
      <w:r w:rsidR="00943F9E" w:rsidRPr="00E70500">
        <w:rPr>
          <w:rFonts w:asciiTheme="minorHAnsi" w:hAnsiTheme="minorHAnsi" w:cstheme="minorHAnsi"/>
        </w:rPr>
        <w:t>VOSHA randomly selects sites from three state agencies that tend to have the most hazardous working conditions</w:t>
      </w:r>
      <w:r w:rsidR="00943F9E">
        <w:rPr>
          <w:rFonts w:asciiTheme="minorHAnsi" w:hAnsiTheme="minorHAnsi" w:cstheme="minorHAnsi"/>
        </w:rPr>
        <w:t xml:space="preserve">.  </w:t>
      </w:r>
      <w:r w:rsidR="00943F9E" w:rsidRPr="00E70500">
        <w:rPr>
          <w:rFonts w:asciiTheme="minorHAnsi" w:hAnsiTheme="minorHAnsi" w:cstheme="minorHAnsi"/>
        </w:rPr>
        <w:t>State agencies that have had a programmed inspection in the last five years are exempt from programmed inspections.</w:t>
      </w:r>
      <w:r w:rsidR="00943F9E">
        <w:t xml:space="preserve">  </w:t>
      </w:r>
      <w:r w:rsidR="00943F9E" w:rsidRPr="000D544E">
        <w:t xml:space="preserve">VOSHA was prepared to </w:t>
      </w:r>
      <w:r w:rsidR="00374CAF">
        <w:t xml:space="preserve">conduct </w:t>
      </w:r>
      <w:r w:rsidR="00943F9E">
        <w:t xml:space="preserve">programmed </w:t>
      </w:r>
      <w:r w:rsidR="00943F9E" w:rsidRPr="000D544E">
        <w:t>inspections in state government in FY 2022 but</w:t>
      </w:r>
      <w:r w:rsidR="00943F9E" w:rsidRPr="00E70500">
        <w:rPr>
          <w:rFonts w:asciiTheme="minorHAnsi" w:hAnsiTheme="minorHAnsi" w:cstheme="minorHAnsi"/>
        </w:rPr>
        <w:t xml:space="preserve"> determined that there were no </w:t>
      </w:r>
      <w:r w:rsidR="00943F9E">
        <w:rPr>
          <w:rFonts w:cstheme="minorHAnsi"/>
        </w:rPr>
        <w:t xml:space="preserve">employers </w:t>
      </w:r>
      <w:r w:rsidR="00943F9E">
        <w:rPr>
          <w:rFonts w:asciiTheme="minorHAnsi" w:hAnsiTheme="minorHAnsi" w:cstheme="minorHAnsi"/>
        </w:rPr>
        <w:t xml:space="preserve">on the targeting list </w:t>
      </w:r>
      <w:r w:rsidR="00943F9E" w:rsidRPr="00E70500">
        <w:rPr>
          <w:rFonts w:asciiTheme="minorHAnsi" w:hAnsiTheme="minorHAnsi" w:cstheme="minorHAnsi"/>
        </w:rPr>
        <w:t>that had gone beyond five years without an inspection</w:t>
      </w:r>
      <w:r w:rsidR="00943F9E">
        <w:rPr>
          <w:rFonts w:cstheme="minorHAnsi"/>
        </w:rPr>
        <w:t>.</w:t>
      </w:r>
      <w:r w:rsidR="006D494B">
        <w:rPr>
          <w:rFonts w:cstheme="minorHAnsi"/>
        </w:rPr>
        <w:t xml:space="preserve"> </w:t>
      </w:r>
      <w:r w:rsidR="00943F9E">
        <w:rPr>
          <w:rFonts w:cstheme="minorHAnsi"/>
        </w:rPr>
        <w:t xml:space="preserve"> </w:t>
      </w:r>
      <w:r w:rsidR="00374CAF">
        <w:rPr>
          <w:rFonts w:cstheme="minorHAnsi"/>
        </w:rPr>
        <w:t>Due to these circumstances, this observation is closed.</w:t>
      </w:r>
    </w:p>
    <w:p w14:paraId="06EFC61A" w14:textId="77777777" w:rsidR="009269DF" w:rsidRDefault="009269DF" w:rsidP="00783189">
      <w:pPr>
        <w:widowControl/>
        <w:autoSpaceDE/>
        <w:autoSpaceDN/>
        <w:adjustRightInd/>
        <w:rPr>
          <w:rFonts w:asciiTheme="minorHAnsi" w:hAnsiTheme="minorHAnsi" w:cstheme="minorHAnsi"/>
          <w:bCs/>
          <w:i/>
        </w:rPr>
      </w:pPr>
    </w:p>
    <w:p w14:paraId="5BD6CDA9" w14:textId="77777777" w:rsidR="004C3166" w:rsidRDefault="004C3166" w:rsidP="00783189">
      <w:pPr>
        <w:widowControl/>
        <w:autoSpaceDE/>
        <w:autoSpaceDN/>
        <w:adjustRightInd/>
        <w:rPr>
          <w:rFonts w:asciiTheme="minorHAnsi" w:hAnsiTheme="minorHAnsi" w:cstheme="minorHAnsi"/>
          <w:b/>
        </w:rPr>
      </w:pPr>
    </w:p>
    <w:p w14:paraId="370CCAAD" w14:textId="62EA9158" w:rsidR="00602EF3" w:rsidRPr="00CD04B0" w:rsidRDefault="004E505A" w:rsidP="00783189">
      <w:pPr>
        <w:widowControl/>
        <w:autoSpaceDE/>
        <w:autoSpaceDN/>
        <w:adjustRightInd/>
        <w:rPr>
          <w:rFonts w:asciiTheme="minorHAnsi" w:hAnsiTheme="minorHAnsi" w:cstheme="minorHAnsi"/>
          <w:b/>
        </w:rPr>
      </w:pPr>
      <w:r w:rsidRPr="00CD04B0">
        <w:rPr>
          <w:rFonts w:asciiTheme="minorHAnsi" w:hAnsiTheme="minorHAnsi" w:cstheme="minorHAnsi"/>
          <w:b/>
        </w:rPr>
        <w:t xml:space="preserve">Continued </w:t>
      </w:r>
      <w:r w:rsidR="00054416" w:rsidRPr="00CD04B0">
        <w:rPr>
          <w:rFonts w:asciiTheme="minorHAnsi" w:hAnsiTheme="minorHAnsi" w:cstheme="minorHAnsi"/>
          <w:b/>
        </w:rPr>
        <w:t xml:space="preserve">FY </w:t>
      </w:r>
      <w:r w:rsidR="007C0A36" w:rsidRPr="00CD04B0">
        <w:rPr>
          <w:rFonts w:asciiTheme="minorHAnsi" w:hAnsiTheme="minorHAnsi" w:cstheme="minorHAnsi"/>
          <w:b/>
        </w:rPr>
        <w:t>20</w:t>
      </w:r>
      <w:r w:rsidR="00185C7D" w:rsidRPr="00CD04B0">
        <w:rPr>
          <w:rFonts w:asciiTheme="minorHAnsi" w:hAnsiTheme="minorHAnsi" w:cstheme="minorHAnsi"/>
          <w:b/>
        </w:rPr>
        <w:t>21</w:t>
      </w:r>
      <w:r w:rsidR="007C0A36" w:rsidRPr="00CD04B0">
        <w:rPr>
          <w:rFonts w:asciiTheme="minorHAnsi" w:hAnsiTheme="minorHAnsi" w:cstheme="minorHAnsi"/>
          <w:b/>
        </w:rPr>
        <w:t xml:space="preserve"> </w:t>
      </w:r>
      <w:r w:rsidR="00443054" w:rsidRPr="00CD04B0">
        <w:rPr>
          <w:rFonts w:asciiTheme="minorHAnsi" w:hAnsiTheme="minorHAnsi" w:cstheme="minorHAnsi"/>
          <w:b/>
        </w:rPr>
        <w:t>Observation</w:t>
      </w:r>
      <w:r w:rsidR="00EA1069" w:rsidRPr="00CD04B0">
        <w:rPr>
          <w:rFonts w:asciiTheme="minorHAnsi" w:hAnsiTheme="minorHAnsi" w:cstheme="minorHAnsi"/>
          <w:b/>
        </w:rPr>
        <w:t>s</w:t>
      </w:r>
    </w:p>
    <w:p w14:paraId="00C81835" w14:textId="77777777" w:rsidR="00602EF3" w:rsidRPr="00E70500" w:rsidRDefault="00602EF3" w:rsidP="00783189">
      <w:pPr>
        <w:widowControl/>
        <w:autoSpaceDE/>
        <w:autoSpaceDN/>
        <w:adjustRightInd/>
        <w:rPr>
          <w:rFonts w:asciiTheme="minorHAnsi" w:hAnsiTheme="minorHAnsi" w:cstheme="minorHAnsi"/>
          <w:b/>
          <w:bCs/>
          <w:highlight w:val="yellow"/>
        </w:rPr>
      </w:pPr>
    </w:p>
    <w:p w14:paraId="1C4AB864" w14:textId="10142CB6" w:rsidR="009C1C5E" w:rsidRDefault="009C1C5E" w:rsidP="009C1C5E">
      <w:pPr>
        <w:pStyle w:val="Default"/>
        <w:rPr>
          <w:rFonts w:asciiTheme="minorHAnsi" w:hAnsiTheme="minorHAnsi" w:cstheme="minorHAnsi"/>
        </w:rPr>
      </w:pPr>
      <w:r w:rsidRPr="00CD04B0">
        <w:rPr>
          <w:rFonts w:asciiTheme="minorHAnsi" w:hAnsiTheme="minorHAnsi" w:cstheme="minorHAnsi"/>
          <w:b/>
          <w:bCs/>
        </w:rPr>
        <w:t>Observation FY 2022-OB-0</w:t>
      </w:r>
      <w:r w:rsidR="00562AFA" w:rsidRPr="00CD04B0">
        <w:rPr>
          <w:rFonts w:asciiTheme="minorHAnsi" w:hAnsiTheme="minorHAnsi" w:cstheme="minorHAnsi"/>
          <w:b/>
          <w:bCs/>
        </w:rPr>
        <w:t>1</w:t>
      </w:r>
      <w:r w:rsidR="00E41647" w:rsidRPr="00CD04B0">
        <w:rPr>
          <w:rFonts w:asciiTheme="minorHAnsi" w:hAnsiTheme="minorHAnsi" w:cstheme="minorHAnsi"/>
          <w:b/>
          <w:bCs/>
        </w:rPr>
        <w:t xml:space="preserve"> (formerly</w:t>
      </w:r>
      <w:r w:rsidR="00B83125" w:rsidRPr="00CD04B0">
        <w:rPr>
          <w:rFonts w:asciiTheme="minorHAnsi" w:hAnsiTheme="minorHAnsi" w:cstheme="minorHAnsi"/>
          <w:b/>
          <w:bCs/>
        </w:rPr>
        <w:t xml:space="preserve"> Observation FY 2021-OB-02)</w:t>
      </w:r>
      <w:r w:rsidRPr="00CD04B0">
        <w:rPr>
          <w:rFonts w:asciiTheme="minorHAnsi" w:hAnsiTheme="minorHAnsi" w:cstheme="minorHAnsi"/>
        </w:rPr>
        <w:t>:</w:t>
      </w:r>
      <w:r w:rsidRPr="00E70500">
        <w:rPr>
          <w:rFonts w:asciiTheme="minorHAnsi" w:hAnsiTheme="minorHAnsi" w:cstheme="minorHAnsi"/>
        </w:rPr>
        <w:t xml:space="preserve"> </w:t>
      </w:r>
      <w:r w:rsidRPr="00E41647">
        <w:rPr>
          <w:rFonts w:asciiTheme="minorHAnsi" w:hAnsiTheme="minorHAnsi" w:cstheme="minorHAnsi"/>
        </w:rPr>
        <w:t xml:space="preserve">In FY 2021, there were errors in the calculations of the </w:t>
      </w:r>
      <w:r w:rsidR="00DE1BDE" w:rsidRPr="00E41647">
        <w:rPr>
          <w:rFonts w:asciiTheme="minorHAnsi" w:hAnsiTheme="minorHAnsi" w:cstheme="minorHAnsi"/>
        </w:rPr>
        <w:t>days away/restricted or transfer (</w:t>
      </w:r>
      <w:r w:rsidRPr="00E41647">
        <w:rPr>
          <w:rFonts w:asciiTheme="minorHAnsi" w:hAnsiTheme="minorHAnsi" w:cstheme="minorHAnsi"/>
        </w:rPr>
        <w:t>DART</w:t>
      </w:r>
      <w:r w:rsidR="00DE1BDE" w:rsidRPr="00E41647">
        <w:rPr>
          <w:rFonts w:asciiTheme="minorHAnsi" w:hAnsiTheme="minorHAnsi" w:cstheme="minorHAnsi"/>
        </w:rPr>
        <w:t>)</w:t>
      </w:r>
      <w:r w:rsidRPr="00E41647">
        <w:rPr>
          <w:rFonts w:asciiTheme="minorHAnsi" w:hAnsiTheme="minorHAnsi" w:cstheme="minorHAnsi"/>
        </w:rPr>
        <w:t xml:space="preserve"> rates and </w:t>
      </w:r>
      <w:r w:rsidR="00945887" w:rsidRPr="00E41647">
        <w:rPr>
          <w:rFonts w:asciiTheme="minorHAnsi" w:hAnsiTheme="minorHAnsi" w:cstheme="minorHAnsi"/>
        </w:rPr>
        <w:t xml:space="preserve">total case incident rates (TCIRs) </w:t>
      </w:r>
      <w:r w:rsidRPr="00E41647">
        <w:rPr>
          <w:rFonts w:asciiTheme="minorHAnsi" w:hAnsiTheme="minorHAnsi" w:cstheme="minorHAnsi"/>
        </w:rPr>
        <w:t xml:space="preserve">for two (29 percent) of seven </w:t>
      </w:r>
      <w:r w:rsidR="00746237" w:rsidRPr="00E41647">
        <w:rPr>
          <w:rFonts w:asciiTheme="minorHAnsi" w:hAnsiTheme="minorHAnsi" w:cstheme="minorHAnsi"/>
        </w:rPr>
        <w:t>G</w:t>
      </w:r>
      <w:r w:rsidR="004A6E9D">
        <w:rPr>
          <w:rFonts w:asciiTheme="minorHAnsi" w:hAnsiTheme="minorHAnsi" w:cstheme="minorHAnsi"/>
        </w:rPr>
        <w:t xml:space="preserve">MVPP </w:t>
      </w:r>
      <w:r w:rsidRPr="00E41647">
        <w:rPr>
          <w:rFonts w:asciiTheme="minorHAnsi" w:hAnsiTheme="minorHAnsi" w:cstheme="minorHAnsi"/>
        </w:rPr>
        <w:t>sites’ annual participant submissions.</w:t>
      </w:r>
    </w:p>
    <w:p w14:paraId="11FF8B80" w14:textId="13975B49" w:rsidR="00BD0EEB" w:rsidRDefault="00BD0EEB" w:rsidP="009C1C5E">
      <w:pPr>
        <w:pStyle w:val="Default"/>
        <w:rPr>
          <w:rFonts w:asciiTheme="minorHAnsi" w:hAnsiTheme="minorHAnsi" w:cstheme="minorHAnsi"/>
        </w:rPr>
      </w:pPr>
    </w:p>
    <w:p w14:paraId="23DE70F8" w14:textId="08C7008B" w:rsidR="009C1C5E" w:rsidRDefault="009C1C5E" w:rsidP="009C1C5E">
      <w:pPr>
        <w:widowControl/>
        <w:autoSpaceDE/>
        <w:autoSpaceDN/>
        <w:adjustRightInd/>
        <w:rPr>
          <w:rFonts w:asciiTheme="minorHAnsi" w:hAnsiTheme="minorHAnsi" w:cstheme="minorHAnsi"/>
        </w:rPr>
      </w:pPr>
      <w:r w:rsidRPr="00CD04B0">
        <w:rPr>
          <w:rFonts w:asciiTheme="minorHAnsi" w:hAnsiTheme="minorHAnsi" w:cstheme="minorHAnsi"/>
          <w:b/>
        </w:rPr>
        <w:t>Status</w:t>
      </w:r>
      <w:r w:rsidRPr="00E70500">
        <w:rPr>
          <w:rFonts w:asciiTheme="minorHAnsi" w:hAnsiTheme="minorHAnsi" w:cstheme="minorHAnsi"/>
          <w:bCs/>
        </w:rPr>
        <w:t xml:space="preserve">: </w:t>
      </w:r>
      <w:r w:rsidRPr="00E70500">
        <w:rPr>
          <w:rFonts w:asciiTheme="minorHAnsi" w:hAnsiTheme="minorHAnsi" w:cstheme="minorHAnsi"/>
        </w:rPr>
        <w:t xml:space="preserve">A case file review is necessary to gather the facts needed to evaluate performance in relation to this observation. </w:t>
      </w:r>
      <w:r w:rsidR="00785215">
        <w:rPr>
          <w:rFonts w:asciiTheme="minorHAnsi" w:hAnsiTheme="minorHAnsi" w:cstheme="minorHAnsi"/>
        </w:rPr>
        <w:t xml:space="preserve"> </w:t>
      </w:r>
      <w:r w:rsidRPr="00E70500">
        <w:rPr>
          <w:rFonts w:asciiTheme="minorHAnsi" w:hAnsiTheme="minorHAnsi" w:cstheme="minorHAnsi"/>
        </w:rPr>
        <w:t>This observation will be a focus of next year’s on-site case file review during the FY 20</w:t>
      </w:r>
      <w:r w:rsidR="00C6398A">
        <w:rPr>
          <w:rFonts w:asciiTheme="minorHAnsi" w:hAnsiTheme="minorHAnsi" w:cstheme="minorHAnsi"/>
        </w:rPr>
        <w:t>23</w:t>
      </w:r>
      <w:r w:rsidRPr="00E70500">
        <w:rPr>
          <w:rFonts w:asciiTheme="minorHAnsi" w:hAnsiTheme="minorHAnsi" w:cstheme="minorHAnsi"/>
        </w:rPr>
        <w:t xml:space="preserve"> </w:t>
      </w:r>
      <w:r w:rsidR="00C6398A">
        <w:rPr>
          <w:rFonts w:asciiTheme="minorHAnsi" w:hAnsiTheme="minorHAnsi" w:cstheme="minorHAnsi"/>
        </w:rPr>
        <w:t>C</w:t>
      </w:r>
      <w:r w:rsidRPr="00E70500">
        <w:rPr>
          <w:rFonts w:asciiTheme="minorHAnsi" w:hAnsiTheme="minorHAnsi" w:cstheme="minorHAnsi"/>
        </w:rPr>
        <w:t>omprehensive FAME.</w:t>
      </w:r>
      <w:r w:rsidR="00785215">
        <w:rPr>
          <w:rFonts w:asciiTheme="minorHAnsi" w:hAnsiTheme="minorHAnsi" w:cstheme="minorHAnsi"/>
        </w:rPr>
        <w:t xml:space="preserve"> </w:t>
      </w:r>
      <w:r w:rsidRPr="00E70500">
        <w:rPr>
          <w:rFonts w:asciiTheme="minorHAnsi" w:hAnsiTheme="minorHAnsi" w:cstheme="minorHAnsi"/>
          <w:b/>
        </w:rPr>
        <w:t xml:space="preserve"> </w:t>
      </w:r>
      <w:r w:rsidRPr="00E70500">
        <w:rPr>
          <w:rFonts w:asciiTheme="minorHAnsi" w:hAnsiTheme="minorHAnsi" w:cstheme="minorHAnsi"/>
        </w:rPr>
        <w:t>This observation will be continued.</w:t>
      </w:r>
    </w:p>
    <w:p w14:paraId="556C9B61" w14:textId="77777777" w:rsidR="007B4F2C" w:rsidRPr="00E70500" w:rsidRDefault="007B4F2C" w:rsidP="009C1C5E">
      <w:pPr>
        <w:widowControl/>
        <w:autoSpaceDE/>
        <w:autoSpaceDN/>
        <w:adjustRightInd/>
        <w:rPr>
          <w:rFonts w:asciiTheme="minorHAnsi" w:hAnsiTheme="minorHAnsi" w:cstheme="minorHAnsi"/>
        </w:rPr>
      </w:pPr>
    </w:p>
    <w:p w14:paraId="40B3D0F9" w14:textId="2113359B" w:rsidR="001860C5" w:rsidRDefault="001860C5" w:rsidP="009C1C5E">
      <w:pPr>
        <w:pStyle w:val="Default"/>
        <w:rPr>
          <w:rFonts w:asciiTheme="minorHAnsi" w:hAnsiTheme="minorHAnsi" w:cstheme="minorHAnsi"/>
          <w:b/>
          <w:bCs/>
          <w:u w:val="single"/>
        </w:rPr>
      </w:pPr>
    </w:p>
    <w:p w14:paraId="5841E2FA" w14:textId="366224CA" w:rsidR="009C1C5E" w:rsidRDefault="009C1C5E" w:rsidP="009C1C5E">
      <w:pPr>
        <w:pStyle w:val="Default"/>
        <w:rPr>
          <w:rFonts w:asciiTheme="minorHAnsi" w:hAnsiTheme="minorHAnsi" w:cstheme="minorHAnsi"/>
        </w:rPr>
      </w:pPr>
      <w:r w:rsidRPr="00CD04B0">
        <w:rPr>
          <w:rFonts w:asciiTheme="minorHAnsi" w:hAnsiTheme="minorHAnsi" w:cstheme="minorHAnsi"/>
          <w:b/>
          <w:bCs/>
        </w:rPr>
        <w:t>Observation FY 2022-OB-0</w:t>
      </w:r>
      <w:r w:rsidR="00562AFA" w:rsidRPr="00CD04B0">
        <w:rPr>
          <w:rFonts w:asciiTheme="minorHAnsi" w:hAnsiTheme="minorHAnsi" w:cstheme="minorHAnsi"/>
          <w:b/>
          <w:bCs/>
        </w:rPr>
        <w:t>2</w:t>
      </w:r>
      <w:r w:rsidR="004C55D7" w:rsidRPr="00CD04B0">
        <w:rPr>
          <w:rFonts w:asciiTheme="minorHAnsi" w:hAnsiTheme="minorHAnsi" w:cstheme="minorHAnsi"/>
          <w:b/>
          <w:bCs/>
        </w:rPr>
        <w:t xml:space="preserve"> (formerly Observation FY 2021-OB-03)</w:t>
      </w:r>
      <w:r w:rsidRPr="00CD04B0">
        <w:rPr>
          <w:rFonts w:asciiTheme="minorHAnsi" w:hAnsiTheme="minorHAnsi" w:cstheme="minorHAnsi"/>
          <w:b/>
          <w:bCs/>
        </w:rPr>
        <w:t>:</w:t>
      </w:r>
      <w:r w:rsidRPr="00E70500">
        <w:rPr>
          <w:rFonts w:asciiTheme="minorHAnsi" w:hAnsiTheme="minorHAnsi" w:cstheme="minorHAnsi"/>
        </w:rPr>
        <w:t xml:space="preserve"> In FY 2021, two (29 percent) of seven annual GMVPP participant submissions did not contain a sufficient evaluation of the site’s safety and health management system. </w:t>
      </w:r>
    </w:p>
    <w:p w14:paraId="6E2A346B" w14:textId="6429E14F" w:rsidR="00BD0EEB" w:rsidRPr="009F6124" w:rsidRDefault="00BD0EEB" w:rsidP="009C1C5E">
      <w:pPr>
        <w:pStyle w:val="Default"/>
        <w:rPr>
          <w:rFonts w:asciiTheme="minorHAnsi" w:hAnsiTheme="minorHAnsi" w:cstheme="minorHAnsi"/>
        </w:rPr>
      </w:pPr>
    </w:p>
    <w:p w14:paraId="07B24A16" w14:textId="176B3B03" w:rsidR="009C1C5E" w:rsidRPr="00E70500" w:rsidRDefault="009C1C5E" w:rsidP="009C1C5E">
      <w:pPr>
        <w:widowControl/>
        <w:autoSpaceDE/>
        <w:autoSpaceDN/>
        <w:adjustRightInd/>
        <w:rPr>
          <w:rFonts w:asciiTheme="minorHAnsi" w:hAnsiTheme="minorHAnsi" w:cstheme="minorHAnsi"/>
        </w:rPr>
      </w:pPr>
      <w:r w:rsidRPr="00CD04B0">
        <w:rPr>
          <w:rFonts w:asciiTheme="minorHAnsi" w:hAnsiTheme="minorHAnsi" w:cstheme="minorHAnsi"/>
          <w:b/>
        </w:rPr>
        <w:t>Status</w:t>
      </w:r>
      <w:r w:rsidRPr="00E70500">
        <w:rPr>
          <w:rFonts w:asciiTheme="minorHAnsi" w:hAnsiTheme="minorHAnsi" w:cstheme="minorHAnsi"/>
          <w:bCs/>
        </w:rPr>
        <w:t xml:space="preserve">: </w:t>
      </w:r>
      <w:r w:rsidRPr="00E70500">
        <w:rPr>
          <w:rFonts w:asciiTheme="minorHAnsi" w:hAnsiTheme="minorHAnsi" w:cstheme="minorHAnsi"/>
        </w:rPr>
        <w:t xml:space="preserve">A case file review is necessary to gather the facts needed to evaluate performance in relation to this observation. </w:t>
      </w:r>
      <w:r w:rsidR="00785215">
        <w:rPr>
          <w:rFonts w:asciiTheme="minorHAnsi" w:hAnsiTheme="minorHAnsi" w:cstheme="minorHAnsi"/>
        </w:rPr>
        <w:t xml:space="preserve"> </w:t>
      </w:r>
      <w:r w:rsidRPr="00E70500">
        <w:rPr>
          <w:rFonts w:asciiTheme="minorHAnsi" w:hAnsiTheme="minorHAnsi" w:cstheme="minorHAnsi"/>
        </w:rPr>
        <w:t xml:space="preserve">This observation will be a focus of next year’s on-site case file review during the FY 2023 </w:t>
      </w:r>
      <w:r w:rsidR="00E70500" w:rsidRPr="00E70500">
        <w:rPr>
          <w:rFonts w:asciiTheme="minorHAnsi" w:hAnsiTheme="minorHAnsi" w:cstheme="minorHAnsi"/>
        </w:rPr>
        <w:t>C</w:t>
      </w:r>
      <w:r w:rsidRPr="00E70500">
        <w:rPr>
          <w:rFonts w:asciiTheme="minorHAnsi" w:hAnsiTheme="minorHAnsi" w:cstheme="minorHAnsi"/>
        </w:rPr>
        <w:t>omprehensive FAME.</w:t>
      </w:r>
      <w:r w:rsidRPr="00E70500">
        <w:rPr>
          <w:rFonts w:asciiTheme="minorHAnsi" w:hAnsiTheme="minorHAnsi" w:cstheme="minorHAnsi"/>
          <w:b/>
        </w:rPr>
        <w:t xml:space="preserve"> </w:t>
      </w:r>
      <w:r w:rsidR="0062673E">
        <w:rPr>
          <w:rFonts w:asciiTheme="minorHAnsi" w:hAnsiTheme="minorHAnsi" w:cstheme="minorHAnsi"/>
          <w:b/>
        </w:rPr>
        <w:t xml:space="preserve"> </w:t>
      </w:r>
      <w:r w:rsidRPr="00E70500">
        <w:rPr>
          <w:rFonts w:asciiTheme="minorHAnsi" w:hAnsiTheme="minorHAnsi" w:cstheme="minorHAnsi"/>
        </w:rPr>
        <w:t>This observation will be continued.</w:t>
      </w:r>
    </w:p>
    <w:p w14:paraId="5F84E0D6" w14:textId="77777777" w:rsidR="009C1C5E" w:rsidRPr="00E70500" w:rsidRDefault="009C1C5E" w:rsidP="009C1C5E">
      <w:pPr>
        <w:pStyle w:val="Default"/>
        <w:rPr>
          <w:rFonts w:asciiTheme="minorHAnsi" w:hAnsiTheme="minorHAnsi" w:cstheme="minorHAnsi"/>
        </w:rPr>
      </w:pPr>
    </w:p>
    <w:p w14:paraId="0F938787" w14:textId="77777777" w:rsidR="00F24010" w:rsidRDefault="00F24010" w:rsidP="00783189">
      <w:pPr>
        <w:widowControl/>
        <w:autoSpaceDE/>
        <w:autoSpaceDN/>
        <w:adjustRightInd/>
        <w:rPr>
          <w:rFonts w:asciiTheme="minorHAnsi" w:hAnsiTheme="minorHAnsi" w:cstheme="minorHAnsi"/>
          <w:b/>
          <w:bCs/>
          <w:u w:val="single"/>
        </w:rPr>
      </w:pPr>
    </w:p>
    <w:p w14:paraId="3B828F9D" w14:textId="4C8D3CC8" w:rsidR="00F132A8" w:rsidRDefault="00F132A8" w:rsidP="00795447">
      <w:pPr>
        <w:pStyle w:val="Heading3"/>
      </w:pPr>
      <w:bookmarkStart w:id="20" w:name="_Toc118900177"/>
      <w:bookmarkStart w:id="21" w:name="_Toc118905016"/>
      <w:bookmarkStart w:id="22" w:name="_Toc119418668"/>
      <w:r w:rsidRPr="00E70500">
        <w:t>State Activity Mandated Measures (SAMM)</w:t>
      </w:r>
      <w:r w:rsidR="00A243D6" w:rsidRPr="00E70500">
        <w:t xml:space="preserve"> Highlights</w:t>
      </w:r>
      <w:bookmarkEnd w:id="20"/>
      <w:bookmarkEnd w:id="21"/>
      <w:bookmarkEnd w:id="22"/>
    </w:p>
    <w:p w14:paraId="6161A83C" w14:textId="7A7FEEFE" w:rsidR="00BC1CE0" w:rsidRDefault="00BC1CE0" w:rsidP="00BC1CE0"/>
    <w:p w14:paraId="27B7DEFD" w14:textId="2A391462" w:rsidR="00BC1CE0" w:rsidRDefault="00BC1CE0" w:rsidP="00BC1CE0">
      <w:pPr>
        <w:widowControl/>
        <w:autoSpaceDE/>
        <w:adjustRightInd/>
        <w:rPr>
          <w:rFonts w:cs="Calibri"/>
        </w:rPr>
      </w:pPr>
      <w:r w:rsidRPr="001C1E47">
        <w:rPr>
          <w:rFonts w:cs="Calibri"/>
        </w:rPr>
        <w:t xml:space="preserve">Each SAMM has an agreed upon </w:t>
      </w:r>
      <w:r w:rsidR="00CD35DD" w:rsidRPr="005C2C49">
        <w:rPr>
          <w:rFonts w:cs="Calibri"/>
        </w:rPr>
        <w:t>further review level</w:t>
      </w:r>
      <w:r w:rsidR="00CD35DD">
        <w:rPr>
          <w:rFonts w:cs="Calibri"/>
        </w:rPr>
        <w:t xml:space="preserve"> (</w:t>
      </w:r>
      <w:r w:rsidRPr="001C1E47">
        <w:rPr>
          <w:rFonts w:cs="Calibri"/>
        </w:rPr>
        <w:t>FRL</w:t>
      </w:r>
      <w:r w:rsidR="00CD35DD">
        <w:rPr>
          <w:rFonts w:cs="Calibri"/>
        </w:rPr>
        <w:t>)</w:t>
      </w:r>
      <w:r w:rsidRPr="001C1E47">
        <w:rPr>
          <w:rFonts w:cs="Calibri"/>
        </w:rPr>
        <w:t xml:space="preserve"> which can be either a single number or a range of numbers above and below the national average.  State Plan SAMM data that falls outside the FRL triggers a closer look at the underlying performance of the mandatory activity.  Appendix D presents the State Plan’s FY 20</w:t>
      </w:r>
      <w:r>
        <w:rPr>
          <w:rFonts w:cs="Calibri"/>
        </w:rPr>
        <w:t>22</w:t>
      </w:r>
      <w:r w:rsidRPr="001C1E47">
        <w:rPr>
          <w:rFonts w:cs="Calibri"/>
        </w:rPr>
        <w:t xml:space="preserve"> SAMM Report and includes the FRL for each measure. </w:t>
      </w:r>
      <w:r w:rsidR="00762E03">
        <w:rPr>
          <w:rFonts w:cs="Calibri"/>
        </w:rPr>
        <w:t xml:space="preserve"> </w:t>
      </w:r>
    </w:p>
    <w:p w14:paraId="2AB8E85B" w14:textId="77777777" w:rsidR="00A833DF" w:rsidRDefault="00A833DF" w:rsidP="0077490C">
      <w:pPr>
        <w:widowControl/>
        <w:autoSpaceDE/>
        <w:adjustRightInd/>
        <w:rPr>
          <w:rFonts w:cs="Calibri"/>
        </w:rPr>
      </w:pPr>
    </w:p>
    <w:p w14:paraId="28037BF3" w14:textId="409B2C1B" w:rsidR="0077490C" w:rsidRDefault="0077490C" w:rsidP="0077490C">
      <w:pPr>
        <w:widowControl/>
        <w:autoSpaceDE/>
        <w:adjustRightInd/>
        <w:rPr>
          <w:rFonts w:cs="Calibri"/>
        </w:rPr>
      </w:pPr>
      <w:r w:rsidRPr="00DB278E">
        <w:rPr>
          <w:rFonts w:cs="Calibri"/>
        </w:rPr>
        <w:t xml:space="preserve">OSHA is in the final stages of transitioning from the Whistleblower Application in the OSHA IT Support System (OITSS), a legacy data system, to the Whistleblower </w:t>
      </w:r>
      <w:r w:rsidR="00B72FE0">
        <w:rPr>
          <w:rFonts w:cs="Calibri"/>
        </w:rPr>
        <w:t>M</w:t>
      </w:r>
      <w:r w:rsidRPr="00DB278E">
        <w:rPr>
          <w:rFonts w:cs="Calibri"/>
        </w:rPr>
        <w:t xml:space="preserve">odule in </w:t>
      </w:r>
      <w:r w:rsidR="00730453">
        <w:rPr>
          <w:rFonts w:cs="Calibri"/>
        </w:rPr>
        <w:t>the OSHA Information System (</w:t>
      </w:r>
      <w:r w:rsidRPr="00DB278E">
        <w:rPr>
          <w:rFonts w:cs="Calibri"/>
        </w:rPr>
        <w:t>OIS</w:t>
      </w:r>
      <w:r w:rsidR="00730453">
        <w:rPr>
          <w:rFonts w:cs="Calibri"/>
        </w:rPr>
        <w:t>)</w:t>
      </w:r>
      <w:r w:rsidRPr="00DB278E">
        <w:rPr>
          <w:rFonts w:cs="Calibri"/>
        </w:rPr>
        <w:t xml:space="preserve">, a modern data system.  For FY 2022, a portion of the State Plan whistleblower data was recorded </w:t>
      </w:r>
      <w:r w:rsidR="00A833DF">
        <w:rPr>
          <w:rFonts w:cs="Calibri"/>
        </w:rPr>
        <w:t xml:space="preserve">in </w:t>
      </w:r>
      <w:r w:rsidRPr="00DB278E">
        <w:rPr>
          <w:rFonts w:cs="Calibri"/>
        </w:rPr>
        <w:t>OITSS, and a portion was captured in OIS.  OSHA encountered challenges in combining the report that generates SAMM</w:t>
      </w:r>
      <w:r w:rsidR="005069EB">
        <w:rPr>
          <w:rFonts w:cs="Calibri"/>
        </w:rPr>
        <w:t>s</w:t>
      </w:r>
      <w:r w:rsidRPr="00DB278E">
        <w:rPr>
          <w:rFonts w:cs="Calibri"/>
        </w:rPr>
        <w:t xml:space="preserve"> 14, 15, and 16 from both systems.  As such, OSHA will not be relying on SAMMs 14, 15, or 16 in </w:t>
      </w:r>
      <w:r w:rsidR="00F854DE">
        <w:rPr>
          <w:rFonts w:cs="Calibri"/>
        </w:rPr>
        <w:t xml:space="preserve">its </w:t>
      </w:r>
      <w:r w:rsidRPr="00DB278E">
        <w:rPr>
          <w:rFonts w:cs="Calibri"/>
        </w:rPr>
        <w:t>evaluation of the State Plans</w:t>
      </w:r>
      <w:r w:rsidR="00594566">
        <w:rPr>
          <w:rFonts w:cs="Calibri"/>
        </w:rPr>
        <w:t>’</w:t>
      </w:r>
      <w:r w:rsidRPr="00DB278E">
        <w:rPr>
          <w:rFonts w:cs="Calibri"/>
        </w:rPr>
        <w:t xml:space="preserve"> whistleblower programs for FY 2022.</w:t>
      </w:r>
    </w:p>
    <w:p w14:paraId="10906C93" w14:textId="0FA201AC" w:rsidR="00A833DF" w:rsidRDefault="00A833DF" w:rsidP="0077490C">
      <w:pPr>
        <w:widowControl/>
        <w:autoSpaceDE/>
        <w:adjustRightInd/>
        <w:rPr>
          <w:rFonts w:cs="Calibri"/>
        </w:rPr>
      </w:pPr>
    </w:p>
    <w:p w14:paraId="5526D4C9" w14:textId="4DBE10CA" w:rsidR="00A833DF" w:rsidRPr="00DB278E" w:rsidRDefault="00A833DF" w:rsidP="0077490C">
      <w:pPr>
        <w:widowControl/>
        <w:autoSpaceDE/>
        <w:adjustRightInd/>
        <w:rPr>
          <w:rFonts w:cs="Calibri"/>
        </w:rPr>
      </w:pPr>
      <w:r w:rsidRPr="001C1E47">
        <w:rPr>
          <w:rFonts w:cs="Calibri"/>
        </w:rPr>
        <w:t>The State Plan was outside the FRL on the following SAMMs:</w:t>
      </w:r>
    </w:p>
    <w:p w14:paraId="01229D91" w14:textId="77777777" w:rsidR="0077490C" w:rsidRPr="001C1E47" w:rsidRDefault="0077490C" w:rsidP="00BC1CE0">
      <w:pPr>
        <w:widowControl/>
        <w:autoSpaceDE/>
        <w:adjustRightInd/>
        <w:rPr>
          <w:rFonts w:cs="Calibri"/>
        </w:rPr>
      </w:pPr>
    </w:p>
    <w:p w14:paraId="3751ADB1" w14:textId="77777777" w:rsidR="00904CCA" w:rsidRPr="00E70500" w:rsidRDefault="00904CCA" w:rsidP="00904CCA">
      <w:pPr>
        <w:widowControl/>
        <w:rPr>
          <w:rFonts w:asciiTheme="minorHAnsi" w:hAnsiTheme="minorHAnsi" w:cstheme="minorHAnsi"/>
          <w:color w:val="000000"/>
        </w:rPr>
      </w:pPr>
      <w:r w:rsidRPr="00E70500">
        <w:rPr>
          <w:rFonts w:asciiTheme="minorHAnsi" w:hAnsiTheme="minorHAnsi" w:cstheme="minorHAnsi"/>
          <w:b/>
          <w:bCs/>
          <w:color w:val="000000"/>
        </w:rPr>
        <w:t xml:space="preserve">SAMM 1a - Average number of </w:t>
      </w:r>
      <w:proofErr w:type="gramStart"/>
      <w:r w:rsidRPr="00E70500">
        <w:rPr>
          <w:rFonts w:asciiTheme="minorHAnsi" w:hAnsiTheme="minorHAnsi" w:cstheme="minorHAnsi"/>
          <w:b/>
          <w:bCs/>
          <w:color w:val="000000"/>
        </w:rPr>
        <w:t>work days</w:t>
      </w:r>
      <w:proofErr w:type="gramEnd"/>
      <w:r w:rsidRPr="00E70500">
        <w:rPr>
          <w:rFonts w:asciiTheme="minorHAnsi" w:hAnsiTheme="minorHAnsi" w:cstheme="minorHAnsi"/>
          <w:b/>
          <w:bCs/>
          <w:color w:val="000000"/>
        </w:rPr>
        <w:t xml:space="preserve"> to initiate complaint inspections (state formula) </w:t>
      </w:r>
    </w:p>
    <w:p w14:paraId="538129DB" w14:textId="77777777" w:rsidR="00904CCA" w:rsidRPr="00E70500" w:rsidRDefault="00904CCA" w:rsidP="00904CCA">
      <w:pPr>
        <w:widowControl/>
        <w:rPr>
          <w:rFonts w:asciiTheme="minorHAnsi" w:hAnsiTheme="minorHAnsi" w:cstheme="minorHAnsi"/>
          <w:color w:val="000000"/>
        </w:rPr>
      </w:pPr>
      <w:r w:rsidRPr="00E70500">
        <w:rPr>
          <w:rFonts w:asciiTheme="minorHAnsi" w:hAnsiTheme="minorHAnsi" w:cstheme="minorHAnsi"/>
          <w:color w:val="000000"/>
        </w:rPr>
        <w:tab/>
      </w:r>
    </w:p>
    <w:p w14:paraId="1D2F8623" w14:textId="53904989" w:rsidR="00904CCA" w:rsidRPr="00E70500" w:rsidRDefault="00904CCA" w:rsidP="00904CCA">
      <w:pPr>
        <w:widowControl/>
        <w:rPr>
          <w:rFonts w:asciiTheme="minorHAnsi" w:hAnsiTheme="minorHAnsi" w:cstheme="minorHAnsi"/>
          <w:color w:val="000000"/>
        </w:rPr>
      </w:pPr>
      <w:r w:rsidRPr="00CD307F">
        <w:rPr>
          <w:rFonts w:asciiTheme="minorHAnsi" w:hAnsiTheme="minorHAnsi" w:cstheme="minorHAnsi"/>
          <w:b/>
          <w:bCs/>
          <w:color w:val="000000"/>
        </w:rPr>
        <w:t xml:space="preserve">Discussion of State Plan </w:t>
      </w:r>
      <w:r w:rsidR="00FA6B84" w:rsidRPr="00CD307F">
        <w:rPr>
          <w:rFonts w:asciiTheme="minorHAnsi" w:hAnsiTheme="minorHAnsi" w:cstheme="minorHAnsi"/>
          <w:b/>
          <w:bCs/>
          <w:color w:val="000000"/>
        </w:rPr>
        <w:t>D</w:t>
      </w:r>
      <w:r w:rsidRPr="00CD307F">
        <w:rPr>
          <w:rFonts w:asciiTheme="minorHAnsi" w:hAnsiTheme="minorHAnsi" w:cstheme="minorHAnsi"/>
          <w:b/>
          <w:bCs/>
          <w:color w:val="000000"/>
        </w:rPr>
        <w:t>ata and FRL:</w:t>
      </w:r>
      <w:r w:rsidRPr="00E70500">
        <w:rPr>
          <w:rFonts w:asciiTheme="minorHAnsi" w:hAnsiTheme="minorHAnsi" w:cstheme="minorHAnsi"/>
          <w:color w:val="000000"/>
        </w:rPr>
        <w:t xml:space="preserve"> The negotiated FRL for this measure is five </w:t>
      </w:r>
      <w:proofErr w:type="gramStart"/>
      <w:r w:rsidRPr="00E70500">
        <w:rPr>
          <w:rFonts w:asciiTheme="minorHAnsi" w:hAnsiTheme="minorHAnsi" w:cstheme="minorHAnsi"/>
          <w:color w:val="000000"/>
        </w:rPr>
        <w:t>work days</w:t>
      </w:r>
      <w:proofErr w:type="gramEnd"/>
      <w:r w:rsidRPr="00E70500">
        <w:rPr>
          <w:rFonts w:asciiTheme="minorHAnsi" w:hAnsiTheme="minorHAnsi" w:cstheme="minorHAnsi"/>
          <w:color w:val="000000"/>
        </w:rPr>
        <w:t xml:space="preserve">. VOSHA’s FY 2022 average was 3.79 </w:t>
      </w:r>
      <w:proofErr w:type="gramStart"/>
      <w:r w:rsidRPr="00E70500">
        <w:rPr>
          <w:rFonts w:asciiTheme="minorHAnsi" w:hAnsiTheme="minorHAnsi" w:cstheme="minorHAnsi"/>
          <w:color w:val="000000"/>
        </w:rPr>
        <w:t>work days</w:t>
      </w:r>
      <w:proofErr w:type="gramEnd"/>
      <w:r w:rsidRPr="00E70500">
        <w:rPr>
          <w:rFonts w:asciiTheme="minorHAnsi" w:hAnsiTheme="minorHAnsi" w:cstheme="minorHAnsi"/>
          <w:color w:val="000000"/>
        </w:rPr>
        <w:t xml:space="preserve">. </w:t>
      </w:r>
      <w:r w:rsidR="00B72FE0">
        <w:rPr>
          <w:rFonts w:asciiTheme="minorHAnsi" w:hAnsiTheme="minorHAnsi" w:cstheme="minorHAnsi"/>
          <w:color w:val="000000"/>
        </w:rPr>
        <w:t xml:space="preserve"> This was a positive result.</w:t>
      </w:r>
    </w:p>
    <w:p w14:paraId="43399C72" w14:textId="77777777" w:rsidR="00904CCA" w:rsidRPr="00E70500" w:rsidRDefault="00904CCA" w:rsidP="00904CCA">
      <w:pPr>
        <w:widowControl/>
        <w:rPr>
          <w:rFonts w:asciiTheme="minorHAnsi" w:hAnsiTheme="minorHAnsi" w:cstheme="minorHAnsi"/>
          <w:color w:val="000000"/>
        </w:rPr>
      </w:pPr>
    </w:p>
    <w:p w14:paraId="14338FF1" w14:textId="409A9203" w:rsidR="00904CCA" w:rsidRDefault="00904CCA" w:rsidP="00904CCA">
      <w:pPr>
        <w:widowControl/>
        <w:rPr>
          <w:rFonts w:asciiTheme="minorHAnsi" w:hAnsiTheme="minorHAnsi" w:cstheme="minorHAnsi"/>
          <w:color w:val="000000"/>
        </w:rPr>
      </w:pPr>
      <w:r w:rsidRPr="00CD307F">
        <w:rPr>
          <w:rFonts w:asciiTheme="minorHAnsi" w:hAnsiTheme="minorHAnsi" w:cstheme="minorHAnsi"/>
          <w:b/>
          <w:bCs/>
          <w:color w:val="000000"/>
        </w:rPr>
        <w:lastRenderedPageBreak/>
        <w:t>Explanation:</w:t>
      </w:r>
      <w:r w:rsidRPr="00E70500">
        <w:rPr>
          <w:rFonts w:asciiTheme="minorHAnsi" w:hAnsiTheme="minorHAnsi" w:cstheme="minorHAnsi"/>
          <w:color w:val="000000"/>
        </w:rPr>
        <w:t xml:space="preserve"> VOSHA met the FRL in FY 2022.</w:t>
      </w:r>
    </w:p>
    <w:p w14:paraId="04E062C5" w14:textId="55FE090C" w:rsidR="00CE4F0A" w:rsidRDefault="00CE4F0A" w:rsidP="00904CCA">
      <w:pPr>
        <w:widowControl/>
        <w:rPr>
          <w:rFonts w:asciiTheme="minorHAnsi" w:hAnsiTheme="minorHAnsi" w:cstheme="minorHAnsi"/>
          <w:color w:val="000000"/>
        </w:rPr>
      </w:pPr>
    </w:p>
    <w:p w14:paraId="0DAE06ED" w14:textId="77777777" w:rsidR="00CE4F0A" w:rsidRPr="00E70500" w:rsidRDefault="00CE4F0A" w:rsidP="00904CCA">
      <w:pPr>
        <w:widowControl/>
        <w:rPr>
          <w:rFonts w:asciiTheme="minorHAnsi" w:hAnsiTheme="minorHAnsi" w:cstheme="minorHAnsi"/>
          <w:color w:val="000000"/>
        </w:rPr>
      </w:pPr>
    </w:p>
    <w:p w14:paraId="5EBBEE2E" w14:textId="77777777" w:rsidR="00922B55" w:rsidRPr="00E70500" w:rsidRDefault="00922B55" w:rsidP="00922B55">
      <w:pPr>
        <w:widowControl/>
        <w:rPr>
          <w:rFonts w:asciiTheme="minorHAnsi" w:hAnsiTheme="minorHAnsi" w:cstheme="minorHAnsi"/>
          <w:b/>
          <w:bCs/>
          <w:color w:val="000000"/>
        </w:rPr>
      </w:pPr>
      <w:r w:rsidRPr="00E70500">
        <w:rPr>
          <w:rFonts w:asciiTheme="minorHAnsi" w:hAnsiTheme="minorHAnsi" w:cstheme="minorHAnsi"/>
          <w:b/>
          <w:bCs/>
          <w:color w:val="000000"/>
        </w:rPr>
        <w:t xml:space="preserve">SAMM 5 - Average number of violations per inspection with violations by violation type </w:t>
      </w:r>
    </w:p>
    <w:p w14:paraId="6AAD3B37" w14:textId="77777777" w:rsidR="00922B55" w:rsidRPr="00E70500" w:rsidRDefault="00922B55" w:rsidP="00922B55">
      <w:pPr>
        <w:widowControl/>
        <w:rPr>
          <w:rFonts w:asciiTheme="minorHAnsi" w:hAnsiTheme="minorHAnsi" w:cstheme="minorHAnsi"/>
          <w:color w:val="000000"/>
        </w:rPr>
      </w:pPr>
    </w:p>
    <w:p w14:paraId="12C5AB63" w14:textId="0CAFB572" w:rsidR="00922B55" w:rsidRPr="00E70500" w:rsidRDefault="00922B55" w:rsidP="00922B55">
      <w:pPr>
        <w:widowControl/>
        <w:rPr>
          <w:rFonts w:asciiTheme="minorHAnsi" w:hAnsiTheme="minorHAnsi" w:cstheme="minorHAnsi"/>
          <w:color w:val="000000"/>
        </w:rPr>
      </w:pPr>
      <w:r w:rsidRPr="00556C4D">
        <w:rPr>
          <w:rFonts w:asciiTheme="minorHAnsi" w:hAnsiTheme="minorHAnsi" w:cstheme="minorHAnsi"/>
          <w:b/>
          <w:bCs/>
          <w:color w:val="000000"/>
        </w:rPr>
        <w:t xml:space="preserve">Discussion of State Plan </w:t>
      </w:r>
      <w:r w:rsidR="00FA6B84" w:rsidRPr="00556C4D">
        <w:rPr>
          <w:rFonts w:asciiTheme="minorHAnsi" w:hAnsiTheme="minorHAnsi" w:cstheme="minorHAnsi"/>
          <w:b/>
          <w:bCs/>
          <w:color w:val="000000"/>
        </w:rPr>
        <w:t>D</w:t>
      </w:r>
      <w:r w:rsidRPr="00556C4D">
        <w:rPr>
          <w:rFonts w:asciiTheme="minorHAnsi" w:hAnsiTheme="minorHAnsi" w:cstheme="minorHAnsi"/>
          <w:b/>
          <w:bCs/>
          <w:color w:val="000000"/>
        </w:rPr>
        <w:t>ata and FRL:</w:t>
      </w:r>
      <w:r w:rsidRPr="00E70500">
        <w:rPr>
          <w:rFonts w:asciiTheme="minorHAnsi" w:hAnsiTheme="minorHAnsi" w:cstheme="minorHAnsi"/>
          <w:color w:val="000000"/>
        </w:rPr>
        <w:t xml:space="preserve"> The FRL is based on a three-year national average. VOSHA’s FY 2022 average of 1.8</w:t>
      </w:r>
      <w:r w:rsidR="009C45BB" w:rsidRPr="00E70500">
        <w:rPr>
          <w:rFonts w:asciiTheme="minorHAnsi" w:hAnsiTheme="minorHAnsi" w:cstheme="minorHAnsi"/>
          <w:color w:val="000000"/>
        </w:rPr>
        <w:t>8</w:t>
      </w:r>
      <w:r w:rsidRPr="00E70500">
        <w:rPr>
          <w:rFonts w:asciiTheme="minorHAnsi" w:hAnsiTheme="minorHAnsi" w:cstheme="minorHAnsi"/>
          <w:color w:val="000000"/>
        </w:rPr>
        <w:t xml:space="preserve"> was within the FRL range of </w:t>
      </w:r>
      <w:r w:rsidR="00FD6207" w:rsidRPr="00E70500">
        <w:rPr>
          <w:rFonts w:asciiTheme="minorHAnsi" w:eastAsia="PMingLiU" w:hAnsiTheme="minorHAnsi" w:cstheme="minorHAnsi"/>
        </w:rPr>
        <w:t xml:space="preserve">1.42 to 2.12 </w:t>
      </w:r>
      <w:r w:rsidRPr="00E70500">
        <w:rPr>
          <w:rFonts w:asciiTheme="minorHAnsi" w:hAnsiTheme="minorHAnsi" w:cstheme="minorHAnsi"/>
          <w:color w:val="000000"/>
        </w:rPr>
        <w:t>for serious, willful, repeat, or unclassified (SWRU) violations.  For other-than-serious (OTS) violations, the State Plan’s average of 0.</w:t>
      </w:r>
      <w:r w:rsidR="00960345" w:rsidRPr="00E70500">
        <w:rPr>
          <w:rFonts w:asciiTheme="minorHAnsi" w:hAnsiTheme="minorHAnsi" w:cstheme="minorHAnsi"/>
          <w:color w:val="000000"/>
        </w:rPr>
        <w:t>38</w:t>
      </w:r>
      <w:r w:rsidRPr="00E70500">
        <w:rPr>
          <w:rFonts w:asciiTheme="minorHAnsi" w:hAnsiTheme="minorHAnsi" w:cstheme="minorHAnsi"/>
          <w:color w:val="000000"/>
        </w:rPr>
        <w:t xml:space="preserve"> was outside (below) the FRL range of</w:t>
      </w:r>
      <w:r w:rsidR="00960345" w:rsidRPr="00E70500">
        <w:rPr>
          <w:rFonts w:asciiTheme="minorHAnsi" w:hAnsiTheme="minorHAnsi" w:cstheme="minorHAnsi"/>
          <w:color w:val="000000"/>
        </w:rPr>
        <w:t xml:space="preserve"> </w:t>
      </w:r>
      <w:r w:rsidR="00960345" w:rsidRPr="00E70500">
        <w:rPr>
          <w:rFonts w:asciiTheme="minorHAnsi" w:eastAsia="PMingLiU" w:hAnsiTheme="minorHAnsi" w:cstheme="minorHAnsi"/>
        </w:rPr>
        <w:t>0.72 to 1.08.</w:t>
      </w:r>
    </w:p>
    <w:p w14:paraId="444CB8DA" w14:textId="77777777" w:rsidR="00922B55" w:rsidRPr="00E70500" w:rsidRDefault="00922B55" w:rsidP="00922B55">
      <w:pPr>
        <w:widowControl/>
        <w:rPr>
          <w:rFonts w:asciiTheme="minorHAnsi" w:hAnsiTheme="minorHAnsi" w:cstheme="minorHAnsi"/>
          <w:color w:val="000000"/>
        </w:rPr>
      </w:pPr>
    </w:p>
    <w:p w14:paraId="4E5C4C66" w14:textId="50F4EA9C" w:rsidR="00922B55" w:rsidRPr="00E70500" w:rsidRDefault="00922B55" w:rsidP="00922B55">
      <w:pPr>
        <w:widowControl/>
        <w:rPr>
          <w:rFonts w:asciiTheme="minorHAnsi" w:hAnsiTheme="minorHAnsi" w:cstheme="minorHAnsi"/>
          <w:color w:val="000000"/>
        </w:rPr>
      </w:pPr>
      <w:r w:rsidRPr="00556C4D">
        <w:rPr>
          <w:rFonts w:asciiTheme="minorHAnsi" w:hAnsiTheme="minorHAnsi" w:cstheme="minorHAnsi"/>
          <w:b/>
          <w:bCs/>
          <w:color w:val="000000"/>
        </w:rPr>
        <w:t>Explanation:</w:t>
      </w:r>
      <w:r w:rsidRPr="00E70500">
        <w:rPr>
          <w:rFonts w:asciiTheme="minorHAnsi" w:hAnsiTheme="minorHAnsi" w:cstheme="minorHAnsi"/>
          <w:color w:val="000000"/>
        </w:rPr>
        <w:t xml:space="preserve"> OSHA would be concerned if the State Plan had a high average for OTS violations and a correspondingly low average for SWRU violations; this could indicate that the State Plan was not targeting high-hazard employers and/or tended to classify some serious violations as OTS violations.  For VOSHA, this was not the case.  Therefore, OSHA is not concerned that VOSHA’s result for OTS violations was outside (below) the FRL range. </w:t>
      </w:r>
    </w:p>
    <w:p w14:paraId="4C65E5F1" w14:textId="698C0C78" w:rsidR="00F458D3" w:rsidRDefault="00F458D3" w:rsidP="00922B55">
      <w:pPr>
        <w:widowControl/>
        <w:rPr>
          <w:rFonts w:asciiTheme="minorHAnsi" w:hAnsiTheme="minorHAnsi" w:cstheme="minorHAnsi"/>
          <w:color w:val="000000"/>
        </w:rPr>
      </w:pPr>
    </w:p>
    <w:p w14:paraId="3CC75998" w14:textId="77777777" w:rsidR="0063737B" w:rsidRPr="00E70500" w:rsidRDefault="0063737B" w:rsidP="00922B55">
      <w:pPr>
        <w:widowControl/>
        <w:rPr>
          <w:rFonts w:asciiTheme="minorHAnsi" w:hAnsiTheme="minorHAnsi" w:cstheme="minorHAnsi"/>
          <w:color w:val="000000"/>
        </w:rPr>
      </w:pPr>
    </w:p>
    <w:p w14:paraId="236A5182" w14:textId="77777777" w:rsidR="00190BDA" w:rsidRPr="00E70500" w:rsidRDefault="00190BDA" w:rsidP="00190BDA">
      <w:pPr>
        <w:pStyle w:val="Default"/>
        <w:rPr>
          <w:rFonts w:asciiTheme="minorHAnsi" w:hAnsiTheme="minorHAnsi" w:cstheme="minorHAnsi"/>
          <w:b/>
          <w:bCs/>
        </w:rPr>
      </w:pPr>
      <w:r w:rsidRPr="00E70500">
        <w:rPr>
          <w:rFonts w:asciiTheme="minorHAnsi" w:hAnsiTheme="minorHAnsi" w:cstheme="minorHAnsi"/>
          <w:b/>
          <w:bCs/>
        </w:rPr>
        <w:t xml:space="preserve">SAMM 6 - Percent of total inspections in state and local government workplaces </w:t>
      </w:r>
    </w:p>
    <w:p w14:paraId="40C59F4D" w14:textId="77777777" w:rsidR="00190BDA" w:rsidRPr="00E70500" w:rsidRDefault="00190BDA" w:rsidP="00190BDA">
      <w:pPr>
        <w:pStyle w:val="Default"/>
        <w:rPr>
          <w:rFonts w:asciiTheme="minorHAnsi" w:hAnsiTheme="minorHAnsi" w:cstheme="minorHAnsi"/>
        </w:rPr>
      </w:pPr>
    </w:p>
    <w:p w14:paraId="787D13DA" w14:textId="53D3F4FC" w:rsidR="00190BDA" w:rsidRDefault="00190BDA" w:rsidP="00190BDA">
      <w:pPr>
        <w:pStyle w:val="Default"/>
        <w:rPr>
          <w:rFonts w:asciiTheme="minorHAnsi" w:hAnsiTheme="minorHAnsi" w:cstheme="minorHAnsi"/>
        </w:rPr>
      </w:pPr>
      <w:r w:rsidRPr="00556C4D">
        <w:rPr>
          <w:rFonts w:asciiTheme="minorHAnsi" w:hAnsiTheme="minorHAnsi" w:cstheme="minorHAnsi"/>
          <w:b/>
          <w:bCs/>
        </w:rPr>
        <w:t xml:space="preserve">Discussion of State Plan </w:t>
      </w:r>
      <w:r w:rsidR="00FA6B84" w:rsidRPr="00556C4D">
        <w:rPr>
          <w:rFonts w:asciiTheme="minorHAnsi" w:hAnsiTheme="minorHAnsi" w:cstheme="minorHAnsi"/>
          <w:b/>
          <w:bCs/>
        </w:rPr>
        <w:t>D</w:t>
      </w:r>
      <w:r w:rsidRPr="00556C4D">
        <w:rPr>
          <w:rFonts w:asciiTheme="minorHAnsi" w:hAnsiTheme="minorHAnsi" w:cstheme="minorHAnsi"/>
          <w:b/>
          <w:bCs/>
        </w:rPr>
        <w:t>ata and FRL:</w:t>
      </w:r>
      <w:r w:rsidRPr="00E70500">
        <w:rPr>
          <w:rFonts w:asciiTheme="minorHAnsi" w:hAnsiTheme="minorHAnsi" w:cstheme="minorHAnsi"/>
        </w:rPr>
        <w:t xml:space="preserve"> The FRL is based on a number negotiated by OSHA and the State Plan through the grant application.  In FY 2022, the FRL range was from</w:t>
      </w:r>
      <w:r w:rsidR="00F24086" w:rsidRPr="00E70500">
        <w:rPr>
          <w:rFonts w:asciiTheme="minorHAnsi" w:hAnsiTheme="minorHAnsi" w:cstheme="minorHAnsi"/>
        </w:rPr>
        <w:t xml:space="preserve"> </w:t>
      </w:r>
      <w:r w:rsidR="00F24086" w:rsidRPr="00E70500">
        <w:rPr>
          <w:rFonts w:asciiTheme="minorHAnsi" w:eastAsia="PMingLiU" w:hAnsiTheme="minorHAnsi" w:cstheme="minorHAnsi"/>
        </w:rPr>
        <w:t>7.76</w:t>
      </w:r>
      <w:r w:rsidR="005C5A8A">
        <w:rPr>
          <w:rFonts w:asciiTheme="minorHAnsi" w:eastAsia="PMingLiU" w:hAnsiTheme="minorHAnsi" w:cstheme="minorHAnsi"/>
        </w:rPr>
        <w:t xml:space="preserve"> percent</w:t>
      </w:r>
      <w:r w:rsidR="00F24086" w:rsidRPr="00E70500">
        <w:rPr>
          <w:rFonts w:asciiTheme="minorHAnsi" w:eastAsia="PMingLiU" w:hAnsiTheme="minorHAnsi" w:cstheme="minorHAnsi"/>
        </w:rPr>
        <w:t xml:space="preserve"> to 8.57</w:t>
      </w:r>
      <w:r w:rsidR="005C5A8A">
        <w:rPr>
          <w:rFonts w:asciiTheme="minorHAnsi" w:eastAsia="PMingLiU" w:hAnsiTheme="minorHAnsi" w:cstheme="minorHAnsi"/>
        </w:rPr>
        <w:t xml:space="preserve"> percent</w:t>
      </w:r>
      <w:r w:rsidR="00D4714F">
        <w:rPr>
          <w:rFonts w:asciiTheme="minorHAnsi" w:eastAsia="PMingLiU" w:hAnsiTheme="minorHAnsi" w:cstheme="minorHAnsi"/>
        </w:rPr>
        <w:t>.</w:t>
      </w:r>
      <w:r w:rsidR="00CE10C2" w:rsidRPr="00E70500">
        <w:rPr>
          <w:rFonts w:asciiTheme="minorHAnsi" w:hAnsiTheme="minorHAnsi" w:cstheme="minorHAnsi"/>
        </w:rPr>
        <w:t xml:space="preserve">  </w:t>
      </w:r>
      <w:r w:rsidRPr="00E70500">
        <w:rPr>
          <w:rFonts w:asciiTheme="minorHAnsi" w:hAnsiTheme="minorHAnsi" w:cstheme="minorHAnsi"/>
        </w:rPr>
        <w:t xml:space="preserve">VOSHA’s </w:t>
      </w:r>
      <w:r w:rsidR="005C5A8A">
        <w:rPr>
          <w:rFonts w:asciiTheme="minorHAnsi" w:hAnsiTheme="minorHAnsi" w:cstheme="minorHAnsi"/>
        </w:rPr>
        <w:t>result</w:t>
      </w:r>
      <w:r w:rsidRPr="00E70500">
        <w:rPr>
          <w:rFonts w:asciiTheme="minorHAnsi" w:hAnsiTheme="minorHAnsi" w:cstheme="minorHAnsi"/>
        </w:rPr>
        <w:t xml:space="preserve"> of </w:t>
      </w:r>
      <w:r w:rsidR="00CE10C2" w:rsidRPr="00E70500">
        <w:rPr>
          <w:rFonts w:asciiTheme="minorHAnsi" w:hAnsiTheme="minorHAnsi" w:cstheme="minorHAnsi"/>
        </w:rPr>
        <w:t>9.93</w:t>
      </w:r>
      <w:r w:rsidR="005C5A8A">
        <w:rPr>
          <w:rFonts w:asciiTheme="minorHAnsi" w:hAnsiTheme="minorHAnsi" w:cstheme="minorHAnsi"/>
        </w:rPr>
        <w:t xml:space="preserve"> percent</w:t>
      </w:r>
      <w:r w:rsidRPr="00E70500">
        <w:rPr>
          <w:rFonts w:asciiTheme="minorHAnsi" w:hAnsiTheme="minorHAnsi" w:cstheme="minorHAnsi"/>
        </w:rPr>
        <w:t xml:space="preserve"> was outside (</w:t>
      </w:r>
      <w:r w:rsidR="00CE10C2" w:rsidRPr="00E70500">
        <w:rPr>
          <w:rFonts w:asciiTheme="minorHAnsi" w:hAnsiTheme="minorHAnsi" w:cstheme="minorHAnsi"/>
        </w:rPr>
        <w:t>above</w:t>
      </w:r>
      <w:r w:rsidRPr="00E70500">
        <w:rPr>
          <w:rFonts w:asciiTheme="minorHAnsi" w:hAnsiTheme="minorHAnsi" w:cstheme="minorHAnsi"/>
        </w:rPr>
        <w:t xml:space="preserve">) the FRL range. </w:t>
      </w:r>
      <w:r w:rsidR="00905386">
        <w:rPr>
          <w:rFonts w:asciiTheme="minorHAnsi" w:hAnsiTheme="minorHAnsi" w:cstheme="minorHAnsi"/>
        </w:rPr>
        <w:t xml:space="preserve"> This was </w:t>
      </w:r>
      <w:r w:rsidR="00AA0DA2" w:rsidRPr="005C2C49">
        <w:rPr>
          <w:rFonts w:asciiTheme="minorHAnsi" w:hAnsiTheme="minorHAnsi" w:cstheme="minorHAnsi"/>
        </w:rPr>
        <w:t>an acceptable</w:t>
      </w:r>
      <w:r w:rsidR="00905386">
        <w:rPr>
          <w:rFonts w:asciiTheme="minorHAnsi" w:hAnsiTheme="minorHAnsi" w:cstheme="minorHAnsi"/>
        </w:rPr>
        <w:t xml:space="preserve"> result.</w:t>
      </w:r>
    </w:p>
    <w:p w14:paraId="2D4823AA" w14:textId="77777777" w:rsidR="00556C4D" w:rsidRPr="00E70500" w:rsidRDefault="00556C4D" w:rsidP="00190BDA">
      <w:pPr>
        <w:pStyle w:val="Default"/>
        <w:rPr>
          <w:rFonts w:asciiTheme="minorHAnsi" w:hAnsiTheme="minorHAnsi" w:cstheme="minorHAnsi"/>
        </w:rPr>
      </w:pPr>
    </w:p>
    <w:p w14:paraId="5F58EFEC" w14:textId="7468998C" w:rsidR="00190BDA" w:rsidRPr="00D86F6F" w:rsidRDefault="00556C4D" w:rsidP="00190BDA">
      <w:pPr>
        <w:pStyle w:val="Default"/>
        <w:rPr>
          <w:rFonts w:asciiTheme="minorHAnsi" w:hAnsiTheme="minorHAnsi" w:cstheme="minorHAnsi"/>
          <w:b/>
          <w:bCs/>
        </w:rPr>
      </w:pPr>
      <w:r w:rsidRPr="00556C4D">
        <w:rPr>
          <w:rFonts w:asciiTheme="minorHAnsi" w:hAnsiTheme="minorHAnsi" w:cstheme="minorHAnsi"/>
          <w:b/>
          <w:bCs/>
        </w:rPr>
        <w:t>Explanation:</w:t>
      </w:r>
      <w:r w:rsidR="00D86F6F">
        <w:rPr>
          <w:rFonts w:asciiTheme="minorHAnsi" w:hAnsiTheme="minorHAnsi" w:cstheme="minorHAnsi"/>
          <w:b/>
          <w:bCs/>
        </w:rPr>
        <w:t xml:space="preserve">  </w:t>
      </w:r>
      <w:r w:rsidR="004633D1">
        <w:rPr>
          <w:rFonts w:asciiTheme="minorHAnsi" w:hAnsiTheme="minorHAnsi" w:cstheme="minorHAnsi"/>
        </w:rPr>
        <w:t>VOSHA’s percentage of 9</w:t>
      </w:r>
      <w:r w:rsidR="00836EB7">
        <w:rPr>
          <w:rFonts w:asciiTheme="minorHAnsi" w:hAnsiTheme="minorHAnsi" w:cstheme="minorHAnsi"/>
        </w:rPr>
        <w:t>.</w:t>
      </w:r>
      <w:r w:rsidR="004633D1">
        <w:rPr>
          <w:rFonts w:asciiTheme="minorHAnsi" w:hAnsiTheme="minorHAnsi" w:cstheme="minorHAnsi"/>
        </w:rPr>
        <w:t xml:space="preserve">93 was acceptable even though </w:t>
      </w:r>
      <w:r w:rsidR="00014FA5">
        <w:rPr>
          <w:rFonts w:asciiTheme="minorHAnsi" w:hAnsiTheme="minorHAnsi" w:cstheme="minorHAnsi"/>
        </w:rPr>
        <w:t xml:space="preserve">the State Plan </w:t>
      </w:r>
      <w:r w:rsidR="004633D1">
        <w:rPr>
          <w:rFonts w:asciiTheme="minorHAnsi" w:hAnsiTheme="minorHAnsi" w:cstheme="minorHAnsi"/>
        </w:rPr>
        <w:t xml:space="preserve">conducted </w:t>
      </w:r>
      <w:r w:rsidR="00DB0837">
        <w:rPr>
          <w:rFonts w:asciiTheme="minorHAnsi" w:hAnsiTheme="minorHAnsi" w:cstheme="minorHAnsi"/>
        </w:rPr>
        <w:t>only 15 of 20 inspections</w:t>
      </w:r>
      <w:r w:rsidR="00836EB7">
        <w:rPr>
          <w:rFonts w:asciiTheme="minorHAnsi" w:hAnsiTheme="minorHAnsi" w:cstheme="minorHAnsi"/>
        </w:rPr>
        <w:t xml:space="preserve"> projected</w:t>
      </w:r>
      <w:r w:rsidR="004633D1">
        <w:rPr>
          <w:rFonts w:asciiTheme="minorHAnsi" w:hAnsiTheme="minorHAnsi" w:cstheme="minorHAnsi"/>
        </w:rPr>
        <w:t xml:space="preserve"> in state and local </w:t>
      </w:r>
      <w:r w:rsidR="00836EB7">
        <w:rPr>
          <w:rFonts w:asciiTheme="minorHAnsi" w:hAnsiTheme="minorHAnsi" w:cstheme="minorHAnsi"/>
        </w:rPr>
        <w:t>government.</w:t>
      </w:r>
      <w:r w:rsidR="004633D1">
        <w:rPr>
          <w:rFonts w:asciiTheme="minorHAnsi" w:hAnsiTheme="minorHAnsi" w:cstheme="minorHAnsi"/>
        </w:rPr>
        <w:t xml:space="preserve">  This is because </w:t>
      </w:r>
      <w:r w:rsidR="008250E0">
        <w:rPr>
          <w:rFonts w:asciiTheme="minorHAnsi" w:hAnsiTheme="minorHAnsi" w:cstheme="minorHAnsi"/>
        </w:rPr>
        <w:t xml:space="preserve">VOSHA’s </w:t>
      </w:r>
      <w:r w:rsidR="00CE213B">
        <w:rPr>
          <w:rFonts w:asciiTheme="minorHAnsi" w:hAnsiTheme="minorHAnsi" w:cstheme="minorHAnsi"/>
        </w:rPr>
        <w:t xml:space="preserve">final </w:t>
      </w:r>
      <w:r w:rsidR="004633D1">
        <w:rPr>
          <w:rFonts w:asciiTheme="minorHAnsi" w:hAnsiTheme="minorHAnsi" w:cstheme="minorHAnsi"/>
        </w:rPr>
        <w:t>total of inspections</w:t>
      </w:r>
      <w:r w:rsidR="00725785">
        <w:rPr>
          <w:rFonts w:asciiTheme="minorHAnsi" w:hAnsiTheme="minorHAnsi" w:cstheme="minorHAnsi"/>
        </w:rPr>
        <w:t xml:space="preserve"> conducted in FY 2022 (151) </w:t>
      </w:r>
      <w:r w:rsidR="004633D1">
        <w:rPr>
          <w:rFonts w:asciiTheme="minorHAnsi" w:hAnsiTheme="minorHAnsi" w:cstheme="minorHAnsi"/>
        </w:rPr>
        <w:t>was also lower than the initial projection</w:t>
      </w:r>
      <w:r w:rsidR="00D86F6F">
        <w:rPr>
          <w:rFonts w:asciiTheme="minorHAnsi" w:hAnsiTheme="minorHAnsi" w:cstheme="minorHAnsi"/>
        </w:rPr>
        <w:t xml:space="preserve"> of</w:t>
      </w:r>
      <w:r w:rsidR="00725785">
        <w:rPr>
          <w:rFonts w:asciiTheme="minorHAnsi" w:hAnsiTheme="minorHAnsi" w:cstheme="minorHAnsi"/>
        </w:rPr>
        <w:t xml:space="preserve"> </w:t>
      </w:r>
      <w:r w:rsidR="006C31E4">
        <w:rPr>
          <w:rFonts w:asciiTheme="minorHAnsi" w:hAnsiTheme="minorHAnsi" w:cstheme="minorHAnsi"/>
        </w:rPr>
        <w:t>245.</w:t>
      </w:r>
    </w:p>
    <w:p w14:paraId="235A2DD3" w14:textId="78D57675" w:rsidR="00630A54" w:rsidRDefault="00630A54" w:rsidP="00190BDA">
      <w:pPr>
        <w:pStyle w:val="Default"/>
        <w:rPr>
          <w:rFonts w:asciiTheme="minorHAnsi" w:hAnsiTheme="minorHAnsi" w:cstheme="minorHAnsi"/>
        </w:rPr>
      </w:pPr>
    </w:p>
    <w:p w14:paraId="71FA51CE" w14:textId="77777777" w:rsidR="00FC6828" w:rsidRDefault="00FC6828" w:rsidP="00545FEF">
      <w:pPr>
        <w:widowControl/>
        <w:rPr>
          <w:rFonts w:asciiTheme="minorHAnsi" w:hAnsiTheme="minorHAnsi" w:cstheme="minorHAnsi"/>
          <w:b/>
          <w:bCs/>
          <w:color w:val="000000"/>
        </w:rPr>
      </w:pPr>
    </w:p>
    <w:p w14:paraId="2CE10DEE" w14:textId="10950796" w:rsidR="00545FEF" w:rsidRPr="00E70500" w:rsidRDefault="00545FEF" w:rsidP="00545FEF">
      <w:pPr>
        <w:widowControl/>
        <w:rPr>
          <w:rFonts w:asciiTheme="minorHAnsi" w:hAnsiTheme="minorHAnsi" w:cstheme="minorHAnsi"/>
          <w:bCs/>
          <w:color w:val="000000"/>
        </w:rPr>
      </w:pPr>
      <w:r w:rsidRPr="00E70500">
        <w:rPr>
          <w:rFonts w:asciiTheme="minorHAnsi" w:hAnsiTheme="minorHAnsi" w:cstheme="minorHAnsi"/>
          <w:b/>
          <w:bCs/>
          <w:color w:val="000000"/>
        </w:rPr>
        <w:t>SAMM 7</w:t>
      </w:r>
      <w:r w:rsidR="00992224">
        <w:rPr>
          <w:rFonts w:asciiTheme="minorHAnsi" w:hAnsiTheme="minorHAnsi" w:cstheme="minorHAnsi"/>
          <w:b/>
          <w:bCs/>
          <w:color w:val="000000"/>
        </w:rPr>
        <w:t>a</w:t>
      </w:r>
      <w:r w:rsidRPr="00E70500">
        <w:rPr>
          <w:rFonts w:asciiTheme="minorHAnsi" w:hAnsiTheme="minorHAnsi" w:cstheme="minorHAnsi"/>
          <w:b/>
          <w:bCs/>
          <w:color w:val="000000"/>
        </w:rPr>
        <w:t xml:space="preserve"> - Planned v. actual inspections – </w:t>
      </w:r>
      <w:r w:rsidR="00992224">
        <w:rPr>
          <w:rFonts w:asciiTheme="minorHAnsi" w:hAnsiTheme="minorHAnsi" w:cstheme="minorHAnsi"/>
          <w:b/>
          <w:bCs/>
          <w:color w:val="000000"/>
        </w:rPr>
        <w:t>(</w:t>
      </w:r>
      <w:r w:rsidRPr="00E70500">
        <w:rPr>
          <w:rFonts w:asciiTheme="minorHAnsi" w:hAnsiTheme="minorHAnsi" w:cstheme="minorHAnsi"/>
          <w:b/>
          <w:bCs/>
          <w:color w:val="000000"/>
        </w:rPr>
        <w:t>safety</w:t>
      </w:r>
      <w:r w:rsidR="00992224">
        <w:rPr>
          <w:rFonts w:asciiTheme="minorHAnsi" w:hAnsiTheme="minorHAnsi" w:cstheme="minorHAnsi"/>
          <w:b/>
          <w:bCs/>
          <w:color w:val="000000"/>
        </w:rPr>
        <w:t>)</w:t>
      </w:r>
    </w:p>
    <w:p w14:paraId="50E041B8" w14:textId="77777777" w:rsidR="00545FEF" w:rsidRPr="00E70500" w:rsidRDefault="00545FEF" w:rsidP="00545FEF">
      <w:pPr>
        <w:widowControl/>
        <w:rPr>
          <w:rFonts w:asciiTheme="minorHAnsi" w:hAnsiTheme="minorHAnsi" w:cstheme="minorHAnsi"/>
          <w:color w:val="000000"/>
        </w:rPr>
      </w:pPr>
      <w:r w:rsidRPr="00E70500">
        <w:rPr>
          <w:rFonts w:asciiTheme="minorHAnsi" w:hAnsiTheme="minorHAnsi" w:cstheme="minorHAnsi"/>
          <w:b/>
          <w:bCs/>
          <w:color w:val="000000"/>
        </w:rPr>
        <w:t xml:space="preserve"> </w:t>
      </w:r>
    </w:p>
    <w:p w14:paraId="46461D04" w14:textId="67FFAA66" w:rsidR="00545FEF" w:rsidRPr="00E70500" w:rsidRDefault="00545FEF" w:rsidP="00545FEF">
      <w:pPr>
        <w:widowControl/>
        <w:rPr>
          <w:rFonts w:asciiTheme="minorHAnsi" w:hAnsiTheme="minorHAnsi" w:cstheme="minorHAnsi"/>
          <w:color w:val="000000"/>
        </w:rPr>
      </w:pPr>
      <w:r w:rsidRPr="00556C4D">
        <w:rPr>
          <w:rFonts w:asciiTheme="minorHAnsi" w:hAnsiTheme="minorHAnsi" w:cstheme="minorHAnsi"/>
          <w:b/>
          <w:bCs/>
          <w:color w:val="000000"/>
        </w:rPr>
        <w:t xml:space="preserve">Discussion of State Plan </w:t>
      </w:r>
      <w:r w:rsidR="00FA6B84" w:rsidRPr="00556C4D">
        <w:rPr>
          <w:rFonts w:asciiTheme="minorHAnsi" w:hAnsiTheme="minorHAnsi" w:cstheme="minorHAnsi"/>
          <w:b/>
          <w:bCs/>
          <w:color w:val="000000"/>
        </w:rPr>
        <w:t>D</w:t>
      </w:r>
      <w:r w:rsidRPr="00556C4D">
        <w:rPr>
          <w:rFonts w:asciiTheme="minorHAnsi" w:hAnsiTheme="minorHAnsi" w:cstheme="minorHAnsi"/>
          <w:b/>
          <w:bCs/>
          <w:color w:val="000000"/>
        </w:rPr>
        <w:t>ata and FRL:</w:t>
      </w:r>
      <w:r w:rsidRPr="00E70500">
        <w:rPr>
          <w:rFonts w:asciiTheme="minorHAnsi" w:hAnsiTheme="minorHAnsi" w:cstheme="minorHAnsi"/>
          <w:color w:val="000000"/>
        </w:rPr>
        <w:t xml:space="preserve"> The FRL is based on a number negotiated by OSHA and the State Plan through the grant application.  In FY 2022, VOSHA planned to conduct 207 safety inspections.  VOSHA</w:t>
      </w:r>
      <w:r w:rsidR="0096357D" w:rsidRPr="00E70500">
        <w:rPr>
          <w:rFonts w:asciiTheme="minorHAnsi" w:hAnsiTheme="minorHAnsi" w:cstheme="minorHAnsi"/>
          <w:color w:val="000000"/>
        </w:rPr>
        <w:t xml:space="preserve">’s total of 112 was outside (below) the FRL range of 196.65 to 217.35 safety inspections. </w:t>
      </w:r>
      <w:r w:rsidRPr="00E70500">
        <w:rPr>
          <w:rFonts w:asciiTheme="minorHAnsi" w:hAnsiTheme="minorHAnsi" w:cstheme="minorHAnsi"/>
          <w:color w:val="000000"/>
        </w:rPr>
        <w:t xml:space="preserve"> </w:t>
      </w:r>
      <w:r w:rsidR="00992224">
        <w:rPr>
          <w:rFonts w:asciiTheme="minorHAnsi" w:hAnsiTheme="minorHAnsi" w:cstheme="minorHAnsi"/>
        </w:rPr>
        <w:t>This was not a positive result.</w:t>
      </w:r>
    </w:p>
    <w:p w14:paraId="0AD3EEE2" w14:textId="77777777" w:rsidR="00545FEF" w:rsidRPr="00E70500" w:rsidRDefault="00545FEF" w:rsidP="00545FEF">
      <w:pPr>
        <w:widowControl/>
        <w:rPr>
          <w:rFonts w:asciiTheme="minorHAnsi" w:hAnsiTheme="minorHAnsi" w:cstheme="minorHAnsi"/>
          <w:color w:val="000000"/>
        </w:rPr>
      </w:pPr>
    </w:p>
    <w:p w14:paraId="4CB907CD" w14:textId="443A6FD9" w:rsidR="006933E1" w:rsidRDefault="00545FEF" w:rsidP="00190BDA">
      <w:pPr>
        <w:pStyle w:val="Default"/>
        <w:rPr>
          <w:rFonts w:asciiTheme="minorHAnsi" w:hAnsiTheme="minorHAnsi" w:cstheme="minorHAnsi"/>
        </w:rPr>
      </w:pPr>
      <w:r w:rsidRPr="00556C4D">
        <w:rPr>
          <w:rFonts w:asciiTheme="minorHAnsi" w:hAnsiTheme="minorHAnsi" w:cstheme="minorHAnsi"/>
          <w:b/>
          <w:bCs/>
        </w:rPr>
        <w:t>Explanation:</w:t>
      </w:r>
      <w:r w:rsidRPr="00E70500">
        <w:rPr>
          <w:rFonts w:asciiTheme="minorHAnsi" w:hAnsiTheme="minorHAnsi" w:cstheme="minorHAnsi"/>
        </w:rPr>
        <w:t xml:space="preserve">  </w:t>
      </w:r>
      <w:r w:rsidR="005215B6">
        <w:rPr>
          <w:rFonts w:asciiTheme="minorHAnsi" w:hAnsiTheme="minorHAnsi" w:cstheme="minorHAnsi"/>
        </w:rPr>
        <w:t>VOSH</w:t>
      </w:r>
      <w:r w:rsidR="0039554F">
        <w:rPr>
          <w:rFonts w:asciiTheme="minorHAnsi" w:hAnsiTheme="minorHAnsi" w:cstheme="minorHAnsi"/>
        </w:rPr>
        <w:t xml:space="preserve">A suspended most programmed inspections until </w:t>
      </w:r>
      <w:r w:rsidR="00DC7523">
        <w:rPr>
          <w:rFonts w:asciiTheme="minorHAnsi" w:hAnsiTheme="minorHAnsi" w:cstheme="minorHAnsi"/>
        </w:rPr>
        <w:t xml:space="preserve">the spring of </w:t>
      </w:r>
      <w:r w:rsidR="0039554F">
        <w:rPr>
          <w:rFonts w:asciiTheme="minorHAnsi" w:hAnsiTheme="minorHAnsi" w:cstheme="minorHAnsi"/>
        </w:rPr>
        <w:t>2022</w:t>
      </w:r>
      <w:r w:rsidR="006D2418">
        <w:rPr>
          <w:rFonts w:asciiTheme="minorHAnsi" w:hAnsiTheme="minorHAnsi" w:cstheme="minorHAnsi"/>
        </w:rPr>
        <w:t xml:space="preserve"> because of a </w:t>
      </w:r>
      <w:r w:rsidR="00F8727C" w:rsidRPr="005C2C49">
        <w:rPr>
          <w:rFonts w:asciiTheme="minorHAnsi" w:hAnsiTheme="minorHAnsi" w:cstheme="minorHAnsi"/>
        </w:rPr>
        <w:t>resurgence</w:t>
      </w:r>
      <w:r w:rsidR="006D2418">
        <w:rPr>
          <w:rFonts w:asciiTheme="minorHAnsi" w:hAnsiTheme="minorHAnsi" w:cstheme="minorHAnsi"/>
        </w:rPr>
        <w:t xml:space="preserve"> of </w:t>
      </w:r>
      <w:r w:rsidR="00AF4DF5">
        <w:rPr>
          <w:rFonts w:asciiTheme="minorHAnsi" w:hAnsiTheme="minorHAnsi" w:cstheme="minorHAnsi"/>
        </w:rPr>
        <w:t xml:space="preserve">COVID-19 </w:t>
      </w:r>
      <w:r w:rsidR="006D2418">
        <w:rPr>
          <w:rFonts w:asciiTheme="minorHAnsi" w:hAnsiTheme="minorHAnsi" w:cstheme="minorHAnsi"/>
        </w:rPr>
        <w:t>in late 2021</w:t>
      </w:r>
      <w:r w:rsidR="00992224">
        <w:rPr>
          <w:rFonts w:asciiTheme="minorHAnsi" w:hAnsiTheme="minorHAnsi" w:cstheme="minorHAnsi"/>
        </w:rPr>
        <w:t>,</w:t>
      </w:r>
      <w:r w:rsidR="00DD1A20">
        <w:rPr>
          <w:rFonts w:asciiTheme="minorHAnsi" w:hAnsiTheme="minorHAnsi" w:cstheme="minorHAnsi"/>
        </w:rPr>
        <w:t xml:space="preserve"> and </w:t>
      </w:r>
      <w:r w:rsidR="00992224">
        <w:rPr>
          <w:rFonts w:asciiTheme="minorHAnsi" w:hAnsiTheme="minorHAnsi" w:cstheme="minorHAnsi"/>
        </w:rPr>
        <w:t xml:space="preserve">as stated earlier, </w:t>
      </w:r>
      <w:r w:rsidR="00997E3E">
        <w:rPr>
          <w:rFonts w:asciiTheme="minorHAnsi" w:hAnsiTheme="minorHAnsi" w:cstheme="minorHAnsi"/>
        </w:rPr>
        <w:t xml:space="preserve">two </w:t>
      </w:r>
      <w:r w:rsidR="00992224">
        <w:rPr>
          <w:rFonts w:asciiTheme="minorHAnsi" w:hAnsiTheme="minorHAnsi" w:cstheme="minorHAnsi"/>
        </w:rPr>
        <w:t xml:space="preserve">new </w:t>
      </w:r>
      <w:r w:rsidR="00997E3E">
        <w:rPr>
          <w:rFonts w:asciiTheme="minorHAnsi" w:hAnsiTheme="minorHAnsi" w:cstheme="minorHAnsi"/>
        </w:rPr>
        <w:t>CSHO</w:t>
      </w:r>
      <w:r w:rsidR="00C86ACD">
        <w:rPr>
          <w:rFonts w:asciiTheme="minorHAnsi" w:hAnsiTheme="minorHAnsi" w:cstheme="minorHAnsi"/>
        </w:rPr>
        <w:t xml:space="preserve">s took long leaves of absence </w:t>
      </w:r>
      <w:r w:rsidR="00AD4AEF">
        <w:rPr>
          <w:rFonts w:asciiTheme="minorHAnsi" w:hAnsiTheme="minorHAnsi" w:cstheme="minorHAnsi"/>
        </w:rPr>
        <w:t>during the fiscal year</w:t>
      </w:r>
      <w:r w:rsidR="00F574B3">
        <w:rPr>
          <w:rFonts w:asciiTheme="minorHAnsi" w:hAnsiTheme="minorHAnsi" w:cstheme="minorHAnsi"/>
        </w:rPr>
        <w:t xml:space="preserve">.  </w:t>
      </w:r>
      <w:r w:rsidR="00CB76D0" w:rsidRPr="00CB76D0">
        <w:rPr>
          <w:rFonts w:asciiTheme="minorHAnsi" w:hAnsiTheme="minorHAnsi" w:cstheme="minorHAnsi"/>
        </w:rPr>
        <w:t xml:space="preserve">OSHA is not </w:t>
      </w:r>
      <w:r w:rsidR="00CB76D0">
        <w:rPr>
          <w:rFonts w:asciiTheme="minorHAnsi" w:hAnsiTheme="minorHAnsi" w:cstheme="minorHAnsi"/>
        </w:rPr>
        <w:t xml:space="preserve">overly </w:t>
      </w:r>
      <w:r w:rsidR="00CB76D0" w:rsidRPr="00CB76D0">
        <w:rPr>
          <w:rFonts w:asciiTheme="minorHAnsi" w:hAnsiTheme="minorHAnsi" w:cstheme="minorHAnsi"/>
        </w:rPr>
        <w:t xml:space="preserve">concerned </w:t>
      </w:r>
      <w:r w:rsidR="00867C59">
        <w:rPr>
          <w:rFonts w:asciiTheme="minorHAnsi" w:hAnsiTheme="minorHAnsi" w:cstheme="minorHAnsi"/>
        </w:rPr>
        <w:t xml:space="preserve">with </w:t>
      </w:r>
      <w:r w:rsidR="00CB76D0" w:rsidRPr="00CB76D0">
        <w:rPr>
          <w:rFonts w:asciiTheme="minorHAnsi" w:hAnsiTheme="minorHAnsi" w:cstheme="minorHAnsi"/>
        </w:rPr>
        <w:t>VOSHA's performance on SAMM 7</w:t>
      </w:r>
      <w:r w:rsidR="00992224">
        <w:rPr>
          <w:rFonts w:asciiTheme="minorHAnsi" w:hAnsiTheme="minorHAnsi" w:cstheme="minorHAnsi"/>
        </w:rPr>
        <w:t>a</w:t>
      </w:r>
      <w:r w:rsidR="00CB76D0" w:rsidRPr="00CB76D0">
        <w:rPr>
          <w:rFonts w:asciiTheme="minorHAnsi" w:hAnsiTheme="minorHAnsi" w:cstheme="minorHAnsi"/>
        </w:rPr>
        <w:t xml:space="preserve"> due to inspection activity returning to normal in the second half of the fiscal year as the pandemic's grip eased.</w:t>
      </w:r>
      <w:r w:rsidR="00BB418F">
        <w:rPr>
          <w:rFonts w:asciiTheme="minorHAnsi" w:hAnsiTheme="minorHAnsi" w:cstheme="minorHAnsi"/>
        </w:rPr>
        <w:t xml:space="preserve"> </w:t>
      </w:r>
      <w:r w:rsidR="00690D38">
        <w:rPr>
          <w:rFonts w:asciiTheme="minorHAnsi" w:hAnsiTheme="minorHAnsi" w:cstheme="minorHAnsi"/>
        </w:rPr>
        <w:t xml:space="preserve"> </w:t>
      </w:r>
      <w:r w:rsidR="00241422">
        <w:rPr>
          <w:rFonts w:asciiTheme="minorHAnsi" w:hAnsiTheme="minorHAnsi" w:cstheme="minorHAnsi"/>
        </w:rPr>
        <w:t xml:space="preserve">Also, having two CSHOs on extended leave was a </w:t>
      </w:r>
      <w:r w:rsidR="00622DF8">
        <w:rPr>
          <w:rFonts w:asciiTheme="minorHAnsi" w:hAnsiTheme="minorHAnsi" w:cstheme="minorHAnsi"/>
        </w:rPr>
        <w:t>temporary situation.</w:t>
      </w:r>
    </w:p>
    <w:p w14:paraId="02C652DD" w14:textId="6ACFCBCA" w:rsidR="00E8350C" w:rsidRDefault="00E8350C" w:rsidP="00190BDA">
      <w:pPr>
        <w:pStyle w:val="Default"/>
        <w:rPr>
          <w:rFonts w:asciiTheme="minorHAnsi" w:hAnsiTheme="minorHAnsi" w:cstheme="minorHAnsi"/>
        </w:rPr>
      </w:pPr>
    </w:p>
    <w:p w14:paraId="40C9FC91" w14:textId="1FEB2E01" w:rsidR="005C2C49" w:rsidRDefault="005C2C49" w:rsidP="00190BDA">
      <w:pPr>
        <w:pStyle w:val="Default"/>
        <w:rPr>
          <w:rFonts w:asciiTheme="minorHAnsi" w:hAnsiTheme="minorHAnsi" w:cstheme="minorHAnsi"/>
        </w:rPr>
      </w:pPr>
    </w:p>
    <w:p w14:paraId="1C50A259" w14:textId="77777777" w:rsidR="005C2C49" w:rsidRPr="00E70500" w:rsidRDefault="005C2C49" w:rsidP="00190BDA">
      <w:pPr>
        <w:pStyle w:val="Default"/>
        <w:rPr>
          <w:rFonts w:asciiTheme="minorHAnsi" w:hAnsiTheme="minorHAnsi" w:cstheme="minorHAnsi"/>
        </w:rPr>
      </w:pPr>
    </w:p>
    <w:p w14:paraId="4E98D359" w14:textId="10D1CE81" w:rsidR="00E8350C" w:rsidRPr="00E70500" w:rsidRDefault="00E8350C" w:rsidP="00E8350C">
      <w:pPr>
        <w:widowControl/>
        <w:rPr>
          <w:rFonts w:asciiTheme="minorHAnsi" w:hAnsiTheme="minorHAnsi" w:cstheme="minorHAnsi"/>
          <w:color w:val="000000"/>
        </w:rPr>
      </w:pPr>
      <w:r w:rsidRPr="00E70500">
        <w:rPr>
          <w:rFonts w:asciiTheme="minorHAnsi" w:hAnsiTheme="minorHAnsi" w:cstheme="minorHAnsi"/>
          <w:b/>
          <w:bCs/>
          <w:color w:val="000000"/>
        </w:rPr>
        <w:lastRenderedPageBreak/>
        <w:t>SAMM 9 – Percent i</w:t>
      </w:r>
      <w:r w:rsidR="00E734BB">
        <w:rPr>
          <w:rFonts w:asciiTheme="minorHAnsi" w:hAnsiTheme="minorHAnsi" w:cstheme="minorHAnsi"/>
          <w:b/>
          <w:bCs/>
          <w:color w:val="000000"/>
        </w:rPr>
        <w:t>n</w:t>
      </w:r>
      <w:r w:rsidR="008613E8">
        <w:rPr>
          <w:rFonts w:asciiTheme="minorHAnsi" w:hAnsiTheme="minorHAnsi" w:cstheme="minorHAnsi"/>
          <w:b/>
          <w:bCs/>
          <w:color w:val="000000"/>
        </w:rPr>
        <w:t xml:space="preserve"> </w:t>
      </w:r>
      <w:r w:rsidRPr="00E70500">
        <w:rPr>
          <w:rFonts w:asciiTheme="minorHAnsi" w:hAnsiTheme="minorHAnsi" w:cstheme="minorHAnsi"/>
          <w:b/>
          <w:bCs/>
          <w:color w:val="000000"/>
        </w:rPr>
        <w:t xml:space="preserve">compliance </w:t>
      </w:r>
    </w:p>
    <w:p w14:paraId="57F0D42C" w14:textId="77777777" w:rsidR="00E8350C" w:rsidRPr="00E70500" w:rsidRDefault="00E8350C" w:rsidP="00E8350C">
      <w:pPr>
        <w:widowControl/>
        <w:rPr>
          <w:rFonts w:asciiTheme="minorHAnsi" w:hAnsiTheme="minorHAnsi" w:cstheme="minorHAnsi"/>
          <w:color w:val="000000"/>
        </w:rPr>
      </w:pPr>
    </w:p>
    <w:p w14:paraId="4D0889D4" w14:textId="2BA8A714" w:rsidR="00E8350C" w:rsidRPr="00E70500" w:rsidRDefault="00E8350C" w:rsidP="00E8350C">
      <w:pPr>
        <w:widowControl/>
        <w:rPr>
          <w:rFonts w:asciiTheme="minorHAnsi" w:hAnsiTheme="minorHAnsi" w:cstheme="minorHAnsi"/>
          <w:color w:val="000000"/>
        </w:rPr>
      </w:pPr>
      <w:r w:rsidRPr="00556C4D">
        <w:rPr>
          <w:rFonts w:asciiTheme="minorHAnsi" w:hAnsiTheme="minorHAnsi" w:cstheme="minorHAnsi"/>
          <w:b/>
          <w:bCs/>
          <w:color w:val="000000"/>
        </w:rPr>
        <w:t xml:space="preserve">Discussion of State Plan </w:t>
      </w:r>
      <w:r w:rsidR="00FA6B84" w:rsidRPr="00556C4D">
        <w:rPr>
          <w:rFonts w:asciiTheme="minorHAnsi" w:hAnsiTheme="minorHAnsi" w:cstheme="minorHAnsi"/>
          <w:b/>
          <w:bCs/>
          <w:color w:val="000000"/>
        </w:rPr>
        <w:t>D</w:t>
      </w:r>
      <w:r w:rsidRPr="00556C4D">
        <w:rPr>
          <w:rFonts w:asciiTheme="minorHAnsi" w:hAnsiTheme="minorHAnsi" w:cstheme="minorHAnsi"/>
          <w:b/>
          <w:bCs/>
          <w:color w:val="000000"/>
        </w:rPr>
        <w:t>ata and FRL:</w:t>
      </w:r>
      <w:r w:rsidRPr="00E70500">
        <w:rPr>
          <w:rFonts w:asciiTheme="minorHAnsi" w:hAnsiTheme="minorHAnsi" w:cstheme="minorHAnsi"/>
          <w:color w:val="000000"/>
        </w:rPr>
        <w:t xml:space="preserve"> The FRL is based on a three-year national average.  In FY 2022, the FRL range was from </w:t>
      </w:r>
      <w:r w:rsidR="006F02C4" w:rsidRPr="00E70500">
        <w:rPr>
          <w:rFonts w:asciiTheme="minorHAnsi" w:hAnsiTheme="minorHAnsi" w:cstheme="minorHAnsi"/>
        </w:rPr>
        <w:t>25.80</w:t>
      </w:r>
      <w:r w:rsidR="006A27E2">
        <w:rPr>
          <w:rFonts w:asciiTheme="minorHAnsi" w:hAnsiTheme="minorHAnsi" w:cstheme="minorHAnsi"/>
        </w:rPr>
        <w:t xml:space="preserve"> percent </w:t>
      </w:r>
      <w:r w:rsidR="006F02C4" w:rsidRPr="00E70500">
        <w:rPr>
          <w:rFonts w:asciiTheme="minorHAnsi" w:hAnsiTheme="minorHAnsi" w:cstheme="minorHAnsi"/>
        </w:rPr>
        <w:t>to 38.70</w:t>
      </w:r>
      <w:r w:rsidR="006A27E2">
        <w:rPr>
          <w:rFonts w:asciiTheme="minorHAnsi" w:hAnsiTheme="minorHAnsi" w:cstheme="minorHAnsi"/>
        </w:rPr>
        <w:t xml:space="preserve"> percent </w:t>
      </w:r>
      <w:r w:rsidRPr="00E70500">
        <w:rPr>
          <w:rFonts w:asciiTheme="minorHAnsi" w:hAnsiTheme="minorHAnsi" w:cstheme="minorHAnsi"/>
          <w:color w:val="000000"/>
        </w:rPr>
        <w:t>for safety inspections and from</w:t>
      </w:r>
      <w:r w:rsidR="00C77C17" w:rsidRPr="00E70500">
        <w:rPr>
          <w:rFonts w:asciiTheme="minorHAnsi" w:hAnsiTheme="minorHAnsi" w:cstheme="minorHAnsi"/>
          <w:color w:val="000000"/>
        </w:rPr>
        <w:t xml:space="preserve"> </w:t>
      </w:r>
      <w:r w:rsidR="00C77C17" w:rsidRPr="00E70500">
        <w:rPr>
          <w:rFonts w:asciiTheme="minorHAnsi" w:hAnsiTheme="minorHAnsi" w:cstheme="minorHAnsi"/>
        </w:rPr>
        <w:t>35.54</w:t>
      </w:r>
      <w:r w:rsidR="006A27E2">
        <w:rPr>
          <w:rFonts w:asciiTheme="minorHAnsi" w:hAnsiTheme="minorHAnsi" w:cstheme="minorHAnsi"/>
        </w:rPr>
        <w:t xml:space="preserve"> percent</w:t>
      </w:r>
      <w:r w:rsidR="00C77C17" w:rsidRPr="00E70500">
        <w:rPr>
          <w:rFonts w:asciiTheme="minorHAnsi" w:hAnsiTheme="minorHAnsi" w:cstheme="minorHAnsi"/>
        </w:rPr>
        <w:t xml:space="preserve"> to 53.30</w:t>
      </w:r>
      <w:r w:rsidR="006A27E2">
        <w:rPr>
          <w:rFonts w:asciiTheme="minorHAnsi" w:hAnsiTheme="minorHAnsi" w:cstheme="minorHAnsi"/>
        </w:rPr>
        <w:t xml:space="preserve"> percent </w:t>
      </w:r>
      <w:r w:rsidRPr="00E70500">
        <w:rPr>
          <w:rFonts w:asciiTheme="minorHAnsi" w:hAnsiTheme="minorHAnsi" w:cstheme="minorHAnsi"/>
          <w:color w:val="000000"/>
        </w:rPr>
        <w:t xml:space="preserve">for health inspections. </w:t>
      </w:r>
      <w:r w:rsidR="00B031B0">
        <w:rPr>
          <w:rFonts w:asciiTheme="minorHAnsi" w:hAnsiTheme="minorHAnsi" w:cstheme="minorHAnsi"/>
          <w:color w:val="000000"/>
        </w:rPr>
        <w:t xml:space="preserve"> </w:t>
      </w:r>
      <w:r w:rsidRPr="00E70500">
        <w:rPr>
          <w:rFonts w:asciiTheme="minorHAnsi" w:hAnsiTheme="minorHAnsi" w:cstheme="minorHAnsi"/>
          <w:color w:val="000000"/>
        </w:rPr>
        <w:t xml:space="preserve">VOSHA’s in-compliance rate of </w:t>
      </w:r>
      <w:r w:rsidR="00B0681C" w:rsidRPr="00E70500">
        <w:rPr>
          <w:rFonts w:asciiTheme="minorHAnsi" w:hAnsiTheme="minorHAnsi" w:cstheme="minorHAnsi"/>
          <w:color w:val="000000"/>
        </w:rPr>
        <w:t>21.59</w:t>
      </w:r>
      <w:r w:rsidRPr="00E70500">
        <w:rPr>
          <w:rFonts w:asciiTheme="minorHAnsi" w:hAnsiTheme="minorHAnsi" w:cstheme="minorHAnsi"/>
          <w:color w:val="000000"/>
        </w:rPr>
        <w:t xml:space="preserve"> percent for safety inspections was outside (below) the FRL range, and its in-compliance rate of </w:t>
      </w:r>
      <w:r w:rsidR="00B0681C" w:rsidRPr="00E70500">
        <w:rPr>
          <w:rFonts w:asciiTheme="minorHAnsi" w:hAnsiTheme="minorHAnsi" w:cstheme="minorHAnsi"/>
          <w:color w:val="000000"/>
        </w:rPr>
        <w:t>10</w:t>
      </w:r>
      <w:r w:rsidRPr="00E70500">
        <w:rPr>
          <w:rFonts w:asciiTheme="minorHAnsi" w:hAnsiTheme="minorHAnsi" w:cstheme="minorHAnsi"/>
          <w:color w:val="000000"/>
        </w:rPr>
        <w:t xml:space="preserve"> percent for health inspections was also outside (below) the FRL range; both results were positive.  </w:t>
      </w:r>
    </w:p>
    <w:p w14:paraId="5B9C6ECB" w14:textId="77777777" w:rsidR="00E8350C" w:rsidRPr="00E70500" w:rsidRDefault="00E8350C" w:rsidP="00E8350C">
      <w:pPr>
        <w:rPr>
          <w:rFonts w:asciiTheme="minorHAnsi" w:hAnsiTheme="minorHAnsi" w:cstheme="minorHAnsi"/>
        </w:rPr>
      </w:pPr>
    </w:p>
    <w:p w14:paraId="5FEB2702" w14:textId="77777777" w:rsidR="00123EDF" w:rsidRPr="00E70500" w:rsidRDefault="00E8350C" w:rsidP="00E8350C">
      <w:pPr>
        <w:widowControl/>
        <w:rPr>
          <w:rFonts w:asciiTheme="minorHAnsi" w:hAnsiTheme="minorHAnsi" w:cstheme="minorHAnsi"/>
        </w:rPr>
      </w:pPr>
      <w:r w:rsidRPr="00556C4D">
        <w:rPr>
          <w:rFonts w:asciiTheme="minorHAnsi" w:hAnsiTheme="minorHAnsi" w:cstheme="minorHAnsi"/>
          <w:b/>
          <w:bCs/>
          <w:color w:val="000000"/>
        </w:rPr>
        <w:t>Explanation:</w:t>
      </w:r>
      <w:r w:rsidRPr="00E70500">
        <w:rPr>
          <w:rFonts w:asciiTheme="minorHAnsi" w:hAnsiTheme="minorHAnsi" w:cstheme="minorHAnsi"/>
          <w:color w:val="000000"/>
        </w:rPr>
        <w:t xml:space="preserve"> </w:t>
      </w:r>
      <w:r w:rsidRPr="00E70500">
        <w:rPr>
          <w:rFonts w:asciiTheme="minorHAnsi" w:hAnsiTheme="minorHAnsi" w:cstheme="minorHAnsi"/>
        </w:rPr>
        <w:t xml:space="preserve">Low in-compliance rates indicate CSHOs are adept at identifying and citing </w:t>
      </w:r>
    </w:p>
    <w:p w14:paraId="1B53475A" w14:textId="27C05913" w:rsidR="00E8350C" w:rsidRPr="00E70500" w:rsidRDefault="00E8350C" w:rsidP="00E8350C">
      <w:pPr>
        <w:widowControl/>
        <w:rPr>
          <w:rFonts w:asciiTheme="minorHAnsi" w:hAnsiTheme="minorHAnsi" w:cstheme="minorHAnsi"/>
        </w:rPr>
      </w:pPr>
      <w:r w:rsidRPr="00E70500">
        <w:rPr>
          <w:rFonts w:asciiTheme="minorHAnsi" w:hAnsiTheme="minorHAnsi" w:cstheme="minorHAnsi"/>
        </w:rPr>
        <w:t>violations.</w:t>
      </w:r>
    </w:p>
    <w:p w14:paraId="1925FED4" w14:textId="61ADC515" w:rsidR="00123EDF" w:rsidRPr="00E70500" w:rsidRDefault="00123EDF" w:rsidP="00E8350C">
      <w:pPr>
        <w:widowControl/>
        <w:rPr>
          <w:rFonts w:asciiTheme="minorHAnsi" w:hAnsiTheme="minorHAnsi" w:cstheme="minorHAnsi"/>
        </w:rPr>
      </w:pPr>
    </w:p>
    <w:p w14:paraId="626EAE10" w14:textId="77777777" w:rsidR="00123EDF" w:rsidRPr="00E70500" w:rsidRDefault="00123EDF" w:rsidP="00E8350C">
      <w:pPr>
        <w:widowControl/>
        <w:rPr>
          <w:rFonts w:asciiTheme="minorHAnsi" w:hAnsiTheme="minorHAnsi" w:cstheme="minorHAnsi"/>
          <w:color w:val="000000"/>
        </w:rPr>
      </w:pPr>
    </w:p>
    <w:p w14:paraId="0D784C37" w14:textId="77777777" w:rsidR="00047CA1" w:rsidRPr="00E70500" w:rsidRDefault="00047CA1" w:rsidP="00047CA1">
      <w:pPr>
        <w:widowControl/>
        <w:rPr>
          <w:rFonts w:asciiTheme="minorHAnsi" w:hAnsiTheme="minorHAnsi" w:cstheme="minorHAnsi"/>
          <w:b/>
          <w:bCs/>
          <w:color w:val="000000"/>
        </w:rPr>
      </w:pPr>
      <w:r w:rsidRPr="00E70500">
        <w:rPr>
          <w:rFonts w:asciiTheme="minorHAnsi" w:hAnsiTheme="minorHAnsi" w:cstheme="minorHAnsi"/>
          <w:b/>
          <w:bCs/>
          <w:color w:val="000000"/>
        </w:rPr>
        <w:t xml:space="preserve">SAMM 10 - Percent of work-related fatalities responded to in one work </w:t>
      </w:r>
      <w:proofErr w:type="gramStart"/>
      <w:r w:rsidRPr="00E70500">
        <w:rPr>
          <w:rFonts w:asciiTheme="minorHAnsi" w:hAnsiTheme="minorHAnsi" w:cstheme="minorHAnsi"/>
          <w:b/>
          <w:bCs/>
          <w:color w:val="000000"/>
        </w:rPr>
        <w:t>day</w:t>
      </w:r>
      <w:proofErr w:type="gramEnd"/>
      <w:r w:rsidRPr="00E70500">
        <w:rPr>
          <w:rFonts w:asciiTheme="minorHAnsi" w:hAnsiTheme="minorHAnsi" w:cstheme="minorHAnsi"/>
          <w:b/>
          <w:bCs/>
          <w:color w:val="000000"/>
        </w:rPr>
        <w:t xml:space="preserve"> </w:t>
      </w:r>
    </w:p>
    <w:p w14:paraId="5B10A369" w14:textId="77777777" w:rsidR="00047CA1" w:rsidRPr="00E70500" w:rsidRDefault="00047CA1" w:rsidP="00047CA1">
      <w:pPr>
        <w:widowControl/>
        <w:rPr>
          <w:rFonts w:asciiTheme="minorHAnsi" w:hAnsiTheme="minorHAnsi" w:cstheme="minorHAnsi"/>
          <w:color w:val="000000"/>
        </w:rPr>
      </w:pPr>
    </w:p>
    <w:p w14:paraId="2859CD49" w14:textId="59F2A4D9" w:rsidR="00047CA1" w:rsidRPr="00E70500" w:rsidRDefault="00047CA1" w:rsidP="00047CA1">
      <w:pPr>
        <w:widowControl/>
        <w:rPr>
          <w:rFonts w:asciiTheme="minorHAnsi" w:hAnsiTheme="minorHAnsi" w:cstheme="minorHAnsi"/>
          <w:color w:val="000000"/>
        </w:rPr>
      </w:pPr>
      <w:r w:rsidRPr="00556C4D">
        <w:rPr>
          <w:rFonts w:asciiTheme="minorHAnsi" w:hAnsiTheme="minorHAnsi" w:cstheme="minorHAnsi"/>
          <w:b/>
          <w:bCs/>
          <w:color w:val="000000"/>
        </w:rPr>
        <w:t xml:space="preserve">Discussion of State Plan </w:t>
      </w:r>
      <w:r w:rsidR="00FA6B84" w:rsidRPr="00556C4D">
        <w:rPr>
          <w:rFonts w:asciiTheme="minorHAnsi" w:hAnsiTheme="minorHAnsi" w:cstheme="minorHAnsi"/>
          <w:b/>
          <w:bCs/>
          <w:color w:val="000000"/>
        </w:rPr>
        <w:t>D</w:t>
      </w:r>
      <w:r w:rsidRPr="00556C4D">
        <w:rPr>
          <w:rFonts w:asciiTheme="minorHAnsi" w:hAnsiTheme="minorHAnsi" w:cstheme="minorHAnsi"/>
          <w:b/>
          <w:bCs/>
          <w:color w:val="000000"/>
        </w:rPr>
        <w:t>ata and FRL:</w:t>
      </w:r>
      <w:r w:rsidRPr="00E70500">
        <w:rPr>
          <w:rFonts w:asciiTheme="minorHAnsi" w:hAnsiTheme="minorHAnsi" w:cstheme="minorHAnsi"/>
          <w:color w:val="000000"/>
        </w:rPr>
        <w:t xml:space="preserve"> The FRL of 100 percent is fixed for all State Plans.</w:t>
      </w:r>
      <w:r w:rsidR="007F4236">
        <w:rPr>
          <w:rFonts w:asciiTheme="minorHAnsi" w:hAnsiTheme="minorHAnsi" w:cstheme="minorHAnsi"/>
          <w:color w:val="000000"/>
        </w:rPr>
        <w:t xml:space="preserve"> </w:t>
      </w:r>
      <w:r w:rsidRPr="00E70500">
        <w:rPr>
          <w:rFonts w:asciiTheme="minorHAnsi" w:hAnsiTheme="minorHAnsi" w:cstheme="minorHAnsi"/>
          <w:color w:val="000000"/>
        </w:rPr>
        <w:t xml:space="preserve"> In FY 2022, VOSHA’s result was 50 percent. </w:t>
      </w:r>
    </w:p>
    <w:p w14:paraId="43B6E488" w14:textId="77777777" w:rsidR="00131A74" w:rsidRPr="00E70500" w:rsidRDefault="00131A74" w:rsidP="00047CA1">
      <w:pPr>
        <w:widowControl/>
        <w:rPr>
          <w:rFonts w:asciiTheme="minorHAnsi" w:hAnsiTheme="minorHAnsi" w:cstheme="minorHAnsi"/>
          <w:color w:val="006ACC"/>
          <w:shd w:val="clear" w:color="auto" w:fill="FFFFFF"/>
        </w:rPr>
      </w:pPr>
    </w:p>
    <w:p w14:paraId="182530B4" w14:textId="4E33ED63" w:rsidR="00047CA1" w:rsidRDefault="00131A74" w:rsidP="00131A74">
      <w:pPr>
        <w:rPr>
          <w:rFonts w:asciiTheme="minorHAnsi" w:hAnsiTheme="minorHAnsi" w:cstheme="minorHAnsi"/>
          <w:shd w:val="clear" w:color="auto" w:fill="FFFFFF"/>
        </w:rPr>
      </w:pPr>
      <w:r w:rsidRPr="00556C4D">
        <w:rPr>
          <w:rFonts w:asciiTheme="minorHAnsi" w:hAnsiTheme="minorHAnsi" w:cstheme="minorHAnsi"/>
          <w:b/>
          <w:bCs/>
          <w:color w:val="000000"/>
        </w:rPr>
        <w:t>Explanation:</w:t>
      </w:r>
      <w:r w:rsidRPr="00E70500">
        <w:rPr>
          <w:rFonts w:asciiTheme="minorHAnsi" w:hAnsiTheme="minorHAnsi" w:cstheme="minorHAnsi"/>
          <w:color w:val="000000"/>
        </w:rPr>
        <w:t xml:space="preserve"> </w:t>
      </w:r>
      <w:r w:rsidRPr="00E70500">
        <w:rPr>
          <w:rFonts w:asciiTheme="minorHAnsi" w:hAnsiTheme="minorHAnsi" w:cstheme="minorHAnsi"/>
          <w:shd w:val="clear" w:color="auto" w:fill="FFFFFF"/>
        </w:rPr>
        <w:t>VOSHA had two work-related fatalities in FY 2022</w:t>
      </w:r>
      <w:r w:rsidR="00565CB0">
        <w:rPr>
          <w:rFonts w:asciiTheme="minorHAnsi" w:hAnsiTheme="minorHAnsi" w:cstheme="minorHAnsi"/>
          <w:shd w:val="clear" w:color="auto" w:fill="FFFFFF"/>
        </w:rPr>
        <w:t xml:space="preserve"> but responded to only one within one </w:t>
      </w:r>
      <w:proofErr w:type="gramStart"/>
      <w:r w:rsidR="00565CB0">
        <w:rPr>
          <w:rFonts w:asciiTheme="minorHAnsi" w:hAnsiTheme="minorHAnsi" w:cstheme="minorHAnsi"/>
          <w:shd w:val="clear" w:color="auto" w:fill="FFFFFF"/>
        </w:rPr>
        <w:t>work day</w:t>
      </w:r>
      <w:proofErr w:type="gramEnd"/>
      <w:r w:rsidR="00565CB0">
        <w:rPr>
          <w:rFonts w:asciiTheme="minorHAnsi" w:hAnsiTheme="minorHAnsi" w:cstheme="minorHAnsi"/>
          <w:shd w:val="clear" w:color="auto" w:fill="FFFFFF"/>
        </w:rPr>
        <w:t xml:space="preserve">. </w:t>
      </w:r>
      <w:r w:rsidR="005E5996">
        <w:rPr>
          <w:rFonts w:asciiTheme="minorHAnsi" w:hAnsiTheme="minorHAnsi" w:cstheme="minorHAnsi"/>
          <w:shd w:val="clear" w:color="auto" w:fill="FFFFFF"/>
        </w:rPr>
        <w:t xml:space="preserve"> </w:t>
      </w:r>
      <w:r w:rsidRPr="00E70500">
        <w:rPr>
          <w:rFonts w:asciiTheme="minorHAnsi" w:hAnsiTheme="minorHAnsi" w:cstheme="minorHAnsi"/>
          <w:shd w:val="clear" w:color="auto" w:fill="FFFFFF"/>
        </w:rPr>
        <w:t xml:space="preserve">VOSHA </w:t>
      </w:r>
      <w:r w:rsidR="00124FF5">
        <w:rPr>
          <w:rFonts w:asciiTheme="minorHAnsi" w:hAnsiTheme="minorHAnsi" w:cstheme="minorHAnsi"/>
          <w:shd w:val="clear" w:color="auto" w:fill="FFFFFF"/>
        </w:rPr>
        <w:t xml:space="preserve">was </w:t>
      </w:r>
      <w:r w:rsidR="007352DB" w:rsidRPr="00E70500">
        <w:rPr>
          <w:rFonts w:asciiTheme="minorHAnsi" w:hAnsiTheme="minorHAnsi" w:cstheme="minorHAnsi"/>
          <w:shd w:val="clear" w:color="auto" w:fill="FFFFFF"/>
        </w:rPr>
        <w:t>not certain</w:t>
      </w:r>
      <w:r w:rsidR="005E5996">
        <w:rPr>
          <w:rFonts w:asciiTheme="minorHAnsi" w:hAnsiTheme="minorHAnsi" w:cstheme="minorHAnsi"/>
          <w:shd w:val="clear" w:color="auto" w:fill="FFFFFF"/>
        </w:rPr>
        <w:t xml:space="preserve"> of its jurisdiction in one of the fatality cases</w:t>
      </w:r>
      <w:r w:rsidR="003A3642">
        <w:rPr>
          <w:rFonts w:asciiTheme="minorHAnsi" w:hAnsiTheme="minorHAnsi" w:cstheme="minorHAnsi"/>
          <w:shd w:val="clear" w:color="auto" w:fill="FFFFFF"/>
        </w:rPr>
        <w:t xml:space="preserve"> and needed time to make this determination. </w:t>
      </w:r>
      <w:r w:rsidR="003E0E0A">
        <w:rPr>
          <w:rFonts w:asciiTheme="minorHAnsi" w:hAnsiTheme="minorHAnsi" w:cstheme="minorHAnsi"/>
          <w:shd w:val="clear" w:color="auto" w:fill="FFFFFF"/>
        </w:rPr>
        <w:t xml:space="preserve"> </w:t>
      </w:r>
      <w:r w:rsidR="007A6110" w:rsidRPr="00E70500">
        <w:rPr>
          <w:rFonts w:asciiTheme="minorHAnsi" w:hAnsiTheme="minorHAnsi" w:cstheme="minorHAnsi"/>
          <w:shd w:val="clear" w:color="auto" w:fill="FFFFFF"/>
        </w:rPr>
        <w:t>OSHA</w:t>
      </w:r>
      <w:r w:rsidR="00B22D00" w:rsidRPr="00E70500">
        <w:rPr>
          <w:rFonts w:asciiTheme="minorHAnsi" w:hAnsiTheme="minorHAnsi" w:cstheme="minorHAnsi"/>
          <w:shd w:val="clear" w:color="auto" w:fill="FFFFFF"/>
        </w:rPr>
        <w:t xml:space="preserve"> was aware </w:t>
      </w:r>
      <w:r w:rsidR="003A3642">
        <w:rPr>
          <w:rFonts w:asciiTheme="minorHAnsi" w:hAnsiTheme="minorHAnsi" w:cstheme="minorHAnsi"/>
          <w:shd w:val="clear" w:color="auto" w:fill="FFFFFF"/>
        </w:rPr>
        <w:t>of this situation and</w:t>
      </w:r>
      <w:r w:rsidR="007352DB" w:rsidRPr="00E70500">
        <w:rPr>
          <w:rFonts w:asciiTheme="minorHAnsi" w:hAnsiTheme="minorHAnsi" w:cstheme="minorHAnsi"/>
          <w:shd w:val="clear" w:color="auto" w:fill="FFFFFF"/>
        </w:rPr>
        <w:t xml:space="preserve"> </w:t>
      </w:r>
      <w:r w:rsidR="0056282D">
        <w:rPr>
          <w:rFonts w:asciiTheme="minorHAnsi" w:hAnsiTheme="minorHAnsi" w:cstheme="minorHAnsi"/>
          <w:shd w:val="clear" w:color="auto" w:fill="FFFFFF"/>
        </w:rPr>
        <w:t xml:space="preserve">conferred </w:t>
      </w:r>
      <w:r w:rsidR="00A318B9">
        <w:rPr>
          <w:rFonts w:asciiTheme="minorHAnsi" w:hAnsiTheme="minorHAnsi" w:cstheme="minorHAnsi"/>
          <w:shd w:val="clear" w:color="auto" w:fill="FFFFFF"/>
        </w:rPr>
        <w:t xml:space="preserve">with the </w:t>
      </w:r>
      <w:r w:rsidR="00882894">
        <w:rPr>
          <w:rFonts w:asciiTheme="minorHAnsi" w:hAnsiTheme="minorHAnsi" w:cstheme="minorHAnsi"/>
          <w:shd w:val="clear" w:color="auto" w:fill="FFFFFF"/>
        </w:rPr>
        <w:t>State Plan</w:t>
      </w:r>
      <w:r w:rsidR="0056282D">
        <w:rPr>
          <w:rFonts w:asciiTheme="minorHAnsi" w:hAnsiTheme="minorHAnsi" w:cstheme="minorHAnsi"/>
          <w:shd w:val="clear" w:color="auto" w:fill="FFFFFF"/>
        </w:rPr>
        <w:t xml:space="preserve"> on this matter.</w:t>
      </w:r>
      <w:r w:rsidR="00524A58">
        <w:rPr>
          <w:rFonts w:asciiTheme="minorHAnsi" w:hAnsiTheme="minorHAnsi" w:cstheme="minorHAnsi"/>
          <w:shd w:val="clear" w:color="auto" w:fill="FFFFFF"/>
        </w:rPr>
        <w:t xml:space="preserve"> </w:t>
      </w:r>
      <w:r w:rsidR="00134193">
        <w:rPr>
          <w:rFonts w:asciiTheme="minorHAnsi" w:hAnsiTheme="minorHAnsi" w:cstheme="minorHAnsi"/>
          <w:shd w:val="clear" w:color="auto" w:fill="FFFFFF"/>
        </w:rPr>
        <w:t xml:space="preserve"> </w:t>
      </w:r>
      <w:r w:rsidR="008661CA" w:rsidRPr="00E70500">
        <w:rPr>
          <w:rFonts w:asciiTheme="minorHAnsi" w:hAnsiTheme="minorHAnsi" w:cstheme="minorHAnsi"/>
          <w:shd w:val="clear" w:color="auto" w:fill="FFFFFF"/>
        </w:rPr>
        <w:t>Therefore, VOSHA’s result for SAMM 10 is not cause for concern.</w:t>
      </w:r>
    </w:p>
    <w:p w14:paraId="53B2D4B9" w14:textId="52E146C8" w:rsidR="002F6AA4" w:rsidRDefault="002F6AA4" w:rsidP="00131A74">
      <w:pPr>
        <w:rPr>
          <w:rFonts w:asciiTheme="minorHAnsi" w:hAnsiTheme="minorHAnsi" w:cstheme="minorHAnsi"/>
          <w:b/>
          <w:bCs/>
          <w:shd w:val="clear" w:color="auto" w:fill="FFFFFF"/>
        </w:rPr>
      </w:pPr>
    </w:p>
    <w:p w14:paraId="27654C30" w14:textId="584CE375" w:rsidR="00E61993" w:rsidRDefault="00E61993" w:rsidP="00131A74">
      <w:pPr>
        <w:rPr>
          <w:rFonts w:asciiTheme="minorHAnsi" w:hAnsiTheme="minorHAnsi" w:cstheme="minorHAnsi"/>
          <w:b/>
          <w:bCs/>
          <w:shd w:val="clear" w:color="auto" w:fill="FFFFFF"/>
        </w:rPr>
      </w:pPr>
    </w:p>
    <w:p w14:paraId="18BEE5EF" w14:textId="61B01B59" w:rsidR="00534687" w:rsidRPr="005C2C49" w:rsidRDefault="00534687" w:rsidP="00131A74">
      <w:pPr>
        <w:rPr>
          <w:rFonts w:asciiTheme="minorHAnsi" w:hAnsiTheme="minorHAnsi" w:cstheme="minorHAnsi"/>
          <w:b/>
          <w:bCs/>
          <w:shd w:val="clear" w:color="auto" w:fill="FFFFFF"/>
        </w:rPr>
      </w:pPr>
      <w:r w:rsidRPr="005C2C49">
        <w:rPr>
          <w:rFonts w:asciiTheme="minorHAnsi" w:hAnsiTheme="minorHAnsi" w:cstheme="minorHAnsi"/>
          <w:b/>
          <w:bCs/>
          <w:shd w:val="clear" w:color="auto" w:fill="FFFFFF"/>
        </w:rPr>
        <w:t>SAMM 11b – Average lapse time (health)</w:t>
      </w:r>
    </w:p>
    <w:p w14:paraId="3C160DEF" w14:textId="3521532E" w:rsidR="00534687" w:rsidRPr="005C2C49" w:rsidRDefault="00534687" w:rsidP="00131A74">
      <w:pPr>
        <w:rPr>
          <w:rFonts w:asciiTheme="minorHAnsi" w:hAnsiTheme="minorHAnsi" w:cstheme="minorHAnsi"/>
          <w:b/>
          <w:bCs/>
          <w:shd w:val="clear" w:color="auto" w:fill="FFFFFF"/>
        </w:rPr>
      </w:pPr>
    </w:p>
    <w:p w14:paraId="5A80DEE1" w14:textId="38BB016C" w:rsidR="00534687" w:rsidRPr="005C2C49" w:rsidRDefault="00534687" w:rsidP="00131A74">
      <w:pPr>
        <w:rPr>
          <w:rFonts w:asciiTheme="minorHAnsi" w:hAnsiTheme="minorHAnsi" w:cstheme="minorHAnsi"/>
          <w:shd w:val="clear" w:color="auto" w:fill="FFFFFF"/>
        </w:rPr>
      </w:pPr>
      <w:r w:rsidRPr="005C2C49">
        <w:rPr>
          <w:rFonts w:asciiTheme="minorHAnsi" w:hAnsiTheme="minorHAnsi" w:cstheme="minorHAnsi"/>
          <w:b/>
          <w:bCs/>
          <w:shd w:val="clear" w:color="auto" w:fill="FFFFFF"/>
        </w:rPr>
        <w:t>Discussion of State Plan Data and FRL</w:t>
      </w:r>
      <w:r w:rsidRPr="005C2C49">
        <w:rPr>
          <w:rFonts w:asciiTheme="minorHAnsi" w:hAnsiTheme="minorHAnsi" w:cstheme="minorHAnsi"/>
          <w:shd w:val="clear" w:color="auto" w:fill="FFFFFF"/>
        </w:rPr>
        <w:t>:  The FRL is based on a three-year national average.  The FRL range was from</w:t>
      </w:r>
      <w:r w:rsidR="001E5275" w:rsidRPr="005C2C49">
        <w:rPr>
          <w:rFonts w:asciiTheme="minorHAnsi" w:hAnsiTheme="minorHAnsi" w:cstheme="minorHAnsi"/>
          <w:shd w:val="clear" w:color="auto" w:fill="FFFFFF"/>
        </w:rPr>
        <w:t xml:space="preserve"> </w:t>
      </w:r>
      <w:r w:rsidR="001E5275" w:rsidRPr="005C2C49">
        <w:rPr>
          <w:rFonts w:asciiTheme="minorHAnsi" w:hAnsiTheme="minorHAnsi" w:cstheme="minorHAnsi"/>
        </w:rPr>
        <w:t xml:space="preserve">55.22 to 82.84 </w:t>
      </w:r>
      <w:proofErr w:type="gramStart"/>
      <w:r w:rsidR="001E5275" w:rsidRPr="005C2C49">
        <w:rPr>
          <w:rFonts w:asciiTheme="minorHAnsi" w:hAnsiTheme="minorHAnsi" w:cstheme="minorHAnsi"/>
        </w:rPr>
        <w:t>work days</w:t>
      </w:r>
      <w:proofErr w:type="gramEnd"/>
      <w:r w:rsidR="001E5275" w:rsidRPr="005C2C49">
        <w:rPr>
          <w:rFonts w:asciiTheme="minorHAnsi" w:hAnsiTheme="minorHAnsi" w:cstheme="minorHAnsi"/>
        </w:rPr>
        <w:t>.</w:t>
      </w:r>
      <w:r w:rsidRPr="005C2C49">
        <w:rPr>
          <w:rFonts w:asciiTheme="minorHAnsi" w:hAnsiTheme="minorHAnsi" w:cstheme="minorHAnsi"/>
          <w:shd w:val="clear" w:color="auto" w:fill="FFFFFF"/>
        </w:rPr>
        <w:t xml:space="preserve"> </w:t>
      </w:r>
      <w:r w:rsidR="001E5275" w:rsidRPr="005C2C49">
        <w:rPr>
          <w:rFonts w:asciiTheme="minorHAnsi" w:hAnsiTheme="minorHAnsi" w:cstheme="minorHAnsi"/>
          <w:shd w:val="clear" w:color="auto" w:fill="FFFFFF"/>
        </w:rPr>
        <w:t xml:space="preserve"> In FY 2022, </w:t>
      </w:r>
      <w:r w:rsidRPr="005C2C49">
        <w:rPr>
          <w:rFonts w:asciiTheme="minorHAnsi" w:hAnsiTheme="minorHAnsi" w:cstheme="minorHAnsi"/>
          <w:bCs/>
        </w:rPr>
        <w:t xml:space="preserve">VOSHA’s average lapse time of 96.12 </w:t>
      </w:r>
      <w:proofErr w:type="gramStart"/>
      <w:r w:rsidRPr="005C2C49">
        <w:rPr>
          <w:rFonts w:asciiTheme="minorHAnsi" w:hAnsiTheme="minorHAnsi" w:cstheme="minorHAnsi"/>
          <w:bCs/>
        </w:rPr>
        <w:t>work days</w:t>
      </w:r>
      <w:proofErr w:type="gramEnd"/>
      <w:r w:rsidRPr="005C2C49">
        <w:rPr>
          <w:rFonts w:asciiTheme="minorHAnsi" w:hAnsiTheme="minorHAnsi" w:cstheme="minorHAnsi"/>
          <w:bCs/>
        </w:rPr>
        <w:t xml:space="preserve"> for health inspections was outside (above) the FRL</w:t>
      </w:r>
      <w:r w:rsidR="001E5275" w:rsidRPr="005C2C49">
        <w:rPr>
          <w:rFonts w:asciiTheme="minorHAnsi" w:hAnsiTheme="minorHAnsi" w:cstheme="minorHAnsi"/>
          <w:bCs/>
        </w:rPr>
        <w:t>.  This was not a positive result.</w:t>
      </w:r>
      <w:r w:rsidRPr="005C2C49">
        <w:rPr>
          <w:rFonts w:asciiTheme="minorHAnsi" w:hAnsiTheme="minorHAnsi" w:cstheme="minorHAnsi"/>
          <w:bCs/>
        </w:rPr>
        <w:t xml:space="preserve"> </w:t>
      </w:r>
    </w:p>
    <w:p w14:paraId="5ED8F3B8" w14:textId="440AC837" w:rsidR="00534687" w:rsidRPr="005C2C49" w:rsidRDefault="00534687" w:rsidP="00131A74">
      <w:pPr>
        <w:rPr>
          <w:rFonts w:asciiTheme="minorHAnsi" w:hAnsiTheme="minorHAnsi" w:cstheme="minorHAnsi"/>
          <w:shd w:val="clear" w:color="auto" w:fill="FFFFFF"/>
        </w:rPr>
      </w:pPr>
    </w:p>
    <w:p w14:paraId="750BB87C" w14:textId="29ABC40C" w:rsidR="00534687" w:rsidRDefault="00534687" w:rsidP="001E5275">
      <w:pPr>
        <w:tabs>
          <w:tab w:val="left" w:pos="1260"/>
          <w:tab w:val="left" w:pos="1350"/>
        </w:tabs>
        <w:rPr>
          <w:rFonts w:asciiTheme="minorHAnsi" w:hAnsiTheme="minorHAnsi" w:cstheme="minorHAnsi"/>
          <w:shd w:val="clear" w:color="auto" w:fill="FFFFFF"/>
        </w:rPr>
      </w:pPr>
      <w:r w:rsidRPr="005C2C49">
        <w:rPr>
          <w:rFonts w:asciiTheme="minorHAnsi" w:hAnsiTheme="minorHAnsi" w:cstheme="minorHAnsi"/>
          <w:b/>
          <w:bCs/>
          <w:shd w:val="clear" w:color="auto" w:fill="FFFFFF"/>
        </w:rPr>
        <w:t>Explanation</w:t>
      </w:r>
      <w:r w:rsidRPr="005C2C49">
        <w:rPr>
          <w:rFonts w:asciiTheme="minorHAnsi" w:hAnsiTheme="minorHAnsi" w:cstheme="minorHAnsi"/>
          <w:shd w:val="clear" w:color="auto" w:fill="FFFFFF"/>
        </w:rPr>
        <w:t xml:space="preserve">:  </w:t>
      </w:r>
      <w:r w:rsidRPr="005C2C49">
        <w:t xml:space="preserve">Lapse time is the </w:t>
      </w:r>
      <w:proofErr w:type="gramStart"/>
      <w:r w:rsidRPr="005C2C49">
        <w:t>number</w:t>
      </w:r>
      <w:proofErr w:type="gramEnd"/>
      <w:r w:rsidRPr="005C2C49">
        <w:t xml:space="preserve"> of work days from the opening conference date to the earliest issuance date.  </w:t>
      </w:r>
      <w:r w:rsidRPr="005C2C49">
        <w:rPr>
          <w:rFonts w:asciiTheme="minorHAnsi" w:hAnsiTheme="minorHAnsi" w:cstheme="minorHAnsi"/>
          <w:color w:val="252525"/>
          <w:shd w:val="clear" w:color="auto" w:fill="FFFFFF"/>
        </w:rPr>
        <w:t xml:space="preserve">In FY 2022, four of VOSHA's seven CSHOs had relatively high average lapse times for health inspections that ranged from 105 to 110 </w:t>
      </w:r>
      <w:proofErr w:type="gramStart"/>
      <w:r w:rsidRPr="005C2C49">
        <w:rPr>
          <w:rFonts w:asciiTheme="minorHAnsi" w:hAnsiTheme="minorHAnsi" w:cstheme="minorHAnsi"/>
          <w:color w:val="252525"/>
          <w:shd w:val="clear" w:color="auto" w:fill="FFFFFF"/>
        </w:rPr>
        <w:t>work days</w:t>
      </w:r>
      <w:proofErr w:type="gramEnd"/>
      <w:r w:rsidRPr="005C2C49">
        <w:rPr>
          <w:rFonts w:asciiTheme="minorHAnsi" w:hAnsiTheme="minorHAnsi" w:cstheme="minorHAnsi"/>
          <w:color w:val="252525"/>
          <w:shd w:val="clear" w:color="auto" w:fill="FFFFFF"/>
        </w:rPr>
        <w:t xml:space="preserve">.  However, </w:t>
      </w:r>
      <w:r w:rsidR="001D142D" w:rsidRPr="005C2C49">
        <w:rPr>
          <w:rFonts w:asciiTheme="minorHAnsi" w:hAnsiTheme="minorHAnsi" w:cstheme="minorHAnsi"/>
          <w:color w:val="252525"/>
          <w:shd w:val="clear" w:color="auto" w:fill="FFFFFF"/>
        </w:rPr>
        <w:t xml:space="preserve">as previously mentioned, two of the four CSHOs with high average lapse times were new and took long periods of absence during the fiscal year.  Also, with the </w:t>
      </w:r>
      <w:r w:rsidRPr="005C2C49">
        <w:rPr>
          <w:rFonts w:asciiTheme="minorHAnsi" w:hAnsiTheme="minorHAnsi" w:cstheme="minorHAnsi"/>
          <w:color w:val="252525"/>
          <w:shd w:val="clear" w:color="auto" w:fill="FFFFFF"/>
        </w:rPr>
        <w:t>except</w:t>
      </w:r>
      <w:r w:rsidR="001D142D" w:rsidRPr="005C2C49">
        <w:rPr>
          <w:rFonts w:asciiTheme="minorHAnsi" w:hAnsiTheme="minorHAnsi" w:cstheme="minorHAnsi"/>
          <w:color w:val="252525"/>
          <w:shd w:val="clear" w:color="auto" w:fill="FFFFFF"/>
        </w:rPr>
        <w:t>ion</w:t>
      </w:r>
      <w:r w:rsidRPr="005C2C49">
        <w:rPr>
          <w:rFonts w:asciiTheme="minorHAnsi" w:hAnsiTheme="minorHAnsi" w:cstheme="minorHAnsi"/>
          <w:color w:val="252525"/>
          <w:shd w:val="clear" w:color="auto" w:fill="FFFFFF"/>
        </w:rPr>
        <w:t xml:space="preserve"> FY 2020, VOSHA met the FRL from FY 2017 through FY 2021.  Since VOSHA typically meets the FRL for SAMM 11b</w:t>
      </w:r>
      <w:r w:rsidR="001D142D" w:rsidRPr="005C2C49">
        <w:rPr>
          <w:rFonts w:asciiTheme="minorHAnsi" w:hAnsiTheme="minorHAnsi" w:cstheme="minorHAnsi"/>
          <w:color w:val="252525"/>
          <w:shd w:val="clear" w:color="auto" w:fill="FFFFFF"/>
        </w:rPr>
        <w:t>, and the absence of the two CSHOs was a temporary situation that has ended</w:t>
      </w:r>
      <w:r w:rsidRPr="005C2C49">
        <w:rPr>
          <w:rFonts w:asciiTheme="minorHAnsi" w:hAnsiTheme="minorHAnsi" w:cstheme="minorHAnsi"/>
          <w:color w:val="252525"/>
          <w:shd w:val="clear" w:color="auto" w:fill="FFFFFF"/>
        </w:rPr>
        <w:t xml:space="preserve">, OSHA </w:t>
      </w:r>
      <w:r w:rsidR="001D142D" w:rsidRPr="005C2C49">
        <w:rPr>
          <w:rFonts w:asciiTheme="minorHAnsi" w:hAnsiTheme="minorHAnsi" w:cstheme="minorHAnsi"/>
          <w:color w:val="252525"/>
          <w:shd w:val="clear" w:color="auto" w:fill="FFFFFF"/>
        </w:rPr>
        <w:t xml:space="preserve">believes </w:t>
      </w:r>
      <w:r w:rsidRPr="005C2C49">
        <w:rPr>
          <w:rFonts w:asciiTheme="minorHAnsi" w:hAnsiTheme="minorHAnsi" w:cstheme="minorHAnsi"/>
          <w:color w:val="252525"/>
          <w:shd w:val="clear" w:color="auto" w:fill="FFFFFF"/>
        </w:rPr>
        <w:t>VOSHA will likely improve on this metric.</w:t>
      </w:r>
      <w:r w:rsidR="001D142D" w:rsidRPr="005C2C49">
        <w:rPr>
          <w:rFonts w:asciiTheme="minorHAnsi" w:hAnsiTheme="minorHAnsi" w:cstheme="minorHAnsi"/>
          <w:color w:val="252525"/>
          <w:shd w:val="clear" w:color="auto" w:fill="FFFFFF"/>
        </w:rPr>
        <w:t xml:space="preserve">  OSHA will monitor the State Plan’s performance on this SAMM, but an observation is not warranted at this time</w:t>
      </w:r>
      <w:r w:rsidR="001D142D">
        <w:rPr>
          <w:rFonts w:asciiTheme="minorHAnsi" w:hAnsiTheme="minorHAnsi" w:cstheme="minorHAnsi"/>
          <w:color w:val="252525"/>
          <w:shd w:val="clear" w:color="auto" w:fill="FFFFFF"/>
        </w:rPr>
        <w:t>.</w:t>
      </w:r>
    </w:p>
    <w:p w14:paraId="6CAFAECF" w14:textId="0538C4B3" w:rsidR="00534687" w:rsidRDefault="00534687" w:rsidP="00131A74">
      <w:pPr>
        <w:rPr>
          <w:rFonts w:asciiTheme="minorHAnsi" w:hAnsiTheme="minorHAnsi" w:cstheme="minorHAnsi"/>
          <w:shd w:val="clear" w:color="auto" w:fill="FFFFFF"/>
        </w:rPr>
      </w:pPr>
      <w:r>
        <w:rPr>
          <w:rFonts w:asciiTheme="minorHAnsi" w:hAnsiTheme="minorHAnsi" w:cstheme="minorHAnsi"/>
          <w:shd w:val="clear" w:color="auto" w:fill="FFFFFF"/>
        </w:rPr>
        <w:t xml:space="preserve"> </w:t>
      </w:r>
    </w:p>
    <w:p w14:paraId="6DDEC404" w14:textId="77777777" w:rsidR="005C2C49" w:rsidRPr="00534687" w:rsidRDefault="005C2C49" w:rsidP="00131A74">
      <w:pPr>
        <w:rPr>
          <w:rFonts w:asciiTheme="minorHAnsi" w:hAnsiTheme="minorHAnsi" w:cstheme="minorHAnsi"/>
          <w:shd w:val="clear" w:color="auto" w:fill="FFFFFF"/>
        </w:rPr>
      </w:pPr>
    </w:p>
    <w:p w14:paraId="539E6020" w14:textId="77777777" w:rsidR="00795447" w:rsidRDefault="00795447" w:rsidP="00131A74">
      <w:pPr>
        <w:rPr>
          <w:rFonts w:asciiTheme="minorHAnsi" w:hAnsiTheme="minorHAnsi" w:cstheme="minorHAnsi"/>
          <w:b/>
          <w:bCs/>
          <w:shd w:val="clear" w:color="auto" w:fill="FFFFFF"/>
        </w:rPr>
      </w:pPr>
    </w:p>
    <w:p w14:paraId="1A6C348B" w14:textId="77777777" w:rsidR="008948B2" w:rsidRDefault="008948B2" w:rsidP="00131A74">
      <w:pPr>
        <w:rPr>
          <w:rFonts w:asciiTheme="minorHAnsi" w:hAnsiTheme="minorHAnsi" w:cstheme="minorHAnsi"/>
          <w:b/>
          <w:bCs/>
          <w:shd w:val="clear" w:color="auto" w:fill="FFFFFF"/>
        </w:rPr>
      </w:pPr>
    </w:p>
    <w:p w14:paraId="61D6722F" w14:textId="77777777" w:rsidR="008948B2" w:rsidRDefault="008948B2" w:rsidP="00131A74">
      <w:pPr>
        <w:rPr>
          <w:rFonts w:asciiTheme="minorHAnsi" w:hAnsiTheme="minorHAnsi" w:cstheme="minorHAnsi"/>
          <w:b/>
          <w:bCs/>
          <w:shd w:val="clear" w:color="auto" w:fill="FFFFFF"/>
        </w:rPr>
      </w:pPr>
    </w:p>
    <w:p w14:paraId="16C29912" w14:textId="77777777" w:rsidR="008948B2" w:rsidRDefault="008948B2" w:rsidP="00131A74">
      <w:pPr>
        <w:rPr>
          <w:rFonts w:asciiTheme="minorHAnsi" w:hAnsiTheme="minorHAnsi" w:cstheme="minorHAnsi"/>
          <w:b/>
          <w:bCs/>
          <w:shd w:val="clear" w:color="auto" w:fill="FFFFFF"/>
        </w:rPr>
      </w:pPr>
    </w:p>
    <w:p w14:paraId="670F0A1A" w14:textId="7AE74EAF" w:rsidR="002F6AA4" w:rsidRPr="00AB60F2" w:rsidRDefault="002F6AA4" w:rsidP="00131A74">
      <w:pPr>
        <w:rPr>
          <w:rFonts w:asciiTheme="minorHAnsi" w:hAnsiTheme="minorHAnsi" w:cstheme="minorHAnsi"/>
          <w:b/>
          <w:bCs/>
          <w:shd w:val="clear" w:color="auto" w:fill="FFFFFF"/>
        </w:rPr>
      </w:pPr>
      <w:r w:rsidRPr="00AB60F2">
        <w:rPr>
          <w:rFonts w:asciiTheme="minorHAnsi" w:hAnsiTheme="minorHAnsi" w:cstheme="minorHAnsi"/>
          <w:b/>
          <w:bCs/>
          <w:shd w:val="clear" w:color="auto" w:fill="FFFFFF"/>
        </w:rPr>
        <w:lastRenderedPageBreak/>
        <w:t xml:space="preserve">SAMM 17 – Percent of </w:t>
      </w:r>
      <w:r w:rsidR="00534687">
        <w:rPr>
          <w:rFonts w:asciiTheme="minorHAnsi" w:hAnsiTheme="minorHAnsi" w:cstheme="minorHAnsi"/>
          <w:b/>
          <w:bCs/>
          <w:shd w:val="clear" w:color="auto" w:fill="FFFFFF"/>
        </w:rPr>
        <w:t>e</w:t>
      </w:r>
      <w:r w:rsidRPr="00AB60F2">
        <w:rPr>
          <w:rFonts w:asciiTheme="minorHAnsi" w:hAnsiTheme="minorHAnsi" w:cstheme="minorHAnsi"/>
          <w:b/>
          <w:bCs/>
          <w:shd w:val="clear" w:color="auto" w:fill="FFFFFF"/>
        </w:rPr>
        <w:t xml:space="preserve">nforcement </w:t>
      </w:r>
      <w:r w:rsidR="00534687">
        <w:rPr>
          <w:rFonts w:asciiTheme="minorHAnsi" w:hAnsiTheme="minorHAnsi" w:cstheme="minorHAnsi"/>
          <w:b/>
          <w:bCs/>
          <w:shd w:val="clear" w:color="auto" w:fill="FFFFFF"/>
        </w:rPr>
        <w:t>p</w:t>
      </w:r>
      <w:r w:rsidRPr="00AB60F2">
        <w:rPr>
          <w:rFonts w:asciiTheme="minorHAnsi" w:hAnsiTheme="minorHAnsi" w:cstheme="minorHAnsi"/>
          <w:b/>
          <w:bCs/>
          <w:shd w:val="clear" w:color="auto" w:fill="FFFFFF"/>
        </w:rPr>
        <w:t>resence</w:t>
      </w:r>
    </w:p>
    <w:p w14:paraId="6392FBB8" w14:textId="18CFAC3F" w:rsidR="002F6AA4" w:rsidRDefault="002F6AA4" w:rsidP="00131A74">
      <w:pPr>
        <w:rPr>
          <w:rFonts w:asciiTheme="minorHAnsi" w:hAnsiTheme="minorHAnsi" w:cstheme="minorHAnsi"/>
          <w:shd w:val="clear" w:color="auto" w:fill="FFFFFF"/>
        </w:rPr>
      </w:pPr>
    </w:p>
    <w:p w14:paraId="5C20661D" w14:textId="0FA61180" w:rsidR="002F6AA4" w:rsidRPr="00E70500" w:rsidRDefault="002F6AA4" w:rsidP="002F6AA4">
      <w:pPr>
        <w:widowControl/>
        <w:rPr>
          <w:rFonts w:asciiTheme="minorHAnsi" w:hAnsiTheme="minorHAnsi" w:cstheme="minorHAnsi"/>
          <w:color w:val="000000"/>
        </w:rPr>
      </w:pPr>
      <w:r w:rsidRPr="00556C4D">
        <w:rPr>
          <w:rFonts w:asciiTheme="minorHAnsi" w:hAnsiTheme="minorHAnsi" w:cstheme="minorHAnsi"/>
          <w:b/>
          <w:bCs/>
          <w:color w:val="000000"/>
        </w:rPr>
        <w:t xml:space="preserve">Discussion of State Plan </w:t>
      </w:r>
      <w:r w:rsidR="00FA6B84" w:rsidRPr="00556C4D">
        <w:rPr>
          <w:rFonts w:asciiTheme="minorHAnsi" w:hAnsiTheme="minorHAnsi" w:cstheme="minorHAnsi"/>
          <w:b/>
          <w:bCs/>
          <w:color w:val="000000"/>
        </w:rPr>
        <w:t>D</w:t>
      </w:r>
      <w:r w:rsidRPr="00556C4D">
        <w:rPr>
          <w:rFonts w:asciiTheme="minorHAnsi" w:hAnsiTheme="minorHAnsi" w:cstheme="minorHAnsi"/>
          <w:b/>
          <w:bCs/>
          <w:color w:val="000000"/>
        </w:rPr>
        <w:t>ata and FRL</w:t>
      </w:r>
      <w:r w:rsidRPr="00E70500">
        <w:rPr>
          <w:rFonts w:asciiTheme="minorHAnsi" w:hAnsiTheme="minorHAnsi" w:cstheme="minorHAnsi"/>
          <w:color w:val="000000"/>
        </w:rPr>
        <w:t xml:space="preserve">: </w:t>
      </w:r>
      <w:r w:rsidRPr="00EE16A8">
        <w:rPr>
          <w:rFonts w:asciiTheme="minorHAnsi" w:hAnsiTheme="minorHAnsi" w:cstheme="minorHAnsi"/>
        </w:rPr>
        <w:t xml:space="preserve">The </w:t>
      </w:r>
      <w:r>
        <w:rPr>
          <w:rFonts w:asciiTheme="minorHAnsi" w:hAnsiTheme="minorHAnsi" w:cstheme="minorHAnsi"/>
        </w:rPr>
        <w:t xml:space="preserve">FRL </w:t>
      </w:r>
      <w:r w:rsidRPr="00EE16A8">
        <w:rPr>
          <w:rFonts w:asciiTheme="minorHAnsi" w:hAnsiTheme="minorHAnsi" w:cstheme="minorHAnsi"/>
        </w:rPr>
        <w:t xml:space="preserve">is based on a three-year national average.  The range of acceptable data not requiring further review </w:t>
      </w:r>
      <w:r w:rsidR="00F8727C">
        <w:rPr>
          <w:rFonts w:asciiTheme="minorHAnsi" w:hAnsiTheme="minorHAnsi" w:cstheme="minorHAnsi"/>
        </w:rPr>
        <w:t>was</w:t>
      </w:r>
      <w:r w:rsidRPr="00EE16A8">
        <w:rPr>
          <w:rFonts w:asciiTheme="minorHAnsi" w:hAnsiTheme="minorHAnsi" w:cstheme="minorHAnsi"/>
        </w:rPr>
        <w:t xml:space="preserve"> from </w:t>
      </w:r>
      <w:r w:rsidRPr="003D7789">
        <w:rPr>
          <w:rFonts w:asciiTheme="minorHAnsi" w:hAnsiTheme="minorHAnsi" w:cstheme="minorHAnsi"/>
        </w:rPr>
        <w:t>1.23</w:t>
      </w:r>
      <w:r w:rsidR="00610CE2">
        <w:rPr>
          <w:rFonts w:asciiTheme="minorHAnsi" w:hAnsiTheme="minorHAnsi" w:cstheme="minorHAnsi"/>
        </w:rPr>
        <w:t xml:space="preserve"> percent </w:t>
      </w:r>
      <w:r w:rsidRPr="003D7789">
        <w:rPr>
          <w:rFonts w:asciiTheme="minorHAnsi" w:hAnsiTheme="minorHAnsi" w:cstheme="minorHAnsi"/>
        </w:rPr>
        <w:t>to 2.05</w:t>
      </w:r>
      <w:r w:rsidR="00610CE2">
        <w:rPr>
          <w:rFonts w:asciiTheme="minorHAnsi" w:hAnsiTheme="minorHAnsi" w:cstheme="minorHAnsi"/>
        </w:rPr>
        <w:t xml:space="preserve"> percent</w:t>
      </w:r>
      <w:r w:rsidRPr="003D7789">
        <w:rPr>
          <w:rFonts w:asciiTheme="minorHAnsi" w:hAnsiTheme="minorHAnsi" w:cstheme="minorHAnsi"/>
        </w:rPr>
        <w:t>.</w:t>
      </w:r>
      <w:r>
        <w:rPr>
          <w:rFonts w:asciiTheme="minorHAnsi" w:hAnsiTheme="minorHAnsi" w:cstheme="minorHAnsi"/>
        </w:rPr>
        <w:t xml:space="preserve">  In FY 2022, </w:t>
      </w:r>
      <w:r w:rsidRPr="00E70500">
        <w:rPr>
          <w:rFonts w:asciiTheme="minorHAnsi" w:hAnsiTheme="minorHAnsi" w:cstheme="minorHAnsi"/>
          <w:bCs/>
        </w:rPr>
        <w:t>VOSHA’s percent of 0.91 was outside (below) the FRL range</w:t>
      </w:r>
      <w:r>
        <w:rPr>
          <w:rFonts w:asciiTheme="minorHAnsi" w:hAnsiTheme="minorHAnsi" w:cstheme="minorHAnsi"/>
          <w:bCs/>
        </w:rPr>
        <w:t>.</w:t>
      </w:r>
    </w:p>
    <w:p w14:paraId="61FA3AFA" w14:textId="77777777" w:rsidR="002F6AA4" w:rsidRPr="00E70500" w:rsidRDefault="002F6AA4" w:rsidP="002F6AA4">
      <w:pPr>
        <w:widowControl/>
        <w:rPr>
          <w:rFonts w:asciiTheme="minorHAnsi" w:hAnsiTheme="minorHAnsi" w:cstheme="minorHAnsi"/>
          <w:color w:val="006ACC"/>
          <w:shd w:val="clear" w:color="auto" w:fill="FFFFFF"/>
        </w:rPr>
      </w:pPr>
    </w:p>
    <w:p w14:paraId="7DD02153" w14:textId="03C698FD" w:rsidR="00B35A4A" w:rsidRPr="00E70500" w:rsidRDefault="002F6AA4" w:rsidP="00972047">
      <w:pPr>
        <w:tabs>
          <w:tab w:val="left" w:pos="1260"/>
          <w:tab w:val="left" w:pos="1350"/>
        </w:tabs>
        <w:rPr>
          <w:rFonts w:asciiTheme="minorHAnsi" w:hAnsiTheme="minorHAnsi" w:cstheme="minorHAnsi"/>
          <w:shd w:val="clear" w:color="auto" w:fill="FFFFFF"/>
        </w:rPr>
      </w:pPr>
      <w:r w:rsidRPr="00556C4D">
        <w:rPr>
          <w:rFonts w:asciiTheme="minorHAnsi" w:hAnsiTheme="minorHAnsi" w:cstheme="minorHAnsi"/>
          <w:b/>
          <w:bCs/>
          <w:color w:val="000000"/>
        </w:rPr>
        <w:t>Explanation:</w:t>
      </w:r>
      <w:r w:rsidRPr="00E70500">
        <w:rPr>
          <w:rFonts w:asciiTheme="minorHAnsi" w:hAnsiTheme="minorHAnsi" w:cstheme="minorHAnsi"/>
          <w:color w:val="000000"/>
        </w:rPr>
        <w:t xml:space="preserve"> </w:t>
      </w:r>
      <w:r w:rsidRPr="00F73FFF">
        <w:rPr>
          <w:rFonts w:asciiTheme="minorHAnsi" w:hAnsiTheme="minorHAnsi" w:cstheme="minorHAnsi"/>
        </w:rPr>
        <w:t xml:space="preserve">This SAMM calculates the percent of enforcement presence as the total number of inspections divided by the total number of establishments.  Total establishments do not include state and local government establishments or establishments in low-hazard private sector industries.  </w:t>
      </w:r>
      <w:r w:rsidR="00CB7777">
        <w:rPr>
          <w:rFonts w:asciiTheme="minorHAnsi" w:hAnsiTheme="minorHAnsi" w:cstheme="minorHAnsi"/>
        </w:rPr>
        <w:t>Over the past five years, VOSHA’s performance on SAMM 17 has been acceptable: f</w:t>
      </w:r>
      <w:r w:rsidRPr="00E70500">
        <w:rPr>
          <w:rFonts w:asciiTheme="minorHAnsi" w:hAnsiTheme="minorHAnsi" w:cstheme="minorHAnsi"/>
        </w:rPr>
        <w:t>rom FY 2017 through FY 2019, VOSHA’s resul</w:t>
      </w:r>
      <w:r w:rsidR="00CB7777">
        <w:rPr>
          <w:rFonts w:asciiTheme="minorHAnsi" w:hAnsiTheme="minorHAnsi" w:cstheme="minorHAnsi"/>
        </w:rPr>
        <w:t>ts</w:t>
      </w:r>
      <w:r w:rsidRPr="00E70500">
        <w:rPr>
          <w:rFonts w:asciiTheme="minorHAnsi" w:hAnsiTheme="minorHAnsi" w:cstheme="minorHAnsi"/>
        </w:rPr>
        <w:t xml:space="preserve"> for this metric w</w:t>
      </w:r>
      <w:r w:rsidR="00CB7777">
        <w:rPr>
          <w:rFonts w:asciiTheme="minorHAnsi" w:hAnsiTheme="minorHAnsi" w:cstheme="minorHAnsi"/>
        </w:rPr>
        <w:t>ere</w:t>
      </w:r>
      <w:r w:rsidRPr="00E70500">
        <w:rPr>
          <w:rFonts w:asciiTheme="minorHAnsi" w:hAnsiTheme="minorHAnsi" w:cstheme="minorHAnsi"/>
        </w:rPr>
        <w:t xml:space="preserve"> higher than the FRL range</w:t>
      </w:r>
      <w:r w:rsidR="002A416B">
        <w:rPr>
          <w:rFonts w:asciiTheme="minorHAnsi" w:hAnsiTheme="minorHAnsi" w:cstheme="minorHAnsi"/>
        </w:rPr>
        <w:t>s</w:t>
      </w:r>
      <w:r w:rsidRPr="00E70500">
        <w:rPr>
          <w:rFonts w:asciiTheme="minorHAnsi" w:hAnsiTheme="minorHAnsi" w:cstheme="minorHAnsi"/>
        </w:rPr>
        <w:t xml:space="preserve">, and in FY 2020 and in FY 2021, the State Plan’s percent was within the FRL range. </w:t>
      </w:r>
      <w:r w:rsidR="009A020F">
        <w:rPr>
          <w:rFonts w:asciiTheme="minorHAnsi" w:hAnsiTheme="minorHAnsi" w:cstheme="minorHAnsi"/>
        </w:rPr>
        <w:t xml:space="preserve"> </w:t>
      </w:r>
      <w:r>
        <w:rPr>
          <w:rFonts w:asciiTheme="minorHAnsi" w:hAnsiTheme="minorHAnsi" w:cstheme="minorHAnsi"/>
        </w:rPr>
        <w:t>Furthermore,</w:t>
      </w:r>
      <w:r w:rsidR="0081057A">
        <w:rPr>
          <w:rFonts w:asciiTheme="minorHAnsi" w:hAnsiTheme="minorHAnsi" w:cstheme="minorHAnsi"/>
        </w:rPr>
        <w:t xml:space="preserve"> </w:t>
      </w:r>
      <w:r w:rsidR="00AB60F2">
        <w:rPr>
          <w:rFonts w:asciiTheme="minorHAnsi" w:hAnsiTheme="minorHAnsi" w:cstheme="minorHAnsi"/>
        </w:rPr>
        <w:t xml:space="preserve">VOSHA’s </w:t>
      </w:r>
      <w:r>
        <w:rPr>
          <w:rFonts w:asciiTheme="minorHAnsi" w:hAnsiTheme="minorHAnsi" w:cstheme="minorHAnsi"/>
        </w:rPr>
        <w:t xml:space="preserve">FY 2022 </w:t>
      </w:r>
      <w:r w:rsidR="000019A6">
        <w:rPr>
          <w:rFonts w:asciiTheme="minorHAnsi" w:hAnsiTheme="minorHAnsi" w:cstheme="minorHAnsi"/>
        </w:rPr>
        <w:t xml:space="preserve">percent </w:t>
      </w:r>
      <w:r w:rsidRPr="00E70500">
        <w:rPr>
          <w:rFonts w:asciiTheme="minorHAnsi" w:hAnsiTheme="minorHAnsi" w:cstheme="minorHAnsi"/>
        </w:rPr>
        <w:t xml:space="preserve">of 0.91 percent was higher than </w:t>
      </w:r>
      <w:r>
        <w:rPr>
          <w:rFonts w:asciiTheme="minorHAnsi" w:hAnsiTheme="minorHAnsi" w:cstheme="minorHAnsi"/>
        </w:rPr>
        <w:t xml:space="preserve">its previous year’s </w:t>
      </w:r>
      <w:r w:rsidRPr="00E70500">
        <w:rPr>
          <w:rFonts w:asciiTheme="minorHAnsi" w:hAnsiTheme="minorHAnsi" w:cstheme="minorHAnsi"/>
        </w:rPr>
        <w:t>percent of 0.84</w:t>
      </w:r>
      <w:r w:rsidR="00A016F0">
        <w:rPr>
          <w:rFonts w:asciiTheme="minorHAnsi" w:hAnsiTheme="minorHAnsi" w:cstheme="minorHAnsi"/>
        </w:rPr>
        <w:t xml:space="preserve"> (which was within that year’s FRL range).</w:t>
      </w:r>
      <w:r w:rsidR="009A020F">
        <w:rPr>
          <w:rFonts w:asciiTheme="minorHAnsi" w:hAnsiTheme="minorHAnsi" w:cstheme="minorHAnsi"/>
        </w:rPr>
        <w:t xml:space="preserve"> </w:t>
      </w:r>
      <w:r w:rsidR="001D4963">
        <w:rPr>
          <w:rFonts w:asciiTheme="minorHAnsi" w:hAnsiTheme="minorHAnsi" w:cstheme="minorHAnsi"/>
        </w:rPr>
        <w:t xml:space="preserve"> </w:t>
      </w:r>
      <w:r w:rsidR="009A020F">
        <w:rPr>
          <w:rFonts w:asciiTheme="minorHAnsi" w:hAnsiTheme="minorHAnsi" w:cstheme="minorHAnsi"/>
        </w:rPr>
        <w:t xml:space="preserve">Therefore, the State Plan’s performance on this metric is not </w:t>
      </w:r>
      <w:r w:rsidR="00DA74E2">
        <w:rPr>
          <w:rFonts w:asciiTheme="minorHAnsi" w:hAnsiTheme="minorHAnsi" w:cstheme="minorHAnsi"/>
        </w:rPr>
        <w:t>overly concerning.</w:t>
      </w:r>
    </w:p>
    <w:p w14:paraId="4BA7B7D2" w14:textId="77777777" w:rsidR="00B35A4A" w:rsidRPr="00E70500" w:rsidRDefault="00B35A4A" w:rsidP="00131A74">
      <w:pPr>
        <w:rPr>
          <w:rFonts w:asciiTheme="minorHAnsi" w:hAnsiTheme="minorHAnsi" w:cstheme="minorHAnsi"/>
        </w:rPr>
      </w:pPr>
    </w:p>
    <w:p w14:paraId="5B2B946B" w14:textId="77777777" w:rsidR="00A02B33" w:rsidRPr="00E70500" w:rsidRDefault="00A02B33" w:rsidP="00783189">
      <w:pPr>
        <w:widowControl/>
        <w:autoSpaceDE/>
        <w:adjustRightInd/>
        <w:rPr>
          <w:rFonts w:asciiTheme="minorHAnsi" w:hAnsiTheme="minorHAnsi" w:cstheme="minorHAnsi"/>
          <w:b/>
          <w:u w:val="single"/>
        </w:rPr>
      </w:pPr>
    </w:p>
    <w:p w14:paraId="4DD4CBB7" w14:textId="77777777" w:rsidR="000A134A" w:rsidRPr="00E70500" w:rsidRDefault="000A134A" w:rsidP="007A71AC">
      <w:pPr>
        <w:widowControl/>
        <w:autoSpaceDE/>
        <w:autoSpaceDN/>
        <w:adjustRightInd/>
        <w:rPr>
          <w:rFonts w:asciiTheme="minorHAnsi" w:hAnsiTheme="minorHAnsi" w:cstheme="minorHAnsi"/>
        </w:rPr>
        <w:sectPr w:rsidR="000A134A" w:rsidRPr="00E70500" w:rsidSect="00783189">
          <w:footerReference w:type="default" r:id="rId10"/>
          <w:footerReference w:type="first" r:id="rId11"/>
          <w:pgSz w:w="12240" w:h="15840"/>
          <w:pgMar w:top="1440" w:right="1260" w:bottom="1260" w:left="1440" w:header="720" w:footer="526" w:gutter="0"/>
          <w:pgNumType w:start="1"/>
          <w:cols w:space="720"/>
          <w:titlePg/>
          <w:docGrid w:linePitch="360"/>
        </w:sectPr>
      </w:pPr>
    </w:p>
    <w:p w14:paraId="516D3ECD" w14:textId="77777777" w:rsidR="00B6741C" w:rsidRPr="00E70500" w:rsidRDefault="00B6741C" w:rsidP="00795447">
      <w:pPr>
        <w:pStyle w:val="Heading3"/>
        <w:numPr>
          <w:ilvl w:val="0"/>
          <w:numId w:val="0"/>
        </w:numPr>
      </w:pPr>
      <w:bookmarkStart w:id="23" w:name="_Toc118905017"/>
      <w:bookmarkStart w:id="24" w:name="_Toc119418669"/>
      <w:r w:rsidRPr="00E70500">
        <w:lastRenderedPageBreak/>
        <w:t>Appendix A – New and Continued Findings and Recommendations</w:t>
      </w:r>
      <w:bookmarkEnd w:id="23"/>
      <w:bookmarkEnd w:id="24"/>
    </w:p>
    <w:p w14:paraId="670F195C" w14:textId="068C6561" w:rsidR="00B6741C" w:rsidRPr="00E70500" w:rsidRDefault="00B6741C" w:rsidP="00B6741C">
      <w:pPr>
        <w:rPr>
          <w:rFonts w:asciiTheme="minorHAnsi" w:hAnsiTheme="minorHAnsi" w:cstheme="minorHAnsi"/>
        </w:rPr>
      </w:pPr>
      <w:r w:rsidRPr="00E70500">
        <w:rPr>
          <w:rFonts w:asciiTheme="minorHAnsi" w:hAnsiTheme="minorHAnsi" w:cstheme="minorHAnsi"/>
        </w:rPr>
        <w:t>FY 2022</w:t>
      </w:r>
      <w:r w:rsidRPr="001F366E">
        <w:rPr>
          <w:rFonts w:asciiTheme="minorHAnsi" w:hAnsiTheme="minorHAnsi" w:cstheme="minorHAnsi"/>
        </w:rPr>
        <w:t xml:space="preserve"> </w:t>
      </w:r>
      <w:r w:rsidR="00046C5F" w:rsidRPr="001F366E">
        <w:rPr>
          <w:rFonts w:asciiTheme="minorHAnsi" w:hAnsiTheme="minorHAnsi" w:cstheme="minorHAnsi"/>
        </w:rPr>
        <w:t xml:space="preserve">VOSHA </w:t>
      </w:r>
      <w:r w:rsidRPr="00E70500">
        <w:rPr>
          <w:rFonts w:asciiTheme="minorHAnsi" w:hAnsiTheme="minorHAnsi" w:cstheme="minorHAnsi"/>
        </w:rPr>
        <w:t>Follow-up FAME Report</w:t>
      </w:r>
    </w:p>
    <w:p w14:paraId="77980CE2" w14:textId="63BC33BC" w:rsidR="000A134A" w:rsidRDefault="000A134A" w:rsidP="007A71AC">
      <w:pPr>
        <w:widowControl/>
        <w:tabs>
          <w:tab w:val="left" w:pos="3630"/>
        </w:tabs>
        <w:autoSpaceDE/>
        <w:autoSpaceDN/>
        <w:adjustRightInd/>
        <w:rPr>
          <w:rFonts w:asciiTheme="minorHAnsi" w:hAnsiTheme="minorHAnsi" w:cstheme="minorHAnsi"/>
        </w:rPr>
      </w:pPr>
    </w:p>
    <w:p w14:paraId="4619B0BA" w14:textId="77777777" w:rsidR="00373E52" w:rsidRPr="00E70500" w:rsidRDefault="00373E52" w:rsidP="007A71AC">
      <w:pPr>
        <w:widowControl/>
        <w:tabs>
          <w:tab w:val="left" w:pos="3630"/>
        </w:tabs>
        <w:autoSpaceDE/>
        <w:autoSpaceDN/>
        <w:adjustRightInd/>
        <w:rPr>
          <w:rFonts w:asciiTheme="minorHAnsi" w:hAnsiTheme="minorHAnsi" w:cstheme="minorHAns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E70500" w14:paraId="0F6BB42C" w14:textId="77777777" w:rsidTr="00185C7D">
        <w:trPr>
          <w:trHeight w:val="350"/>
        </w:trPr>
        <w:tc>
          <w:tcPr>
            <w:tcW w:w="1440" w:type="dxa"/>
          </w:tcPr>
          <w:p w14:paraId="1F333F67" w14:textId="4B70270E" w:rsidR="000A134A" w:rsidRPr="00E70500" w:rsidRDefault="000A134A" w:rsidP="00DC1FC3">
            <w:pPr>
              <w:widowControl/>
              <w:autoSpaceDE/>
              <w:autoSpaceDN/>
              <w:adjustRightInd/>
              <w:rPr>
                <w:rFonts w:asciiTheme="minorHAnsi" w:hAnsiTheme="minorHAnsi" w:cstheme="minorHAnsi"/>
                <w:b/>
              </w:rPr>
            </w:pPr>
            <w:r w:rsidRPr="00E70500">
              <w:rPr>
                <w:rFonts w:asciiTheme="minorHAnsi" w:hAnsiTheme="minorHAnsi" w:cstheme="minorHAnsi"/>
                <w:b/>
              </w:rPr>
              <w:t xml:space="preserve">FY </w:t>
            </w:r>
            <w:r w:rsidR="00DC4A62" w:rsidRPr="00E70500">
              <w:rPr>
                <w:rFonts w:asciiTheme="minorHAnsi" w:hAnsiTheme="minorHAnsi" w:cstheme="minorHAnsi"/>
                <w:b/>
              </w:rPr>
              <w:t>20</w:t>
            </w:r>
            <w:r w:rsidR="00046C5F" w:rsidRPr="00E70500">
              <w:rPr>
                <w:rFonts w:asciiTheme="minorHAnsi" w:hAnsiTheme="minorHAnsi" w:cstheme="minorHAnsi"/>
                <w:b/>
              </w:rPr>
              <w:t>22</w:t>
            </w:r>
            <w:r w:rsidRPr="00E70500">
              <w:rPr>
                <w:rFonts w:asciiTheme="minorHAnsi" w:hAnsiTheme="minorHAnsi" w:cstheme="minorHAnsi"/>
                <w:b/>
              </w:rPr>
              <w:t>-</w:t>
            </w:r>
            <w:r w:rsidR="00BB0343" w:rsidRPr="00E70500">
              <w:rPr>
                <w:rFonts w:asciiTheme="minorHAnsi" w:hAnsiTheme="minorHAnsi" w:cstheme="minorHAnsi"/>
                <w:b/>
              </w:rPr>
              <w:t>#</w:t>
            </w:r>
          </w:p>
        </w:tc>
        <w:tc>
          <w:tcPr>
            <w:tcW w:w="4721" w:type="dxa"/>
          </w:tcPr>
          <w:p w14:paraId="0C140B4B" w14:textId="77777777" w:rsidR="000A134A" w:rsidRPr="00E70500" w:rsidRDefault="000A134A" w:rsidP="00DC1FC3">
            <w:pPr>
              <w:widowControl/>
              <w:autoSpaceDE/>
              <w:autoSpaceDN/>
              <w:adjustRightInd/>
              <w:rPr>
                <w:rFonts w:asciiTheme="minorHAnsi" w:hAnsiTheme="minorHAnsi" w:cstheme="minorHAnsi"/>
                <w:b/>
              </w:rPr>
            </w:pPr>
            <w:r w:rsidRPr="00E70500">
              <w:rPr>
                <w:rFonts w:asciiTheme="minorHAnsi" w:hAnsiTheme="minorHAnsi" w:cstheme="minorHAnsi"/>
                <w:b/>
              </w:rPr>
              <w:t>Finding</w:t>
            </w:r>
          </w:p>
        </w:tc>
        <w:tc>
          <w:tcPr>
            <w:tcW w:w="4819" w:type="dxa"/>
          </w:tcPr>
          <w:p w14:paraId="7801EA8C" w14:textId="77777777" w:rsidR="000A134A" w:rsidRPr="00E70500" w:rsidRDefault="000A134A" w:rsidP="00DC1FC3">
            <w:pPr>
              <w:widowControl/>
              <w:autoSpaceDE/>
              <w:autoSpaceDN/>
              <w:adjustRightInd/>
              <w:rPr>
                <w:rFonts w:asciiTheme="minorHAnsi" w:hAnsiTheme="minorHAnsi" w:cstheme="minorHAnsi"/>
                <w:b/>
              </w:rPr>
            </w:pPr>
            <w:r w:rsidRPr="00E70500">
              <w:rPr>
                <w:rFonts w:asciiTheme="minorHAnsi" w:hAnsiTheme="minorHAnsi" w:cstheme="minorHAnsi"/>
                <w:b/>
              </w:rPr>
              <w:t>Recommendation</w:t>
            </w:r>
          </w:p>
        </w:tc>
        <w:tc>
          <w:tcPr>
            <w:tcW w:w="1890" w:type="dxa"/>
          </w:tcPr>
          <w:p w14:paraId="7C9006CD" w14:textId="59C9DA9E" w:rsidR="00BB0343" w:rsidRPr="00E70500" w:rsidRDefault="00BB0343" w:rsidP="00DC1FC3">
            <w:pPr>
              <w:widowControl/>
              <w:autoSpaceDE/>
              <w:autoSpaceDN/>
              <w:adjustRightInd/>
              <w:rPr>
                <w:rFonts w:asciiTheme="minorHAnsi" w:hAnsiTheme="minorHAnsi" w:cstheme="minorHAnsi"/>
                <w:b/>
              </w:rPr>
            </w:pPr>
            <w:r w:rsidRPr="00E70500">
              <w:rPr>
                <w:rFonts w:asciiTheme="minorHAnsi" w:hAnsiTheme="minorHAnsi" w:cstheme="minorHAnsi"/>
                <w:b/>
              </w:rPr>
              <w:t xml:space="preserve">FY </w:t>
            </w:r>
            <w:r w:rsidR="00DC4A62" w:rsidRPr="00E70500">
              <w:rPr>
                <w:rFonts w:asciiTheme="minorHAnsi" w:hAnsiTheme="minorHAnsi" w:cstheme="minorHAnsi"/>
                <w:b/>
              </w:rPr>
              <w:t>20</w:t>
            </w:r>
            <w:r w:rsidR="001F366E">
              <w:rPr>
                <w:rFonts w:asciiTheme="minorHAnsi" w:hAnsiTheme="minorHAnsi" w:cstheme="minorHAnsi"/>
                <w:b/>
              </w:rPr>
              <w:t>21</w:t>
            </w:r>
            <w:r w:rsidRPr="00E70500">
              <w:rPr>
                <w:rFonts w:asciiTheme="minorHAnsi" w:hAnsiTheme="minorHAnsi" w:cstheme="minorHAnsi"/>
                <w:b/>
              </w:rPr>
              <w:t xml:space="preserve">-# or </w:t>
            </w:r>
          </w:p>
          <w:p w14:paraId="3C61CFBF" w14:textId="3B13BED9" w:rsidR="000A134A" w:rsidRPr="00E70500" w:rsidRDefault="00BB0343" w:rsidP="00DC1FC3">
            <w:pPr>
              <w:widowControl/>
              <w:autoSpaceDE/>
              <w:autoSpaceDN/>
              <w:adjustRightInd/>
              <w:rPr>
                <w:rFonts w:asciiTheme="minorHAnsi" w:hAnsiTheme="minorHAnsi" w:cstheme="minorHAnsi"/>
                <w:b/>
              </w:rPr>
            </w:pPr>
            <w:r w:rsidRPr="00E70500">
              <w:rPr>
                <w:rFonts w:asciiTheme="minorHAnsi" w:hAnsiTheme="minorHAnsi" w:cstheme="minorHAnsi"/>
                <w:b/>
              </w:rPr>
              <w:t xml:space="preserve">FY </w:t>
            </w:r>
            <w:r w:rsidR="00DC4A62" w:rsidRPr="00E70500">
              <w:rPr>
                <w:rFonts w:asciiTheme="minorHAnsi" w:hAnsiTheme="minorHAnsi" w:cstheme="minorHAnsi"/>
                <w:b/>
              </w:rPr>
              <w:t>20</w:t>
            </w:r>
            <w:r w:rsidR="001F366E">
              <w:rPr>
                <w:rFonts w:asciiTheme="minorHAnsi" w:hAnsiTheme="minorHAnsi" w:cstheme="minorHAnsi"/>
                <w:b/>
              </w:rPr>
              <w:t>21</w:t>
            </w:r>
            <w:r w:rsidR="00E371B7">
              <w:rPr>
                <w:rFonts w:asciiTheme="minorHAnsi" w:hAnsiTheme="minorHAnsi" w:cstheme="minorHAnsi"/>
                <w:b/>
              </w:rPr>
              <w:t>-</w:t>
            </w:r>
            <w:r w:rsidRPr="00E70500">
              <w:rPr>
                <w:rFonts w:asciiTheme="minorHAnsi" w:hAnsiTheme="minorHAnsi" w:cstheme="minorHAnsi"/>
                <w:b/>
              </w:rPr>
              <w:t>OB-#</w:t>
            </w:r>
          </w:p>
        </w:tc>
      </w:tr>
      <w:tr w:rsidR="000A134A" w:rsidRPr="00E70500" w14:paraId="5368CE16" w14:textId="77777777" w:rsidTr="00185C7D">
        <w:tc>
          <w:tcPr>
            <w:tcW w:w="1440" w:type="dxa"/>
          </w:tcPr>
          <w:p w14:paraId="31EBB109" w14:textId="77777777" w:rsidR="000A134A" w:rsidRPr="00E70500" w:rsidRDefault="000A134A" w:rsidP="00DC1FC3">
            <w:pPr>
              <w:widowControl/>
              <w:autoSpaceDE/>
              <w:autoSpaceDN/>
              <w:adjustRightInd/>
              <w:rPr>
                <w:rFonts w:asciiTheme="minorHAnsi" w:hAnsiTheme="minorHAnsi" w:cstheme="minorHAnsi"/>
              </w:rPr>
            </w:pPr>
            <w:r w:rsidRPr="00E70500">
              <w:rPr>
                <w:rFonts w:asciiTheme="minorHAnsi" w:hAnsiTheme="minorHAnsi" w:cstheme="minorHAnsi"/>
              </w:rPr>
              <w:t xml:space="preserve"> </w:t>
            </w:r>
          </w:p>
          <w:p w14:paraId="39F370D3" w14:textId="77777777" w:rsidR="000A134A" w:rsidRPr="00E70500" w:rsidRDefault="000A134A" w:rsidP="00DC1FC3">
            <w:pPr>
              <w:widowControl/>
              <w:autoSpaceDE/>
              <w:autoSpaceDN/>
              <w:adjustRightInd/>
              <w:rPr>
                <w:rFonts w:asciiTheme="minorHAnsi" w:hAnsiTheme="minorHAnsi" w:cstheme="minorHAnsi"/>
              </w:rPr>
            </w:pPr>
          </w:p>
        </w:tc>
        <w:tc>
          <w:tcPr>
            <w:tcW w:w="4721" w:type="dxa"/>
          </w:tcPr>
          <w:p w14:paraId="4B3C1E3A" w14:textId="2A741BCB" w:rsidR="000A134A" w:rsidRPr="00E70500" w:rsidRDefault="002E0D0D" w:rsidP="00DC1FC3">
            <w:pPr>
              <w:widowControl/>
              <w:autoSpaceDE/>
              <w:autoSpaceDN/>
              <w:adjustRightInd/>
              <w:rPr>
                <w:rFonts w:asciiTheme="minorHAnsi" w:hAnsiTheme="minorHAnsi" w:cstheme="minorHAnsi"/>
              </w:rPr>
            </w:pPr>
            <w:r>
              <w:rPr>
                <w:rFonts w:asciiTheme="minorHAnsi" w:hAnsiTheme="minorHAnsi" w:cstheme="minorHAnsi"/>
              </w:rPr>
              <w:t>None.</w:t>
            </w:r>
          </w:p>
        </w:tc>
        <w:tc>
          <w:tcPr>
            <w:tcW w:w="4819" w:type="dxa"/>
          </w:tcPr>
          <w:p w14:paraId="5C606D29" w14:textId="77777777" w:rsidR="000A134A" w:rsidRPr="00E70500" w:rsidRDefault="000A134A" w:rsidP="00DC1FC3">
            <w:pPr>
              <w:widowControl/>
              <w:autoSpaceDE/>
              <w:autoSpaceDN/>
              <w:adjustRightInd/>
              <w:rPr>
                <w:rFonts w:asciiTheme="minorHAnsi" w:hAnsiTheme="minorHAnsi" w:cstheme="minorHAnsi"/>
              </w:rPr>
            </w:pPr>
            <w:r w:rsidRPr="00E70500">
              <w:rPr>
                <w:rFonts w:asciiTheme="minorHAnsi" w:hAnsiTheme="minorHAnsi" w:cstheme="minorHAnsi"/>
              </w:rPr>
              <w:t xml:space="preserve"> </w:t>
            </w:r>
          </w:p>
          <w:p w14:paraId="7A48B2C8" w14:textId="77777777" w:rsidR="000A134A" w:rsidRPr="00E70500" w:rsidRDefault="000A134A" w:rsidP="00DC1FC3">
            <w:pPr>
              <w:widowControl/>
              <w:autoSpaceDE/>
              <w:autoSpaceDN/>
              <w:adjustRightInd/>
              <w:rPr>
                <w:rFonts w:asciiTheme="minorHAnsi" w:hAnsiTheme="minorHAnsi" w:cstheme="minorHAnsi"/>
              </w:rPr>
            </w:pPr>
          </w:p>
        </w:tc>
        <w:tc>
          <w:tcPr>
            <w:tcW w:w="1890" w:type="dxa"/>
          </w:tcPr>
          <w:p w14:paraId="51FF8A48" w14:textId="77777777" w:rsidR="000A134A" w:rsidRPr="00E70500" w:rsidRDefault="000A134A" w:rsidP="00DC1FC3">
            <w:pPr>
              <w:widowControl/>
              <w:autoSpaceDE/>
              <w:autoSpaceDN/>
              <w:adjustRightInd/>
              <w:rPr>
                <w:rFonts w:asciiTheme="minorHAnsi" w:hAnsiTheme="minorHAnsi" w:cstheme="minorHAnsi"/>
              </w:rPr>
            </w:pPr>
            <w:r w:rsidRPr="00E70500">
              <w:rPr>
                <w:rFonts w:asciiTheme="minorHAnsi" w:hAnsiTheme="minorHAnsi" w:cstheme="minorHAnsi"/>
              </w:rPr>
              <w:t xml:space="preserve"> </w:t>
            </w:r>
          </w:p>
        </w:tc>
      </w:tr>
    </w:tbl>
    <w:p w14:paraId="3C1E0E19" w14:textId="77777777" w:rsidR="000A134A" w:rsidRPr="00E70500" w:rsidRDefault="000A134A" w:rsidP="007A71AC">
      <w:pPr>
        <w:widowControl/>
        <w:autoSpaceDE/>
        <w:autoSpaceDN/>
        <w:adjustRightInd/>
        <w:rPr>
          <w:rFonts w:asciiTheme="minorHAnsi" w:hAnsiTheme="minorHAnsi" w:cstheme="minorHAnsi"/>
        </w:rPr>
      </w:pPr>
    </w:p>
    <w:p w14:paraId="7286D740" w14:textId="210AA90D" w:rsidR="00537B92" w:rsidRDefault="00537B92" w:rsidP="007A71AC">
      <w:pPr>
        <w:widowControl/>
        <w:autoSpaceDE/>
        <w:autoSpaceDN/>
        <w:adjustRightInd/>
        <w:rPr>
          <w:rFonts w:asciiTheme="minorHAnsi" w:hAnsiTheme="minorHAnsi" w:cstheme="minorHAnsi"/>
          <w:iCs/>
          <w:color w:val="0070C0"/>
        </w:rPr>
      </w:pPr>
    </w:p>
    <w:p w14:paraId="31042593" w14:textId="072247AE" w:rsidR="00537B92" w:rsidRDefault="00537B92" w:rsidP="007A71AC">
      <w:pPr>
        <w:widowControl/>
        <w:autoSpaceDE/>
        <w:autoSpaceDN/>
        <w:adjustRightInd/>
        <w:rPr>
          <w:rFonts w:asciiTheme="minorHAnsi" w:hAnsiTheme="minorHAnsi" w:cstheme="minorHAnsi"/>
          <w:iCs/>
          <w:color w:val="0070C0"/>
        </w:rPr>
      </w:pPr>
    </w:p>
    <w:p w14:paraId="4924986E" w14:textId="1BF892F9" w:rsidR="00537B92" w:rsidRDefault="00537B92" w:rsidP="007A71AC">
      <w:pPr>
        <w:widowControl/>
        <w:autoSpaceDE/>
        <w:autoSpaceDN/>
        <w:adjustRightInd/>
        <w:rPr>
          <w:rFonts w:asciiTheme="minorHAnsi" w:hAnsiTheme="minorHAnsi" w:cstheme="minorHAnsi"/>
          <w:iCs/>
          <w:color w:val="0070C0"/>
        </w:rPr>
      </w:pPr>
    </w:p>
    <w:p w14:paraId="2A2B1A39" w14:textId="5299C649" w:rsidR="00537B92" w:rsidRDefault="00537B92" w:rsidP="007A71AC">
      <w:pPr>
        <w:widowControl/>
        <w:autoSpaceDE/>
        <w:autoSpaceDN/>
        <w:adjustRightInd/>
        <w:rPr>
          <w:rFonts w:asciiTheme="minorHAnsi" w:hAnsiTheme="minorHAnsi" w:cstheme="minorHAnsi"/>
          <w:iCs/>
          <w:color w:val="0070C0"/>
        </w:rPr>
      </w:pPr>
    </w:p>
    <w:p w14:paraId="7058C698" w14:textId="18C79A86" w:rsidR="00537B92" w:rsidRDefault="00537B92" w:rsidP="007A71AC">
      <w:pPr>
        <w:widowControl/>
        <w:autoSpaceDE/>
        <w:autoSpaceDN/>
        <w:adjustRightInd/>
        <w:rPr>
          <w:rFonts w:asciiTheme="minorHAnsi" w:hAnsiTheme="minorHAnsi" w:cstheme="minorHAnsi"/>
          <w:iCs/>
          <w:color w:val="0070C0"/>
        </w:rPr>
      </w:pPr>
    </w:p>
    <w:p w14:paraId="3C7FD056" w14:textId="0E683BED" w:rsidR="00537B92" w:rsidRDefault="00537B92" w:rsidP="007A71AC">
      <w:pPr>
        <w:widowControl/>
        <w:autoSpaceDE/>
        <w:autoSpaceDN/>
        <w:adjustRightInd/>
        <w:rPr>
          <w:rFonts w:asciiTheme="minorHAnsi" w:hAnsiTheme="minorHAnsi" w:cstheme="minorHAnsi"/>
          <w:iCs/>
          <w:color w:val="0070C0"/>
        </w:rPr>
      </w:pPr>
    </w:p>
    <w:p w14:paraId="4FCFADEA" w14:textId="6D4FDA66" w:rsidR="00537B92" w:rsidRDefault="00537B92" w:rsidP="007A71AC">
      <w:pPr>
        <w:widowControl/>
        <w:autoSpaceDE/>
        <w:autoSpaceDN/>
        <w:adjustRightInd/>
        <w:rPr>
          <w:rFonts w:asciiTheme="minorHAnsi" w:hAnsiTheme="minorHAnsi" w:cstheme="minorHAnsi"/>
          <w:iCs/>
          <w:color w:val="0070C0"/>
        </w:rPr>
      </w:pPr>
    </w:p>
    <w:p w14:paraId="2B7A6694" w14:textId="11BE086C" w:rsidR="00537B92" w:rsidRDefault="00537B92" w:rsidP="007A71AC">
      <w:pPr>
        <w:widowControl/>
        <w:autoSpaceDE/>
        <w:autoSpaceDN/>
        <w:adjustRightInd/>
        <w:rPr>
          <w:rFonts w:asciiTheme="minorHAnsi" w:hAnsiTheme="minorHAnsi" w:cstheme="minorHAnsi"/>
          <w:iCs/>
          <w:color w:val="0070C0"/>
        </w:rPr>
      </w:pPr>
    </w:p>
    <w:p w14:paraId="4255C3BE" w14:textId="6F4325D0" w:rsidR="00537B92" w:rsidRDefault="00537B92" w:rsidP="007A71AC">
      <w:pPr>
        <w:widowControl/>
        <w:autoSpaceDE/>
        <w:autoSpaceDN/>
        <w:adjustRightInd/>
        <w:rPr>
          <w:rFonts w:asciiTheme="minorHAnsi" w:hAnsiTheme="minorHAnsi" w:cstheme="minorHAnsi"/>
          <w:iCs/>
          <w:color w:val="0070C0"/>
        </w:rPr>
      </w:pPr>
    </w:p>
    <w:p w14:paraId="7E0E9BF0" w14:textId="11813E4D" w:rsidR="00537B92" w:rsidRDefault="00537B92" w:rsidP="007A71AC">
      <w:pPr>
        <w:widowControl/>
        <w:autoSpaceDE/>
        <w:autoSpaceDN/>
        <w:adjustRightInd/>
        <w:rPr>
          <w:rFonts w:asciiTheme="minorHAnsi" w:hAnsiTheme="minorHAnsi" w:cstheme="minorHAnsi"/>
          <w:iCs/>
          <w:color w:val="0070C0"/>
        </w:rPr>
      </w:pPr>
    </w:p>
    <w:p w14:paraId="263FCA0B" w14:textId="77777777" w:rsidR="00537B92" w:rsidRDefault="00537B92" w:rsidP="007A71AC">
      <w:pPr>
        <w:widowControl/>
        <w:autoSpaceDE/>
        <w:autoSpaceDN/>
        <w:adjustRightInd/>
        <w:rPr>
          <w:rFonts w:asciiTheme="minorHAnsi" w:hAnsiTheme="minorHAnsi" w:cstheme="minorHAnsi"/>
          <w:b/>
          <w:iCs/>
          <w:color w:val="0070C0"/>
        </w:rPr>
      </w:pPr>
    </w:p>
    <w:p w14:paraId="2F5F51FE" w14:textId="76D93BC3" w:rsidR="00537B92" w:rsidRDefault="00537B92" w:rsidP="007A71AC">
      <w:pPr>
        <w:widowControl/>
        <w:autoSpaceDE/>
        <w:autoSpaceDN/>
        <w:adjustRightInd/>
        <w:rPr>
          <w:rFonts w:asciiTheme="minorHAnsi" w:hAnsiTheme="minorHAnsi" w:cstheme="minorHAnsi"/>
          <w:b/>
          <w:iCs/>
          <w:color w:val="0070C0"/>
        </w:rPr>
      </w:pPr>
    </w:p>
    <w:p w14:paraId="06D6946A" w14:textId="77777777" w:rsidR="00537B92" w:rsidRPr="00E70500" w:rsidRDefault="00537B92" w:rsidP="007A71AC">
      <w:pPr>
        <w:widowControl/>
        <w:autoSpaceDE/>
        <w:autoSpaceDN/>
        <w:adjustRightInd/>
        <w:rPr>
          <w:rFonts w:asciiTheme="minorHAnsi" w:hAnsiTheme="minorHAnsi" w:cstheme="minorHAnsi"/>
          <w:i/>
        </w:rPr>
      </w:pPr>
    </w:p>
    <w:p w14:paraId="776B7B1D" w14:textId="77777777" w:rsidR="00D86879" w:rsidRPr="00E70500" w:rsidRDefault="00D86879" w:rsidP="007A71AC">
      <w:pPr>
        <w:widowControl/>
        <w:autoSpaceDE/>
        <w:autoSpaceDN/>
        <w:adjustRightInd/>
        <w:rPr>
          <w:rFonts w:asciiTheme="minorHAnsi" w:hAnsiTheme="minorHAnsi" w:cstheme="minorHAnsi"/>
          <w:i/>
        </w:rPr>
      </w:pPr>
    </w:p>
    <w:p w14:paraId="715EFD78" w14:textId="7F8D6E42" w:rsidR="00D86879" w:rsidRDefault="00D86879" w:rsidP="007A71AC">
      <w:pPr>
        <w:widowControl/>
        <w:autoSpaceDE/>
        <w:autoSpaceDN/>
        <w:adjustRightInd/>
        <w:rPr>
          <w:rFonts w:asciiTheme="minorHAnsi" w:hAnsiTheme="minorHAnsi" w:cstheme="minorHAnsi"/>
          <w:i/>
        </w:rPr>
      </w:pPr>
    </w:p>
    <w:p w14:paraId="6FCBDB9A" w14:textId="11D78B4A" w:rsidR="00E371B7" w:rsidRDefault="00E371B7" w:rsidP="007A71AC">
      <w:pPr>
        <w:widowControl/>
        <w:autoSpaceDE/>
        <w:autoSpaceDN/>
        <w:adjustRightInd/>
        <w:rPr>
          <w:rFonts w:asciiTheme="minorHAnsi" w:hAnsiTheme="minorHAnsi" w:cstheme="minorHAnsi"/>
          <w:i/>
        </w:rPr>
      </w:pPr>
    </w:p>
    <w:p w14:paraId="15075D4B" w14:textId="5692BDB1" w:rsidR="00537B92" w:rsidRDefault="00537B92" w:rsidP="007A71AC">
      <w:pPr>
        <w:widowControl/>
        <w:autoSpaceDE/>
        <w:autoSpaceDN/>
        <w:adjustRightInd/>
        <w:rPr>
          <w:rFonts w:asciiTheme="minorHAnsi" w:hAnsiTheme="minorHAnsi" w:cstheme="minorHAnsi"/>
          <w:i/>
        </w:rPr>
      </w:pPr>
    </w:p>
    <w:p w14:paraId="56841906" w14:textId="24C0E056" w:rsidR="00537B92" w:rsidRDefault="00537B92" w:rsidP="007A71AC">
      <w:pPr>
        <w:widowControl/>
        <w:autoSpaceDE/>
        <w:autoSpaceDN/>
        <w:adjustRightInd/>
        <w:rPr>
          <w:rFonts w:asciiTheme="minorHAnsi" w:hAnsiTheme="minorHAnsi" w:cstheme="minorHAnsi"/>
          <w:i/>
        </w:rPr>
      </w:pPr>
    </w:p>
    <w:p w14:paraId="166AFEF7" w14:textId="21C3F44B" w:rsidR="00537B92" w:rsidRDefault="00537B92" w:rsidP="007A71AC">
      <w:pPr>
        <w:widowControl/>
        <w:autoSpaceDE/>
        <w:autoSpaceDN/>
        <w:adjustRightInd/>
        <w:rPr>
          <w:rFonts w:asciiTheme="minorHAnsi" w:hAnsiTheme="minorHAnsi" w:cstheme="minorHAnsi"/>
          <w:i/>
        </w:rPr>
      </w:pPr>
    </w:p>
    <w:p w14:paraId="757F9B50" w14:textId="3B764380" w:rsidR="00537B92" w:rsidRDefault="00537B92" w:rsidP="007A71AC">
      <w:pPr>
        <w:widowControl/>
        <w:autoSpaceDE/>
        <w:autoSpaceDN/>
        <w:adjustRightInd/>
        <w:rPr>
          <w:rFonts w:asciiTheme="minorHAnsi" w:hAnsiTheme="minorHAnsi" w:cstheme="minorHAnsi"/>
          <w:i/>
        </w:rPr>
      </w:pPr>
    </w:p>
    <w:p w14:paraId="43084DA8" w14:textId="77777777" w:rsidR="00537B92" w:rsidRDefault="00537B92" w:rsidP="007A71AC">
      <w:pPr>
        <w:widowControl/>
        <w:autoSpaceDE/>
        <w:autoSpaceDN/>
        <w:adjustRightInd/>
        <w:rPr>
          <w:rFonts w:asciiTheme="minorHAnsi" w:hAnsiTheme="minorHAnsi" w:cstheme="minorHAnsi"/>
          <w:i/>
        </w:rPr>
      </w:pPr>
    </w:p>
    <w:p w14:paraId="7A886CBA" w14:textId="6900F983" w:rsidR="00E371B7" w:rsidRDefault="00E371B7" w:rsidP="007A71AC">
      <w:pPr>
        <w:widowControl/>
        <w:autoSpaceDE/>
        <w:autoSpaceDN/>
        <w:adjustRightInd/>
        <w:rPr>
          <w:rFonts w:asciiTheme="minorHAnsi" w:hAnsiTheme="minorHAnsi" w:cstheme="minorHAnsi"/>
          <w:i/>
        </w:rPr>
      </w:pPr>
    </w:p>
    <w:p w14:paraId="72DA695E" w14:textId="77777777" w:rsidR="00B6741C" w:rsidRPr="00E70500" w:rsidRDefault="00B6741C" w:rsidP="00795447">
      <w:pPr>
        <w:pStyle w:val="Heading3"/>
        <w:numPr>
          <w:ilvl w:val="0"/>
          <w:numId w:val="0"/>
        </w:numPr>
      </w:pPr>
      <w:bookmarkStart w:id="25" w:name="_Toc118905018"/>
      <w:bookmarkStart w:id="26" w:name="_Toc119418670"/>
      <w:r w:rsidRPr="00E70500">
        <w:lastRenderedPageBreak/>
        <w:t>Appendix B – Observations Subject to Continued Monitoring</w:t>
      </w:r>
      <w:bookmarkEnd w:id="25"/>
      <w:bookmarkEnd w:id="26"/>
    </w:p>
    <w:p w14:paraId="73014EBD" w14:textId="62132F21" w:rsidR="00B6741C" w:rsidRPr="00E70500" w:rsidRDefault="00B6741C" w:rsidP="0002572C">
      <w:pPr>
        <w:rPr>
          <w:rFonts w:asciiTheme="minorHAnsi" w:hAnsiTheme="minorHAnsi" w:cstheme="minorHAnsi"/>
        </w:rPr>
      </w:pPr>
      <w:r w:rsidRPr="00E70500">
        <w:rPr>
          <w:rFonts w:asciiTheme="minorHAnsi" w:hAnsiTheme="minorHAnsi" w:cstheme="minorHAnsi"/>
        </w:rPr>
        <w:t>FY 20</w:t>
      </w:r>
      <w:r w:rsidR="00046C5F" w:rsidRPr="00E70500">
        <w:rPr>
          <w:rFonts w:asciiTheme="minorHAnsi" w:hAnsiTheme="minorHAnsi" w:cstheme="minorHAnsi"/>
        </w:rPr>
        <w:t>22 VOSHA</w:t>
      </w:r>
      <w:r w:rsidRPr="00E70500">
        <w:rPr>
          <w:rFonts w:asciiTheme="minorHAnsi" w:hAnsiTheme="minorHAnsi" w:cstheme="minorHAnsi"/>
          <w:color w:val="0070C0"/>
        </w:rPr>
        <w:t xml:space="preserve"> </w:t>
      </w:r>
      <w:r w:rsidRPr="00E70500">
        <w:rPr>
          <w:rFonts w:asciiTheme="minorHAnsi" w:hAnsiTheme="minorHAnsi" w:cstheme="minorHAnsi"/>
        </w:rPr>
        <w:t xml:space="preserve">Follow-up </w:t>
      </w:r>
      <w:r w:rsidR="00046C5F" w:rsidRPr="00E70500">
        <w:rPr>
          <w:rFonts w:asciiTheme="minorHAnsi" w:hAnsiTheme="minorHAnsi" w:cstheme="minorHAnsi"/>
        </w:rPr>
        <w:t>FAME Report</w:t>
      </w:r>
    </w:p>
    <w:p w14:paraId="75823E10" w14:textId="77777777" w:rsidR="00D86879" w:rsidRPr="00373E52" w:rsidRDefault="00D86879" w:rsidP="007A71AC">
      <w:pPr>
        <w:widowControl/>
        <w:autoSpaceDE/>
        <w:autoSpaceDN/>
        <w:adjustRightInd/>
        <w:rPr>
          <w:rFonts w:asciiTheme="minorHAnsi" w:hAnsiTheme="minorHAnsi" w:cstheme="minorHAnsi"/>
          <w:iCs/>
        </w:rPr>
      </w:pPr>
    </w:p>
    <w:p w14:paraId="2093D22B" w14:textId="77777777" w:rsidR="00D86879" w:rsidRPr="00373E52" w:rsidRDefault="00D86879" w:rsidP="007A71AC">
      <w:pPr>
        <w:widowControl/>
        <w:autoSpaceDE/>
        <w:autoSpaceDN/>
        <w:adjustRightInd/>
        <w:rPr>
          <w:rFonts w:asciiTheme="minorHAnsi" w:hAnsiTheme="minorHAnsi" w:cstheme="minorHAnsi"/>
          <w:iCs/>
        </w:rPr>
      </w:pPr>
    </w:p>
    <w:p w14:paraId="61F273E4" w14:textId="4BA1F7A9" w:rsidR="00492379" w:rsidRPr="00E70500" w:rsidRDefault="00492379" w:rsidP="007A71AC">
      <w:pPr>
        <w:widowControl/>
        <w:autoSpaceDE/>
        <w:autoSpaceDN/>
        <w:adjustRightInd/>
        <w:rPr>
          <w:rFonts w:asciiTheme="minorHAnsi" w:hAnsiTheme="minorHAnsi" w:cstheme="minorHAnsi"/>
          <w:i/>
        </w:rPr>
        <w:sectPr w:rsidR="00492379" w:rsidRPr="00E70500"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rsidRPr="00E70500" w14:paraId="266E8016" w14:textId="4E26EFF8" w:rsidTr="00B6741C">
        <w:trPr>
          <w:cantSplit/>
          <w:tblHeader/>
        </w:trPr>
        <w:tc>
          <w:tcPr>
            <w:tcW w:w="2657" w:type="dxa"/>
          </w:tcPr>
          <w:p w14:paraId="5950BEA4" w14:textId="77777777" w:rsidR="00B6741C" w:rsidRPr="00FC3054" w:rsidRDefault="00B6741C" w:rsidP="00B6741C">
            <w:pPr>
              <w:widowControl/>
              <w:autoSpaceDE/>
              <w:autoSpaceDN/>
              <w:adjustRightInd/>
              <w:rPr>
                <w:rFonts w:asciiTheme="minorHAnsi" w:hAnsiTheme="minorHAnsi" w:cstheme="minorHAnsi"/>
                <w:b/>
              </w:rPr>
            </w:pPr>
            <w:r w:rsidRPr="00FC3054">
              <w:rPr>
                <w:rFonts w:asciiTheme="minorHAnsi" w:hAnsiTheme="minorHAnsi" w:cstheme="minorHAnsi"/>
                <w:b/>
              </w:rPr>
              <w:t>Observation #</w:t>
            </w:r>
          </w:p>
          <w:p w14:paraId="09AE72D2" w14:textId="687EFDA7" w:rsidR="00B6741C" w:rsidRPr="00FC3054" w:rsidRDefault="00B6741C" w:rsidP="00B6741C">
            <w:pPr>
              <w:widowControl/>
              <w:autoSpaceDE/>
              <w:autoSpaceDN/>
              <w:adjustRightInd/>
              <w:rPr>
                <w:rFonts w:asciiTheme="minorHAnsi" w:hAnsiTheme="minorHAnsi" w:cstheme="minorHAnsi"/>
                <w:b/>
              </w:rPr>
            </w:pPr>
            <w:r w:rsidRPr="00FC3054">
              <w:rPr>
                <w:rFonts w:asciiTheme="minorHAnsi" w:hAnsiTheme="minorHAnsi" w:cstheme="minorHAnsi"/>
                <w:b/>
              </w:rPr>
              <w:t>FY 20</w:t>
            </w:r>
            <w:r w:rsidR="00AF19CE" w:rsidRPr="00FC3054">
              <w:rPr>
                <w:rFonts w:asciiTheme="minorHAnsi" w:hAnsiTheme="minorHAnsi" w:cstheme="minorHAnsi"/>
                <w:b/>
              </w:rPr>
              <w:t>22</w:t>
            </w:r>
            <w:r w:rsidRPr="00FC3054">
              <w:rPr>
                <w:rFonts w:asciiTheme="minorHAnsi" w:hAnsiTheme="minorHAnsi" w:cstheme="minorHAnsi"/>
                <w:b/>
              </w:rPr>
              <w:t>-OB-#</w:t>
            </w:r>
          </w:p>
          <w:p w14:paraId="07702D17" w14:textId="77777777" w:rsidR="00B6741C" w:rsidRPr="00FC3054" w:rsidRDefault="00B6741C" w:rsidP="00B6741C">
            <w:pPr>
              <w:widowControl/>
              <w:autoSpaceDE/>
              <w:autoSpaceDN/>
              <w:adjustRightInd/>
              <w:rPr>
                <w:rFonts w:asciiTheme="minorHAnsi" w:hAnsiTheme="minorHAnsi" w:cstheme="minorHAnsi"/>
                <w:i/>
              </w:rPr>
            </w:pPr>
          </w:p>
        </w:tc>
        <w:tc>
          <w:tcPr>
            <w:tcW w:w="2690" w:type="dxa"/>
          </w:tcPr>
          <w:p w14:paraId="5B8F9311" w14:textId="77777777" w:rsidR="00B6741C" w:rsidRPr="00E70500" w:rsidRDefault="00B6741C" w:rsidP="00B6741C">
            <w:pPr>
              <w:widowControl/>
              <w:autoSpaceDE/>
              <w:autoSpaceDN/>
              <w:adjustRightInd/>
              <w:rPr>
                <w:rFonts w:asciiTheme="minorHAnsi" w:hAnsiTheme="minorHAnsi" w:cstheme="minorHAnsi"/>
                <w:b/>
              </w:rPr>
            </w:pPr>
            <w:r w:rsidRPr="00E70500">
              <w:rPr>
                <w:rFonts w:asciiTheme="minorHAnsi" w:hAnsiTheme="minorHAnsi" w:cstheme="minorHAnsi"/>
                <w:b/>
              </w:rPr>
              <w:t>Observation#</w:t>
            </w:r>
          </w:p>
          <w:p w14:paraId="757E85A6" w14:textId="72C11A49" w:rsidR="00B6741C" w:rsidRPr="00E70500" w:rsidRDefault="00B6741C" w:rsidP="00B6741C">
            <w:pPr>
              <w:widowControl/>
              <w:autoSpaceDE/>
              <w:autoSpaceDN/>
              <w:adjustRightInd/>
              <w:rPr>
                <w:rFonts w:asciiTheme="minorHAnsi" w:hAnsiTheme="minorHAnsi" w:cstheme="minorHAnsi"/>
                <w:i/>
              </w:rPr>
            </w:pPr>
            <w:r w:rsidRPr="00E70500">
              <w:rPr>
                <w:rFonts w:asciiTheme="minorHAnsi" w:hAnsiTheme="minorHAnsi" w:cstheme="minorHAnsi"/>
                <w:b/>
              </w:rPr>
              <w:t>FY 20</w:t>
            </w:r>
            <w:r w:rsidR="00AF19CE">
              <w:rPr>
                <w:rFonts w:asciiTheme="minorHAnsi" w:hAnsiTheme="minorHAnsi" w:cstheme="minorHAnsi"/>
                <w:b/>
              </w:rPr>
              <w:t>21</w:t>
            </w:r>
            <w:r w:rsidRPr="00E70500">
              <w:rPr>
                <w:rFonts w:asciiTheme="minorHAnsi" w:hAnsiTheme="minorHAnsi" w:cstheme="minorHAnsi"/>
                <w:b/>
              </w:rPr>
              <w:t xml:space="preserve">-OB-# </w:t>
            </w:r>
            <w:r w:rsidRPr="00E70500">
              <w:rPr>
                <w:rFonts w:asciiTheme="minorHAnsi" w:hAnsiTheme="minorHAnsi" w:cstheme="minorHAnsi"/>
                <w:b/>
                <w:i/>
              </w:rPr>
              <w:t>or</w:t>
            </w:r>
            <w:r w:rsidRPr="00E70500">
              <w:rPr>
                <w:rFonts w:asciiTheme="minorHAnsi" w:hAnsiTheme="minorHAnsi" w:cstheme="minorHAnsi"/>
                <w:b/>
              </w:rPr>
              <w:t xml:space="preserve"> FY 20</w:t>
            </w:r>
            <w:r w:rsidR="00AF19CE">
              <w:rPr>
                <w:rFonts w:asciiTheme="minorHAnsi" w:hAnsiTheme="minorHAnsi" w:cstheme="minorHAnsi"/>
                <w:b/>
              </w:rPr>
              <w:t>21</w:t>
            </w:r>
            <w:r w:rsidRPr="00E70500">
              <w:rPr>
                <w:rFonts w:asciiTheme="minorHAnsi" w:hAnsiTheme="minorHAnsi" w:cstheme="minorHAnsi"/>
                <w:b/>
              </w:rPr>
              <w:t>-#</w:t>
            </w:r>
          </w:p>
        </w:tc>
        <w:tc>
          <w:tcPr>
            <w:tcW w:w="2657" w:type="dxa"/>
          </w:tcPr>
          <w:p w14:paraId="11DA1749" w14:textId="7AE042CC" w:rsidR="00B6741C" w:rsidRPr="00E70500" w:rsidRDefault="00B6741C" w:rsidP="00B6741C">
            <w:pPr>
              <w:widowControl/>
              <w:autoSpaceDE/>
              <w:autoSpaceDN/>
              <w:adjustRightInd/>
              <w:rPr>
                <w:rFonts w:asciiTheme="minorHAnsi" w:hAnsiTheme="minorHAnsi" w:cstheme="minorHAnsi"/>
                <w:i/>
              </w:rPr>
            </w:pPr>
            <w:r w:rsidRPr="00E70500">
              <w:rPr>
                <w:rFonts w:asciiTheme="minorHAnsi" w:hAnsiTheme="minorHAnsi" w:cstheme="minorHAnsi"/>
                <w:b/>
              </w:rPr>
              <w:t>Observation</w:t>
            </w:r>
          </w:p>
        </w:tc>
        <w:tc>
          <w:tcPr>
            <w:tcW w:w="2630" w:type="dxa"/>
          </w:tcPr>
          <w:p w14:paraId="76BC073C" w14:textId="70BBC1B0" w:rsidR="00B6741C" w:rsidRPr="00E70500" w:rsidRDefault="00B6741C" w:rsidP="00B6741C">
            <w:pPr>
              <w:widowControl/>
              <w:autoSpaceDE/>
              <w:autoSpaceDN/>
              <w:adjustRightInd/>
              <w:rPr>
                <w:rFonts w:asciiTheme="minorHAnsi" w:hAnsiTheme="minorHAnsi" w:cstheme="minorHAnsi"/>
                <w:i/>
              </w:rPr>
            </w:pPr>
            <w:r w:rsidRPr="00E70500">
              <w:rPr>
                <w:rFonts w:asciiTheme="minorHAnsi" w:hAnsiTheme="minorHAnsi" w:cstheme="minorHAnsi"/>
                <w:b/>
              </w:rPr>
              <w:t>Federal Monitoring Plan</w:t>
            </w:r>
          </w:p>
        </w:tc>
        <w:tc>
          <w:tcPr>
            <w:tcW w:w="2316" w:type="dxa"/>
          </w:tcPr>
          <w:p w14:paraId="46D0EE63" w14:textId="4A2BA825" w:rsidR="00B6741C" w:rsidRPr="00E70500" w:rsidRDefault="00B6741C" w:rsidP="00B6741C">
            <w:pPr>
              <w:widowControl/>
              <w:autoSpaceDE/>
              <w:autoSpaceDN/>
              <w:adjustRightInd/>
              <w:rPr>
                <w:rFonts w:asciiTheme="minorHAnsi" w:hAnsiTheme="minorHAnsi" w:cstheme="minorHAnsi"/>
                <w:b/>
              </w:rPr>
            </w:pPr>
            <w:r w:rsidRPr="00E70500">
              <w:rPr>
                <w:rFonts w:asciiTheme="minorHAnsi" w:hAnsiTheme="minorHAnsi" w:cstheme="minorHAnsi"/>
                <w:b/>
              </w:rPr>
              <w:t>Current Status</w:t>
            </w:r>
          </w:p>
        </w:tc>
      </w:tr>
      <w:tr w:rsidR="00B6741C" w:rsidRPr="00E70500" w14:paraId="715083EB" w14:textId="58561804" w:rsidTr="00B6741C">
        <w:trPr>
          <w:cantSplit/>
        </w:trPr>
        <w:tc>
          <w:tcPr>
            <w:tcW w:w="2657" w:type="dxa"/>
          </w:tcPr>
          <w:p w14:paraId="514C1621" w14:textId="3595FAFA" w:rsidR="00B6741C" w:rsidRPr="00FC3054" w:rsidRDefault="00B6741C" w:rsidP="00B6741C">
            <w:pPr>
              <w:widowControl/>
              <w:autoSpaceDE/>
              <w:autoSpaceDN/>
              <w:adjustRightInd/>
              <w:rPr>
                <w:rFonts w:asciiTheme="minorHAnsi" w:hAnsiTheme="minorHAnsi" w:cstheme="minorHAnsi"/>
                <w:iCs/>
              </w:rPr>
            </w:pPr>
            <w:r w:rsidRPr="00FC3054">
              <w:rPr>
                <w:rFonts w:asciiTheme="minorHAnsi" w:hAnsiTheme="minorHAnsi" w:cstheme="minorHAnsi"/>
                <w:iCs/>
              </w:rPr>
              <w:t>FY 20</w:t>
            </w:r>
            <w:r w:rsidR="00AF19CE" w:rsidRPr="00FC3054">
              <w:rPr>
                <w:rFonts w:asciiTheme="minorHAnsi" w:hAnsiTheme="minorHAnsi" w:cstheme="minorHAnsi"/>
                <w:iCs/>
              </w:rPr>
              <w:t>22</w:t>
            </w:r>
            <w:r w:rsidRPr="00FC3054">
              <w:rPr>
                <w:rFonts w:asciiTheme="minorHAnsi" w:hAnsiTheme="minorHAnsi" w:cstheme="minorHAnsi"/>
                <w:iCs/>
              </w:rPr>
              <w:t>-OB-01</w:t>
            </w:r>
          </w:p>
          <w:p w14:paraId="7834860F" w14:textId="77777777" w:rsidR="00B6741C" w:rsidRPr="00FC3054" w:rsidRDefault="00B6741C" w:rsidP="00B6741C">
            <w:pPr>
              <w:widowControl/>
              <w:autoSpaceDE/>
              <w:autoSpaceDN/>
              <w:adjustRightInd/>
              <w:rPr>
                <w:rFonts w:asciiTheme="minorHAnsi" w:hAnsiTheme="minorHAnsi" w:cstheme="minorHAnsi"/>
                <w:iCs/>
                <w:color w:val="0070C0"/>
              </w:rPr>
            </w:pPr>
          </w:p>
        </w:tc>
        <w:tc>
          <w:tcPr>
            <w:tcW w:w="2690" w:type="dxa"/>
          </w:tcPr>
          <w:p w14:paraId="1207E4E3" w14:textId="201EEBAF" w:rsidR="00B6741C" w:rsidRPr="00E70500" w:rsidRDefault="00EE1344" w:rsidP="00844D12">
            <w:pPr>
              <w:widowControl/>
              <w:autoSpaceDE/>
              <w:autoSpaceDN/>
              <w:adjustRightInd/>
              <w:rPr>
                <w:rFonts w:asciiTheme="minorHAnsi" w:hAnsiTheme="minorHAnsi" w:cstheme="minorHAnsi"/>
                <w:iCs/>
                <w:color w:val="0070C0"/>
              </w:rPr>
            </w:pPr>
            <w:r w:rsidRPr="00583491">
              <w:rPr>
                <w:rFonts w:asciiTheme="minorHAnsi" w:hAnsiTheme="minorHAnsi" w:cstheme="minorHAnsi"/>
                <w:iCs/>
              </w:rPr>
              <w:t>FY 2021</w:t>
            </w:r>
            <w:r w:rsidR="00A97801" w:rsidRPr="00583491">
              <w:rPr>
                <w:rFonts w:asciiTheme="minorHAnsi" w:hAnsiTheme="minorHAnsi" w:cstheme="minorHAnsi"/>
                <w:iCs/>
              </w:rPr>
              <w:t>-OB-</w:t>
            </w:r>
            <w:r w:rsidR="00D475B2" w:rsidRPr="00583491">
              <w:rPr>
                <w:rFonts w:asciiTheme="minorHAnsi" w:hAnsiTheme="minorHAnsi" w:cstheme="minorHAnsi"/>
                <w:iCs/>
              </w:rPr>
              <w:t>0</w:t>
            </w:r>
            <w:r w:rsidR="00972F30" w:rsidRPr="00583491">
              <w:rPr>
                <w:rFonts w:asciiTheme="minorHAnsi" w:hAnsiTheme="minorHAnsi" w:cstheme="minorHAnsi"/>
                <w:iCs/>
              </w:rPr>
              <w:t>2</w:t>
            </w:r>
          </w:p>
        </w:tc>
        <w:tc>
          <w:tcPr>
            <w:tcW w:w="2657" w:type="dxa"/>
          </w:tcPr>
          <w:p w14:paraId="24A5FB34" w14:textId="2E0B5078" w:rsidR="00EE1344" w:rsidRPr="00E70500" w:rsidRDefault="00EE1344" w:rsidP="00EE1344">
            <w:pPr>
              <w:pStyle w:val="Default"/>
              <w:rPr>
                <w:rFonts w:asciiTheme="minorHAnsi" w:hAnsiTheme="minorHAnsi" w:cstheme="minorHAnsi"/>
              </w:rPr>
            </w:pPr>
            <w:r w:rsidRPr="00E70500">
              <w:rPr>
                <w:rFonts w:asciiTheme="minorHAnsi" w:hAnsiTheme="minorHAnsi" w:cstheme="minorHAnsi"/>
              </w:rPr>
              <w:t xml:space="preserve">In FY 2021, there were errors in the calculations of the DART rates and TCIRs for two (29 percent) of seven </w:t>
            </w:r>
            <w:r>
              <w:rPr>
                <w:rFonts w:asciiTheme="minorHAnsi" w:hAnsiTheme="minorHAnsi" w:cstheme="minorHAnsi"/>
              </w:rPr>
              <w:t xml:space="preserve">GMVPP </w:t>
            </w:r>
            <w:r w:rsidRPr="00E70500">
              <w:rPr>
                <w:rFonts w:asciiTheme="minorHAnsi" w:hAnsiTheme="minorHAnsi" w:cstheme="minorHAnsi"/>
              </w:rPr>
              <w:t>sites’ annual participant submissions.</w:t>
            </w:r>
          </w:p>
          <w:p w14:paraId="0EA2BBE8" w14:textId="77777777" w:rsidR="00EE1344" w:rsidRPr="00E70500" w:rsidRDefault="00EE1344" w:rsidP="00EE1344">
            <w:pPr>
              <w:pStyle w:val="Default"/>
              <w:rPr>
                <w:rFonts w:asciiTheme="minorHAnsi" w:hAnsiTheme="minorHAnsi" w:cstheme="minorHAnsi"/>
              </w:rPr>
            </w:pPr>
          </w:p>
          <w:p w14:paraId="53E4A09F" w14:textId="226D7992" w:rsidR="00B6741C" w:rsidRPr="00E70500" w:rsidRDefault="00B6741C" w:rsidP="00B6741C">
            <w:pPr>
              <w:widowControl/>
              <w:autoSpaceDE/>
              <w:autoSpaceDN/>
              <w:adjustRightInd/>
              <w:rPr>
                <w:rFonts w:asciiTheme="minorHAnsi" w:hAnsiTheme="minorHAnsi" w:cstheme="minorHAnsi"/>
                <w:iCs/>
                <w:color w:val="0070C0"/>
              </w:rPr>
            </w:pPr>
          </w:p>
        </w:tc>
        <w:tc>
          <w:tcPr>
            <w:tcW w:w="2630" w:type="dxa"/>
          </w:tcPr>
          <w:p w14:paraId="04F2CA88" w14:textId="0DB37011" w:rsidR="00B6741C" w:rsidRPr="00E70500" w:rsidRDefault="00994144" w:rsidP="00A97801">
            <w:pPr>
              <w:widowControl/>
              <w:autoSpaceDE/>
              <w:autoSpaceDN/>
              <w:adjustRightInd/>
              <w:rPr>
                <w:rFonts w:asciiTheme="minorHAnsi" w:hAnsiTheme="minorHAnsi" w:cstheme="minorHAnsi"/>
                <w:iCs/>
                <w:color w:val="0070C0"/>
              </w:rPr>
            </w:pPr>
            <w:r>
              <w:rPr>
                <w:bCs/>
              </w:rPr>
              <w:t>On a quarterly basis</w:t>
            </w:r>
            <w:r w:rsidRPr="00EC032F">
              <w:rPr>
                <w:bCs/>
              </w:rPr>
              <w:t xml:space="preserve">, </w:t>
            </w:r>
            <w:r w:rsidRPr="00EC032F">
              <w:t xml:space="preserve">OSHA will emphasize the need for VOSHA to review each </w:t>
            </w:r>
            <w:r w:rsidRPr="00994144">
              <w:t>GMVPP</w:t>
            </w:r>
            <w:r>
              <w:t xml:space="preserve"> </w:t>
            </w:r>
            <w:r w:rsidRPr="00EC032F">
              <w:t>site’s annual self-evaluation to identify and correct errors in DART rate and TCIR calculations.</w:t>
            </w:r>
          </w:p>
        </w:tc>
        <w:tc>
          <w:tcPr>
            <w:tcW w:w="2316" w:type="dxa"/>
          </w:tcPr>
          <w:p w14:paraId="79E4394D" w14:textId="1829D3C5" w:rsidR="00B6741C" w:rsidRPr="00FC3054" w:rsidRDefault="00A97801" w:rsidP="00B6741C">
            <w:pPr>
              <w:widowControl/>
              <w:autoSpaceDE/>
              <w:autoSpaceDN/>
              <w:adjustRightInd/>
              <w:rPr>
                <w:rFonts w:asciiTheme="minorHAnsi" w:hAnsiTheme="minorHAnsi" w:cstheme="minorHAnsi"/>
                <w:iCs/>
              </w:rPr>
            </w:pPr>
            <w:r w:rsidRPr="00FC3054">
              <w:rPr>
                <w:rFonts w:asciiTheme="minorHAnsi" w:hAnsiTheme="minorHAnsi" w:cstheme="minorHAnsi"/>
                <w:iCs/>
              </w:rPr>
              <w:t>Continued</w:t>
            </w:r>
          </w:p>
        </w:tc>
      </w:tr>
      <w:tr w:rsidR="00B6741C" w:rsidRPr="00E70500" w14:paraId="414575F4" w14:textId="437735BC" w:rsidTr="00B6741C">
        <w:trPr>
          <w:cantSplit/>
        </w:trPr>
        <w:tc>
          <w:tcPr>
            <w:tcW w:w="2657" w:type="dxa"/>
          </w:tcPr>
          <w:p w14:paraId="6EF9BE70" w14:textId="5C685207" w:rsidR="00B6741C" w:rsidRPr="00583491" w:rsidRDefault="00B6741C" w:rsidP="00B6741C">
            <w:pPr>
              <w:widowControl/>
              <w:autoSpaceDE/>
              <w:autoSpaceDN/>
              <w:adjustRightInd/>
              <w:rPr>
                <w:rFonts w:asciiTheme="minorHAnsi" w:hAnsiTheme="minorHAnsi" w:cstheme="minorHAnsi"/>
                <w:iCs/>
              </w:rPr>
            </w:pPr>
            <w:r w:rsidRPr="00583491">
              <w:rPr>
                <w:rFonts w:asciiTheme="minorHAnsi" w:hAnsiTheme="minorHAnsi" w:cstheme="minorHAnsi"/>
                <w:iCs/>
              </w:rPr>
              <w:t>FY 20</w:t>
            </w:r>
            <w:r w:rsidR="00844D12" w:rsidRPr="00583491">
              <w:rPr>
                <w:rFonts w:asciiTheme="minorHAnsi" w:hAnsiTheme="minorHAnsi" w:cstheme="minorHAnsi"/>
                <w:iCs/>
              </w:rPr>
              <w:t>22</w:t>
            </w:r>
            <w:r w:rsidRPr="00583491">
              <w:rPr>
                <w:rFonts w:asciiTheme="minorHAnsi" w:hAnsiTheme="minorHAnsi" w:cstheme="minorHAnsi"/>
                <w:iCs/>
              </w:rPr>
              <w:t>-OB-0</w:t>
            </w:r>
            <w:r w:rsidR="00844D12" w:rsidRPr="00583491">
              <w:rPr>
                <w:rFonts w:asciiTheme="minorHAnsi" w:hAnsiTheme="minorHAnsi" w:cstheme="minorHAnsi"/>
                <w:iCs/>
              </w:rPr>
              <w:t>2</w:t>
            </w:r>
          </w:p>
          <w:p w14:paraId="38E1B745" w14:textId="77777777" w:rsidR="00B6741C" w:rsidRPr="00583491" w:rsidRDefault="00B6741C" w:rsidP="00B6741C">
            <w:pPr>
              <w:widowControl/>
              <w:autoSpaceDE/>
              <w:autoSpaceDN/>
              <w:adjustRightInd/>
              <w:rPr>
                <w:rFonts w:asciiTheme="minorHAnsi" w:hAnsiTheme="minorHAnsi" w:cstheme="minorHAnsi"/>
                <w:iCs/>
              </w:rPr>
            </w:pPr>
          </w:p>
        </w:tc>
        <w:tc>
          <w:tcPr>
            <w:tcW w:w="2690" w:type="dxa"/>
          </w:tcPr>
          <w:p w14:paraId="4640B74B" w14:textId="545BC8F7" w:rsidR="00B6741C" w:rsidRPr="00583491" w:rsidRDefault="00B6741C" w:rsidP="00B6741C">
            <w:pPr>
              <w:widowControl/>
              <w:autoSpaceDE/>
              <w:autoSpaceDN/>
              <w:adjustRightInd/>
              <w:rPr>
                <w:rFonts w:asciiTheme="minorHAnsi" w:hAnsiTheme="minorHAnsi" w:cstheme="minorHAnsi"/>
                <w:iCs/>
              </w:rPr>
            </w:pPr>
            <w:r w:rsidRPr="00583491">
              <w:rPr>
                <w:rFonts w:asciiTheme="minorHAnsi" w:hAnsiTheme="minorHAnsi" w:cstheme="minorHAnsi"/>
                <w:iCs/>
              </w:rPr>
              <w:t>FY 20</w:t>
            </w:r>
            <w:r w:rsidR="00994144" w:rsidRPr="00583491">
              <w:rPr>
                <w:rFonts w:asciiTheme="minorHAnsi" w:hAnsiTheme="minorHAnsi" w:cstheme="minorHAnsi"/>
                <w:iCs/>
              </w:rPr>
              <w:t>21</w:t>
            </w:r>
            <w:r w:rsidRPr="00583491">
              <w:rPr>
                <w:rFonts w:asciiTheme="minorHAnsi" w:hAnsiTheme="minorHAnsi" w:cstheme="minorHAnsi"/>
                <w:iCs/>
              </w:rPr>
              <w:t>-OB-0</w:t>
            </w:r>
            <w:r w:rsidR="00994144" w:rsidRPr="00583491">
              <w:rPr>
                <w:rFonts w:asciiTheme="minorHAnsi" w:hAnsiTheme="minorHAnsi" w:cstheme="minorHAnsi"/>
                <w:iCs/>
              </w:rPr>
              <w:t>3</w:t>
            </w:r>
          </w:p>
        </w:tc>
        <w:tc>
          <w:tcPr>
            <w:tcW w:w="2657" w:type="dxa"/>
          </w:tcPr>
          <w:p w14:paraId="0F9E6688" w14:textId="1253314D" w:rsidR="00BD37E5" w:rsidRPr="00E70500" w:rsidRDefault="00BD37E5" w:rsidP="00BD37E5">
            <w:pPr>
              <w:pStyle w:val="Default"/>
              <w:rPr>
                <w:rFonts w:asciiTheme="minorHAnsi" w:hAnsiTheme="minorHAnsi" w:cstheme="minorHAnsi"/>
              </w:rPr>
            </w:pPr>
            <w:r w:rsidRPr="00E70500">
              <w:rPr>
                <w:rFonts w:asciiTheme="minorHAnsi" w:hAnsiTheme="minorHAnsi" w:cstheme="minorHAnsi"/>
              </w:rPr>
              <w:t xml:space="preserve">In FY 2021, two (29 percent) of seven annual GMVPP participant submissions did not contain a sufficient evaluation of the site’s safety and health management system. </w:t>
            </w:r>
          </w:p>
          <w:p w14:paraId="4AD017E8" w14:textId="77777777" w:rsidR="00BD37E5" w:rsidRPr="00E70500" w:rsidRDefault="00BD37E5" w:rsidP="00BD37E5">
            <w:pPr>
              <w:pStyle w:val="Default"/>
              <w:rPr>
                <w:rFonts w:asciiTheme="minorHAnsi" w:hAnsiTheme="minorHAnsi" w:cstheme="minorHAnsi"/>
              </w:rPr>
            </w:pPr>
          </w:p>
          <w:p w14:paraId="3BC4A14C" w14:textId="6A418234" w:rsidR="00B6741C" w:rsidRPr="00E70500" w:rsidRDefault="00B6741C" w:rsidP="00B6741C">
            <w:pPr>
              <w:widowControl/>
              <w:autoSpaceDE/>
              <w:autoSpaceDN/>
              <w:adjustRightInd/>
              <w:rPr>
                <w:rFonts w:asciiTheme="minorHAnsi" w:hAnsiTheme="minorHAnsi" w:cstheme="minorHAnsi"/>
                <w:iCs/>
                <w:color w:val="0070C0"/>
              </w:rPr>
            </w:pPr>
          </w:p>
        </w:tc>
        <w:tc>
          <w:tcPr>
            <w:tcW w:w="2630" w:type="dxa"/>
          </w:tcPr>
          <w:p w14:paraId="016CAD6A" w14:textId="4F8DB621" w:rsidR="00B6741C" w:rsidRPr="00E70500" w:rsidRDefault="00305C96" w:rsidP="00B6741C">
            <w:pPr>
              <w:widowControl/>
              <w:autoSpaceDE/>
              <w:autoSpaceDN/>
              <w:adjustRightInd/>
              <w:rPr>
                <w:rFonts w:asciiTheme="minorHAnsi" w:hAnsiTheme="minorHAnsi" w:cstheme="minorHAnsi"/>
                <w:iCs/>
                <w:color w:val="0070C0"/>
              </w:rPr>
            </w:pPr>
            <w:r>
              <w:rPr>
                <w:bCs/>
              </w:rPr>
              <w:t>On a quarterly basis</w:t>
            </w:r>
            <w:r w:rsidRPr="00EC032F">
              <w:rPr>
                <w:bCs/>
              </w:rPr>
              <w:t xml:space="preserve">, </w:t>
            </w:r>
            <w:r w:rsidRPr="00EC032F">
              <w:t xml:space="preserve">OSHA will also reinforce the need to </w:t>
            </w:r>
            <w:r>
              <w:t>ensure</w:t>
            </w:r>
            <w:r w:rsidRPr="00EC032F">
              <w:t xml:space="preserve"> each </w:t>
            </w:r>
            <w:r>
              <w:t xml:space="preserve">GMVPP </w:t>
            </w:r>
            <w:r w:rsidRPr="00EC032F">
              <w:t xml:space="preserve">participant adequately evaluates </w:t>
            </w:r>
            <w:r>
              <w:t>all</w:t>
            </w:r>
            <w:r w:rsidRPr="00EC032F">
              <w:t xml:space="preserve"> elements and sub-elements of the safety and health management system</w:t>
            </w:r>
            <w:r>
              <w:t>.</w:t>
            </w:r>
          </w:p>
        </w:tc>
        <w:tc>
          <w:tcPr>
            <w:tcW w:w="2316" w:type="dxa"/>
          </w:tcPr>
          <w:p w14:paraId="4F554364" w14:textId="4C869179" w:rsidR="00B6741C" w:rsidRPr="00E70500" w:rsidRDefault="002E0D0D" w:rsidP="00B6741C">
            <w:pPr>
              <w:widowControl/>
              <w:autoSpaceDE/>
              <w:autoSpaceDN/>
              <w:adjustRightInd/>
              <w:rPr>
                <w:rFonts w:asciiTheme="minorHAnsi" w:hAnsiTheme="minorHAnsi" w:cstheme="minorHAnsi"/>
                <w:iCs/>
                <w:color w:val="0070C0"/>
              </w:rPr>
            </w:pPr>
            <w:r w:rsidRPr="00FC3054">
              <w:rPr>
                <w:rFonts w:asciiTheme="minorHAnsi" w:hAnsiTheme="minorHAnsi" w:cstheme="minorHAnsi"/>
                <w:iCs/>
              </w:rPr>
              <w:t>Continued</w:t>
            </w:r>
          </w:p>
        </w:tc>
      </w:tr>
      <w:tr w:rsidR="00DC1FC3" w:rsidRPr="00FC3054" w14:paraId="0677FA39" w14:textId="77777777" w:rsidTr="00DC1FC3">
        <w:tc>
          <w:tcPr>
            <w:tcW w:w="2657" w:type="dxa"/>
          </w:tcPr>
          <w:p w14:paraId="41765CCA" w14:textId="77777777" w:rsidR="00DC1FC3" w:rsidRPr="00FC3054" w:rsidRDefault="00DC1FC3" w:rsidP="00A00B11">
            <w:pPr>
              <w:widowControl/>
              <w:autoSpaceDE/>
              <w:autoSpaceDN/>
              <w:adjustRightInd/>
              <w:rPr>
                <w:rFonts w:asciiTheme="minorHAnsi" w:hAnsiTheme="minorHAnsi" w:cstheme="minorHAnsi"/>
                <w:iCs/>
              </w:rPr>
            </w:pPr>
          </w:p>
        </w:tc>
        <w:tc>
          <w:tcPr>
            <w:tcW w:w="2690" w:type="dxa"/>
          </w:tcPr>
          <w:p w14:paraId="74D276B0" w14:textId="77777777" w:rsidR="00DC1FC3" w:rsidRDefault="00DC1FC3" w:rsidP="00A00B11">
            <w:pPr>
              <w:widowControl/>
              <w:autoSpaceDE/>
              <w:autoSpaceDN/>
              <w:adjustRightInd/>
              <w:rPr>
                <w:rFonts w:asciiTheme="minorHAnsi" w:hAnsiTheme="minorHAnsi" w:cstheme="minorHAnsi"/>
                <w:b/>
                <w:bCs/>
                <w:color w:val="000000" w:themeColor="text1"/>
              </w:rPr>
            </w:pPr>
            <w:r>
              <w:rPr>
                <w:rFonts w:asciiTheme="minorHAnsi" w:hAnsiTheme="minorHAnsi" w:cstheme="minorHAnsi"/>
                <w:iCs/>
              </w:rPr>
              <w:t>FY 2021-OB-01</w:t>
            </w:r>
            <w:r w:rsidRPr="00E774C7">
              <w:rPr>
                <w:rFonts w:asciiTheme="minorHAnsi" w:hAnsiTheme="minorHAnsi" w:cstheme="minorHAnsi"/>
                <w:b/>
                <w:bCs/>
                <w:color w:val="000000" w:themeColor="text1"/>
              </w:rPr>
              <w:t xml:space="preserve"> </w:t>
            </w:r>
          </w:p>
          <w:p w14:paraId="49203ED0" w14:textId="77777777" w:rsidR="00DC1FC3" w:rsidRDefault="00DC1FC3" w:rsidP="00A00B11">
            <w:pPr>
              <w:widowControl/>
              <w:autoSpaceDE/>
              <w:autoSpaceDN/>
              <w:adjustRightInd/>
              <w:rPr>
                <w:rFonts w:asciiTheme="minorHAnsi" w:hAnsiTheme="minorHAnsi" w:cstheme="minorHAnsi"/>
                <w:color w:val="000000" w:themeColor="text1"/>
              </w:rPr>
            </w:pPr>
            <w:r w:rsidRPr="00F84D37">
              <w:rPr>
                <w:rFonts w:asciiTheme="minorHAnsi" w:hAnsiTheme="minorHAnsi" w:cstheme="minorHAnsi"/>
                <w:color w:val="000000" w:themeColor="text1"/>
              </w:rPr>
              <w:t>FY 2020-OB-03</w:t>
            </w:r>
          </w:p>
          <w:p w14:paraId="75169B95" w14:textId="77777777" w:rsidR="00DC1FC3" w:rsidRPr="00583491" w:rsidRDefault="00DC1FC3" w:rsidP="00A00B11">
            <w:pPr>
              <w:widowControl/>
              <w:autoSpaceDE/>
              <w:autoSpaceDN/>
              <w:adjustRightInd/>
              <w:rPr>
                <w:rFonts w:asciiTheme="minorHAnsi" w:hAnsiTheme="minorHAnsi" w:cstheme="minorHAnsi"/>
                <w:iCs/>
              </w:rPr>
            </w:pPr>
            <w:r w:rsidRPr="00F84D37">
              <w:rPr>
                <w:rFonts w:asciiTheme="minorHAnsi" w:hAnsiTheme="minorHAnsi" w:cstheme="minorHAnsi"/>
                <w:color w:val="000000" w:themeColor="text1"/>
              </w:rPr>
              <w:t>FY 2019-OB-04</w:t>
            </w:r>
          </w:p>
        </w:tc>
        <w:tc>
          <w:tcPr>
            <w:tcW w:w="2657" w:type="dxa"/>
          </w:tcPr>
          <w:p w14:paraId="7F5BA427" w14:textId="77E5B315" w:rsidR="00DC1FC3" w:rsidRPr="00713D9B" w:rsidRDefault="00713D9B" w:rsidP="00A00B11">
            <w:pPr>
              <w:pStyle w:val="Default"/>
              <w:rPr>
                <w:rFonts w:asciiTheme="minorHAnsi" w:hAnsiTheme="minorHAnsi" w:cstheme="minorHAnsi"/>
                <w:color w:val="000000" w:themeColor="text1"/>
              </w:rPr>
            </w:pPr>
            <w:r w:rsidRPr="00795447">
              <w:rPr>
                <w:rFonts w:asciiTheme="minorHAnsi" w:hAnsiTheme="minorHAnsi" w:cstheme="minorHAnsi"/>
                <w:bCs/>
                <w:color w:val="000000" w:themeColor="text1"/>
              </w:rPr>
              <w:t xml:space="preserve">In FY 2021, VOSHA conducted only three inspections in state government, two of </w:t>
            </w:r>
            <w:r w:rsidRPr="00795447">
              <w:rPr>
                <w:rFonts w:asciiTheme="minorHAnsi" w:hAnsiTheme="minorHAnsi" w:cstheme="minorHAnsi"/>
                <w:bCs/>
                <w:color w:val="000000" w:themeColor="text1"/>
              </w:rPr>
              <w:lastRenderedPageBreak/>
              <w:t>which were programmed</w:t>
            </w:r>
            <w:r>
              <w:rPr>
                <w:rFonts w:asciiTheme="minorHAnsi" w:hAnsiTheme="minorHAnsi" w:cstheme="minorHAnsi"/>
                <w:bCs/>
                <w:color w:val="000000" w:themeColor="text1"/>
              </w:rPr>
              <w:t>.</w:t>
            </w:r>
          </w:p>
        </w:tc>
        <w:tc>
          <w:tcPr>
            <w:tcW w:w="2630" w:type="dxa"/>
          </w:tcPr>
          <w:p w14:paraId="79B56446" w14:textId="77777777" w:rsidR="00DC1FC3" w:rsidRDefault="00DC1FC3" w:rsidP="00A00B11">
            <w:pPr>
              <w:widowControl/>
              <w:autoSpaceDE/>
              <w:autoSpaceDN/>
              <w:adjustRightInd/>
              <w:rPr>
                <w:bCs/>
              </w:rPr>
            </w:pPr>
          </w:p>
        </w:tc>
        <w:tc>
          <w:tcPr>
            <w:tcW w:w="2316" w:type="dxa"/>
          </w:tcPr>
          <w:p w14:paraId="3ED4D83A" w14:textId="77777777" w:rsidR="00DC1FC3" w:rsidRPr="00FC3054" w:rsidRDefault="00DC1FC3" w:rsidP="00A00B11">
            <w:pPr>
              <w:widowControl/>
              <w:autoSpaceDE/>
              <w:autoSpaceDN/>
              <w:adjustRightInd/>
              <w:rPr>
                <w:rFonts w:asciiTheme="minorHAnsi" w:hAnsiTheme="minorHAnsi" w:cstheme="minorHAnsi"/>
                <w:iCs/>
              </w:rPr>
            </w:pPr>
            <w:r>
              <w:rPr>
                <w:rFonts w:asciiTheme="minorHAnsi" w:hAnsiTheme="minorHAnsi" w:cstheme="minorHAnsi"/>
                <w:iCs/>
              </w:rPr>
              <w:t>Closed</w:t>
            </w:r>
          </w:p>
        </w:tc>
      </w:tr>
    </w:tbl>
    <w:p w14:paraId="2352A70A" w14:textId="7478DFBA" w:rsidR="00E759AB" w:rsidRPr="00E70500" w:rsidRDefault="00E759AB" w:rsidP="007A71AC">
      <w:pPr>
        <w:widowControl/>
        <w:autoSpaceDE/>
        <w:autoSpaceDN/>
        <w:adjustRightInd/>
        <w:rPr>
          <w:rFonts w:asciiTheme="minorHAnsi" w:hAnsiTheme="minorHAnsi" w:cstheme="minorHAnsi"/>
          <w:i/>
        </w:rPr>
      </w:pPr>
    </w:p>
    <w:p w14:paraId="5966FA9F" w14:textId="77777777" w:rsidR="000A134A" w:rsidRPr="00E70500" w:rsidRDefault="000A134A" w:rsidP="007A71AC">
      <w:pPr>
        <w:widowControl/>
        <w:autoSpaceDE/>
        <w:autoSpaceDN/>
        <w:adjustRightInd/>
        <w:rPr>
          <w:rFonts w:asciiTheme="minorHAnsi" w:hAnsiTheme="minorHAnsi" w:cstheme="minorHAnsi"/>
          <w:i/>
        </w:rPr>
        <w:sectPr w:rsidR="000A134A" w:rsidRPr="00E70500"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01176981" w14:textId="651C40B2" w:rsidR="00747710" w:rsidRPr="00E70500" w:rsidRDefault="00747710" w:rsidP="00795447">
      <w:pPr>
        <w:pStyle w:val="Heading3"/>
        <w:numPr>
          <w:ilvl w:val="0"/>
          <w:numId w:val="0"/>
        </w:numPr>
      </w:pPr>
      <w:bookmarkStart w:id="27" w:name="_Toc118905019"/>
      <w:bookmarkStart w:id="28" w:name="_Toc119418671"/>
      <w:r w:rsidRPr="00E70500">
        <w:lastRenderedPageBreak/>
        <w:t>Appendix C - Status of FY 20</w:t>
      </w:r>
      <w:r w:rsidR="00A40705">
        <w:t>21</w:t>
      </w:r>
      <w:r w:rsidRPr="00E70500">
        <w:t xml:space="preserve"> Findings and Recommendations</w:t>
      </w:r>
      <w:bookmarkEnd w:id="27"/>
      <w:bookmarkEnd w:id="28"/>
    </w:p>
    <w:p w14:paraId="3D850E81" w14:textId="61F897EE" w:rsidR="00747710" w:rsidRPr="00E70500" w:rsidRDefault="00747710" w:rsidP="005367D5">
      <w:pPr>
        <w:rPr>
          <w:rFonts w:asciiTheme="minorHAnsi" w:hAnsiTheme="minorHAnsi" w:cstheme="minorHAnsi"/>
        </w:rPr>
      </w:pPr>
      <w:r w:rsidRPr="00E70500">
        <w:rPr>
          <w:rFonts w:asciiTheme="minorHAnsi" w:hAnsiTheme="minorHAnsi" w:cstheme="minorHAnsi"/>
        </w:rPr>
        <w:t xml:space="preserve">FY 2022 </w:t>
      </w:r>
      <w:r w:rsidR="00046C5F" w:rsidRPr="001171CB">
        <w:rPr>
          <w:rFonts w:asciiTheme="minorHAnsi" w:hAnsiTheme="minorHAnsi" w:cstheme="minorHAnsi"/>
        </w:rPr>
        <w:t>VOSHA</w:t>
      </w:r>
      <w:r w:rsidR="00046C5F" w:rsidRPr="00E70500">
        <w:rPr>
          <w:rFonts w:asciiTheme="minorHAnsi" w:hAnsiTheme="minorHAnsi" w:cstheme="minorHAnsi"/>
          <w:color w:val="0070C0"/>
        </w:rPr>
        <w:t xml:space="preserve"> </w:t>
      </w:r>
      <w:r w:rsidRPr="00E70500">
        <w:rPr>
          <w:rFonts w:asciiTheme="minorHAnsi" w:hAnsiTheme="minorHAnsi" w:cstheme="minorHAnsi"/>
        </w:rPr>
        <w:t>Follow-up FAME Report</w:t>
      </w:r>
    </w:p>
    <w:p w14:paraId="45E6B5CB" w14:textId="3ED906A9" w:rsidR="005367D5" w:rsidRPr="00E70500" w:rsidRDefault="005367D5" w:rsidP="007A71AC">
      <w:pPr>
        <w:widowControl/>
        <w:autoSpaceDE/>
        <w:autoSpaceDN/>
        <w:adjustRightInd/>
        <w:rPr>
          <w:rFonts w:asciiTheme="minorHAnsi" w:hAnsiTheme="minorHAnsi" w:cstheme="minorHAnsi"/>
          <w:iCs/>
        </w:rPr>
      </w:pPr>
    </w:p>
    <w:tbl>
      <w:tblPr>
        <w:tblStyle w:val="TableGridLight"/>
        <w:tblpPr w:leftFromText="180" w:rightFromText="180" w:vertAnchor="page" w:horzAnchor="margin" w:tblpY="2821"/>
        <w:tblW w:w="13585" w:type="dxa"/>
        <w:tblLayout w:type="fixed"/>
        <w:tblLook w:val="00A0" w:firstRow="1" w:lastRow="0" w:firstColumn="1" w:lastColumn="0" w:noHBand="0" w:noVBand="0"/>
      </w:tblPr>
      <w:tblGrid>
        <w:gridCol w:w="1435"/>
        <w:gridCol w:w="2098"/>
        <w:gridCol w:w="2250"/>
        <w:gridCol w:w="3960"/>
        <w:gridCol w:w="1592"/>
        <w:gridCol w:w="2250"/>
      </w:tblGrid>
      <w:tr w:rsidR="005367D5" w:rsidRPr="00E70500" w14:paraId="04152CB8" w14:textId="77777777" w:rsidTr="00373E52">
        <w:trPr>
          <w:trHeight w:val="412"/>
        </w:trPr>
        <w:tc>
          <w:tcPr>
            <w:tcW w:w="1435" w:type="dxa"/>
          </w:tcPr>
          <w:p w14:paraId="0FAB4AA2" w14:textId="34A6E5C8" w:rsidR="005367D5" w:rsidRPr="00E70500" w:rsidRDefault="005367D5" w:rsidP="00373E52">
            <w:pPr>
              <w:rPr>
                <w:rFonts w:asciiTheme="minorHAnsi" w:hAnsiTheme="minorHAnsi" w:cstheme="minorHAnsi"/>
                <w:b/>
              </w:rPr>
            </w:pPr>
            <w:r w:rsidRPr="00E70500">
              <w:rPr>
                <w:rFonts w:asciiTheme="minorHAnsi" w:hAnsiTheme="minorHAnsi" w:cstheme="minorHAnsi"/>
                <w:b/>
              </w:rPr>
              <w:t>FY 20</w:t>
            </w:r>
            <w:r w:rsidR="00A40705">
              <w:rPr>
                <w:rFonts w:asciiTheme="minorHAnsi" w:hAnsiTheme="minorHAnsi" w:cstheme="minorHAnsi"/>
                <w:b/>
              </w:rPr>
              <w:t>21</w:t>
            </w:r>
            <w:r w:rsidRPr="00E70500">
              <w:rPr>
                <w:rFonts w:asciiTheme="minorHAnsi" w:hAnsiTheme="minorHAnsi" w:cstheme="minorHAnsi"/>
                <w:b/>
              </w:rPr>
              <w:t>-#</w:t>
            </w:r>
          </w:p>
        </w:tc>
        <w:tc>
          <w:tcPr>
            <w:tcW w:w="2098" w:type="dxa"/>
          </w:tcPr>
          <w:p w14:paraId="395AE41F" w14:textId="77777777" w:rsidR="005367D5" w:rsidRPr="00E70500" w:rsidRDefault="005367D5" w:rsidP="00373E52">
            <w:pPr>
              <w:rPr>
                <w:rFonts w:asciiTheme="minorHAnsi" w:hAnsiTheme="minorHAnsi" w:cstheme="minorHAnsi"/>
                <w:b/>
              </w:rPr>
            </w:pPr>
            <w:r w:rsidRPr="00E70500">
              <w:rPr>
                <w:rFonts w:asciiTheme="minorHAnsi" w:hAnsiTheme="minorHAnsi" w:cstheme="minorHAnsi"/>
                <w:b/>
              </w:rPr>
              <w:t>Finding</w:t>
            </w:r>
          </w:p>
        </w:tc>
        <w:tc>
          <w:tcPr>
            <w:tcW w:w="2250" w:type="dxa"/>
          </w:tcPr>
          <w:p w14:paraId="6EEE46BC" w14:textId="77777777" w:rsidR="005367D5" w:rsidRPr="00E70500" w:rsidRDefault="005367D5" w:rsidP="00373E52">
            <w:pPr>
              <w:rPr>
                <w:rFonts w:asciiTheme="minorHAnsi" w:hAnsiTheme="minorHAnsi" w:cstheme="minorHAnsi"/>
                <w:b/>
              </w:rPr>
            </w:pPr>
            <w:r w:rsidRPr="00E70500">
              <w:rPr>
                <w:rFonts w:asciiTheme="minorHAnsi" w:hAnsiTheme="minorHAnsi" w:cstheme="minorHAnsi"/>
                <w:b/>
              </w:rPr>
              <w:t>Recommendation</w:t>
            </w:r>
          </w:p>
        </w:tc>
        <w:tc>
          <w:tcPr>
            <w:tcW w:w="3960" w:type="dxa"/>
          </w:tcPr>
          <w:p w14:paraId="461C9375" w14:textId="77777777" w:rsidR="005367D5" w:rsidRPr="00E70500" w:rsidRDefault="005367D5" w:rsidP="00373E52">
            <w:pPr>
              <w:rPr>
                <w:rFonts w:asciiTheme="minorHAnsi" w:hAnsiTheme="minorHAnsi" w:cstheme="minorHAnsi"/>
                <w:b/>
              </w:rPr>
            </w:pPr>
            <w:r w:rsidRPr="00E70500">
              <w:rPr>
                <w:rFonts w:asciiTheme="minorHAnsi" w:hAnsiTheme="minorHAnsi" w:cstheme="minorHAnsi"/>
                <w:b/>
              </w:rPr>
              <w:t>State Plan Corrective Action</w:t>
            </w:r>
          </w:p>
        </w:tc>
        <w:tc>
          <w:tcPr>
            <w:tcW w:w="1592" w:type="dxa"/>
          </w:tcPr>
          <w:p w14:paraId="5151BE67" w14:textId="77777777" w:rsidR="005367D5" w:rsidRPr="00E70500" w:rsidRDefault="005367D5" w:rsidP="00373E52">
            <w:pPr>
              <w:rPr>
                <w:rFonts w:asciiTheme="minorHAnsi" w:hAnsiTheme="minorHAnsi" w:cstheme="minorHAnsi"/>
                <w:b/>
              </w:rPr>
            </w:pPr>
            <w:r w:rsidRPr="00E70500">
              <w:rPr>
                <w:rFonts w:asciiTheme="minorHAnsi" w:hAnsiTheme="minorHAnsi" w:cstheme="minorHAnsi"/>
                <w:b/>
              </w:rPr>
              <w:t>Completion Date</w:t>
            </w:r>
          </w:p>
        </w:tc>
        <w:tc>
          <w:tcPr>
            <w:tcW w:w="2250" w:type="dxa"/>
          </w:tcPr>
          <w:p w14:paraId="48025986" w14:textId="77777777" w:rsidR="005367D5" w:rsidRPr="00E70500" w:rsidRDefault="005367D5" w:rsidP="00373E52">
            <w:pPr>
              <w:rPr>
                <w:rFonts w:asciiTheme="minorHAnsi" w:hAnsiTheme="minorHAnsi" w:cstheme="minorHAnsi"/>
                <w:b/>
              </w:rPr>
            </w:pPr>
            <w:r w:rsidRPr="00E70500">
              <w:rPr>
                <w:rFonts w:asciiTheme="minorHAnsi" w:hAnsiTheme="minorHAnsi" w:cstheme="minorHAnsi"/>
                <w:b/>
              </w:rPr>
              <w:t xml:space="preserve">Current Status </w:t>
            </w:r>
          </w:p>
          <w:p w14:paraId="1D3136EF" w14:textId="77777777" w:rsidR="005367D5" w:rsidRPr="00E70500" w:rsidRDefault="005367D5" w:rsidP="00373E52">
            <w:pPr>
              <w:rPr>
                <w:rFonts w:asciiTheme="minorHAnsi" w:hAnsiTheme="minorHAnsi" w:cstheme="minorHAnsi"/>
                <w:b/>
              </w:rPr>
            </w:pPr>
            <w:r w:rsidRPr="00E70500">
              <w:rPr>
                <w:rFonts w:asciiTheme="minorHAnsi" w:hAnsiTheme="minorHAnsi" w:cstheme="minorHAnsi"/>
                <w:b/>
              </w:rPr>
              <w:t>and Date</w:t>
            </w:r>
          </w:p>
        </w:tc>
      </w:tr>
      <w:tr w:rsidR="005367D5" w:rsidRPr="00E70500" w14:paraId="7244A508" w14:textId="77777777" w:rsidTr="00373E52">
        <w:trPr>
          <w:trHeight w:val="412"/>
        </w:trPr>
        <w:tc>
          <w:tcPr>
            <w:tcW w:w="1435" w:type="dxa"/>
          </w:tcPr>
          <w:p w14:paraId="3B6143AB" w14:textId="77777777" w:rsidR="005367D5" w:rsidRPr="00E70500" w:rsidRDefault="005367D5" w:rsidP="00373E5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bCs/>
              </w:rPr>
            </w:pPr>
            <w:r w:rsidRPr="00E70500">
              <w:rPr>
                <w:rFonts w:asciiTheme="minorHAnsi" w:eastAsia="PMingLiU" w:hAnsiTheme="minorHAnsi" w:cstheme="minorHAnsi"/>
                <w:b/>
                <w:bCs/>
              </w:rPr>
              <w:t> </w:t>
            </w:r>
          </w:p>
        </w:tc>
        <w:tc>
          <w:tcPr>
            <w:tcW w:w="2098" w:type="dxa"/>
          </w:tcPr>
          <w:p w14:paraId="1D6DD323" w14:textId="663B1C89" w:rsidR="005367D5" w:rsidRPr="009258D6" w:rsidRDefault="00A40705" w:rsidP="00373E5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9258D6">
              <w:rPr>
                <w:rFonts w:asciiTheme="minorHAnsi" w:eastAsia="PMingLiU" w:hAnsiTheme="minorHAnsi" w:cstheme="minorHAnsi"/>
                <w:bCs/>
              </w:rPr>
              <w:t>None.</w:t>
            </w:r>
            <w:r w:rsidR="005367D5" w:rsidRPr="009258D6">
              <w:rPr>
                <w:rFonts w:asciiTheme="minorHAnsi" w:eastAsia="PMingLiU" w:hAnsiTheme="minorHAnsi" w:cstheme="minorHAnsi"/>
                <w:bCs/>
              </w:rPr>
              <w:t> </w:t>
            </w:r>
          </w:p>
        </w:tc>
        <w:tc>
          <w:tcPr>
            <w:tcW w:w="2250" w:type="dxa"/>
          </w:tcPr>
          <w:p w14:paraId="19499B4B" w14:textId="77777777" w:rsidR="005367D5" w:rsidRPr="00E70500" w:rsidRDefault="005367D5" w:rsidP="00373E5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pPr>
            <w:r w:rsidRPr="00E70500">
              <w:rPr>
                <w:rFonts w:asciiTheme="minorHAnsi" w:eastAsia="PMingLiU" w:hAnsiTheme="minorHAnsi" w:cstheme="minorHAnsi"/>
                <w:b/>
              </w:rPr>
              <w:t> </w:t>
            </w:r>
          </w:p>
        </w:tc>
        <w:tc>
          <w:tcPr>
            <w:tcW w:w="3960" w:type="dxa"/>
          </w:tcPr>
          <w:p w14:paraId="37D73ADA" w14:textId="77777777" w:rsidR="005367D5" w:rsidRPr="00E70500" w:rsidRDefault="005367D5" w:rsidP="00373E5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pPr>
            <w:r w:rsidRPr="00E70500">
              <w:rPr>
                <w:rFonts w:asciiTheme="minorHAnsi" w:eastAsia="PMingLiU" w:hAnsiTheme="minorHAnsi" w:cstheme="minorHAnsi"/>
                <w:b/>
              </w:rPr>
              <w:t> </w:t>
            </w:r>
          </w:p>
        </w:tc>
        <w:tc>
          <w:tcPr>
            <w:tcW w:w="1592" w:type="dxa"/>
          </w:tcPr>
          <w:p w14:paraId="56F99649" w14:textId="77777777" w:rsidR="005367D5" w:rsidRPr="00E70500" w:rsidRDefault="005367D5" w:rsidP="00373E5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pPr>
            <w:r w:rsidRPr="00E70500">
              <w:rPr>
                <w:rFonts w:asciiTheme="minorHAnsi" w:eastAsia="PMingLiU" w:hAnsiTheme="minorHAnsi" w:cstheme="minorHAnsi"/>
                <w:b/>
              </w:rPr>
              <w:t> </w:t>
            </w:r>
          </w:p>
        </w:tc>
        <w:tc>
          <w:tcPr>
            <w:tcW w:w="2250" w:type="dxa"/>
          </w:tcPr>
          <w:p w14:paraId="4007473C" w14:textId="77777777" w:rsidR="005367D5" w:rsidRPr="00E70500" w:rsidRDefault="005367D5" w:rsidP="00373E5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pPr>
            <w:r w:rsidRPr="00E70500">
              <w:rPr>
                <w:rFonts w:asciiTheme="minorHAnsi" w:eastAsia="PMingLiU" w:hAnsiTheme="minorHAnsi" w:cstheme="minorHAnsi"/>
                <w:b/>
              </w:rPr>
              <w:t> </w:t>
            </w:r>
          </w:p>
        </w:tc>
      </w:tr>
    </w:tbl>
    <w:p w14:paraId="0553F2F0" w14:textId="07843DB9" w:rsidR="00AD505E" w:rsidRPr="00E70500" w:rsidRDefault="00AD505E" w:rsidP="007A71AC">
      <w:pPr>
        <w:widowControl/>
        <w:autoSpaceDE/>
        <w:autoSpaceDN/>
        <w:adjustRightInd/>
        <w:rPr>
          <w:rFonts w:asciiTheme="minorHAnsi" w:hAnsiTheme="minorHAnsi" w:cstheme="minorHAnsi"/>
          <w:iCs/>
          <w:color w:val="0070C0"/>
        </w:rPr>
      </w:pPr>
      <w:r w:rsidRPr="00E70500">
        <w:rPr>
          <w:rFonts w:asciiTheme="minorHAnsi" w:hAnsiTheme="minorHAnsi" w:cstheme="minorHAnsi"/>
          <w:iCs/>
          <w:color w:val="0070C0"/>
        </w:rPr>
        <w:tab/>
      </w:r>
      <w:r w:rsidRPr="00E70500">
        <w:rPr>
          <w:rFonts w:asciiTheme="minorHAnsi" w:hAnsiTheme="minorHAnsi" w:cstheme="minorHAnsi"/>
          <w:iCs/>
          <w:color w:val="0070C0"/>
        </w:rPr>
        <w:tab/>
      </w:r>
      <w:r w:rsidRPr="00E70500">
        <w:rPr>
          <w:rFonts w:asciiTheme="minorHAnsi" w:hAnsiTheme="minorHAnsi" w:cstheme="minorHAnsi"/>
          <w:iCs/>
          <w:color w:val="0070C0"/>
        </w:rPr>
        <w:tab/>
      </w:r>
      <w:r w:rsidRPr="00E70500">
        <w:rPr>
          <w:rFonts w:asciiTheme="minorHAnsi" w:hAnsiTheme="minorHAnsi" w:cstheme="minorHAnsi"/>
          <w:iCs/>
          <w:color w:val="0070C0"/>
        </w:rPr>
        <w:tab/>
      </w:r>
      <w:r w:rsidRPr="00E70500">
        <w:rPr>
          <w:rFonts w:asciiTheme="minorHAnsi" w:hAnsiTheme="minorHAnsi" w:cstheme="minorHAnsi"/>
          <w:iCs/>
          <w:color w:val="0070C0"/>
        </w:rPr>
        <w:tab/>
      </w:r>
      <w:r w:rsidRPr="00E70500">
        <w:rPr>
          <w:rFonts w:asciiTheme="minorHAnsi" w:hAnsiTheme="minorHAnsi" w:cstheme="minorHAnsi"/>
          <w:iCs/>
          <w:color w:val="0070C0"/>
        </w:rPr>
        <w:tab/>
      </w:r>
      <w:r w:rsidRPr="00E70500">
        <w:rPr>
          <w:rFonts w:asciiTheme="minorHAnsi" w:hAnsiTheme="minorHAnsi" w:cstheme="minorHAnsi"/>
          <w:iCs/>
          <w:color w:val="0070C0"/>
        </w:rPr>
        <w:tab/>
      </w:r>
      <w:r w:rsidRPr="00E70500">
        <w:rPr>
          <w:rFonts w:asciiTheme="minorHAnsi" w:hAnsiTheme="minorHAnsi" w:cstheme="minorHAnsi"/>
          <w:iCs/>
          <w:color w:val="0070C0"/>
        </w:rPr>
        <w:tab/>
      </w:r>
      <w:r w:rsidRPr="00E70500">
        <w:rPr>
          <w:rFonts w:asciiTheme="minorHAnsi" w:hAnsiTheme="minorHAnsi" w:cstheme="minorHAnsi"/>
          <w:iCs/>
          <w:color w:val="0070C0"/>
        </w:rPr>
        <w:tab/>
      </w:r>
    </w:p>
    <w:p w14:paraId="5A163C8E" w14:textId="49A41600" w:rsidR="000A134A" w:rsidRPr="00E70500" w:rsidRDefault="000A134A" w:rsidP="006843C0">
      <w:pPr>
        <w:widowControl/>
        <w:autoSpaceDE/>
        <w:autoSpaceDN/>
        <w:adjustRightInd/>
        <w:rPr>
          <w:rFonts w:asciiTheme="minorHAnsi" w:hAnsiTheme="minorHAnsi" w:cstheme="minorHAnsi"/>
          <w:iCs/>
          <w:color w:val="0070C0"/>
        </w:rPr>
        <w:sectPr w:rsidR="000A134A" w:rsidRPr="00E70500" w:rsidSect="00476C08">
          <w:headerReference w:type="default" r:id="rId18"/>
          <w:headerReference w:type="first" r:id="rId19"/>
          <w:footerReference w:type="first" r:id="rId20"/>
          <w:pgSz w:w="15840" w:h="12240" w:orient="landscape"/>
          <w:pgMar w:top="1440" w:right="1440" w:bottom="1440" w:left="1440" w:header="630" w:footer="720" w:gutter="0"/>
          <w:cols w:space="720"/>
          <w:titlePg/>
          <w:docGrid w:linePitch="360"/>
        </w:sectPr>
      </w:pPr>
    </w:p>
    <w:p w14:paraId="1B0B407C" w14:textId="77777777" w:rsidR="00690C0D" w:rsidRPr="00E70500" w:rsidRDefault="00690C0D" w:rsidP="00795447">
      <w:pPr>
        <w:pStyle w:val="Heading3"/>
        <w:numPr>
          <w:ilvl w:val="0"/>
          <w:numId w:val="0"/>
        </w:numPr>
        <w:rPr>
          <w:color w:val="0070C0"/>
        </w:rPr>
      </w:pPr>
      <w:bookmarkStart w:id="29" w:name="_Toc119418672"/>
      <w:r w:rsidRPr="00E70500">
        <w:lastRenderedPageBreak/>
        <w:t xml:space="preserve">Appendix D – </w:t>
      </w:r>
      <w:bookmarkStart w:id="30" w:name="_Hlk119349018"/>
      <w:r w:rsidRPr="00E70500">
        <w:t>FY 2022 State Activity Mandated Measures (SAMM) Report</w:t>
      </w:r>
      <w:bookmarkEnd w:id="29"/>
      <w:bookmarkEnd w:id="30"/>
    </w:p>
    <w:p w14:paraId="19B594E3" w14:textId="657A83D3" w:rsidR="00690C0D" w:rsidRPr="00E70500" w:rsidRDefault="00690C0D" w:rsidP="00476C08">
      <w:pPr>
        <w:pStyle w:val="Header"/>
        <w:rPr>
          <w:rFonts w:asciiTheme="minorHAnsi" w:hAnsiTheme="minorHAnsi" w:cstheme="minorHAnsi"/>
        </w:rPr>
      </w:pPr>
      <w:r w:rsidRPr="00E70500">
        <w:rPr>
          <w:rFonts w:asciiTheme="minorHAnsi" w:hAnsiTheme="minorHAnsi" w:cstheme="minorHAnsi"/>
        </w:rPr>
        <w:t xml:space="preserve">FY 2022 </w:t>
      </w:r>
      <w:r w:rsidR="000478B7">
        <w:rPr>
          <w:rFonts w:asciiTheme="minorHAnsi" w:hAnsiTheme="minorHAnsi" w:cstheme="minorHAnsi"/>
        </w:rPr>
        <w:t>VOSHA</w:t>
      </w:r>
      <w:r w:rsidRPr="00E70500">
        <w:rPr>
          <w:rFonts w:asciiTheme="minorHAnsi" w:hAnsiTheme="minorHAnsi" w:cstheme="minorHAnsi"/>
          <w:color w:val="0070C0"/>
        </w:rPr>
        <w:t xml:space="preserve"> </w:t>
      </w:r>
      <w:r w:rsidRPr="00E70500">
        <w:rPr>
          <w:rFonts w:asciiTheme="minorHAnsi" w:hAnsiTheme="minorHAnsi" w:cstheme="minorHAnsi"/>
        </w:rPr>
        <w:t>Follow-up FAME Report</w:t>
      </w:r>
    </w:p>
    <w:p w14:paraId="221DF49F" w14:textId="77777777" w:rsidR="000A134A" w:rsidRPr="00E70500" w:rsidRDefault="000A134A" w:rsidP="007A71AC">
      <w:pPr>
        <w:widowControl/>
        <w:autoSpaceDE/>
        <w:autoSpaceDN/>
        <w:adjustRightInd/>
        <w:rPr>
          <w:rFonts w:asciiTheme="minorHAnsi" w:hAnsiTheme="minorHAnsi" w:cstheme="minorHAnsi"/>
          <w:b/>
          <w:color w:val="1F497D"/>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475"/>
        <w:gridCol w:w="1188"/>
        <w:gridCol w:w="1289"/>
        <w:gridCol w:w="4364"/>
      </w:tblGrid>
      <w:tr w:rsidR="00634539" w:rsidRPr="00E70500" w14:paraId="4B607DC1" w14:textId="77777777" w:rsidTr="003D1B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hemeColor="text1"/>
            </w:tcBorders>
            <w:shd w:val="clear" w:color="auto" w:fill="auto"/>
          </w:tcPr>
          <w:p w14:paraId="57458A14" w14:textId="77777777" w:rsidR="00634539" w:rsidRPr="00E70500"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val="0"/>
                <w:color w:val="000000" w:themeColor="text1"/>
              </w:rPr>
            </w:pPr>
            <w:r w:rsidRPr="00E70500">
              <w:rPr>
                <w:rFonts w:asciiTheme="minorHAnsi" w:eastAsia="PMingLiU" w:hAnsiTheme="minorHAnsi" w:cstheme="minorHAnsi"/>
                <w:bCs w:val="0"/>
                <w:color w:val="000000" w:themeColor="text1"/>
              </w:rPr>
              <w:t>SAMM Number</w:t>
            </w:r>
          </w:p>
        </w:tc>
        <w:tc>
          <w:tcPr>
            <w:tcW w:w="2547" w:type="dxa"/>
            <w:tcBorders>
              <w:left w:val="single" w:sz="4" w:space="0" w:color="000000" w:themeColor="text1"/>
              <w:right w:val="single" w:sz="4" w:space="0" w:color="000000" w:themeColor="text1"/>
            </w:tcBorders>
            <w:shd w:val="clear" w:color="auto" w:fill="auto"/>
          </w:tcPr>
          <w:p w14:paraId="21CEF63D" w14:textId="77777777" w:rsidR="00634539" w:rsidRPr="00E70500"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E70500">
              <w:rPr>
                <w:rFonts w:asciiTheme="minorHAnsi" w:eastAsia="PMingLiU" w:hAnsiTheme="minorHAnsi" w:cstheme="minorHAnsi"/>
                <w:bCs w:val="0"/>
                <w:color w:val="000000" w:themeColor="text1"/>
              </w:rPr>
              <w:t>SAMM Name</w:t>
            </w:r>
          </w:p>
        </w:tc>
        <w:tc>
          <w:tcPr>
            <w:tcW w:w="973" w:type="dxa"/>
            <w:tcBorders>
              <w:left w:val="single" w:sz="4" w:space="0" w:color="000000" w:themeColor="text1"/>
              <w:right w:val="single" w:sz="4" w:space="0" w:color="000000" w:themeColor="text1"/>
            </w:tcBorders>
            <w:shd w:val="clear" w:color="auto" w:fill="auto"/>
          </w:tcPr>
          <w:p w14:paraId="1BC934E4" w14:textId="77777777" w:rsidR="00634539" w:rsidRPr="00E70500"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E70500">
              <w:rPr>
                <w:rFonts w:asciiTheme="minorHAnsi" w:eastAsia="PMingLiU" w:hAnsiTheme="minorHAnsi" w:cstheme="minorHAnsi"/>
                <w:bCs w:val="0"/>
                <w:color w:val="000000" w:themeColor="text1"/>
              </w:rPr>
              <w:t>State Plan Data</w:t>
            </w:r>
          </w:p>
        </w:tc>
        <w:tc>
          <w:tcPr>
            <w:tcW w:w="1298" w:type="dxa"/>
            <w:tcBorders>
              <w:left w:val="single" w:sz="4" w:space="0" w:color="000000" w:themeColor="text1"/>
              <w:right w:val="single" w:sz="4" w:space="0" w:color="000000" w:themeColor="text1"/>
            </w:tcBorders>
            <w:shd w:val="clear" w:color="auto" w:fill="auto"/>
          </w:tcPr>
          <w:p w14:paraId="10FEC12F" w14:textId="77777777" w:rsidR="00634539" w:rsidRPr="00E70500"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E70500">
              <w:rPr>
                <w:rFonts w:asciiTheme="minorHAnsi" w:eastAsia="PMingLiU" w:hAnsiTheme="minorHAnsi" w:cstheme="minorHAnsi"/>
                <w:bCs w:val="0"/>
                <w:color w:val="000000" w:themeColor="text1"/>
              </w:rPr>
              <w:t>Further Review Level</w:t>
            </w:r>
          </w:p>
        </w:tc>
        <w:tc>
          <w:tcPr>
            <w:tcW w:w="4498" w:type="dxa"/>
            <w:tcBorders>
              <w:left w:val="single" w:sz="4" w:space="0" w:color="000000" w:themeColor="text1"/>
            </w:tcBorders>
            <w:shd w:val="clear" w:color="auto" w:fill="auto"/>
          </w:tcPr>
          <w:p w14:paraId="1845DDF3" w14:textId="77777777" w:rsidR="00634539" w:rsidRPr="00E70500"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E70500">
              <w:rPr>
                <w:rFonts w:asciiTheme="minorHAnsi" w:eastAsia="PMingLiU" w:hAnsiTheme="minorHAnsi" w:cstheme="minorHAnsi"/>
                <w:bCs w:val="0"/>
                <w:color w:val="000000" w:themeColor="text1"/>
              </w:rPr>
              <w:t>Notes</w:t>
            </w:r>
          </w:p>
        </w:tc>
      </w:tr>
      <w:tr w:rsidR="003D1BB9" w:rsidRPr="00E70500" w14:paraId="23E15083"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4FC54415"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1a</w:t>
            </w:r>
          </w:p>
        </w:tc>
        <w:tc>
          <w:tcPr>
            <w:tcW w:w="2547" w:type="dxa"/>
          </w:tcPr>
          <w:p w14:paraId="5DD1B3D7"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70500">
              <w:rPr>
                <w:rFonts w:asciiTheme="minorHAnsi" w:hAnsiTheme="minorHAnsi" w:cstheme="minorHAnsi"/>
              </w:rPr>
              <w:t xml:space="preserve">Average number of </w:t>
            </w:r>
            <w:proofErr w:type="gramStart"/>
            <w:r w:rsidRPr="00E70500">
              <w:rPr>
                <w:rFonts w:asciiTheme="minorHAnsi" w:hAnsiTheme="minorHAnsi" w:cstheme="minorHAnsi"/>
              </w:rPr>
              <w:t>work days</w:t>
            </w:r>
            <w:proofErr w:type="gramEnd"/>
            <w:r w:rsidRPr="00E70500">
              <w:rPr>
                <w:rFonts w:asciiTheme="minorHAnsi" w:hAnsiTheme="minorHAnsi" w:cstheme="minorHAnsi"/>
              </w:rPr>
              <w:t xml:space="preserve"> to initiate complaint inspections (state formula)</w:t>
            </w:r>
          </w:p>
        </w:tc>
        <w:tc>
          <w:tcPr>
            <w:tcW w:w="973" w:type="dxa"/>
          </w:tcPr>
          <w:p w14:paraId="50ED339E" w14:textId="4638236E"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3.79</w:t>
            </w:r>
          </w:p>
        </w:tc>
        <w:tc>
          <w:tcPr>
            <w:tcW w:w="1298" w:type="dxa"/>
          </w:tcPr>
          <w:p w14:paraId="36E21F8C" w14:textId="72B4077A"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5</w:t>
            </w:r>
          </w:p>
        </w:tc>
        <w:tc>
          <w:tcPr>
            <w:tcW w:w="4498" w:type="dxa"/>
          </w:tcPr>
          <w:p w14:paraId="1BE10DF6" w14:textId="7F8FCF53"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negotiated by OSHA and the State Plan.</w:t>
            </w:r>
          </w:p>
        </w:tc>
      </w:tr>
      <w:tr w:rsidR="003D1BB9" w:rsidRPr="00E70500" w14:paraId="6E87F5F9"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15DA89A2"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1b</w:t>
            </w:r>
          </w:p>
        </w:tc>
        <w:tc>
          <w:tcPr>
            <w:tcW w:w="2547" w:type="dxa"/>
          </w:tcPr>
          <w:p w14:paraId="7BDECFBC"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70500">
              <w:rPr>
                <w:rFonts w:asciiTheme="minorHAnsi" w:hAnsiTheme="minorHAnsi" w:cstheme="minorHAnsi"/>
              </w:rPr>
              <w:t xml:space="preserve">Average number of </w:t>
            </w:r>
            <w:proofErr w:type="gramStart"/>
            <w:r w:rsidRPr="00E70500">
              <w:rPr>
                <w:rFonts w:asciiTheme="minorHAnsi" w:hAnsiTheme="minorHAnsi" w:cstheme="minorHAnsi"/>
              </w:rPr>
              <w:t>work days</w:t>
            </w:r>
            <w:proofErr w:type="gramEnd"/>
            <w:r w:rsidRPr="00E70500">
              <w:rPr>
                <w:rFonts w:asciiTheme="minorHAnsi" w:hAnsiTheme="minorHAnsi" w:cstheme="minorHAnsi"/>
              </w:rPr>
              <w:t xml:space="preserve"> to initiate complaint inspections (federal formula)</w:t>
            </w:r>
          </w:p>
        </w:tc>
        <w:tc>
          <w:tcPr>
            <w:tcW w:w="973" w:type="dxa"/>
          </w:tcPr>
          <w:p w14:paraId="2DD44EDE" w14:textId="4B1194AB"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3.00</w:t>
            </w:r>
          </w:p>
        </w:tc>
        <w:tc>
          <w:tcPr>
            <w:tcW w:w="1298" w:type="dxa"/>
          </w:tcPr>
          <w:p w14:paraId="44E25FF5" w14:textId="7C814526"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N/A</w:t>
            </w:r>
          </w:p>
        </w:tc>
        <w:tc>
          <w:tcPr>
            <w:tcW w:w="4498" w:type="dxa"/>
          </w:tcPr>
          <w:p w14:paraId="3B881485" w14:textId="0646CBA1"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This measure is for informational purposes only and is not a mandated measure.</w:t>
            </w:r>
          </w:p>
        </w:tc>
      </w:tr>
      <w:tr w:rsidR="003D1BB9" w:rsidRPr="00E70500" w14:paraId="7254895F"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70F4527B"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2a</w:t>
            </w:r>
          </w:p>
        </w:tc>
        <w:tc>
          <w:tcPr>
            <w:tcW w:w="2547" w:type="dxa"/>
          </w:tcPr>
          <w:p w14:paraId="680D30CB"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70500">
              <w:rPr>
                <w:rFonts w:asciiTheme="minorHAnsi" w:hAnsiTheme="minorHAnsi" w:cstheme="minorHAnsi"/>
              </w:rPr>
              <w:t xml:space="preserve">Average number of </w:t>
            </w:r>
            <w:proofErr w:type="gramStart"/>
            <w:r w:rsidRPr="00E70500">
              <w:rPr>
                <w:rFonts w:asciiTheme="minorHAnsi" w:hAnsiTheme="minorHAnsi" w:cstheme="minorHAnsi"/>
              </w:rPr>
              <w:t>work days</w:t>
            </w:r>
            <w:proofErr w:type="gramEnd"/>
            <w:r w:rsidRPr="00E70500">
              <w:rPr>
                <w:rFonts w:asciiTheme="minorHAnsi" w:hAnsiTheme="minorHAnsi" w:cstheme="minorHAnsi"/>
              </w:rPr>
              <w:t xml:space="preserve"> to initiate complaint investigations (state formula)</w:t>
            </w:r>
          </w:p>
        </w:tc>
        <w:tc>
          <w:tcPr>
            <w:tcW w:w="973" w:type="dxa"/>
          </w:tcPr>
          <w:p w14:paraId="5D15BC2D" w14:textId="64FE86AD"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1.00</w:t>
            </w:r>
          </w:p>
        </w:tc>
        <w:tc>
          <w:tcPr>
            <w:tcW w:w="1298" w:type="dxa"/>
          </w:tcPr>
          <w:p w14:paraId="25E101C9" w14:textId="1381749D"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w:t>
            </w:r>
          </w:p>
        </w:tc>
        <w:tc>
          <w:tcPr>
            <w:tcW w:w="4498" w:type="dxa"/>
          </w:tcPr>
          <w:p w14:paraId="440E4407" w14:textId="686375BD"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negotiated by OSHA and the State Plan.</w:t>
            </w:r>
          </w:p>
        </w:tc>
      </w:tr>
      <w:tr w:rsidR="003D1BB9" w:rsidRPr="00E70500" w14:paraId="43AA3020"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3026F0A2"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2b</w:t>
            </w:r>
          </w:p>
        </w:tc>
        <w:tc>
          <w:tcPr>
            <w:tcW w:w="2547" w:type="dxa"/>
          </w:tcPr>
          <w:p w14:paraId="60EA38B6"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70500">
              <w:rPr>
                <w:rFonts w:asciiTheme="minorHAnsi" w:hAnsiTheme="minorHAnsi" w:cstheme="minorHAnsi"/>
              </w:rPr>
              <w:t xml:space="preserve">Average number of </w:t>
            </w:r>
            <w:proofErr w:type="gramStart"/>
            <w:r w:rsidRPr="00E70500">
              <w:rPr>
                <w:rFonts w:asciiTheme="minorHAnsi" w:hAnsiTheme="minorHAnsi" w:cstheme="minorHAnsi"/>
              </w:rPr>
              <w:t>work days</w:t>
            </w:r>
            <w:proofErr w:type="gramEnd"/>
            <w:r w:rsidRPr="00E70500">
              <w:rPr>
                <w:rFonts w:asciiTheme="minorHAnsi" w:hAnsiTheme="minorHAnsi" w:cstheme="minorHAnsi"/>
              </w:rPr>
              <w:t xml:space="preserve"> to initiate complaint investigations (federal formula)</w:t>
            </w:r>
          </w:p>
        </w:tc>
        <w:tc>
          <w:tcPr>
            <w:tcW w:w="973" w:type="dxa"/>
          </w:tcPr>
          <w:p w14:paraId="148E915C" w14:textId="4AA8B12C"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0.27</w:t>
            </w:r>
          </w:p>
        </w:tc>
        <w:tc>
          <w:tcPr>
            <w:tcW w:w="1298" w:type="dxa"/>
          </w:tcPr>
          <w:p w14:paraId="3C6B37D6" w14:textId="44A1B2D6"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N/A</w:t>
            </w:r>
          </w:p>
        </w:tc>
        <w:tc>
          <w:tcPr>
            <w:tcW w:w="4498" w:type="dxa"/>
          </w:tcPr>
          <w:p w14:paraId="7849D62B" w14:textId="0A568B05"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This measure is for informational purposes only and is not a mandated measure.</w:t>
            </w:r>
          </w:p>
        </w:tc>
      </w:tr>
      <w:tr w:rsidR="003D1BB9" w:rsidRPr="00E70500" w14:paraId="463E07C8"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730502E1"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3</w:t>
            </w:r>
          </w:p>
        </w:tc>
        <w:tc>
          <w:tcPr>
            <w:tcW w:w="2547" w:type="dxa"/>
          </w:tcPr>
          <w:p w14:paraId="224C67FA"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70500">
              <w:rPr>
                <w:rFonts w:asciiTheme="minorHAnsi" w:hAnsiTheme="minorHAnsi" w:cstheme="minorHAnsi"/>
              </w:rPr>
              <w:t>Percent of complaints and referrals responded to within one workday (imminent danger)</w:t>
            </w:r>
          </w:p>
        </w:tc>
        <w:tc>
          <w:tcPr>
            <w:tcW w:w="973" w:type="dxa"/>
          </w:tcPr>
          <w:p w14:paraId="683DAD92" w14:textId="351FF909"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N/A</w:t>
            </w:r>
          </w:p>
        </w:tc>
        <w:tc>
          <w:tcPr>
            <w:tcW w:w="1298" w:type="dxa"/>
          </w:tcPr>
          <w:p w14:paraId="2138AC62" w14:textId="26A1AD48"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100%</w:t>
            </w:r>
          </w:p>
        </w:tc>
        <w:tc>
          <w:tcPr>
            <w:tcW w:w="4498" w:type="dxa"/>
          </w:tcPr>
          <w:p w14:paraId="238162EC" w14:textId="77777777" w:rsidR="003D1BB9"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6000">
              <w:rPr>
                <w:rFonts w:asciiTheme="minorHAnsi" w:hAnsiTheme="minorHAnsi" w:cstheme="minorHAnsi"/>
              </w:rPr>
              <w:t>N/A – The State Plan did not receive any imminent danger complaints or referrals in FY 2022.</w:t>
            </w:r>
          </w:p>
          <w:p w14:paraId="35BCC151" w14:textId="77777777" w:rsidR="003D1BB9"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639E620" w14:textId="25510224"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fixed for all State Plans.</w:t>
            </w:r>
          </w:p>
        </w:tc>
      </w:tr>
      <w:tr w:rsidR="003D1BB9" w:rsidRPr="00E70500" w14:paraId="448E8EB5"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54BD594C"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4</w:t>
            </w:r>
          </w:p>
        </w:tc>
        <w:tc>
          <w:tcPr>
            <w:tcW w:w="2547" w:type="dxa"/>
          </w:tcPr>
          <w:p w14:paraId="7F17AA0C"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70500">
              <w:rPr>
                <w:rFonts w:asciiTheme="minorHAnsi" w:hAnsiTheme="minorHAnsi" w:cstheme="minorHAnsi"/>
              </w:rPr>
              <w:t>Number of denials where entry not obtained</w:t>
            </w:r>
          </w:p>
        </w:tc>
        <w:tc>
          <w:tcPr>
            <w:tcW w:w="973" w:type="dxa"/>
          </w:tcPr>
          <w:p w14:paraId="49E38EB6" w14:textId="2FCBDE05"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0</w:t>
            </w:r>
          </w:p>
        </w:tc>
        <w:tc>
          <w:tcPr>
            <w:tcW w:w="1298" w:type="dxa"/>
          </w:tcPr>
          <w:p w14:paraId="39E6BBCD" w14:textId="3B112F79"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0</w:t>
            </w:r>
          </w:p>
        </w:tc>
        <w:tc>
          <w:tcPr>
            <w:tcW w:w="4498" w:type="dxa"/>
          </w:tcPr>
          <w:p w14:paraId="63BF7F96" w14:textId="1D56FDA4"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fixed for all State Plans.</w:t>
            </w:r>
          </w:p>
        </w:tc>
      </w:tr>
      <w:tr w:rsidR="003D1BB9" w:rsidRPr="00E70500" w14:paraId="391899CE" w14:textId="77777777" w:rsidTr="003D1BB9">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2C05A134"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5a</w:t>
            </w:r>
          </w:p>
        </w:tc>
        <w:tc>
          <w:tcPr>
            <w:tcW w:w="2547" w:type="dxa"/>
          </w:tcPr>
          <w:p w14:paraId="6F060D7F"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70500">
              <w:rPr>
                <w:rFonts w:asciiTheme="minorHAnsi" w:hAnsiTheme="minorHAnsi" w:cstheme="minorHAnsi"/>
              </w:rPr>
              <w:t>Average number of violations per inspection with violations by violation type (SWRU)</w:t>
            </w:r>
          </w:p>
        </w:tc>
        <w:tc>
          <w:tcPr>
            <w:tcW w:w="973" w:type="dxa"/>
          </w:tcPr>
          <w:p w14:paraId="5640B786" w14:textId="2D4D3766"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1.88</w:t>
            </w:r>
          </w:p>
        </w:tc>
        <w:tc>
          <w:tcPr>
            <w:tcW w:w="1298" w:type="dxa"/>
          </w:tcPr>
          <w:p w14:paraId="06530E16"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3B502727"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1.77</w:t>
            </w:r>
          </w:p>
          <w:p w14:paraId="5B24EFBC"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98" w:type="dxa"/>
          </w:tcPr>
          <w:p w14:paraId="330DF263" w14:textId="0CFACFC0"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 xml:space="preserve">The further review level is based on a three-year national average.  The range of acceptable data not requiring further review is from 1.42 to 2.12 for SWRU. </w:t>
            </w:r>
          </w:p>
        </w:tc>
      </w:tr>
      <w:tr w:rsidR="003D1BB9" w:rsidRPr="00E70500" w14:paraId="0C0C34AD"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7FD14581"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5b</w:t>
            </w:r>
          </w:p>
        </w:tc>
        <w:tc>
          <w:tcPr>
            <w:tcW w:w="2547" w:type="dxa"/>
          </w:tcPr>
          <w:p w14:paraId="1A64659E"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t>Average number of violations per inspection with violations by violation type (other)</w:t>
            </w:r>
          </w:p>
        </w:tc>
        <w:tc>
          <w:tcPr>
            <w:tcW w:w="973" w:type="dxa"/>
          </w:tcPr>
          <w:p w14:paraId="189B2CB4" w14:textId="0D009E4B"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0.38</w:t>
            </w:r>
          </w:p>
        </w:tc>
        <w:tc>
          <w:tcPr>
            <w:tcW w:w="1298" w:type="dxa"/>
          </w:tcPr>
          <w:p w14:paraId="6BC556CB"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10600A9C" w14:textId="0C9FA8C1"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0.90</w:t>
            </w:r>
          </w:p>
        </w:tc>
        <w:tc>
          <w:tcPr>
            <w:tcW w:w="4498" w:type="dxa"/>
          </w:tcPr>
          <w:p w14:paraId="4F83BD91" w14:textId="6419A31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The further review level is based on a three-year national average.  The range of acceptable data not requiring further review is from 0.72 to 1.08 for OTS.</w:t>
            </w:r>
          </w:p>
        </w:tc>
      </w:tr>
      <w:tr w:rsidR="003D1BB9" w:rsidRPr="00E70500" w14:paraId="73051CF9"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4B4D91E3"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lastRenderedPageBreak/>
              <w:t>6</w:t>
            </w:r>
          </w:p>
        </w:tc>
        <w:tc>
          <w:tcPr>
            <w:tcW w:w="2547" w:type="dxa"/>
          </w:tcPr>
          <w:p w14:paraId="79E27E6A"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70500">
              <w:rPr>
                <w:rFonts w:asciiTheme="minorHAnsi" w:hAnsiTheme="minorHAnsi" w:cstheme="minorHAnsi"/>
              </w:rPr>
              <w:t>Percent of total inspections in state and local government workplaces</w:t>
            </w:r>
          </w:p>
        </w:tc>
        <w:tc>
          <w:tcPr>
            <w:tcW w:w="973" w:type="dxa"/>
          </w:tcPr>
          <w:p w14:paraId="01189742" w14:textId="4692A549"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9.93</w:t>
            </w:r>
            <w:r w:rsidRPr="00EE16A8">
              <w:rPr>
                <w:rFonts w:asciiTheme="minorHAnsi" w:hAnsiTheme="minorHAnsi" w:cstheme="minorHAnsi"/>
              </w:rPr>
              <w:t>%</w:t>
            </w:r>
          </w:p>
        </w:tc>
        <w:tc>
          <w:tcPr>
            <w:tcW w:w="1298" w:type="dxa"/>
          </w:tcPr>
          <w:p w14:paraId="02DBCBFF"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+/- 5% of</w:t>
            </w:r>
          </w:p>
          <w:p w14:paraId="7678C0FD" w14:textId="452DAD62"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8.16</w:t>
            </w:r>
            <w:r w:rsidRPr="00EE16A8">
              <w:rPr>
                <w:rFonts w:asciiTheme="minorHAnsi" w:hAnsiTheme="minorHAnsi" w:cstheme="minorHAnsi"/>
              </w:rPr>
              <w:t>%</w:t>
            </w:r>
          </w:p>
        </w:tc>
        <w:tc>
          <w:tcPr>
            <w:tcW w:w="4498" w:type="dxa"/>
          </w:tcPr>
          <w:p w14:paraId="11909732" w14:textId="046167D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 xml:space="preserve">The further review level is based on a number negotiated by OSHA and the State Plan through the grant application.  The range of acceptable data not requiring further review is from </w:t>
            </w:r>
            <w:r>
              <w:rPr>
                <w:rFonts w:asciiTheme="minorHAnsi" w:eastAsia="PMingLiU" w:hAnsiTheme="minorHAnsi" w:cstheme="minorHAnsi"/>
              </w:rPr>
              <w:t>7.76</w:t>
            </w:r>
            <w:r w:rsidRPr="00EE16A8">
              <w:rPr>
                <w:rFonts w:asciiTheme="minorHAnsi" w:eastAsia="PMingLiU" w:hAnsiTheme="minorHAnsi" w:cstheme="minorHAnsi"/>
              </w:rPr>
              <w:t xml:space="preserve">% to </w:t>
            </w:r>
            <w:r>
              <w:rPr>
                <w:rFonts w:asciiTheme="minorHAnsi" w:eastAsia="PMingLiU" w:hAnsiTheme="minorHAnsi" w:cstheme="minorHAnsi"/>
              </w:rPr>
              <w:t>8.57</w:t>
            </w:r>
            <w:r w:rsidRPr="00EE16A8">
              <w:rPr>
                <w:rFonts w:asciiTheme="minorHAnsi" w:eastAsia="PMingLiU" w:hAnsiTheme="minorHAnsi" w:cstheme="minorHAnsi"/>
              </w:rPr>
              <w:t>%.</w:t>
            </w:r>
          </w:p>
        </w:tc>
      </w:tr>
      <w:tr w:rsidR="003D1BB9" w:rsidRPr="00E70500" w14:paraId="47E35DEE"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2635650F"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7a</w:t>
            </w:r>
          </w:p>
        </w:tc>
        <w:tc>
          <w:tcPr>
            <w:tcW w:w="2547" w:type="dxa"/>
          </w:tcPr>
          <w:p w14:paraId="6972B9CD" w14:textId="3BED009A"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70500">
              <w:rPr>
                <w:rFonts w:asciiTheme="minorHAnsi" w:hAnsiTheme="minorHAnsi" w:cstheme="minorHAnsi"/>
              </w:rPr>
              <w:t>Planned v. actual inspections (safety)</w:t>
            </w:r>
          </w:p>
        </w:tc>
        <w:tc>
          <w:tcPr>
            <w:tcW w:w="973" w:type="dxa"/>
          </w:tcPr>
          <w:p w14:paraId="714EE701" w14:textId="27D9686A"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112</w:t>
            </w:r>
          </w:p>
        </w:tc>
        <w:tc>
          <w:tcPr>
            <w:tcW w:w="1298" w:type="dxa"/>
          </w:tcPr>
          <w:p w14:paraId="5A878505"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+/- 5% of </w:t>
            </w:r>
          </w:p>
          <w:p w14:paraId="70DE1282" w14:textId="1C06FAD8"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207</w:t>
            </w:r>
          </w:p>
        </w:tc>
        <w:tc>
          <w:tcPr>
            <w:tcW w:w="4498" w:type="dxa"/>
          </w:tcPr>
          <w:p w14:paraId="127905E2" w14:textId="52D1E4C5"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 xml:space="preserve">The further review level is based on a number negotiated by OSHA and the State Plan through the grant application.  The range of acceptable data not requiring further review is from </w:t>
            </w:r>
            <w:r>
              <w:rPr>
                <w:rFonts w:asciiTheme="minorHAnsi" w:hAnsiTheme="minorHAnsi" w:cstheme="minorHAnsi"/>
              </w:rPr>
              <w:t>196.65</w:t>
            </w:r>
            <w:r w:rsidRPr="00EE16A8">
              <w:rPr>
                <w:rFonts w:asciiTheme="minorHAnsi" w:hAnsiTheme="minorHAnsi" w:cstheme="minorHAnsi"/>
              </w:rPr>
              <w:t xml:space="preserve"> to </w:t>
            </w:r>
            <w:r>
              <w:rPr>
                <w:rFonts w:asciiTheme="minorHAnsi" w:hAnsiTheme="minorHAnsi" w:cstheme="minorHAnsi"/>
              </w:rPr>
              <w:t>217.35</w:t>
            </w:r>
            <w:r w:rsidRPr="00EE16A8">
              <w:rPr>
                <w:rFonts w:asciiTheme="minorHAnsi" w:hAnsiTheme="minorHAnsi" w:cstheme="minorHAnsi"/>
              </w:rPr>
              <w:t xml:space="preserve"> for safety.</w:t>
            </w:r>
          </w:p>
        </w:tc>
      </w:tr>
      <w:tr w:rsidR="003D1BB9" w:rsidRPr="00E70500" w14:paraId="41D7E5AF"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78976174"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val="0"/>
              </w:rPr>
            </w:pPr>
            <w:r w:rsidRPr="00E70500">
              <w:rPr>
                <w:rFonts w:asciiTheme="minorHAnsi" w:eastAsia="PMingLiU" w:hAnsiTheme="minorHAnsi" w:cstheme="minorHAnsi"/>
              </w:rPr>
              <w:t>7b</w:t>
            </w:r>
          </w:p>
        </w:tc>
        <w:tc>
          <w:tcPr>
            <w:tcW w:w="2547" w:type="dxa"/>
          </w:tcPr>
          <w:p w14:paraId="628291DB" w14:textId="4C38D916"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t>Planned v. actual inspections (health)</w:t>
            </w:r>
          </w:p>
        </w:tc>
        <w:tc>
          <w:tcPr>
            <w:tcW w:w="973" w:type="dxa"/>
          </w:tcPr>
          <w:p w14:paraId="46225BFE" w14:textId="59422B29"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39</w:t>
            </w:r>
          </w:p>
        </w:tc>
        <w:tc>
          <w:tcPr>
            <w:tcW w:w="1298" w:type="dxa"/>
          </w:tcPr>
          <w:p w14:paraId="5A7EBCAD"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+/- 5% of </w:t>
            </w:r>
          </w:p>
          <w:p w14:paraId="615D1DB6" w14:textId="4B19318F"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38</w:t>
            </w:r>
          </w:p>
        </w:tc>
        <w:tc>
          <w:tcPr>
            <w:tcW w:w="4498" w:type="dxa"/>
          </w:tcPr>
          <w:p w14:paraId="4C49AF53" w14:textId="208F0654"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 xml:space="preserve">The further review level is based on a number negotiated by OSHA and the State Plan through the grant application.  The range of acceptable data not requiring further review is from </w:t>
            </w:r>
            <w:r>
              <w:rPr>
                <w:rFonts w:asciiTheme="minorHAnsi" w:hAnsiTheme="minorHAnsi" w:cstheme="minorHAnsi"/>
              </w:rPr>
              <w:t>36.10</w:t>
            </w:r>
            <w:r w:rsidRPr="00EE16A8">
              <w:rPr>
                <w:rFonts w:asciiTheme="minorHAnsi" w:hAnsiTheme="minorHAnsi" w:cstheme="minorHAnsi"/>
              </w:rPr>
              <w:t xml:space="preserve"> to </w:t>
            </w:r>
            <w:r>
              <w:rPr>
                <w:rFonts w:asciiTheme="minorHAnsi" w:hAnsiTheme="minorHAnsi" w:cstheme="minorHAnsi"/>
              </w:rPr>
              <w:t>39.90</w:t>
            </w:r>
            <w:r w:rsidRPr="00EE16A8">
              <w:rPr>
                <w:rFonts w:asciiTheme="minorHAnsi" w:hAnsiTheme="minorHAnsi" w:cstheme="minorHAnsi"/>
              </w:rPr>
              <w:t xml:space="preserve"> for health.</w:t>
            </w:r>
          </w:p>
        </w:tc>
      </w:tr>
      <w:tr w:rsidR="003D1BB9" w:rsidRPr="00E70500" w14:paraId="19A930B8"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12933EF2"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8</w:t>
            </w:r>
          </w:p>
        </w:tc>
        <w:tc>
          <w:tcPr>
            <w:tcW w:w="2547" w:type="dxa"/>
          </w:tcPr>
          <w:p w14:paraId="35E2919F"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70500">
              <w:rPr>
                <w:rFonts w:asciiTheme="minorHAnsi" w:hAnsiTheme="minorHAnsi" w:cstheme="minorHAnsi"/>
              </w:rPr>
              <w:t>Average current serious penalty in private sector - total (1 to greater than 250 workers)</w:t>
            </w:r>
          </w:p>
        </w:tc>
        <w:tc>
          <w:tcPr>
            <w:tcW w:w="973" w:type="dxa"/>
          </w:tcPr>
          <w:p w14:paraId="4FF95415" w14:textId="29F29404"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F54BE6">
              <w:rPr>
                <w:rFonts w:asciiTheme="minorHAnsi" w:eastAsia="PMingLiU" w:hAnsiTheme="minorHAnsi" w:cstheme="minorHAnsi"/>
              </w:rPr>
              <w:t>$3,496.37</w:t>
            </w:r>
          </w:p>
        </w:tc>
        <w:tc>
          <w:tcPr>
            <w:tcW w:w="1298" w:type="dxa"/>
          </w:tcPr>
          <w:p w14:paraId="5A252C93"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5F2BFC69"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$3,259.35</w:t>
            </w:r>
          </w:p>
          <w:p w14:paraId="7AD30EF7"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98" w:type="dxa"/>
          </w:tcPr>
          <w:p w14:paraId="0DF20B53" w14:textId="357F2F66" w:rsidR="003D1BB9" w:rsidRPr="00E70500" w:rsidRDefault="003D1BB9" w:rsidP="003D1BB9">
            <w:pPr>
              <w:ind w:right="133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$2,444.51 to $4,074.19.</w:t>
            </w:r>
          </w:p>
        </w:tc>
      </w:tr>
      <w:tr w:rsidR="003D1BB9" w:rsidRPr="00E70500" w14:paraId="4CF9D609"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0ABEB3DA"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val="0"/>
              </w:rPr>
            </w:pPr>
          </w:p>
        </w:tc>
        <w:tc>
          <w:tcPr>
            <w:tcW w:w="2547" w:type="dxa"/>
          </w:tcPr>
          <w:p w14:paraId="51065DBA" w14:textId="77777777" w:rsidR="003D1BB9" w:rsidRPr="00E70500" w:rsidRDefault="003D1BB9" w:rsidP="003D1B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b/>
              </w:rPr>
              <w:t>a</w:t>
            </w:r>
            <w:r w:rsidRPr="00E70500">
              <w:rPr>
                <w:rFonts w:asciiTheme="minorHAnsi" w:hAnsiTheme="minorHAnsi" w:cstheme="minorHAnsi"/>
              </w:rPr>
              <w:t>.  Average current serious penalty in private sector</w:t>
            </w:r>
          </w:p>
          <w:p w14:paraId="7C4696DD"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t xml:space="preserve"> (1-25 workers)</w:t>
            </w:r>
          </w:p>
        </w:tc>
        <w:tc>
          <w:tcPr>
            <w:tcW w:w="973" w:type="dxa"/>
          </w:tcPr>
          <w:p w14:paraId="3B168483" w14:textId="6B4A1B11"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F54BE6">
              <w:rPr>
                <w:rFonts w:asciiTheme="minorHAnsi" w:eastAsia="PMingLiU" w:hAnsiTheme="minorHAnsi" w:cstheme="minorHAnsi"/>
              </w:rPr>
              <w:t>$2,183.00</w:t>
            </w:r>
          </w:p>
        </w:tc>
        <w:tc>
          <w:tcPr>
            <w:tcW w:w="1298" w:type="dxa"/>
          </w:tcPr>
          <w:p w14:paraId="14FD522A"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5545D9D1"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$2,145.46</w:t>
            </w:r>
          </w:p>
          <w:p w14:paraId="4DC91B0C"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98" w:type="dxa"/>
          </w:tcPr>
          <w:p w14:paraId="371F75E0" w14:textId="73C2087B"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$1,609.10 to $2,681.83.</w:t>
            </w:r>
          </w:p>
        </w:tc>
      </w:tr>
      <w:tr w:rsidR="003D1BB9" w:rsidRPr="00E70500" w14:paraId="2F293093"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2794F1EF"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val="0"/>
              </w:rPr>
            </w:pPr>
          </w:p>
        </w:tc>
        <w:tc>
          <w:tcPr>
            <w:tcW w:w="2547" w:type="dxa"/>
          </w:tcPr>
          <w:p w14:paraId="18122F6D" w14:textId="77777777" w:rsidR="003D1BB9" w:rsidRPr="00E70500" w:rsidRDefault="003D1BB9" w:rsidP="003D1B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b/>
              </w:rPr>
              <w:t>b</w:t>
            </w:r>
            <w:r w:rsidRPr="00E70500">
              <w:rPr>
                <w:rFonts w:asciiTheme="minorHAnsi" w:hAnsiTheme="minorHAnsi" w:cstheme="minorHAnsi"/>
              </w:rPr>
              <w:t xml:space="preserve">. Average current serious penalty in private sector </w:t>
            </w:r>
          </w:p>
          <w:p w14:paraId="0CB214A9"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t>(26-100 workers</w:t>
            </w:r>
            <w:r w:rsidRPr="00E70500">
              <w:rPr>
                <w:rFonts w:asciiTheme="minorHAnsi" w:hAnsiTheme="minorHAnsi" w:cstheme="minorHAnsi"/>
                <w:b/>
              </w:rPr>
              <w:t>)</w:t>
            </w:r>
          </w:p>
        </w:tc>
        <w:tc>
          <w:tcPr>
            <w:tcW w:w="973" w:type="dxa"/>
          </w:tcPr>
          <w:p w14:paraId="26CF4361" w14:textId="75CC438D"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F54BE6">
              <w:rPr>
                <w:rFonts w:asciiTheme="minorHAnsi" w:eastAsia="PMingLiU" w:hAnsiTheme="minorHAnsi" w:cstheme="minorHAnsi"/>
              </w:rPr>
              <w:t>$3,162.91</w:t>
            </w:r>
          </w:p>
        </w:tc>
        <w:tc>
          <w:tcPr>
            <w:tcW w:w="1298" w:type="dxa"/>
          </w:tcPr>
          <w:p w14:paraId="38487594"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4ED38442"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$3,818.56</w:t>
            </w:r>
          </w:p>
          <w:p w14:paraId="6AB595C0"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98" w:type="dxa"/>
          </w:tcPr>
          <w:p w14:paraId="533EE6CD" w14:textId="2385BB7C"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$2,863.92 to $4,773.20.</w:t>
            </w:r>
          </w:p>
        </w:tc>
      </w:tr>
      <w:tr w:rsidR="003D1BB9" w:rsidRPr="00E70500" w14:paraId="786F3F1A"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5A3932AB"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val="0"/>
              </w:rPr>
            </w:pPr>
          </w:p>
        </w:tc>
        <w:tc>
          <w:tcPr>
            <w:tcW w:w="2547" w:type="dxa"/>
          </w:tcPr>
          <w:p w14:paraId="5F59BDF5" w14:textId="77777777" w:rsidR="003D1BB9" w:rsidRPr="00E70500" w:rsidRDefault="003D1BB9" w:rsidP="003D1B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b/>
              </w:rPr>
              <w:t>c</w:t>
            </w:r>
            <w:r w:rsidRPr="00E70500">
              <w:rPr>
                <w:rFonts w:asciiTheme="minorHAnsi" w:hAnsiTheme="minorHAnsi" w:cstheme="minorHAnsi"/>
              </w:rPr>
              <w:t>. Average current serious penalty in private sector</w:t>
            </w:r>
          </w:p>
          <w:p w14:paraId="10D9592B"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t>(101-250 workers)</w:t>
            </w:r>
          </w:p>
        </w:tc>
        <w:tc>
          <w:tcPr>
            <w:tcW w:w="973" w:type="dxa"/>
          </w:tcPr>
          <w:p w14:paraId="7D3E6F14" w14:textId="5C763FEA"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F54BE6">
              <w:rPr>
                <w:rFonts w:asciiTheme="minorHAnsi" w:eastAsia="PMingLiU" w:hAnsiTheme="minorHAnsi" w:cstheme="minorHAnsi"/>
              </w:rPr>
              <w:t>$4,803.61</w:t>
            </w:r>
          </w:p>
        </w:tc>
        <w:tc>
          <w:tcPr>
            <w:tcW w:w="1298" w:type="dxa"/>
          </w:tcPr>
          <w:p w14:paraId="3F7ED2DE"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7F6C66D6"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$5,469.60</w:t>
            </w:r>
          </w:p>
          <w:p w14:paraId="0194F828"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98" w:type="dxa"/>
          </w:tcPr>
          <w:p w14:paraId="4B00CAC2" w14:textId="7CB217EC"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$4,102.20 to $6,837.00.</w:t>
            </w:r>
          </w:p>
        </w:tc>
      </w:tr>
      <w:tr w:rsidR="003D1BB9" w:rsidRPr="00E70500" w14:paraId="44B346AD"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5ED4D0D0"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val="0"/>
              </w:rPr>
            </w:pPr>
          </w:p>
        </w:tc>
        <w:tc>
          <w:tcPr>
            <w:tcW w:w="2547" w:type="dxa"/>
          </w:tcPr>
          <w:p w14:paraId="255BABE2" w14:textId="77777777" w:rsidR="003D1BB9" w:rsidRPr="00E70500" w:rsidRDefault="003D1BB9" w:rsidP="003D1B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b/>
              </w:rPr>
              <w:t>d</w:t>
            </w:r>
            <w:r w:rsidRPr="00E70500">
              <w:rPr>
                <w:rFonts w:asciiTheme="minorHAnsi" w:hAnsiTheme="minorHAnsi" w:cstheme="minorHAnsi"/>
              </w:rPr>
              <w:t>. Average current serious penalty in private sector</w:t>
            </w:r>
          </w:p>
          <w:p w14:paraId="48DDBB4B"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lastRenderedPageBreak/>
              <w:t>(</w:t>
            </w:r>
            <w:proofErr w:type="gramStart"/>
            <w:r w:rsidRPr="00E70500">
              <w:rPr>
                <w:rFonts w:asciiTheme="minorHAnsi" w:hAnsiTheme="minorHAnsi" w:cstheme="minorHAnsi"/>
              </w:rPr>
              <w:t>greater</w:t>
            </w:r>
            <w:proofErr w:type="gramEnd"/>
            <w:r w:rsidRPr="00E70500">
              <w:rPr>
                <w:rFonts w:asciiTheme="minorHAnsi" w:hAnsiTheme="minorHAnsi" w:cstheme="minorHAnsi"/>
              </w:rPr>
              <w:t xml:space="preserve"> than 250 workers)</w:t>
            </w:r>
          </w:p>
        </w:tc>
        <w:tc>
          <w:tcPr>
            <w:tcW w:w="973" w:type="dxa"/>
          </w:tcPr>
          <w:p w14:paraId="7D66FCF1" w14:textId="574CC66C"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F54BE6">
              <w:rPr>
                <w:rFonts w:asciiTheme="minorHAnsi" w:eastAsia="PMingLiU" w:hAnsiTheme="minorHAnsi" w:cstheme="minorHAnsi"/>
              </w:rPr>
              <w:lastRenderedPageBreak/>
              <w:t>$6,842.65</w:t>
            </w:r>
          </w:p>
        </w:tc>
        <w:tc>
          <w:tcPr>
            <w:tcW w:w="1298" w:type="dxa"/>
          </w:tcPr>
          <w:p w14:paraId="376509A8"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3A304581"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$6,725.78</w:t>
            </w:r>
          </w:p>
          <w:p w14:paraId="3FB5515E"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98" w:type="dxa"/>
          </w:tcPr>
          <w:p w14:paraId="29FF5D83" w14:textId="68E726AD"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 xml:space="preserve">The further review level is based on a three-year national average.  The range of acceptable data not requiring further </w:t>
            </w:r>
            <w:r w:rsidRPr="00EE16A8">
              <w:rPr>
                <w:rFonts w:asciiTheme="minorHAnsi" w:hAnsiTheme="minorHAnsi" w:cstheme="minorHAnsi"/>
              </w:rPr>
              <w:lastRenderedPageBreak/>
              <w:t>review is from $5,044.34 to $8,407.23.</w:t>
            </w:r>
          </w:p>
        </w:tc>
      </w:tr>
      <w:tr w:rsidR="003D1BB9" w:rsidRPr="00E70500" w14:paraId="6F99001F"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2CAB3DC1"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lastRenderedPageBreak/>
              <w:t>9a</w:t>
            </w:r>
          </w:p>
        </w:tc>
        <w:tc>
          <w:tcPr>
            <w:tcW w:w="2547" w:type="dxa"/>
          </w:tcPr>
          <w:p w14:paraId="406CE5F6"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t>Percent in compliance (safety)</w:t>
            </w:r>
          </w:p>
        </w:tc>
        <w:tc>
          <w:tcPr>
            <w:tcW w:w="973" w:type="dxa"/>
          </w:tcPr>
          <w:p w14:paraId="2CBEE7D5" w14:textId="06C39943"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21.59</w:t>
            </w:r>
            <w:r w:rsidRPr="00EE16A8">
              <w:rPr>
                <w:rFonts w:asciiTheme="minorHAnsi" w:eastAsia="PMingLiU" w:hAnsiTheme="minorHAnsi" w:cstheme="minorHAnsi"/>
              </w:rPr>
              <w:t>%</w:t>
            </w:r>
          </w:p>
        </w:tc>
        <w:tc>
          <w:tcPr>
            <w:tcW w:w="1298" w:type="dxa"/>
          </w:tcPr>
          <w:p w14:paraId="18DB4DB9"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0A52EE0A" w14:textId="30417665"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32.25%</w:t>
            </w:r>
          </w:p>
        </w:tc>
        <w:tc>
          <w:tcPr>
            <w:tcW w:w="4498" w:type="dxa"/>
          </w:tcPr>
          <w:p w14:paraId="2A829BA0" w14:textId="5A67BF68"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25.80% to 38.70% for safety.</w:t>
            </w:r>
          </w:p>
        </w:tc>
      </w:tr>
      <w:tr w:rsidR="003D1BB9" w:rsidRPr="00E70500" w14:paraId="3EB76E55"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5BA68B8A"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9b</w:t>
            </w:r>
          </w:p>
        </w:tc>
        <w:tc>
          <w:tcPr>
            <w:tcW w:w="2547" w:type="dxa"/>
          </w:tcPr>
          <w:p w14:paraId="1F4404BA"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t>Percent in compliance (health)</w:t>
            </w:r>
          </w:p>
        </w:tc>
        <w:tc>
          <w:tcPr>
            <w:tcW w:w="973" w:type="dxa"/>
          </w:tcPr>
          <w:p w14:paraId="0F761403" w14:textId="5926D3E5"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10</w:t>
            </w:r>
            <w:r w:rsidRPr="00EE16A8">
              <w:rPr>
                <w:rFonts w:asciiTheme="minorHAnsi" w:eastAsia="PMingLiU" w:hAnsiTheme="minorHAnsi" w:cstheme="minorHAnsi"/>
              </w:rPr>
              <w:t>%</w:t>
            </w:r>
          </w:p>
        </w:tc>
        <w:tc>
          <w:tcPr>
            <w:tcW w:w="1298" w:type="dxa"/>
          </w:tcPr>
          <w:p w14:paraId="419BCD3C"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203D8062" w14:textId="111D56DC"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44.42%</w:t>
            </w:r>
          </w:p>
        </w:tc>
        <w:tc>
          <w:tcPr>
            <w:tcW w:w="4498" w:type="dxa"/>
          </w:tcPr>
          <w:p w14:paraId="7272F1E9" w14:textId="2D99E42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35.54% to 53.30% for health.</w:t>
            </w:r>
          </w:p>
        </w:tc>
      </w:tr>
      <w:tr w:rsidR="003D1BB9" w:rsidRPr="00E70500" w14:paraId="6BD622B6"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1E1081EE"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10</w:t>
            </w:r>
          </w:p>
        </w:tc>
        <w:tc>
          <w:tcPr>
            <w:tcW w:w="2547" w:type="dxa"/>
          </w:tcPr>
          <w:p w14:paraId="7A555323"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t>Percent of work-related fatalities responded to in one workday</w:t>
            </w:r>
          </w:p>
        </w:tc>
        <w:tc>
          <w:tcPr>
            <w:tcW w:w="973" w:type="dxa"/>
          </w:tcPr>
          <w:p w14:paraId="36635117" w14:textId="03D288C9"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50</w:t>
            </w:r>
            <w:r w:rsidRPr="00EE16A8">
              <w:rPr>
                <w:rFonts w:asciiTheme="minorHAnsi" w:eastAsia="PMingLiU" w:hAnsiTheme="minorHAnsi" w:cstheme="minorHAnsi"/>
              </w:rPr>
              <w:t>%</w:t>
            </w:r>
          </w:p>
        </w:tc>
        <w:tc>
          <w:tcPr>
            <w:tcW w:w="1298" w:type="dxa"/>
          </w:tcPr>
          <w:p w14:paraId="1B2A9E13" w14:textId="3ED6279D"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100%</w:t>
            </w:r>
          </w:p>
        </w:tc>
        <w:tc>
          <w:tcPr>
            <w:tcW w:w="4498" w:type="dxa"/>
          </w:tcPr>
          <w:p w14:paraId="4CFEF3A7" w14:textId="38BA8C66"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fixed for all State Plans.</w:t>
            </w:r>
          </w:p>
        </w:tc>
      </w:tr>
      <w:tr w:rsidR="003D1BB9" w:rsidRPr="00E70500" w14:paraId="2893D3CE"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10FE802E"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11a</w:t>
            </w:r>
          </w:p>
        </w:tc>
        <w:tc>
          <w:tcPr>
            <w:tcW w:w="2547" w:type="dxa"/>
          </w:tcPr>
          <w:p w14:paraId="0E881318"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t>Average lapse time (safety)</w:t>
            </w:r>
          </w:p>
        </w:tc>
        <w:tc>
          <w:tcPr>
            <w:tcW w:w="973" w:type="dxa"/>
          </w:tcPr>
          <w:p w14:paraId="155143E8" w14:textId="67A90124"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65.41</w:t>
            </w:r>
          </w:p>
        </w:tc>
        <w:tc>
          <w:tcPr>
            <w:tcW w:w="1298" w:type="dxa"/>
          </w:tcPr>
          <w:p w14:paraId="599DA4FB"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+/- 20% of </w:t>
            </w:r>
          </w:p>
          <w:p w14:paraId="4105E6C0" w14:textId="0FCF2866"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54.58</w:t>
            </w:r>
          </w:p>
        </w:tc>
        <w:tc>
          <w:tcPr>
            <w:tcW w:w="4498" w:type="dxa"/>
          </w:tcPr>
          <w:p w14:paraId="1A7228CC" w14:textId="194D8429"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43.66 to 65.50 for safety.</w:t>
            </w:r>
          </w:p>
        </w:tc>
      </w:tr>
      <w:tr w:rsidR="003D1BB9" w:rsidRPr="00E70500" w14:paraId="71994532"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4A315A6E"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11b</w:t>
            </w:r>
          </w:p>
        </w:tc>
        <w:tc>
          <w:tcPr>
            <w:tcW w:w="2547" w:type="dxa"/>
          </w:tcPr>
          <w:p w14:paraId="62670A92"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t>Average lapse time (health)</w:t>
            </w:r>
          </w:p>
        </w:tc>
        <w:tc>
          <w:tcPr>
            <w:tcW w:w="973" w:type="dxa"/>
          </w:tcPr>
          <w:p w14:paraId="260D705D" w14:textId="4DD3C7B9"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96.12</w:t>
            </w:r>
          </w:p>
        </w:tc>
        <w:tc>
          <w:tcPr>
            <w:tcW w:w="1298" w:type="dxa"/>
          </w:tcPr>
          <w:p w14:paraId="50A1F233"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+/- 20% of </w:t>
            </w:r>
          </w:p>
          <w:p w14:paraId="4447221B" w14:textId="6FD5813D"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69.03</w:t>
            </w:r>
          </w:p>
        </w:tc>
        <w:tc>
          <w:tcPr>
            <w:tcW w:w="4498" w:type="dxa"/>
          </w:tcPr>
          <w:p w14:paraId="77F448C9" w14:textId="6CCC04E2"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55.22 to 82.84 for health.</w:t>
            </w:r>
          </w:p>
        </w:tc>
      </w:tr>
      <w:tr w:rsidR="003D1BB9" w:rsidRPr="00E70500" w14:paraId="13BCA211"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20008ADF"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12</w:t>
            </w:r>
          </w:p>
        </w:tc>
        <w:tc>
          <w:tcPr>
            <w:tcW w:w="2547" w:type="dxa"/>
          </w:tcPr>
          <w:p w14:paraId="4FDC62A7"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t>Percent penalty retained</w:t>
            </w:r>
          </w:p>
        </w:tc>
        <w:tc>
          <w:tcPr>
            <w:tcW w:w="973" w:type="dxa"/>
          </w:tcPr>
          <w:p w14:paraId="54C1921C" w14:textId="69E4388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60.04</w:t>
            </w:r>
            <w:r w:rsidRPr="00EE16A8">
              <w:rPr>
                <w:rFonts w:asciiTheme="minorHAnsi" w:hAnsiTheme="minorHAnsi" w:cstheme="minorHAnsi"/>
              </w:rPr>
              <w:t>%</w:t>
            </w:r>
          </w:p>
        </w:tc>
        <w:tc>
          <w:tcPr>
            <w:tcW w:w="1298" w:type="dxa"/>
          </w:tcPr>
          <w:p w14:paraId="73597891"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+/- 15% of</w:t>
            </w:r>
          </w:p>
          <w:p w14:paraId="5AD20280" w14:textId="4A735799"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69.97%</w:t>
            </w:r>
          </w:p>
        </w:tc>
        <w:tc>
          <w:tcPr>
            <w:tcW w:w="4498" w:type="dxa"/>
          </w:tcPr>
          <w:p w14:paraId="45B6E003" w14:textId="45F46B6A"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59.47% to 80.47%.</w:t>
            </w:r>
          </w:p>
        </w:tc>
      </w:tr>
      <w:tr w:rsidR="003D1BB9" w:rsidRPr="00E70500" w14:paraId="2EAC34D6"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46A22AE3"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13</w:t>
            </w:r>
          </w:p>
        </w:tc>
        <w:tc>
          <w:tcPr>
            <w:tcW w:w="2547" w:type="dxa"/>
          </w:tcPr>
          <w:p w14:paraId="56540F98"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t>Percent of initial inspections with worker walk-around representation or worker interview</w:t>
            </w:r>
          </w:p>
        </w:tc>
        <w:tc>
          <w:tcPr>
            <w:tcW w:w="973" w:type="dxa"/>
          </w:tcPr>
          <w:p w14:paraId="71E71ED8" w14:textId="4CC98B63"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100</w:t>
            </w:r>
            <w:r w:rsidRPr="00EE16A8">
              <w:rPr>
                <w:rFonts w:asciiTheme="minorHAnsi" w:hAnsiTheme="minorHAnsi" w:cstheme="minorHAnsi"/>
              </w:rPr>
              <w:t>%</w:t>
            </w:r>
          </w:p>
        </w:tc>
        <w:tc>
          <w:tcPr>
            <w:tcW w:w="1298" w:type="dxa"/>
          </w:tcPr>
          <w:p w14:paraId="4A97427F" w14:textId="6AF5328C"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100%</w:t>
            </w:r>
          </w:p>
        </w:tc>
        <w:tc>
          <w:tcPr>
            <w:tcW w:w="4498" w:type="dxa"/>
          </w:tcPr>
          <w:p w14:paraId="27DEF00F" w14:textId="5BA1200A"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fixed for all State Plans.</w:t>
            </w:r>
          </w:p>
        </w:tc>
      </w:tr>
      <w:tr w:rsidR="003D1BB9" w:rsidRPr="00E70500" w14:paraId="0083664F"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1F73B0DD"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14</w:t>
            </w:r>
          </w:p>
        </w:tc>
        <w:tc>
          <w:tcPr>
            <w:tcW w:w="2547" w:type="dxa"/>
          </w:tcPr>
          <w:p w14:paraId="3454CDD3"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t>Percent of 11(c) investigations completed within 90 days</w:t>
            </w:r>
          </w:p>
        </w:tc>
        <w:tc>
          <w:tcPr>
            <w:tcW w:w="973" w:type="dxa"/>
          </w:tcPr>
          <w:p w14:paraId="3468F2B1" w14:textId="4F571126"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1298" w:type="dxa"/>
          </w:tcPr>
          <w:p w14:paraId="39333E60" w14:textId="5A39BFC3"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4498" w:type="dxa"/>
          </w:tcPr>
          <w:p w14:paraId="7DECCD0D" w14:textId="1246BEF9"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3D7789">
              <w:rPr>
                <w:rFonts w:asciiTheme="minorHAnsi" w:eastAsia="PMingLiU" w:hAnsiTheme="minorHAnsi" w:cstheme="minorHAnsi"/>
              </w:rPr>
              <w:t xml:space="preserve">This measure is not being reported for FY 2022. </w:t>
            </w:r>
            <w:r w:rsidR="004106F1">
              <w:rPr>
                <w:rFonts w:asciiTheme="minorHAnsi" w:eastAsia="PMingLiU" w:hAnsiTheme="minorHAnsi" w:cstheme="minorHAnsi"/>
              </w:rPr>
              <w:t xml:space="preserve"> </w:t>
            </w:r>
            <w:r w:rsidRPr="003D7789">
              <w:rPr>
                <w:rFonts w:asciiTheme="minorHAnsi" w:eastAsia="PMingLiU" w:hAnsiTheme="minorHAnsi" w:cstheme="minorHAnsi"/>
              </w:rPr>
              <w:t>Please see note below.</w:t>
            </w:r>
          </w:p>
        </w:tc>
      </w:tr>
      <w:tr w:rsidR="003D1BB9" w:rsidRPr="00E70500" w14:paraId="570F3912"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4BF89E78"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lastRenderedPageBreak/>
              <w:t>15</w:t>
            </w:r>
          </w:p>
        </w:tc>
        <w:tc>
          <w:tcPr>
            <w:tcW w:w="2547" w:type="dxa"/>
          </w:tcPr>
          <w:p w14:paraId="1BE43D29"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t>Percent of 11(c) complaints that are meritorious</w:t>
            </w:r>
          </w:p>
        </w:tc>
        <w:tc>
          <w:tcPr>
            <w:tcW w:w="973" w:type="dxa"/>
          </w:tcPr>
          <w:p w14:paraId="1E0B0B7D" w14:textId="32B4A30A"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1298" w:type="dxa"/>
          </w:tcPr>
          <w:p w14:paraId="147E9AB5" w14:textId="56DF8216"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4498" w:type="dxa"/>
          </w:tcPr>
          <w:p w14:paraId="5801C5D4" w14:textId="0F177741"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3D7789">
              <w:rPr>
                <w:rFonts w:asciiTheme="minorHAnsi" w:eastAsia="PMingLiU" w:hAnsiTheme="minorHAnsi" w:cstheme="minorHAnsi"/>
              </w:rPr>
              <w:t xml:space="preserve">This measure is not being reported for FY 2022. </w:t>
            </w:r>
            <w:r w:rsidR="004106F1">
              <w:rPr>
                <w:rFonts w:asciiTheme="minorHAnsi" w:eastAsia="PMingLiU" w:hAnsiTheme="minorHAnsi" w:cstheme="minorHAnsi"/>
              </w:rPr>
              <w:t xml:space="preserve"> </w:t>
            </w:r>
            <w:r w:rsidRPr="003D7789">
              <w:rPr>
                <w:rFonts w:asciiTheme="minorHAnsi" w:eastAsia="PMingLiU" w:hAnsiTheme="minorHAnsi" w:cstheme="minorHAnsi"/>
              </w:rPr>
              <w:t>Please see note below.</w:t>
            </w:r>
          </w:p>
        </w:tc>
      </w:tr>
      <w:tr w:rsidR="003D1BB9" w:rsidRPr="00E70500" w14:paraId="06EFF7B6"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7E0D4652"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16</w:t>
            </w:r>
          </w:p>
        </w:tc>
        <w:tc>
          <w:tcPr>
            <w:tcW w:w="2547" w:type="dxa"/>
          </w:tcPr>
          <w:p w14:paraId="5E4FAF60"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t>Average number of calendar days to complete an 11(c) investigation</w:t>
            </w:r>
          </w:p>
        </w:tc>
        <w:tc>
          <w:tcPr>
            <w:tcW w:w="973" w:type="dxa"/>
          </w:tcPr>
          <w:p w14:paraId="3207CBD2" w14:textId="0B7DE5E0"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1298" w:type="dxa"/>
            <w:shd w:val="clear" w:color="auto" w:fill="auto"/>
          </w:tcPr>
          <w:p w14:paraId="7022F7E0" w14:textId="77E86F0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4498" w:type="dxa"/>
          </w:tcPr>
          <w:p w14:paraId="088C3C3F" w14:textId="6C26299E"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3D7789">
              <w:rPr>
                <w:rFonts w:asciiTheme="minorHAnsi" w:eastAsia="PMingLiU" w:hAnsiTheme="minorHAnsi" w:cstheme="minorHAnsi"/>
              </w:rPr>
              <w:t xml:space="preserve">This measure is not being reported for FY 2022. </w:t>
            </w:r>
            <w:r w:rsidR="004106F1">
              <w:rPr>
                <w:rFonts w:asciiTheme="minorHAnsi" w:eastAsia="PMingLiU" w:hAnsiTheme="minorHAnsi" w:cstheme="minorHAnsi"/>
              </w:rPr>
              <w:t xml:space="preserve"> </w:t>
            </w:r>
            <w:r w:rsidRPr="003D7789">
              <w:rPr>
                <w:rFonts w:asciiTheme="minorHAnsi" w:eastAsia="PMingLiU" w:hAnsiTheme="minorHAnsi" w:cstheme="minorHAnsi"/>
              </w:rPr>
              <w:t>Please see note below.</w:t>
            </w:r>
          </w:p>
        </w:tc>
      </w:tr>
      <w:tr w:rsidR="003D1BB9" w:rsidRPr="00E70500" w14:paraId="464BCA80" w14:textId="77777777" w:rsidTr="003D1BB9">
        <w:tc>
          <w:tcPr>
            <w:cnfStyle w:val="001000000000" w:firstRow="0" w:lastRow="0" w:firstColumn="1" w:lastColumn="0" w:oddVBand="0" w:evenVBand="0" w:oddHBand="0" w:evenHBand="0" w:firstRowFirstColumn="0" w:firstRowLastColumn="0" w:lastRowFirstColumn="0" w:lastRowLastColumn="0"/>
            <w:tcW w:w="1034" w:type="dxa"/>
          </w:tcPr>
          <w:p w14:paraId="3EFEA4C9"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70500">
              <w:rPr>
                <w:rFonts w:asciiTheme="minorHAnsi" w:eastAsia="PMingLiU" w:hAnsiTheme="minorHAnsi" w:cstheme="minorHAnsi"/>
              </w:rPr>
              <w:t>17</w:t>
            </w:r>
          </w:p>
        </w:tc>
        <w:tc>
          <w:tcPr>
            <w:tcW w:w="2547" w:type="dxa"/>
          </w:tcPr>
          <w:p w14:paraId="4A04782E" w14:textId="77777777"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0500">
              <w:rPr>
                <w:rFonts w:asciiTheme="minorHAnsi" w:hAnsiTheme="minorHAnsi" w:cstheme="minorHAnsi"/>
              </w:rPr>
              <w:t>Percent of enforcement presence</w:t>
            </w:r>
          </w:p>
        </w:tc>
        <w:tc>
          <w:tcPr>
            <w:tcW w:w="973" w:type="dxa"/>
          </w:tcPr>
          <w:p w14:paraId="2883494A" w14:textId="16F96311"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0.91</w:t>
            </w:r>
            <w:r w:rsidRPr="00EE16A8">
              <w:rPr>
                <w:rFonts w:asciiTheme="minorHAnsi" w:hAnsiTheme="minorHAnsi" w:cstheme="minorHAnsi"/>
              </w:rPr>
              <w:t>%</w:t>
            </w:r>
          </w:p>
        </w:tc>
        <w:tc>
          <w:tcPr>
            <w:tcW w:w="1298" w:type="dxa"/>
          </w:tcPr>
          <w:p w14:paraId="785A3646" w14:textId="77777777" w:rsidR="003D1BB9" w:rsidRPr="00EE16A8" w:rsidRDefault="003D1BB9" w:rsidP="003D1B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+/- 25% of</w:t>
            </w:r>
          </w:p>
          <w:p w14:paraId="315D63EF" w14:textId="37E116FD"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1.64</w:t>
            </w:r>
            <w:r w:rsidRPr="00EE16A8">
              <w:rPr>
                <w:rFonts w:asciiTheme="minorHAnsi" w:hAnsiTheme="minorHAnsi" w:cstheme="minorHAnsi"/>
              </w:rPr>
              <w:t>%</w:t>
            </w:r>
          </w:p>
        </w:tc>
        <w:tc>
          <w:tcPr>
            <w:tcW w:w="4498" w:type="dxa"/>
          </w:tcPr>
          <w:p w14:paraId="66CFA076" w14:textId="513BAF9E" w:rsidR="003D1BB9" w:rsidRPr="00E70500" w:rsidRDefault="003D1BB9" w:rsidP="003D1BB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 xml:space="preserve">The further review level is based on a three-year national average.  The range of acceptable data not requiring further review is from </w:t>
            </w:r>
            <w:r w:rsidRPr="003D7789">
              <w:rPr>
                <w:rFonts w:asciiTheme="minorHAnsi" w:hAnsiTheme="minorHAnsi" w:cstheme="minorHAnsi"/>
              </w:rPr>
              <w:t>1.23% to 2.05%.</w:t>
            </w:r>
            <w:r>
              <w:rPr>
                <w:rFonts w:asciiTheme="minorHAnsi" w:hAnsiTheme="minorHAnsi" w:cstheme="minorHAnsi"/>
              </w:rPr>
              <w:t xml:space="preserve"> </w:t>
            </w:r>
          </w:p>
        </w:tc>
      </w:tr>
    </w:tbl>
    <w:p w14:paraId="723E33DA" w14:textId="77777777" w:rsidR="005128CD" w:rsidRPr="00E70500" w:rsidRDefault="005128CD" w:rsidP="007A71AC">
      <w:pPr>
        <w:widowControl/>
        <w:autoSpaceDE/>
        <w:autoSpaceDN/>
        <w:adjustRightInd/>
        <w:rPr>
          <w:rFonts w:asciiTheme="minorHAnsi" w:hAnsiTheme="minorHAnsi" w:cstheme="minorHAnsi"/>
          <w:b/>
          <w:color w:val="1F497D"/>
        </w:rPr>
      </w:pPr>
    </w:p>
    <w:p w14:paraId="645F8B57" w14:textId="77777777" w:rsidR="004106F1" w:rsidRPr="004106F1" w:rsidRDefault="004106F1" w:rsidP="004106F1">
      <w:pPr>
        <w:widowControl/>
        <w:autoSpaceDE/>
        <w:autoSpaceDN/>
        <w:adjustRightInd/>
        <w:spacing w:after="160" w:line="259" w:lineRule="auto"/>
        <w:rPr>
          <w:rFonts w:eastAsia="Calibri"/>
          <w:sz w:val="22"/>
          <w:szCs w:val="22"/>
        </w:rPr>
      </w:pPr>
      <w:r w:rsidRPr="004106F1">
        <w:rPr>
          <w:rFonts w:eastAsia="Calibri"/>
          <w:sz w:val="22"/>
          <w:szCs w:val="22"/>
        </w:rPr>
        <w:t>NOTE:  The national averages in this report are three-year rolling averages.  Unless otherwise noted, the data contained in this Appendix D is pulled from the State Activity Mandated Measures (SAMM) Report in OIS run on November 14, 2022, as part of OSHA’s official end-of-year data run.</w:t>
      </w:r>
    </w:p>
    <w:p w14:paraId="407166A4" w14:textId="77777777" w:rsidR="004106F1" w:rsidRPr="004106F1" w:rsidRDefault="004106F1" w:rsidP="004106F1">
      <w:pPr>
        <w:widowControl/>
        <w:autoSpaceDE/>
        <w:autoSpaceDN/>
        <w:adjustRightInd/>
        <w:spacing w:after="160" w:line="259" w:lineRule="auto"/>
        <w:rPr>
          <w:rFonts w:eastAsia="Calibri"/>
          <w:sz w:val="22"/>
          <w:szCs w:val="22"/>
        </w:rPr>
      </w:pPr>
      <w:r w:rsidRPr="004106F1">
        <w:rPr>
          <w:rFonts w:eastAsia="Calibri"/>
          <w:sz w:val="22"/>
          <w:szCs w:val="22"/>
        </w:rPr>
        <w:t>*Due to the transition of 11(c) data from IMIS to OIS, SAMMs 14, 15, and 16 are not being reported for FY 2022.</w:t>
      </w:r>
    </w:p>
    <w:p w14:paraId="575825F5" w14:textId="77777777" w:rsidR="005128CD" w:rsidRPr="00E70500" w:rsidRDefault="005128CD" w:rsidP="007A71AC">
      <w:pPr>
        <w:widowControl/>
        <w:autoSpaceDE/>
        <w:autoSpaceDN/>
        <w:adjustRightInd/>
        <w:rPr>
          <w:rFonts w:asciiTheme="minorHAnsi" w:hAnsiTheme="minorHAnsi" w:cstheme="minorHAnsi"/>
          <w:b/>
          <w:color w:val="1F497D"/>
        </w:rPr>
      </w:pPr>
    </w:p>
    <w:p w14:paraId="325D26EC" w14:textId="77777777" w:rsidR="00E950BC" w:rsidRPr="00E70500" w:rsidRDefault="00E950BC" w:rsidP="00634539">
      <w:pPr>
        <w:widowControl/>
        <w:autoSpaceDE/>
        <w:autoSpaceDN/>
        <w:adjustRightInd/>
        <w:rPr>
          <w:rFonts w:asciiTheme="minorHAnsi" w:hAnsiTheme="minorHAnsi" w:cstheme="minorHAnsi"/>
          <w:i/>
        </w:rPr>
      </w:pPr>
    </w:p>
    <w:p w14:paraId="4A00AD13" w14:textId="77777777" w:rsidR="000A134A" w:rsidRPr="00E70500" w:rsidRDefault="000A134A" w:rsidP="007A71AC">
      <w:pPr>
        <w:widowControl/>
        <w:autoSpaceDE/>
        <w:autoSpaceDN/>
        <w:adjustRightInd/>
        <w:rPr>
          <w:rFonts w:asciiTheme="minorHAnsi" w:hAnsiTheme="minorHAnsi" w:cstheme="minorHAnsi"/>
          <w:i/>
        </w:rPr>
      </w:pPr>
    </w:p>
    <w:p w14:paraId="70FCF008" w14:textId="77777777" w:rsidR="0016336D" w:rsidRPr="00E70500" w:rsidRDefault="0016336D" w:rsidP="00F40413">
      <w:pPr>
        <w:widowControl/>
        <w:autoSpaceDE/>
        <w:autoSpaceDN/>
        <w:adjustRightInd/>
        <w:ind w:left="1080"/>
        <w:rPr>
          <w:rFonts w:asciiTheme="minorHAnsi" w:hAnsiTheme="minorHAnsi" w:cstheme="minorHAnsi"/>
        </w:rPr>
      </w:pPr>
    </w:p>
    <w:p w14:paraId="3291466A" w14:textId="77777777" w:rsidR="005F128A" w:rsidRPr="00E70500" w:rsidRDefault="005F128A" w:rsidP="00F40413">
      <w:pPr>
        <w:widowControl/>
        <w:autoSpaceDE/>
        <w:autoSpaceDN/>
        <w:adjustRightInd/>
        <w:ind w:left="1080"/>
        <w:rPr>
          <w:rFonts w:asciiTheme="minorHAnsi" w:hAnsiTheme="minorHAnsi" w:cstheme="minorHAnsi"/>
        </w:rPr>
      </w:pPr>
    </w:p>
    <w:p w14:paraId="0A470C61" w14:textId="77777777" w:rsidR="005128CD" w:rsidRPr="00E70500" w:rsidRDefault="005128CD" w:rsidP="00634539">
      <w:pPr>
        <w:widowControl/>
        <w:autoSpaceDE/>
        <w:autoSpaceDN/>
        <w:adjustRightInd/>
        <w:rPr>
          <w:rFonts w:asciiTheme="minorHAnsi" w:hAnsiTheme="minorHAnsi" w:cstheme="minorHAnsi"/>
        </w:rPr>
        <w:sectPr w:rsidR="005128CD" w:rsidRPr="00E70500" w:rsidSect="00476C08">
          <w:headerReference w:type="default" r:id="rId21"/>
          <w:footerReference w:type="default" r:id="rId22"/>
          <w:pgSz w:w="12240" w:h="15840" w:code="1"/>
          <w:pgMar w:top="1440" w:right="1440" w:bottom="1440" w:left="1440" w:header="720" w:footer="720" w:gutter="0"/>
          <w:cols w:space="720"/>
          <w:noEndnote/>
          <w:docGrid w:linePitch="326"/>
        </w:sectPr>
      </w:pPr>
    </w:p>
    <w:p w14:paraId="52265BF8" w14:textId="77777777" w:rsidR="005F128A" w:rsidRPr="00E70500" w:rsidRDefault="005F128A" w:rsidP="00634539">
      <w:pPr>
        <w:widowControl/>
        <w:autoSpaceDE/>
        <w:autoSpaceDN/>
        <w:adjustRightInd/>
        <w:rPr>
          <w:rFonts w:asciiTheme="minorHAnsi" w:hAnsiTheme="minorHAnsi" w:cstheme="minorHAnsi"/>
        </w:rPr>
      </w:pPr>
    </w:p>
    <w:p w14:paraId="24A311E3" w14:textId="77777777" w:rsidR="005F128A" w:rsidRPr="00E70500" w:rsidRDefault="005F128A" w:rsidP="00F40413">
      <w:pPr>
        <w:widowControl/>
        <w:autoSpaceDE/>
        <w:autoSpaceDN/>
        <w:adjustRightInd/>
        <w:ind w:left="1080"/>
        <w:rPr>
          <w:rFonts w:asciiTheme="minorHAnsi" w:hAnsiTheme="minorHAnsi" w:cstheme="minorHAnsi"/>
        </w:rPr>
      </w:pPr>
    </w:p>
    <w:p w14:paraId="1EF1EE4F" w14:textId="77777777" w:rsidR="005F128A" w:rsidRPr="00E70500" w:rsidRDefault="005F128A" w:rsidP="00F40413">
      <w:pPr>
        <w:widowControl/>
        <w:autoSpaceDE/>
        <w:autoSpaceDN/>
        <w:adjustRightInd/>
        <w:ind w:left="1080"/>
        <w:rPr>
          <w:rFonts w:asciiTheme="minorHAnsi" w:hAnsiTheme="minorHAnsi" w:cstheme="minorHAnsi"/>
        </w:rPr>
      </w:pPr>
    </w:p>
    <w:p w14:paraId="6573BAF6" w14:textId="3FAD77B0" w:rsidR="00634539" w:rsidRPr="00E70500" w:rsidRDefault="00634539" w:rsidP="00634539">
      <w:pPr>
        <w:tabs>
          <w:tab w:val="left" w:pos="3405"/>
        </w:tabs>
        <w:rPr>
          <w:rFonts w:asciiTheme="minorHAnsi" w:hAnsiTheme="minorHAnsi" w:cstheme="minorHAnsi"/>
        </w:rPr>
      </w:pPr>
    </w:p>
    <w:sectPr w:rsidR="00634539" w:rsidRPr="00E70500" w:rsidSect="005128CD">
      <w:headerReference w:type="default" r:id="rId23"/>
      <w:footerReference w:type="default" r:id="rId24"/>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6BCD" w14:textId="77777777" w:rsidR="00B16602" w:rsidRDefault="00B16602" w:rsidP="00C872A0">
      <w:r>
        <w:separator/>
      </w:r>
    </w:p>
  </w:endnote>
  <w:endnote w:type="continuationSeparator" w:id="0">
    <w:p w14:paraId="374A50DF" w14:textId="77777777" w:rsidR="00B16602" w:rsidRDefault="00B16602" w:rsidP="00C872A0">
      <w:r>
        <w:continuationSeparator/>
      </w:r>
    </w:p>
  </w:endnote>
  <w:endnote w:type="continuationNotice" w:id="1">
    <w:p w14:paraId="4F494332" w14:textId="77777777" w:rsidR="00B16602" w:rsidRDefault="00B16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8A2C" w14:textId="77777777" w:rsidR="00B16602" w:rsidRDefault="00B16602" w:rsidP="00C872A0">
      <w:r>
        <w:separator/>
      </w:r>
    </w:p>
  </w:footnote>
  <w:footnote w:type="continuationSeparator" w:id="0">
    <w:p w14:paraId="06F20A23" w14:textId="77777777" w:rsidR="00B16602" w:rsidRDefault="00B16602" w:rsidP="00C872A0">
      <w:r>
        <w:continuationSeparator/>
      </w:r>
    </w:p>
  </w:footnote>
  <w:footnote w:type="continuationNotice" w:id="1">
    <w:p w14:paraId="361EEB68" w14:textId="77777777" w:rsidR="00B16602" w:rsidRDefault="00B16602"/>
  </w:footnote>
  <w:footnote w:id="2">
    <w:p w14:paraId="1A09C070" w14:textId="3818A9F6" w:rsidR="004B3D09" w:rsidRDefault="005F3A12" w:rsidP="004B3D09">
      <w:pPr>
        <w:pStyle w:val="FootnoteText"/>
      </w:pPr>
      <w:r w:rsidRPr="00D1745F">
        <w:rPr>
          <w:rStyle w:val="FootnoteReference"/>
          <w:b/>
          <w:bCs/>
          <w:sz w:val="28"/>
          <w:szCs w:val="28"/>
          <w:vertAlign w:val="superscript"/>
        </w:rPr>
        <w:footnoteRef/>
      </w:r>
      <w:r w:rsidRPr="00D1745F">
        <w:rPr>
          <w:b/>
          <w:bCs/>
          <w:sz w:val="28"/>
          <w:szCs w:val="28"/>
          <w:vertAlign w:val="superscript"/>
        </w:rPr>
        <w:t xml:space="preserve"> </w:t>
      </w:r>
      <w:r w:rsidR="005E1E59">
        <w:t xml:space="preserve">Source: </w:t>
      </w:r>
      <w:hyperlink r:id="rId1" w:history="1">
        <w:r w:rsidR="00C941DF">
          <w:rPr>
            <w:rStyle w:val="Hyperlink"/>
          </w:rPr>
          <w:t xml:space="preserve">Vermont Economic and Labor Market Information Division, Quarterly Census of Employment and Wages </w:t>
        </w:r>
      </w:hyperlink>
    </w:p>
    <w:p w14:paraId="229AC2C3" w14:textId="0FD155A3" w:rsidR="001C2DF6" w:rsidRDefault="001C2DF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A39" w14:textId="77777777" w:rsidR="00780E29" w:rsidRPr="00283FF9" w:rsidRDefault="00780E29" w:rsidP="00795447">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A0A7" w14:textId="11A2137F" w:rsidR="00780E29" w:rsidRPr="00D2585B" w:rsidRDefault="00780E29"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8AE85174"/>
    <w:lvl w:ilvl="0" w:tplc="48E4A7FC">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0FDE31F6"/>
    <w:lvl w:ilvl="0" w:tplc="080E751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0"/>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1"/>
  </w:num>
  <w:num w:numId="11" w16cid:durableId="247546233">
    <w:abstractNumId w:val="23"/>
  </w:num>
  <w:num w:numId="12" w16cid:durableId="158769152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19A6"/>
    <w:rsid w:val="0000201A"/>
    <w:rsid w:val="00002B73"/>
    <w:rsid w:val="00003055"/>
    <w:rsid w:val="000036AB"/>
    <w:rsid w:val="00004200"/>
    <w:rsid w:val="00007781"/>
    <w:rsid w:val="000112ED"/>
    <w:rsid w:val="000116C0"/>
    <w:rsid w:val="00012666"/>
    <w:rsid w:val="000143F1"/>
    <w:rsid w:val="00014C7A"/>
    <w:rsid w:val="00014FA5"/>
    <w:rsid w:val="00016214"/>
    <w:rsid w:val="00016803"/>
    <w:rsid w:val="0001706D"/>
    <w:rsid w:val="00017349"/>
    <w:rsid w:val="00020900"/>
    <w:rsid w:val="00021274"/>
    <w:rsid w:val="000217D1"/>
    <w:rsid w:val="00021FE0"/>
    <w:rsid w:val="00022BEE"/>
    <w:rsid w:val="0002300C"/>
    <w:rsid w:val="00023E67"/>
    <w:rsid w:val="000248F0"/>
    <w:rsid w:val="00025496"/>
    <w:rsid w:val="0002572C"/>
    <w:rsid w:val="00025F57"/>
    <w:rsid w:val="000260C6"/>
    <w:rsid w:val="00026D63"/>
    <w:rsid w:val="00027093"/>
    <w:rsid w:val="00031186"/>
    <w:rsid w:val="00031B23"/>
    <w:rsid w:val="0003442F"/>
    <w:rsid w:val="00034A4E"/>
    <w:rsid w:val="00035083"/>
    <w:rsid w:val="00035564"/>
    <w:rsid w:val="0003567C"/>
    <w:rsid w:val="000365F9"/>
    <w:rsid w:val="00036865"/>
    <w:rsid w:val="00036BF8"/>
    <w:rsid w:val="00036EB4"/>
    <w:rsid w:val="00036F0D"/>
    <w:rsid w:val="00037F48"/>
    <w:rsid w:val="000404D5"/>
    <w:rsid w:val="000404ED"/>
    <w:rsid w:val="00042327"/>
    <w:rsid w:val="00043515"/>
    <w:rsid w:val="00044436"/>
    <w:rsid w:val="000447C9"/>
    <w:rsid w:val="000449F8"/>
    <w:rsid w:val="00045479"/>
    <w:rsid w:val="00045BD6"/>
    <w:rsid w:val="00045C51"/>
    <w:rsid w:val="00046151"/>
    <w:rsid w:val="000468C6"/>
    <w:rsid w:val="00046BEE"/>
    <w:rsid w:val="00046C5F"/>
    <w:rsid w:val="00046E13"/>
    <w:rsid w:val="000470EE"/>
    <w:rsid w:val="000478B7"/>
    <w:rsid w:val="00047CA1"/>
    <w:rsid w:val="0005007B"/>
    <w:rsid w:val="00050FEB"/>
    <w:rsid w:val="000517FA"/>
    <w:rsid w:val="00052B36"/>
    <w:rsid w:val="00053A2C"/>
    <w:rsid w:val="00054416"/>
    <w:rsid w:val="00054900"/>
    <w:rsid w:val="00055243"/>
    <w:rsid w:val="00055B40"/>
    <w:rsid w:val="00055F2C"/>
    <w:rsid w:val="00057840"/>
    <w:rsid w:val="00060D39"/>
    <w:rsid w:val="00061875"/>
    <w:rsid w:val="000625FB"/>
    <w:rsid w:val="0006398D"/>
    <w:rsid w:val="00063E74"/>
    <w:rsid w:val="00065AB2"/>
    <w:rsid w:val="0006611A"/>
    <w:rsid w:val="00066A7B"/>
    <w:rsid w:val="00066C52"/>
    <w:rsid w:val="0006711A"/>
    <w:rsid w:val="0006757B"/>
    <w:rsid w:val="000701E4"/>
    <w:rsid w:val="0007073F"/>
    <w:rsid w:val="00070A61"/>
    <w:rsid w:val="0007157F"/>
    <w:rsid w:val="00071E71"/>
    <w:rsid w:val="000724F1"/>
    <w:rsid w:val="0007306B"/>
    <w:rsid w:val="000743D1"/>
    <w:rsid w:val="00074876"/>
    <w:rsid w:val="000760CB"/>
    <w:rsid w:val="00076601"/>
    <w:rsid w:val="000767C0"/>
    <w:rsid w:val="00077410"/>
    <w:rsid w:val="00077F5B"/>
    <w:rsid w:val="000805C0"/>
    <w:rsid w:val="00083A76"/>
    <w:rsid w:val="000847CC"/>
    <w:rsid w:val="00085230"/>
    <w:rsid w:val="00086F2F"/>
    <w:rsid w:val="0008759E"/>
    <w:rsid w:val="00087EE9"/>
    <w:rsid w:val="00090155"/>
    <w:rsid w:val="000902ED"/>
    <w:rsid w:val="00090409"/>
    <w:rsid w:val="0009134A"/>
    <w:rsid w:val="00091ABD"/>
    <w:rsid w:val="00091AE2"/>
    <w:rsid w:val="00091B54"/>
    <w:rsid w:val="000923E0"/>
    <w:rsid w:val="00092555"/>
    <w:rsid w:val="000929B5"/>
    <w:rsid w:val="00092F1B"/>
    <w:rsid w:val="00093239"/>
    <w:rsid w:val="0009535D"/>
    <w:rsid w:val="0009583F"/>
    <w:rsid w:val="000969E2"/>
    <w:rsid w:val="000971FC"/>
    <w:rsid w:val="00097327"/>
    <w:rsid w:val="000A134A"/>
    <w:rsid w:val="000A1CE9"/>
    <w:rsid w:val="000A245F"/>
    <w:rsid w:val="000A27B5"/>
    <w:rsid w:val="000A2DE7"/>
    <w:rsid w:val="000A3878"/>
    <w:rsid w:val="000A3D77"/>
    <w:rsid w:val="000A40EC"/>
    <w:rsid w:val="000A55DB"/>
    <w:rsid w:val="000A6545"/>
    <w:rsid w:val="000A658C"/>
    <w:rsid w:val="000A6A57"/>
    <w:rsid w:val="000A7279"/>
    <w:rsid w:val="000A7A05"/>
    <w:rsid w:val="000B07D7"/>
    <w:rsid w:val="000B1627"/>
    <w:rsid w:val="000B1A5B"/>
    <w:rsid w:val="000B1ECC"/>
    <w:rsid w:val="000B22E4"/>
    <w:rsid w:val="000B3A37"/>
    <w:rsid w:val="000B440B"/>
    <w:rsid w:val="000B4852"/>
    <w:rsid w:val="000B530C"/>
    <w:rsid w:val="000B57D1"/>
    <w:rsid w:val="000B6A8A"/>
    <w:rsid w:val="000C04C6"/>
    <w:rsid w:val="000C0756"/>
    <w:rsid w:val="000C0E15"/>
    <w:rsid w:val="000C12C6"/>
    <w:rsid w:val="000C1882"/>
    <w:rsid w:val="000C1ED8"/>
    <w:rsid w:val="000C2315"/>
    <w:rsid w:val="000C295F"/>
    <w:rsid w:val="000C2E74"/>
    <w:rsid w:val="000C368E"/>
    <w:rsid w:val="000C3694"/>
    <w:rsid w:val="000C38BD"/>
    <w:rsid w:val="000C4141"/>
    <w:rsid w:val="000C43DE"/>
    <w:rsid w:val="000C46E4"/>
    <w:rsid w:val="000C4C63"/>
    <w:rsid w:val="000C5C82"/>
    <w:rsid w:val="000C5F32"/>
    <w:rsid w:val="000C7C9A"/>
    <w:rsid w:val="000D3343"/>
    <w:rsid w:val="000D343F"/>
    <w:rsid w:val="000D4560"/>
    <w:rsid w:val="000D4A64"/>
    <w:rsid w:val="000D57F7"/>
    <w:rsid w:val="000D62D2"/>
    <w:rsid w:val="000D750A"/>
    <w:rsid w:val="000D7AAD"/>
    <w:rsid w:val="000E0408"/>
    <w:rsid w:val="000E07E7"/>
    <w:rsid w:val="000E0DD1"/>
    <w:rsid w:val="000E1AA2"/>
    <w:rsid w:val="000E20A2"/>
    <w:rsid w:val="000E46F3"/>
    <w:rsid w:val="000E5C64"/>
    <w:rsid w:val="000E6466"/>
    <w:rsid w:val="000E7F42"/>
    <w:rsid w:val="000F1D68"/>
    <w:rsid w:val="000F1E49"/>
    <w:rsid w:val="000F298A"/>
    <w:rsid w:val="000F46ED"/>
    <w:rsid w:val="000F4DA3"/>
    <w:rsid w:val="000F5631"/>
    <w:rsid w:val="000F5A36"/>
    <w:rsid w:val="000F63C1"/>
    <w:rsid w:val="000F6A5C"/>
    <w:rsid w:val="000F7ECC"/>
    <w:rsid w:val="001039FA"/>
    <w:rsid w:val="001056A7"/>
    <w:rsid w:val="0011011A"/>
    <w:rsid w:val="00110CB0"/>
    <w:rsid w:val="001113A1"/>
    <w:rsid w:val="00112C81"/>
    <w:rsid w:val="00112EB5"/>
    <w:rsid w:val="0011326F"/>
    <w:rsid w:val="00114945"/>
    <w:rsid w:val="00115087"/>
    <w:rsid w:val="0011522A"/>
    <w:rsid w:val="00115B48"/>
    <w:rsid w:val="00115DF5"/>
    <w:rsid w:val="00115EA8"/>
    <w:rsid w:val="00116055"/>
    <w:rsid w:val="001161AD"/>
    <w:rsid w:val="00116378"/>
    <w:rsid w:val="001170E4"/>
    <w:rsid w:val="00117115"/>
    <w:rsid w:val="001171CB"/>
    <w:rsid w:val="001174A0"/>
    <w:rsid w:val="001206B1"/>
    <w:rsid w:val="0012164B"/>
    <w:rsid w:val="00122228"/>
    <w:rsid w:val="0012279E"/>
    <w:rsid w:val="00122839"/>
    <w:rsid w:val="00122BD3"/>
    <w:rsid w:val="00122F13"/>
    <w:rsid w:val="00123AC4"/>
    <w:rsid w:val="00123EDF"/>
    <w:rsid w:val="001243C7"/>
    <w:rsid w:val="00124FF5"/>
    <w:rsid w:val="00125065"/>
    <w:rsid w:val="00125345"/>
    <w:rsid w:val="00125C8A"/>
    <w:rsid w:val="0012661F"/>
    <w:rsid w:val="00126880"/>
    <w:rsid w:val="00131A74"/>
    <w:rsid w:val="00132862"/>
    <w:rsid w:val="00132F71"/>
    <w:rsid w:val="001330E6"/>
    <w:rsid w:val="00134193"/>
    <w:rsid w:val="001341FE"/>
    <w:rsid w:val="00134F5C"/>
    <w:rsid w:val="00134F5D"/>
    <w:rsid w:val="001358F0"/>
    <w:rsid w:val="00136DA3"/>
    <w:rsid w:val="001376D1"/>
    <w:rsid w:val="00140157"/>
    <w:rsid w:val="00140C21"/>
    <w:rsid w:val="00141758"/>
    <w:rsid w:val="0014199D"/>
    <w:rsid w:val="00142198"/>
    <w:rsid w:val="0014231F"/>
    <w:rsid w:val="00143ACD"/>
    <w:rsid w:val="0014420A"/>
    <w:rsid w:val="00144A53"/>
    <w:rsid w:val="00145BC1"/>
    <w:rsid w:val="001469F6"/>
    <w:rsid w:val="00146A83"/>
    <w:rsid w:val="001471B8"/>
    <w:rsid w:val="00147328"/>
    <w:rsid w:val="00147B01"/>
    <w:rsid w:val="00147F8B"/>
    <w:rsid w:val="00150745"/>
    <w:rsid w:val="00150F03"/>
    <w:rsid w:val="001515BB"/>
    <w:rsid w:val="00151CFD"/>
    <w:rsid w:val="00152207"/>
    <w:rsid w:val="00153C08"/>
    <w:rsid w:val="00155591"/>
    <w:rsid w:val="00156CD6"/>
    <w:rsid w:val="00156E0C"/>
    <w:rsid w:val="00157520"/>
    <w:rsid w:val="0016144B"/>
    <w:rsid w:val="00161740"/>
    <w:rsid w:val="0016336D"/>
    <w:rsid w:val="00163D5A"/>
    <w:rsid w:val="00163E90"/>
    <w:rsid w:val="0016495D"/>
    <w:rsid w:val="00166BE7"/>
    <w:rsid w:val="00172085"/>
    <w:rsid w:val="00173853"/>
    <w:rsid w:val="0017552C"/>
    <w:rsid w:val="00176DF8"/>
    <w:rsid w:val="001770E2"/>
    <w:rsid w:val="00177A1E"/>
    <w:rsid w:val="00177D70"/>
    <w:rsid w:val="00182B5C"/>
    <w:rsid w:val="00182CE0"/>
    <w:rsid w:val="001843E2"/>
    <w:rsid w:val="00184E41"/>
    <w:rsid w:val="00184E43"/>
    <w:rsid w:val="00185C7D"/>
    <w:rsid w:val="001860C5"/>
    <w:rsid w:val="001861B8"/>
    <w:rsid w:val="00187065"/>
    <w:rsid w:val="00187182"/>
    <w:rsid w:val="00190079"/>
    <w:rsid w:val="001902FE"/>
    <w:rsid w:val="0019093C"/>
    <w:rsid w:val="00190BDA"/>
    <w:rsid w:val="001927A4"/>
    <w:rsid w:val="00192881"/>
    <w:rsid w:val="00192C14"/>
    <w:rsid w:val="0019398F"/>
    <w:rsid w:val="00193E53"/>
    <w:rsid w:val="001941DE"/>
    <w:rsid w:val="00194E39"/>
    <w:rsid w:val="00195153"/>
    <w:rsid w:val="001951A1"/>
    <w:rsid w:val="001958C8"/>
    <w:rsid w:val="00196F80"/>
    <w:rsid w:val="00197A9D"/>
    <w:rsid w:val="001A1074"/>
    <w:rsid w:val="001A2967"/>
    <w:rsid w:val="001A335E"/>
    <w:rsid w:val="001A3671"/>
    <w:rsid w:val="001A555E"/>
    <w:rsid w:val="001A6B79"/>
    <w:rsid w:val="001A7BB9"/>
    <w:rsid w:val="001A7F60"/>
    <w:rsid w:val="001B0219"/>
    <w:rsid w:val="001B02D7"/>
    <w:rsid w:val="001B0632"/>
    <w:rsid w:val="001B0AF1"/>
    <w:rsid w:val="001B160F"/>
    <w:rsid w:val="001B284A"/>
    <w:rsid w:val="001B346B"/>
    <w:rsid w:val="001B6DA7"/>
    <w:rsid w:val="001B7211"/>
    <w:rsid w:val="001B77A2"/>
    <w:rsid w:val="001B78CE"/>
    <w:rsid w:val="001C154D"/>
    <w:rsid w:val="001C1D58"/>
    <w:rsid w:val="001C1E47"/>
    <w:rsid w:val="001C2B11"/>
    <w:rsid w:val="001C2DF6"/>
    <w:rsid w:val="001C3276"/>
    <w:rsid w:val="001C44E8"/>
    <w:rsid w:val="001C560E"/>
    <w:rsid w:val="001C58C2"/>
    <w:rsid w:val="001C620B"/>
    <w:rsid w:val="001D142D"/>
    <w:rsid w:val="001D1819"/>
    <w:rsid w:val="001D1A16"/>
    <w:rsid w:val="001D4963"/>
    <w:rsid w:val="001D6530"/>
    <w:rsid w:val="001D681F"/>
    <w:rsid w:val="001D6D59"/>
    <w:rsid w:val="001D7428"/>
    <w:rsid w:val="001D7613"/>
    <w:rsid w:val="001E0EFF"/>
    <w:rsid w:val="001E1B35"/>
    <w:rsid w:val="001E1B9B"/>
    <w:rsid w:val="001E1C5D"/>
    <w:rsid w:val="001E1F69"/>
    <w:rsid w:val="001E1FD1"/>
    <w:rsid w:val="001E233A"/>
    <w:rsid w:val="001E2D62"/>
    <w:rsid w:val="001E2FBB"/>
    <w:rsid w:val="001E36FF"/>
    <w:rsid w:val="001E38E1"/>
    <w:rsid w:val="001E4F8A"/>
    <w:rsid w:val="001E5275"/>
    <w:rsid w:val="001E5ABD"/>
    <w:rsid w:val="001E5C43"/>
    <w:rsid w:val="001E5FE4"/>
    <w:rsid w:val="001E62BE"/>
    <w:rsid w:val="001E71BA"/>
    <w:rsid w:val="001E7A13"/>
    <w:rsid w:val="001F0B51"/>
    <w:rsid w:val="001F1D8A"/>
    <w:rsid w:val="001F2978"/>
    <w:rsid w:val="001F359C"/>
    <w:rsid w:val="001F366E"/>
    <w:rsid w:val="001F3750"/>
    <w:rsid w:val="001F40E1"/>
    <w:rsid w:val="001F58B8"/>
    <w:rsid w:val="001F7B49"/>
    <w:rsid w:val="00200210"/>
    <w:rsid w:val="00200794"/>
    <w:rsid w:val="00200D27"/>
    <w:rsid w:val="00201129"/>
    <w:rsid w:val="002011AC"/>
    <w:rsid w:val="0020126D"/>
    <w:rsid w:val="00201EB9"/>
    <w:rsid w:val="002027B5"/>
    <w:rsid w:val="00202BD7"/>
    <w:rsid w:val="00203431"/>
    <w:rsid w:val="00203AB6"/>
    <w:rsid w:val="002048CC"/>
    <w:rsid w:val="0020506D"/>
    <w:rsid w:val="00205391"/>
    <w:rsid w:val="00205A99"/>
    <w:rsid w:val="00205B95"/>
    <w:rsid w:val="00206EEF"/>
    <w:rsid w:val="0020733F"/>
    <w:rsid w:val="00207B94"/>
    <w:rsid w:val="00210C89"/>
    <w:rsid w:val="00210E15"/>
    <w:rsid w:val="00211626"/>
    <w:rsid w:val="0021277A"/>
    <w:rsid w:val="00212BC7"/>
    <w:rsid w:val="0021380C"/>
    <w:rsid w:val="00213FCA"/>
    <w:rsid w:val="00216621"/>
    <w:rsid w:val="00216B0E"/>
    <w:rsid w:val="00217433"/>
    <w:rsid w:val="00217437"/>
    <w:rsid w:val="0022051F"/>
    <w:rsid w:val="00222350"/>
    <w:rsid w:val="002231D3"/>
    <w:rsid w:val="002235F3"/>
    <w:rsid w:val="002247E7"/>
    <w:rsid w:val="0022537C"/>
    <w:rsid w:val="002264E4"/>
    <w:rsid w:val="0022685E"/>
    <w:rsid w:val="00227868"/>
    <w:rsid w:val="002301A9"/>
    <w:rsid w:val="00230915"/>
    <w:rsid w:val="00230D53"/>
    <w:rsid w:val="0023191B"/>
    <w:rsid w:val="00232429"/>
    <w:rsid w:val="002337B2"/>
    <w:rsid w:val="00233C64"/>
    <w:rsid w:val="00235F2D"/>
    <w:rsid w:val="002374DD"/>
    <w:rsid w:val="002404BA"/>
    <w:rsid w:val="00241422"/>
    <w:rsid w:val="0024155C"/>
    <w:rsid w:val="002427F7"/>
    <w:rsid w:val="00243015"/>
    <w:rsid w:val="0024338F"/>
    <w:rsid w:val="00244A13"/>
    <w:rsid w:val="00247D0E"/>
    <w:rsid w:val="002511A8"/>
    <w:rsid w:val="002511E9"/>
    <w:rsid w:val="002512E8"/>
    <w:rsid w:val="00251FA2"/>
    <w:rsid w:val="002523FB"/>
    <w:rsid w:val="002529E8"/>
    <w:rsid w:val="00253249"/>
    <w:rsid w:val="002536CB"/>
    <w:rsid w:val="00254683"/>
    <w:rsid w:val="0025526A"/>
    <w:rsid w:val="00255EA4"/>
    <w:rsid w:val="0025720E"/>
    <w:rsid w:val="00260A89"/>
    <w:rsid w:val="00260C9F"/>
    <w:rsid w:val="00260F16"/>
    <w:rsid w:val="00261A11"/>
    <w:rsid w:val="00262A51"/>
    <w:rsid w:val="00262DDC"/>
    <w:rsid w:val="002632B4"/>
    <w:rsid w:val="002648FC"/>
    <w:rsid w:val="00265778"/>
    <w:rsid w:val="002658D0"/>
    <w:rsid w:val="002679E5"/>
    <w:rsid w:val="00267C82"/>
    <w:rsid w:val="00270695"/>
    <w:rsid w:val="002707B8"/>
    <w:rsid w:val="0027084D"/>
    <w:rsid w:val="002725BC"/>
    <w:rsid w:val="002731DE"/>
    <w:rsid w:val="002735F9"/>
    <w:rsid w:val="00273C84"/>
    <w:rsid w:val="00273CD1"/>
    <w:rsid w:val="00273D5F"/>
    <w:rsid w:val="00274463"/>
    <w:rsid w:val="0027502F"/>
    <w:rsid w:val="00277C24"/>
    <w:rsid w:val="00277C79"/>
    <w:rsid w:val="00280ABF"/>
    <w:rsid w:val="00281531"/>
    <w:rsid w:val="0028166F"/>
    <w:rsid w:val="00281733"/>
    <w:rsid w:val="0028174D"/>
    <w:rsid w:val="00281A30"/>
    <w:rsid w:val="002823D9"/>
    <w:rsid w:val="002831C6"/>
    <w:rsid w:val="00283B4A"/>
    <w:rsid w:val="00283FF9"/>
    <w:rsid w:val="002873B5"/>
    <w:rsid w:val="002873C5"/>
    <w:rsid w:val="00290B29"/>
    <w:rsid w:val="00292313"/>
    <w:rsid w:val="00294168"/>
    <w:rsid w:val="00294245"/>
    <w:rsid w:val="002948AE"/>
    <w:rsid w:val="00294FD0"/>
    <w:rsid w:val="002954DC"/>
    <w:rsid w:val="0029647F"/>
    <w:rsid w:val="00296B1E"/>
    <w:rsid w:val="00297ABC"/>
    <w:rsid w:val="002A1238"/>
    <w:rsid w:val="002A1572"/>
    <w:rsid w:val="002A2421"/>
    <w:rsid w:val="002A40A1"/>
    <w:rsid w:val="002A416B"/>
    <w:rsid w:val="002A4594"/>
    <w:rsid w:val="002A4934"/>
    <w:rsid w:val="002A50A7"/>
    <w:rsid w:val="002A65C4"/>
    <w:rsid w:val="002A6CAA"/>
    <w:rsid w:val="002A6EA8"/>
    <w:rsid w:val="002A7E5D"/>
    <w:rsid w:val="002B020A"/>
    <w:rsid w:val="002B334F"/>
    <w:rsid w:val="002B3E37"/>
    <w:rsid w:val="002B4100"/>
    <w:rsid w:val="002B4250"/>
    <w:rsid w:val="002B429D"/>
    <w:rsid w:val="002B43F3"/>
    <w:rsid w:val="002B4830"/>
    <w:rsid w:val="002B4919"/>
    <w:rsid w:val="002B4F49"/>
    <w:rsid w:val="002B63FA"/>
    <w:rsid w:val="002B7D36"/>
    <w:rsid w:val="002C08CE"/>
    <w:rsid w:val="002C1E78"/>
    <w:rsid w:val="002C21A1"/>
    <w:rsid w:val="002C2623"/>
    <w:rsid w:val="002C2D56"/>
    <w:rsid w:val="002C3145"/>
    <w:rsid w:val="002C4531"/>
    <w:rsid w:val="002C4E8C"/>
    <w:rsid w:val="002C5923"/>
    <w:rsid w:val="002C65D1"/>
    <w:rsid w:val="002D0261"/>
    <w:rsid w:val="002D1D1E"/>
    <w:rsid w:val="002D24B4"/>
    <w:rsid w:val="002D473A"/>
    <w:rsid w:val="002D4F37"/>
    <w:rsid w:val="002D54B7"/>
    <w:rsid w:val="002D61CE"/>
    <w:rsid w:val="002D6E03"/>
    <w:rsid w:val="002E030B"/>
    <w:rsid w:val="002E0D0D"/>
    <w:rsid w:val="002E211F"/>
    <w:rsid w:val="002E397D"/>
    <w:rsid w:val="002E3CB4"/>
    <w:rsid w:val="002E43B7"/>
    <w:rsid w:val="002E4405"/>
    <w:rsid w:val="002E4FDC"/>
    <w:rsid w:val="002E50F9"/>
    <w:rsid w:val="002E516E"/>
    <w:rsid w:val="002E5F0C"/>
    <w:rsid w:val="002E6386"/>
    <w:rsid w:val="002E6E73"/>
    <w:rsid w:val="002E799C"/>
    <w:rsid w:val="002F140C"/>
    <w:rsid w:val="002F2F74"/>
    <w:rsid w:val="002F313C"/>
    <w:rsid w:val="002F4FA0"/>
    <w:rsid w:val="002F5F07"/>
    <w:rsid w:val="002F6AA4"/>
    <w:rsid w:val="002F78C9"/>
    <w:rsid w:val="002F7F47"/>
    <w:rsid w:val="0030105C"/>
    <w:rsid w:val="00301943"/>
    <w:rsid w:val="00304846"/>
    <w:rsid w:val="00304930"/>
    <w:rsid w:val="00304E8A"/>
    <w:rsid w:val="00304ECB"/>
    <w:rsid w:val="0030523E"/>
    <w:rsid w:val="00305C96"/>
    <w:rsid w:val="00305E18"/>
    <w:rsid w:val="00306137"/>
    <w:rsid w:val="00311C60"/>
    <w:rsid w:val="00312D97"/>
    <w:rsid w:val="00312FDE"/>
    <w:rsid w:val="003137BD"/>
    <w:rsid w:val="0031493F"/>
    <w:rsid w:val="00315E58"/>
    <w:rsid w:val="003170FA"/>
    <w:rsid w:val="00320A32"/>
    <w:rsid w:val="003218D7"/>
    <w:rsid w:val="00322518"/>
    <w:rsid w:val="00322C51"/>
    <w:rsid w:val="003235C8"/>
    <w:rsid w:val="003249AC"/>
    <w:rsid w:val="0032597C"/>
    <w:rsid w:val="00327926"/>
    <w:rsid w:val="00327E12"/>
    <w:rsid w:val="003306BF"/>
    <w:rsid w:val="00331F49"/>
    <w:rsid w:val="00334155"/>
    <w:rsid w:val="00336613"/>
    <w:rsid w:val="00336FF6"/>
    <w:rsid w:val="0033715B"/>
    <w:rsid w:val="00337E6C"/>
    <w:rsid w:val="003400CE"/>
    <w:rsid w:val="00340ED2"/>
    <w:rsid w:val="00341DD1"/>
    <w:rsid w:val="00343604"/>
    <w:rsid w:val="00344186"/>
    <w:rsid w:val="00344D3F"/>
    <w:rsid w:val="0034504D"/>
    <w:rsid w:val="00345174"/>
    <w:rsid w:val="0034562A"/>
    <w:rsid w:val="003478A8"/>
    <w:rsid w:val="00351ABE"/>
    <w:rsid w:val="00351DAD"/>
    <w:rsid w:val="0035483B"/>
    <w:rsid w:val="00355CC0"/>
    <w:rsid w:val="0035620E"/>
    <w:rsid w:val="0035765D"/>
    <w:rsid w:val="00360CDE"/>
    <w:rsid w:val="003625AF"/>
    <w:rsid w:val="00363176"/>
    <w:rsid w:val="00363AF6"/>
    <w:rsid w:val="0036420B"/>
    <w:rsid w:val="003642EC"/>
    <w:rsid w:val="0036508E"/>
    <w:rsid w:val="00366FCA"/>
    <w:rsid w:val="003675BA"/>
    <w:rsid w:val="00371330"/>
    <w:rsid w:val="00371CD2"/>
    <w:rsid w:val="00373067"/>
    <w:rsid w:val="00373624"/>
    <w:rsid w:val="00373E52"/>
    <w:rsid w:val="00374643"/>
    <w:rsid w:val="00374CAF"/>
    <w:rsid w:val="00374E61"/>
    <w:rsid w:val="00375156"/>
    <w:rsid w:val="0037554E"/>
    <w:rsid w:val="003757BA"/>
    <w:rsid w:val="003759CE"/>
    <w:rsid w:val="00375AFE"/>
    <w:rsid w:val="00380246"/>
    <w:rsid w:val="0038038C"/>
    <w:rsid w:val="00380DBE"/>
    <w:rsid w:val="003810F0"/>
    <w:rsid w:val="003822A8"/>
    <w:rsid w:val="00382632"/>
    <w:rsid w:val="00382BE5"/>
    <w:rsid w:val="00383151"/>
    <w:rsid w:val="00383223"/>
    <w:rsid w:val="00384D3F"/>
    <w:rsid w:val="003861AB"/>
    <w:rsid w:val="0038622A"/>
    <w:rsid w:val="00386A92"/>
    <w:rsid w:val="00387B03"/>
    <w:rsid w:val="00387C8A"/>
    <w:rsid w:val="0039036E"/>
    <w:rsid w:val="00391969"/>
    <w:rsid w:val="00391D6F"/>
    <w:rsid w:val="00392C0A"/>
    <w:rsid w:val="003945CF"/>
    <w:rsid w:val="0039497C"/>
    <w:rsid w:val="0039554F"/>
    <w:rsid w:val="00395A18"/>
    <w:rsid w:val="0039632A"/>
    <w:rsid w:val="00396A99"/>
    <w:rsid w:val="00396CFB"/>
    <w:rsid w:val="00397F8C"/>
    <w:rsid w:val="003A15AE"/>
    <w:rsid w:val="003A1E5E"/>
    <w:rsid w:val="003A1F58"/>
    <w:rsid w:val="003A20DA"/>
    <w:rsid w:val="003A2119"/>
    <w:rsid w:val="003A3642"/>
    <w:rsid w:val="003A4C7A"/>
    <w:rsid w:val="003A4F3E"/>
    <w:rsid w:val="003A53CD"/>
    <w:rsid w:val="003A6DB0"/>
    <w:rsid w:val="003A79DB"/>
    <w:rsid w:val="003B2977"/>
    <w:rsid w:val="003B2BEB"/>
    <w:rsid w:val="003B3314"/>
    <w:rsid w:val="003B3D85"/>
    <w:rsid w:val="003B3DD0"/>
    <w:rsid w:val="003B572B"/>
    <w:rsid w:val="003B5B99"/>
    <w:rsid w:val="003B7931"/>
    <w:rsid w:val="003B7D29"/>
    <w:rsid w:val="003C24E4"/>
    <w:rsid w:val="003C25AC"/>
    <w:rsid w:val="003C3EBA"/>
    <w:rsid w:val="003C45C1"/>
    <w:rsid w:val="003C553A"/>
    <w:rsid w:val="003C5C8B"/>
    <w:rsid w:val="003C664A"/>
    <w:rsid w:val="003C70C3"/>
    <w:rsid w:val="003D0C21"/>
    <w:rsid w:val="003D1BB9"/>
    <w:rsid w:val="003D248B"/>
    <w:rsid w:val="003D2F9B"/>
    <w:rsid w:val="003D31B3"/>
    <w:rsid w:val="003D479F"/>
    <w:rsid w:val="003D4ED4"/>
    <w:rsid w:val="003D53B8"/>
    <w:rsid w:val="003D5D7B"/>
    <w:rsid w:val="003D6D33"/>
    <w:rsid w:val="003D750D"/>
    <w:rsid w:val="003E01A1"/>
    <w:rsid w:val="003E0681"/>
    <w:rsid w:val="003E0E0A"/>
    <w:rsid w:val="003E1251"/>
    <w:rsid w:val="003E180E"/>
    <w:rsid w:val="003E2170"/>
    <w:rsid w:val="003E375A"/>
    <w:rsid w:val="003E4294"/>
    <w:rsid w:val="003E4B5E"/>
    <w:rsid w:val="003E6165"/>
    <w:rsid w:val="003E6A8F"/>
    <w:rsid w:val="003E6E8B"/>
    <w:rsid w:val="003E7A6E"/>
    <w:rsid w:val="003E7AEA"/>
    <w:rsid w:val="003F0994"/>
    <w:rsid w:val="003F0FB1"/>
    <w:rsid w:val="003F2AFD"/>
    <w:rsid w:val="003F2C9D"/>
    <w:rsid w:val="003F2D46"/>
    <w:rsid w:val="003F2E2D"/>
    <w:rsid w:val="003F46FA"/>
    <w:rsid w:val="003F6C61"/>
    <w:rsid w:val="003F7844"/>
    <w:rsid w:val="003F78C1"/>
    <w:rsid w:val="003F7A1E"/>
    <w:rsid w:val="004007AC"/>
    <w:rsid w:val="00401DF0"/>
    <w:rsid w:val="0040227E"/>
    <w:rsid w:val="00403973"/>
    <w:rsid w:val="00403ADC"/>
    <w:rsid w:val="0040424A"/>
    <w:rsid w:val="00404282"/>
    <w:rsid w:val="00405AF9"/>
    <w:rsid w:val="00406114"/>
    <w:rsid w:val="00407EC7"/>
    <w:rsid w:val="004103CD"/>
    <w:rsid w:val="004106F1"/>
    <w:rsid w:val="00410A18"/>
    <w:rsid w:val="00410CBE"/>
    <w:rsid w:val="004119E8"/>
    <w:rsid w:val="00411E44"/>
    <w:rsid w:val="0041248B"/>
    <w:rsid w:val="004134D7"/>
    <w:rsid w:val="004138A5"/>
    <w:rsid w:val="00414885"/>
    <w:rsid w:val="004148C0"/>
    <w:rsid w:val="00414F98"/>
    <w:rsid w:val="0041560D"/>
    <w:rsid w:val="00416112"/>
    <w:rsid w:val="0042029C"/>
    <w:rsid w:val="004206F6"/>
    <w:rsid w:val="00422070"/>
    <w:rsid w:val="0042395F"/>
    <w:rsid w:val="0042568D"/>
    <w:rsid w:val="00425EE1"/>
    <w:rsid w:val="00426918"/>
    <w:rsid w:val="0042694A"/>
    <w:rsid w:val="00430741"/>
    <w:rsid w:val="00431115"/>
    <w:rsid w:val="00431F6C"/>
    <w:rsid w:val="0043504F"/>
    <w:rsid w:val="00435253"/>
    <w:rsid w:val="004352F1"/>
    <w:rsid w:val="004359BB"/>
    <w:rsid w:val="00435A72"/>
    <w:rsid w:val="00435B5D"/>
    <w:rsid w:val="00440DF1"/>
    <w:rsid w:val="00440EA6"/>
    <w:rsid w:val="004419F6"/>
    <w:rsid w:val="00441A3A"/>
    <w:rsid w:val="004428FE"/>
    <w:rsid w:val="00443054"/>
    <w:rsid w:val="00443D46"/>
    <w:rsid w:val="00446455"/>
    <w:rsid w:val="004476F5"/>
    <w:rsid w:val="0045049B"/>
    <w:rsid w:val="00451D3D"/>
    <w:rsid w:val="00451DA6"/>
    <w:rsid w:val="00452EA6"/>
    <w:rsid w:val="00454277"/>
    <w:rsid w:val="00454FE1"/>
    <w:rsid w:val="00456A58"/>
    <w:rsid w:val="00456AB3"/>
    <w:rsid w:val="00456C45"/>
    <w:rsid w:val="00457149"/>
    <w:rsid w:val="0045726D"/>
    <w:rsid w:val="0046047E"/>
    <w:rsid w:val="004633D1"/>
    <w:rsid w:val="00464590"/>
    <w:rsid w:val="00464C75"/>
    <w:rsid w:val="004658D1"/>
    <w:rsid w:val="00466B8D"/>
    <w:rsid w:val="00470794"/>
    <w:rsid w:val="00471DCC"/>
    <w:rsid w:val="004729E0"/>
    <w:rsid w:val="00473850"/>
    <w:rsid w:val="00473A4D"/>
    <w:rsid w:val="00473D60"/>
    <w:rsid w:val="00473DD7"/>
    <w:rsid w:val="00473E98"/>
    <w:rsid w:val="004740E8"/>
    <w:rsid w:val="004745DA"/>
    <w:rsid w:val="00474896"/>
    <w:rsid w:val="00475ADC"/>
    <w:rsid w:val="00475E79"/>
    <w:rsid w:val="00476C08"/>
    <w:rsid w:val="0047789A"/>
    <w:rsid w:val="004800D2"/>
    <w:rsid w:val="00480377"/>
    <w:rsid w:val="00480BEA"/>
    <w:rsid w:val="004811CE"/>
    <w:rsid w:val="00482DEC"/>
    <w:rsid w:val="00483334"/>
    <w:rsid w:val="004834B7"/>
    <w:rsid w:val="00483779"/>
    <w:rsid w:val="0048380E"/>
    <w:rsid w:val="00486665"/>
    <w:rsid w:val="0048668C"/>
    <w:rsid w:val="00486971"/>
    <w:rsid w:val="00486BE3"/>
    <w:rsid w:val="0048704F"/>
    <w:rsid w:val="00487D91"/>
    <w:rsid w:val="00490395"/>
    <w:rsid w:val="0049137F"/>
    <w:rsid w:val="00491ECF"/>
    <w:rsid w:val="00492379"/>
    <w:rsid w:val="004923EB"/>
    <w:rsid w:val="0049240B"/>
    <w:rsid w:val="0049342D"/>
    <w:rsid w:val="0049420B"/>
    <w:rsid w:val="0049474F"/>
    <w:rsid w:val="004954D4"/>
    <w:rsid w:val="00497316"/>
    <w:rsid w:val="00497C0D"/>
    <w:rsid w:val="00497CF7"/>
    <w:rsid w:val="004A17E0"/>
    <w:rsid w:val="004A57F6"/>
    <w:rsid w:val="004A5A2F"/>
    <w:rsid w:val="004A613F"/>
    <w:rsid w:val="004A6E9D"/>
    <w:rsid w:val="004B0D97"/>
    <w:rsid w:val="004B106A"/>
    <w:rsid w:val="004B31ED"/>
    <w:rsid w:val="004B394F"/>
    <w:rsid w:val="004B3D09"/>
    <w:rsid w:val="004B3D81"/>
    <w:rsid w:val="004B654C"/>
    <w:rsid w:val="004B7812"/>
    <w:rsid w:val="004C0D7F"/>
    <w:rsid w:val="004C13A6"/>
    <w:rsid w:val="004C1432"/>
    <w:rsid w:val="004C3166"/>
    <w:rsid w:val="004C3ECD"/>
    <w:rsid w:val="004C4576"/>
    <w:rsid w:val="004C54E5"/>
    <w:rsid w:val="004C55D7"/>
    <w:rsid w:val="004C57F9"/>
    <w:rsid w:val="004C5E86"/>
    <w:rsid w:val="004C641B"/>
    <w:rsid w:val="004C6927"/>
    <w:rsid w:val="004C6BD8"/>
    <w:rsid w:val="004C7EFC"/>
    <w:rsid w:val="004D0505"/>
    <w:rsid w:val="004D05C8"/>
    <w:rsid w:val="004D0B18"/>
    <w:rsid w:val="004D0DD0"/>
    <w:rsid w:val="004D194A"/>
    <w:rsid w:val="004D202D"/>
    <w:rsid w:val="004D4A2C"/>
    <w:rsid w:val="004D7611"/>
    <w:rsid w:val="004E11D8"/>
    <w:rsid w:val="004E1FA3"/>
    <w:rsid w:val="004E22AA"/>
    <w:rsid w:val="004E3225"/>
    <w:rsid w:val="004E40FD"/>
    <w:rsid w:val="004E4C79"/>
    <w:rsid w:val="004E505A"/>
    <w:rsid w:val="004E5239"/>
    <w:rsid w:val="004E58BC"/>
    <w:rsid w:val="004E5BFD"/>
    <w:rsid w:val="004E6043"/>
    <w:rsid w:val="004E61E2"/>
    <w:rsid w:val="004E72DE"/>
    <w:rsid w:val="004E7417"/>
    <w:rsid w:val="004E7689"/>
    <w:rsid w:val="004F4B9A"/>
    <w:rsid w:val="004F4D6A"/>
    <w:rsid w:val="004F4F32"/>
    <w:rsid w:val="004F4F88"/>
    <w:rsid w:val="004F5900"/>
    <w:rsid w:val="004F5FF4"/>
    <w:rsid w:val="004F706D"/>
    <w:rsid w:val="004F7483"/>
    <w:rsid w:val="004F7758"/>
    <w:rsid w:val="0050077F"/>
    <w:rsid w:val="00500DEF"/>
    <w:rsid w:val="00501CB0"/>
    <w:rsid w:val="00502D50"/>
    <w:rsid w:val="00503EDF"/>
    <w:rsid w:val="005046E3"/>
    <w:rsid w:val="005069EB"/>
    <w:rsid w:val="00507646"/>
    <w:rsid w:val="0051107A"/>
    <w:rsid w:val="00511BBB"/>
    <w:rsid w:val="00512339"/>
    <w:rsid w:val="005128CD"/>
    <w:rsid w:val="005129C3"/>
    <w:rsid w:val="005133E4"/>
    <w:rsid w:val="00513906"/>
    <w:rsid w:val="00513BF3"/>
    <w:rsid w:val="0051489E"/>
    <w:rsid w:val="00514AFF"/>
    <w:rsid w:val="005163A9"/>
    <w:rsid w:val="00516517"/>
    <w:rsid w:val="005175EF"/>
    <w:rsid w:val="005179A1"/>
    <w:rsid w:val="00521191"/>
    <w:rsid w:val="005215B6"/>
    <w:rsid w:val="005218C3"/>
    <w:rsid w:val="00522159"/>
    <w:rsid w:val="005236A2"/>
    <w:rsid w:val="0052483D"/>
    <w:rsid w:val="00524A58"/>
    <w:rsid w:val="00525623"/>
    <w:rsid w:val="0052604A"/>
    <w:rsid w:val="00527C0E"/>
    <w:rsid w:val="00531978"/>
    <w:rsid w:val="00534687"/>
    <w:rsid w:val="005353EA"/>
    <w:rsid w:val="005358F8"/>
    <w:rsid w:val="005367D5"/>
    <w:rsid w:val="00536FF5"/>
    <w:rsid w:val="00537B92"/>
    <w:rsid w:val="00537E35"/>
    <w:rsid w:val="005400D3"/>
    <w:rsid w:val="00540A14"/>
    <w:rsid w:val="00540A1E"/>
    <w:rsid w:val="00540D4C"/>
    <w:rsid w:val="00541BE6"/>
    <w:rsid w:val="00542FFC"/>
    <w:rsid w:val="00543D20"/>
    <w:rsid w:val="00543F37"/>
    <w:rsid w:val="00545AD4"/>
    <w:rsid w:val="00545FEF"/>
    <w:rsid w:val="005461C0"/>
    <w:rsid w:val="00546F87"/>
    <w:rsid w:val="00547B1C"/>
    <w:rsid w:val="005501B0"/>
    <w:rsid w:val="00550309"/>
    <w:rsid w:val="005504BC"/>
    <w:rsid w:val="00550951"/>
    <w:rsid w:val="00551791"/>
    <w:rsid w:val="00552CCA"/>
    <w:rsid w:val="00552EB3"/>
    <w:rsid w:val="00553A28"/>
    <w:rsid w:val="00553AA5"/>
    <w:rsid w:val="005543E0"/>
    <w:rsid w:val="0055499A"/>
    <w:rsid w:val="00555259"/>
    <w:rsid w:val="005556B2"/>
    <w:rsid w:val="00556C4D"/>
    <w:rsid w:val="00561459"/>
    <w:rsid w:val="00561B12"/>
    <w:rsid w:val="0056204C"/>
    <w:rsid w:val="00562433"/>
    <w:rsid w:val="0056282D"/>
    <w:rsid w:val="00562AFA"/>
    <w:rsid w:val="00562F0E"/>
    <w:rsid w:val="005647C8"/>
    <w:rsid w:val="00565CB0"/>
    <w:rsid w:val="00565D72"/>
    <w:rsid w:val="00565F80"/>
    <w:rsid w:val="005660FD"/>
    <w:rsid w:val="005672B5"/>
    <w:rsid w:val="005674A4"/>
    <w:rsid w:val="005700FC"/>
    <w:rsid w:val="00571660"/>
    <w:rsid w:val="005716E4"/>
    <w:rsid w:val="0057283B"/>
    <w:rsid w:val="00575B51"/>
    <w:rsid w:val="00576178"/>
    <w:rsid w:val="0057789C"/>
    <w:rsid w:val="00577C34"/>
    <w:rsid w:val="0058170E"/>
    <w:rsid w:val="005819C5"/>
    <w:rsid w:val="005824E9"/>
    <w:rsid w:val="00583491"/>
    <w:rsid w:val="005837BD"/>
    <w:rsid w:val="0058464C"/>
    <w:rsid w:val="00584756"/>
    <w:rsid w:val="005860FD"/>
    <w:rsid w:val="00586C86"/>
    <w:rsid w:val="00587EE4"/>
    <w:rsid w:val="00590091"/>
    <w:rsid w:val="0059072C"/>
    <w:rsid w:val="005915D6"/>
    <w:rsid w:val="00591A40"/>
    <w:rsid w:val="00591F96"/>
    <w:rsid w:val="0059220F"/>
    <w:rsid w:val="00594566"/>
    <w:rsid w:val="00594F37"/>
    <w:rsid w:val="005962B1"/>
    <w:rsid w:val="00597441"/>
    <w:rsid w:val="005A0888"/>
    <w:rsid w:val="005A1007"/>
    <w:rsid w:val="005A1AFE"/>
    <w:rsid w:val="005A2F63"/>
    <w:rsid w:val="005A2F6F"/>
    <w:rsid w:val="005A573D"/>
    <w:rsid w:val="005A59F4"/>
    <w:rsid w:val="005A5B9A"/>
    <w:rsid w:val="005A5C27"/>
    <w:rsid w:val="005A5EEE"/>
    <w:rsid w:val="005A6B9B"/>
    <w:rsid w:val="005A7708"/>
    <w:rsid w:val="005B0F17"/>
    <w:rsid w:val="005B20F6"/>
    <w:rsid w:val="005B368D"/>
    <w:rsid w:val="005B3E85"/>
    <w:rsid w:val="005B50B8"/>
    <w:rsid w:val="005B5B2D"/>
    <w:rsid w:val="005B5B9E"/>
    <w:rsid w:val="005B5BFC"/>
    <w:rsid w:val="005B7C09"/>
    <w:rsid w:val="005C138B"/>
    <w:rsid w:val="005C1BFC"/>
    <w:rsid w:val="005C209B"/>
    <w:rsid w:val="005C2C49"/>
    <w:rsid w:val="005C3F96"/>
    <w:rsid w:val="005C47FC"/>
    <w:rsid w:val="005C489D"/>
    <w:rsid w:val="005C59CE"/>
    <w:rsid w:val="005C5A8A"/>
    <w:rsid w:val="005C5F99"/>
    <w:rsid w:val="005C6529"/>
    <w:rsid w:val="005D027D"/>
    <w:rsid w:val="005D1B1B"/>
    <w:rsid w:val="005D1F76"/>
    <w:rsid w:val="005D1FFE"/>
    <w:rsid w:val="005D25EC"/>
    <w:rsid w:val="005D2ABC"/>
    <w:rsid w:val="005D2D13"/>
    <w:rsid w:val="005D5383"/>
    <w:rsid w:val="005D54CA"/>
    <w:rsid w:val="005D5717"/>
    <w:rsid w:val="005D5CD7"/>
    <w:rsid w:val="005D6827"/>
    <w:rsid w:val="005D78E0"/>
    <w:rsid w:val="005D7D4E"/>
    <w:rsid w:val="005D7FB3"/>
    <w:rsid w:val="005E038B"/>
    <w:rsid w:val="005E1543"/>
    <w:rsid w:val="005E18EB"/>
    <w:rsid w:val="005E1BF8"/>
    <w:rsid w:val="005E1D1F"/>
    <w:rsid w:val="005E1E59"/>
    <w:rsid w:val="005E20BF"/>
    <w:rsid w:val="005E2179"/>
    <w:rsid w:val="005E2647"/>
    <w:rsid w:val="005E28CB"/>
    <w:rsid w:val="005E3EB2"/>
    <w:rsid w:val="005E3EFB"/>
    <w:rsid w:val="005E56E6"/>
    <w:rsid w:val="005E5996"/>
    <w:rsid w:val="005E61ED"/>
    <w:rsid w:val="005F128A"/>
    <w:rsid w:val="005F1373"/>
    <w:rsid w:val="005F193B"/>
    <w:rsid w:val="005F26A4"/>
    <w:rsid w:val="005F3A12"/>
    <w:rsid w:val="005F4085"/>
    <w:rsid w:val="005F70AA"/>
    <w:rsid w:val="00600B02"/>
    <w:rsid w:val="00600D22"/>
    <w:rsid w:val="00601444"/>
    <w:rsid w:val="00601F28"/>
    <w:rsid w:val="006025A4"/>
    <w:rsid w:val="006027C1"/>
    <w:rsid w:val="00602EF3"/>
    <w:rsid w:val="006036FD"/>
    <w:rsid w:val="006049B0"/>
    <w:rsid w:val="006109F6"/>
    <w:rsid w:val="00610CE2"/>
    <w:rsid w:val="0061177B"/>
    <w:rsid w:val="006124DB"/>
    <w:rsid w:val="0061276B"/>
    <w:rsid w:val="00613045"/>
    <w:rsid w:val="0061362E"/>
    <w:rsid w:val="00615341"/>
    <w:rsid w:val="00615DFA"/>
    <w:rsid w:val="00615F0C"/>
    <w:rsid w:val="0061616D"/>
    <w:rsid w:val="006163AE"/>
    <w:rsid w:val="00616ADA"/>
    <w:rsid w:val="006175A7"/>
    <w:rsid w:val="00620A02"/>
    <w:rsid w:val="006220FA"/>
    <w:rsid w:val="00622DF8"/>
    <w:rsid w:val="006239C7"/>
    <w:rsid w:val="00623BE6"/>
    <w:rsid w:val="0062454B"/>
    <w:rsid w:val="006252C6"/>
    <w:rsid w:val="0062576C"/>
    <w:rsid w:val="00626033"/>
    <w:rsid w:val="0062673E"/>
    <w:rsid w:val="00630505"/>
    <w:rsid w:val="00630922"/>
    <w:rsid w:val="00630A54"/>
    <w:rsid w:val="00630E11"/>
    <w:rsid w:val="00631143"/>
    <w:rsid w:val="00631459"/>
    <w:rsid w:val="00631C17"/>
    <w:rsid w:val="0063248E"/>
    <w:rsid w:val="006324CB"/>
    <w:rsid w:val="00632CF0"/>
    <w:rsid w:val="00632E7D"/>
    <w:rsid w:val="006331B0"/>
    <w:rsid w:val="0063415D"/>
    <w:rsid w:val="00634539"/>
    <w:rsid w:val="006345B2"/>
    <w:rsid w:val="006360DB"/>
    <w:rsid w:val="00636B85"/>
    <w:rsid w:val="0063737B"/>
    <w:rsid w:val="006375CA"/>
    <w:rsid w:val="00641A26"/>
    <w:rsid w:val="00643DC9"/>
    <w:rsid w:val="006453E0"/>
    <w:rsid w:val="006460B8"/>
    <w:rsid w:val="0064646B"/>
    <w:rsid w:val="006479EF"/>
    <w:rsid w:val="006514A3"/>
    <w:rsid w:val="006522E1"/>
    <w:rsid w:val="006529AA"/>
    <w:rsid w:val="006529D6"/>
    <w:rsid w:val="00654707"/>
    <w:rsid w:val="006577E9"/>
    <w:rsid w:val="0066010E"/>
    <w:rsid w:val="00660D00"/>
    <w:rsid w:val="006619F5"/>
    <w:rsid w:val="00664D23"/>
    <w:rsid w:val="0066658E"/>
    <w:rsid w:val="006668D8"/>
    <w:rsid w:val="00666D5A"/>
    <w:rsid w:val="006672E3"/>
    <w:rsid w:val="00667656"/>
    <w:rsid w:val="00670051"/>
    <w:rsid w:val="00670523"/>
    <w:rsid w:val="00670587"/>
    <w:rsid w:val="00672D7A"/>
    <w:rsid w:val="0067419C"/>
    <w:rsid w:val="006751E1"/>
    <w:rsid w:val="00675794"/>
    <w:rsid w:val="006765F9"/>
    <w:rsid w:val="00680333"/>
    <w:rsid w:val="00680E08"/>
    <w:rsid w:val="00681DA9"/>
    <w:rsid w:val="00683C7D"/>
    <w:rsid w:val="006843C0"/>
    <w:rsid w:val="006856D8"/>
    <w:rsid w:val="00686D1E"/>
    <w:rsid w:val="00686D92"/>
    <w:rsid w:val="00686E4E"/>
    <w:rsid w:val="00687F36"/>
    <w:rsid w:val="00690C0D"/>
    <w:rsid w:val="00690D38"/>
    <w:rsid w:val="00691023"/>
    <w:rsid w:val="006911F6"/>
    <w:rsid w:val="006915C5"/>
    <w:rsid w:val="00692151"/>
    <w:rsid w:val="00692678"/>
    <w:rsid w:val="00692B5D"/>
    <w:rsid w:val="006933E1"/>
    <w:rsid w:val="00693E90"/>
    <w:rsid w:val="00694365"/>
    <w:rsid w:val="0069437A"/>
    <w:rsid w:val="006949CB"/>
    <w:rsid w:val="00695011"/>
    <w:rsid w:val="0069549B"/>
    <w:rsid w:val="00696E76"/>
    <w:rsid w:val="00697198"/>
    <w:rsid w:val="00697AE2"/>
    <w:rsid w:val="006A01D7"/>
    <w:rsid w:val="006A05B4"/>
    <w:rsid w:val="006A2105"/>
    <w:rsid w:val="006A27E2"/>
    <w:rsid w:val="006A3338"/>
    <w:rsid w:val="006A424B"/>
    <w:rsid w:val="006A4CF4"/>
    <w:rsid w:val="006A6EF2"/>
    <w:rsid w:val="006A7B6C"/>
    <w:rsid w:val="006B16CD"/>
    <w:rsid w:val="006B22CB"/>
    <w:rsid w:val="006B2C36"/>
    <w:rsid w:val="006B4C20"/>
    <w:rsid w:val="006B5FC7"/>
    <w:rsid w:val="006B664F"/>
    <w:rsid w:val="006B72DC"/>
    <w:rsid w:val="006C0489"/>
    <w:rsid w:val="006C0DE9"/>
    <w:rsid w:val="006C0DF1"/>
    <w:rsid w:val="006C19FF"/>
    <w:rsid w:val="006C31E4"/>
    <w:rsid w:val="006C4152"/>
    <w:rsid w:val="006C4533"/>
    <w:rsid w:val="006C4B0D"/>
    <w:rsid w:val="006C5C95"/>
    <w:rsid w:val="006C70ED"/>
    <w:rsid w:val="006D045D"/>
    <w:rsid w:val="006D05F8"/>
    <w:rsid w:val="006D219A"/>
    <w:rsid w:val="006D2418"/>
    <w:rsid w:val="006D2FCF"/>
    <w:rsid w:val="006D3126"/>
    <w:rsid w:val="006D3407"/>
    <w:rsid w:val="006D34ED"/>
    <w:rsid w:val="006D44D3"/>
    <w:rsid w:val="006D494B"/>
    <w:rsid w:val="006D49F8"/>
    <w:rsid w:val="006D526E"/>
    <w:rsid w:val="006D52C6"/>
    <w:rsid w:val="006D64A8"/>
    <w:rsid w:val="006D68FE"/>
    <w:rsid w:val="006D6A0B"/>
    <w:rsid w:val="006D6F0C"/>
    <w:rsid w:val="006E02C8"/>
    <w:rsid w:val="006E0832"/>
    <w:rsid w:val="006E11C5"/>
    <w:rsid w:val="006E2139"/>
    <w:rsid w:val="006E2E96"/>
    <w:rsid w:val="006E31DC"/>
    <w:rsid w:val="006E4ADC"/>
    <w:rsid w:val="006E5B1C"/>
    <w:rsid w:val="006E6CC3"/>
    <w:rsid w:val="006F01DD"/>
    <w:rsid w:val="006F02C4"/>
    <w:rsid w:val="006F10FB"/>
    <w:rsid w:val="006F1799"/>
    <w:rsid w:val="006F1912"/>
    <w:rsid w:val="006F22ED"/>
    <w:rsid w:val="006F2309"/>
    <w:rsid w:val="006F343E"/>
    <w:rsid w:val="006F4D78"/>
    <w:rsid w:val="006F511E"/>
    <w:rsid w:val="006F56C0"/>
    <w:rsid w:val="006F5CBA"/>
    <w:rsid w:val="006F5D72"/>
    <w:rsid w:val="00700807"/>
    <w:rsid w:val="00702538"/>
    <w:rsid w:val="007025D9"/>
    <w:rsid w:val="0070369D"/>
    <w:rsid w:val="00704431"/>
    <w:rsid w:val="00704EE9"/>
    <w:rsid w:val="007052B7"/>
    <w:rsid w:val="00705A09"/>
    <w:rsid w:val="00705A49"/>
    <w:rsid w:val="00710360"/>
    <w:rsid w:val="0071084E"/>
    <w:rsid w:val="00712B27"/>
    <w:rsid w:val="00712BC3"/>
    <w:rsid w:val="00713D9B"/>
    <w:rsid w:val="00714CC3"/>
    <w:rsid w:val="00716505"/>
    <w:rsid w:val="0072002A"/>
    <w:rsid w:val="0072015A"/>
    <w:rsid w:val="00720230"/>
    <w:rsid w:val="00720865"/>
    <w:rsid w:val="00723121"/>
    <w:rsid w:val="007232E0"/>
    <w:rsid w:val="00724847"/>
    <w:rsid w:val="007249B2"/>
    <w:rsid w:val="00724A9A"/>
    <w:rsid w:val="00725785"/>
    <w:rsid w:val="00725BBB"/>
    <w:rsid w:val="00725FE0"/>
    <w:rsid w:val="007270F4"/>
    <w:rsid w:val="00730453"/>
    <w:rsid w:val="00731276"/>
    <w:rsid w:val="00731E86"/>
    <w:rsid w:val="00733729"/>
    <w:rsid w:val="00733D36"/>
    <w:rsid w:val="007340FB"/>
    <w:rsid w:val="007345C7"/>
    <w:rsid w:val="007352DB"/>
    <w:rsid w:val="00735EBA"/>
    <w:rsid w:val="00737B21"/>
    <w:rsid w:val="007408CB"/>
    <w:rsid w:val="00740F2A"/>
    <w:rsid w:val="007427B0"/>
    <w:rsid w:val="0074312B"/>
    <w:rsid w:val="007443F6"/>
    <w:rsid w:val="007453B6"/>
    <w:rsid w:val="007458FA"/>
    <w:rsid w:val="00746237"/>
    <w:rsid w:val="007467DE"/>
    <w:rsid w:val="00747496"/>
    <w:rsid w:val="00747710"/>
    <w:rsid w:val="00747E84"/>
    <w:rsid w:val="00750ADF"/>
    <w:rsid w:val="00753357"/>
    <w:rsid w:val="007548F8"/>
    <w:rsid w:val="00755256"/>
    <w:rsid w:val="007552CC"/>
    <w:rsid w:val="00755907"/>
    <w:rsid w:val="007562DA"/>
    <w:rsid w:val="0075756B"/>
    <w:rsid w:val="00757B93"/>
    <w:rsid w:val="00757C70"/>
    <w:rsid w:val="0076059A"/>
    <w:rsid w:val="007627D2"/>
    <w:rsid w:val="00762C7C"/>
    <w:rsid w:val="00762E03"/>
    <w:rsid w:val="00762FBE"/>
    <w:rsid w:val="007634A9"/>
    <w:rsid w:val="0076356B"/>
    <w:rsid w:val="007651EA"/>
    <w:rsid w:val="00765C3E"/>
    <w:rsid w:val="007664E4"/>
    <w:rsid w:val="00766A7A"/>
    <w:rsid w:val="00771761"/>
    <w:rsid w:val="00771BAB"/>
    <w:rsid w:val="00771C54"/>
    <w:rsid w:val="007740BD"/>
    <w:rsid w:val="007747BE"/>
    <w:rsid w:val="0077490C"/>
    <w:rsid w:val="00775886"/>
    <w:rsid w:val="007768DF"/>
    <w:rsid w:val="007768FB"/>
    <w:rsid w:val="00776F99"/>
    <w:rsid w:val="00777C67"/>
    <w:rsid w:val="007802AD"/>
    <w:rsid w:val="0078047F"/>
    <w:rsid w:val="00780E29"/>
    <w:rsid w:val="00781203"/>
    <w:rsid w:val="00781312"/>
    <w:rsid w:val="00781489"/>
    <w:rsid w:val="00781F73"/>
    <w:rsid w:val="00782624"/>
    <w:rsid w:val="00782FF3"/>
    <w:rsid w:val="00783189"/>
    <w:rsid w:val="00783B41"/>
    <w:rsid w:val="007845E1"/>
    <w:rsid w:val="00784ACA"/>
    <w:rsid w:val="00784C55"/>
    <w:rsid w:val="00785215"/>
    <w:rsid w:val="00785927"/>
    <w:rsid w:val="00785982"/>
    <w:rsid w:val="00785B2E"/>
    <w:rsid w:val="00787686"/>
    <w:rsid w:val="00787E50"/>
    <w:rsid w:val="0079063F"/>
    <w:rsid w:val="007909DF"/>
    <w:rsid w:val="00793D9F"/>
    <w:rsid w:val="00795447"/>
    <w:rsid w:val="00795EF2"/>
    <w:rsid w:val="007968B8"/>
    <w:rsid w:val="00796B1B"/>
    <w:rsid w:val="007A0B2C"/>
    <w:rsid w:val="007A0FEC"/>
    <w:rsid w:val="007A12C9"/>
    <w:rsid w:val="007A17BB"/>
    <w:rsid w:val="007A272C"/>
    <w:rsid w:val="007A2B3E"/>
    <w:rsid w:val="007A2EE6"/>
    <w:rsid w:val="007A584C"/>
    <w:rsid w:val="007A6110"/>
    <w:rsid w:val="007A6EEF"/>
    <w:rsid w:val="007A71AC"/>
    <w:rsid w:val="007A7AF1"/>
    <w:rsid w:val="007B18D0"/>
    <w:rsid w:val="007B1F3E"/>
    <w:rsid w:val="007B21AB"/>
    <w:rsid w:val="007B2E9D"/>
    <w:rsid w:val="007B4F2C"/>
    <w:rsid w:val="007B5E8E"/>
    <w:rsid w:val="007B6843"/>
    <w:rsid w:val="007C0A36"/>
    <w:rsid w:val="007C0B6B"/>
    <w:rsid w:val="007C0D75"/>
    <w:rsid w:val="007C126B"/>
    <w:rsid w:val="007C13B8"/>
    <w:rsid w:val="007C2617"/>
    <w:rsid w:val="007C2B22"/>
    <w:rsid w:val="007C2FE3"/>
    <w:rsid w:val="007C3072"/>
    <w:rsid w:val="007C38C6"/>
    <w:rsid w:val="007C4D6B"/>
    <w:rsid w:val="007C4FEE"/>
    <w:rsid w:val="007C6526"/>
    <w:rsid w:val="007C68B5"/>
    <w:rsid w:val="007C79A2"/>
    <w:rsid w:val="007D1457"/>
    <w:rsid w:val="007D1D5D"/>
    <w:rsid w:val="007D2511"/>
    <w:rsid w:val="007D354A"/>
    <w:rsid w:val="007D41D8"/>
    <w:rsid w:val="007D4639"/>
    <w:rsid w:val="007D4FDA"/>
    <w:rsid w:val="007D5AD8"/>
    <w:rsid w:val="007D6269"/>
    <w:rsid w:val="007D62F3"/>
    <w:rsid w:val="007D6425"/>
    <w:rsid w:val="007D6AFC"/>
    <w:rsid w:val="007D6D0C"/>
    <w:rsid w:val="007D72DD"/>
    <w:rsid w:val="007D7696"/>
    <w:rsid w:val="007E01D5"/>
    <w:rsid w:val="007E120E"/>
    <w:rsid w:val="007E48CF"/>
    <w:rsid w:val="007E7204"/>
    <w:rsid w:val="007E7329"/>
    <w:rsid w:val="007F00FF"/>
    <w:rsid w:val="007F035B"/>
    <w:rsid w:val="007F06CA"/>
    <w:rsid w:val="007F1946"/>
    <w:rsid w:val="007F2D88"/>
    <w:rsid w:val="007F31B2"/>
    <w:rsid w:val="007F34B6"/>
    <w:rsid w:val="007F352D"/>
    <w:rsid w:val="007F4236"/>
    <w:rsid w:val="007F446E"/>
    <w:rsid w:val="007F497E"/>
    <w:rsid w:val="007F549E"/>
    <w:rsid w:val="007F607A"/>
    <w:rsid w:val="007F6FB1"/>
    <w:rsid w:val="007F71DF"/>
    <w:rsid w:val="0080076A"/>
    <w:rsid w:val="00801B74"/>
    <w:rsid w:val="00801EB3"/>
    <w:rsid w:val="00803052"/>
    <w:rsid w:val="008033C2"/>
    <w:rsid w:val="0080342B"/>
    <w:rsid w:val="00803AF3"/>
    <w:rsid w:val="00803DB8"/>
    <w:rsid w:val="00804610"/>
    <w:rsid w:val="00804AA4"/>
    <w:rsid w:val="00805FBE"/>
    <w:rsid w:val="00806A19"/>
    <w:rsid w:val="00806A3A"/>
    <w:rsid w:val="00810570"/>
    <w:rsid w:val="0081057A"/>
    <w:rsid w:val="00810BDC"/>
    <w:rsid w:val="00810F8C"/>
    <w:rsid w:val="00812232"/>
    <w:rsid w:val="00812AA1"/>
    <w:rsid w:val="008131FA"/>
    <w:rsid w:val="008133C0"/>
    <w:rsid w:val="0081496A"/>
    <w:rsid w:val="00814A3A"/>
    <w:rsid w:val="00815A3E"/>
    <w:rsid w:val="008164E8"/>
    <w:rsid w:val="008177EE"/>
    <w:rsid w:val="008202AE"/>
    <w:rsid w:val="00820BED"/>
    <w:rsid w:val="00821692"/>
    <w:rsid w:val="00821B54"/>
    <w:rsid w:val="00822091"/>
    <w:rsid w:val="00822725"/>
    <w:rsid w:val="00822A6D"/>
    <w:rsid w:val="00823311"/>
    <w:rsid w:val="00823C69"/>
    <w:rsid w:val="008246E3"/>
    <w:rsid w:val="008250E0"/>
    <w:rsid w:val="008259CF"/>
    <w:rsid w:val="00825E35"/>
    <w:rsid w:val="00827686"/>
    <w:rsid w:val="00827EC4"/>
    <w:rsid w:val="0083028C"/>
    <w:rsid w:val="00830CC4"/>
    <w:rsid w:val="0083111B"/>
    <w:rsid w:val="0083168B"/>
    <w:rsid w:val="00831D33"/>
    <w:rsid w:val="00832D88"/>
    <w:rsid w:val="00832E5E"/>
    <w:rsid w:val="00832F6E"/>
    <w:rsid w:val="0083338D"/>
    <w:rsid w:val="00833722"/>
    <w:rsid w:val="00833FB6"/>
    <w:rsid w:val="00834BC3"/>
    <w:rsid w:val="00836EB7"/>
    <w:rsid w:val="008379B1"/>
    <w:rsid w:val="00842030"/>
    <w:rsid w:val="00842FE7"/>
    <w:rsid w:val="00843613"/>
    <w:rsid w:val="00843D6F"/>
    <w:rsid w:val="00844277"/>
    <w:rsid w:val="00844434"/>
    <w:rsid w:val="00844D12"/>
    <w:rsid w:val="00844F3B"/>
    <w:rsid w:val="00845318"/>
    <w:rsid w:val="008455EF"/>
    <w:rsid w:val="008457F3"/>
    <w:rsid w:val="00845891"/>
    <w:rsid w:val="0084695A"/>
    <w:rsid w:val="008503BD"/>
    <w:rsid w:val="00850E16"/>
    <w:rsid w:val="0085116B"/>
    <w:rsid w:val="00852018"/>
    <w:rsid w:val="008543E8"/>
    <w:rsid w:val="00856121"/>
    <w:rsid w:val="008562A3"/>
    <w:rsid w:val="00856A14"/>
    <w:rsid w:val="00860AF0"/>
    <w:rsid w:val="00861362"/>
    <w:rsid w:val="008613E8"/>
    <w:rsid w:val="008618B2"/>
    <w:rsid w:val="008626CE"/>
    <w:rsid w:val="00862760"/>
    <w:rsid w:val="00862AAD"/>
    <w:rsid w:val="00863316"/>
    <w:rsid w:val="008661CA"/>
    <w:rsid w:val="00867A25"/>
    <w:rsid w:val="00867C59"/>
    <w:rsid w:val="008700BA"/>
    <w:rsid w:val="008706BA"/>
    <w:rsid w:val="00870FF0"/>
    <w:rsid w:val="00873666"/>
    <w:rsid w:val="0087426E"/>
    <w:rsid w:val="00874736"/>
    <w:rsid w:val="008748B4"/>
    <w:rsid w:val="008751F6"/>
    <w:rsid w:val="00875CD5"/>
    <w:rsid w:val="0087617C"/>
    <w:rsid w:val="00876854"/>
    <w:rsid w:val="00876986"/>
    <w:rsid w:val="008769F5"/>
    <w:rsid w:val="008804BC"/>
    <w:rsid w:val="00880D1A"/>
    <w:rsid w:val="00880D91"/>
    <w:rsid w:val="00881D81"/>
    <w:rsid w:val="00881E2C"/>
    <w:rsid w:val="00882627"/>
    <w:rsid w:val="00882894"/>
    <w:rsid w:val="00882F2B"/>
    <w:rsid w:val="00883566"/>
    <w:rsid w:val="00883774"/>
    <w:rsid w:val="008849FF"/>
    <w:rsid w:val="00884ED9"/>
    <w:rsid w:val="008859AC"/>
    <w:rsid w:val="008869C8"/>
    <w:rsid w:val="00886AC3"/>
    <w:rsid w:val="008937EA"/>
    <w:rsid w:val="008948B2"/>
    <w:rsid w:val="00896574"/>
    <w:rsid w:val="008979C1"/>
    <w:rsid w:val="008A0025"/>
    <w:rsid w:val="008A1339"/>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46D9"/>
    <w:rsid w:val="008B4DD2"/>
    <w:rsid w:val="008B6B71"/>
    <w:rsid w:val="008C0158"/>
    <w:rsid w:val="008C174F"/>
    <w:rsid w:val="008C3F3A"/>
    <w:rsid w:val="008C4902"/>
    <w:rsid w:val="008C5042"/>
    <w:rsid w:val="008C544B"/>
    <w:rsid w:val="008C6EBB"/>
    <w:rsid w:val="008C7303"/>
    <w:rsid w:val="008D065B"/>
    <w:rsid w:val="008D1581"/>
    <w:rsid w:val="008D1BAD"/>
    <w:rsid w:val="008D1C55"/>
    <w:rsid w:val="008D2F20"/>
    <w:rsid w:val="008D33E2"/>
    <w:rsid w:val="008D4019"/>
    <w:rsid w:val="008D51F3"/>
    <w:rsid w:val="008E051D"/>
    <w:rsid w:val="008E0F34"/>
    <w:rsid w:val="008E1E03"/>
    <w:rsid w:val="008E2B3B"/>
    <w:rsid w:val="008E42EA"/>
    <w:rsid w:val="008E4A0D"/>
    <w:rsid w:val="008E7142"/>
    <w:rsid w:val="008F093F"/>
    <w:rsid w:val="008F1B64"/>
    <w:rsid w:val="008F2A12"/>
    <w:rsid w:val="008F431C"/>
    <w:rsid w:val="008F43B7"/>
    <w:rsid w:val="008F4901"/>
    <w:rsid w:val="008F5289"/>
    <w:rsid w:val="008F535F"/>
    <w:rsid w:val="008F5430"/>
    <w:rsid w:val="008F56DE"/>
    <w:rsid w:val="008F6AD8"/>
    <w:rsid w:val="008F721F"/>
    <w:rsid w:val="008F79E8"/>
    <w:rsid w:val="00900979"/>
    <w:rsid w:val="0090108A"/>
    <w:rsid w:val="00901219"/>
    <w:rsid w:val="00901BA6"/>
    <w:rsid w:val="009033C6"/>
    <w:rsid w:val="009042CC"/>
    <w:rsid w:val="00904571"/>
    <w:rsid w:val="00904CCA"/>
    <w:rsid w:val="00905386"/>
    <w:rsid w:val="00906134"/>
    <w:rsid w:val="00907160"/>
    <w:rsid w:val="009076A8"/>
    <w:rsid w:val="00907EF2"/>
    <w:rsid w:val="0091064E"/>
    <w:rsid w:val="00910D95"/>
    <w:rsid w:val="009127A4"/>
    <w:rsid w:val="00912AE9"/>
    <w:rsid w:val="009137A7"/>
    <w:rsid w:val="00913D5F"/>
    <w:rsid w:val="00914482"/>
    <w:rsid w:val="00914A3B"/>
    <w:rsid w:val="009159B2"/>
    <w:rsid w:val="0091695C"/>
    <w:rsid w:val="00916A3B"/>
    <w:rsid w:val="009179D3"/>
    <w:rsid w:val="00917B96"/>
    <w:rsid w:val="00920BBD"/>
    <w:rsid w:val="00921D13"/>
    <w:rsid w:val="00922349"/>
    <w:rsid w:val="00922B55"/>
    <w:rsid w:val="009243FC"/>
    <w:rsid w:val="00925876"/>
    <w:rsid w:val="009258D6"/>
    <w:rsid w:val="0092646E"/>
    <w:rsid w:val="009269DF"/>
    <w:rsid w:val="00926A25"/>
    <w:rsid w:val="009310B5"/>
    <w:rsid w:val="00931611"/>
    <w:rsid w:val="009329AE"/>
    <w:rsid w:val="00933C53"/>
    <w:rsid w:val="00934C83"/>
    <w:rsid w:val="00935616"/>
    <w:rsid w:val="009369AE"/>
    <w:rsid w:val="00943F9E"/>
    <w:rsid w:val="0094439D"/>
    <w:rsid w:val="00944AFA"/>
    <w:rsid w:val="00945650"/>
    <w:rsid w:val="00945887"/>
    <w:rsid w:val="00945FE2"/>
    <w:rsid w:val="0094621D"/>
    <w:rsid w:val="00950727"/>
    <w:rsid w:val="009508E4"/>
    <w:rsid w:val="00951FDB"/>
    <w:rsid w:val="009522DA"/>
    <w:rsid w:val="0095261C"/>
    <w:rsid w:val="00953031"/>
    <w:rsid w:val="00953E02"/>
    <w:rsid w:val="00954323"/>
    <w:rsid w:val="00954883"/>
    <w:rsid w:val="00954BC2"/>
    <w:rsid w:val="009567B8"/>
    <w:rsid w:val="00957DBE"/>
    <w:rsid w:val="00957E7E"/>
    <w:rsid w:val="00960345"/>
    <w:rsid w:val="00960D34"/>
    <w:rsid w:val="009611D2"/>
    <w:rsid w:val="009621A0"/>
    <w:rsid w:val="00962597"/>
    <w:rsid w:val="00962BC2"/>
    <w:rsid w:val="0096357D"/>
    <w:rsid w:val="00964224"/>
    <w:rsid w:val="00964D22"/>
    <w:rsid w:val="0096696A"/>
    <w:rsid w:val="00967201"/>
    <w:rsid w:val="00967C74"/>
    <w:rsid w:val="009718C9"/>
    <w:rsid w:val="00971FDA"/>
    <w:rsid w:val="00972047"/>
    <w:rsid w:val="009722A8"/>
    <w:rsid w:val="00972548"/>
    <w:rsid w:val="009728FF"/>
    <w:rsid w:val="00972F30"/>
    <w:rsid w:val="00974888"/>
    <w:rsid w:val="00974B47"/>
    <w:rsid w:val="00974D53"/>
    <w:rsid w:val="00974D5D"/>
    <w:rsid w:val="00974DD2"/>
    <w:rsid w:val="009760C4"/>
    <w:rsid w:val="00976E27"/>
    <w:rsid w:val="009772A5"/>
    <w:rsid w:val="00977550"/>
    <w:rsid w:val="00980B5D"/>
    <w:rsid w:val="00981173"/>
    <w:rsid w:val="00981A75"/>
    <w:rsid w:val="00981F83"/>
    <w:rsid w:val="009841A8"/>
    <w:rsid w:val="009868BE"/>
    <w:rsid w:val="00986B64"/>
    <w:rsid w:val="00986EFA"/>
    <w:rsid w:val="009876A4"/>
    <w:rsid w:val="009917E9"/>
    <w:rsid w:val="00992224"/>
    <w:rsid w:val="00992416"/>
    <w:rsid w:val="00993789"/>
    <w:rsid w:val="00994144"/>
    <w:rsid w:val="00994B4C"/>
    <w:rsid w:val="00994F61"/>
    <w:rsid w:val="00996057"/>
    <w:rsid w:val="00996394"/>
    <w:rsid w:val="00996C89"/>
    <w:rsid w:val="009979B9"/>
    <w:rsid w:val="00997E3E"/>
    <w:rsid w:val="009A020F"/>
    <w:rsid w:val="009A03C7"/>
    <w:rsid w:val="009A0703"/>
    <w:rsid w:val="009A137C"/>
    <w:rsid w:val="009A1399"/>
    <w:rsid w:val="009A22FD"/>
    <w:rsid w:val="009A2ED6"/>
    <w:rsid w:val="009A31E7"/>
    <w:rsid w:val="009A546A"/>
    <w:rsid w:val="009A621C"/>
    <w:rsid w:val="009A6677"/>
    <w:rsid w:val="009A6C66"/>
    <w:rsid w:val="009A6EF9"/>
    <w:rsid w:val="009A7A6D"/>
    <w:rsid w:val="009A7BBC"/>
    <w:rsid w:val="009B06B6"/>
    <w:rsid w:val="009B10E6"/>
    <w:rsid w:val="009B2A11"/>
    <w:rsid w:val="009B5581"/>
    <w:rsid w:val="009B5940"/>
    <w:rsid w:val="009B63ED"/>
    <w:rsid w:val="009B69CB"/>
    <w:rsid w:val="009B710D"/>
    <w:rsid w:val="009C0366"/>
    <w:rsid w:val="009C1C5E"/>
    <w:rsid w:val="009C3862"/>
    <w:rsid w:val="009C4171"/>
    <w:rsid w:val="009C4335"/>
    <w:rsid w:val="009C45BB"/>
    <w:rsid w:val="009C475C"/>
    <w:rsid w:val="009C5878"/>
    <w:rsid w:val="009C605A"/>
    <w:rsid w:val="009C60A5"/>
    <w:rsid w:val="009C75C9"/>
    <w:rsid w:val="009D1492"/>
    <w:rsid w:val="009D169E"/>
    <w:rsid w:val="009D17E7"/>
    <w:rsid w:val="009D2602"/>
    <w:rsid w:val="009D3234"/>
    <w:rsid w:val="009D41B7"/>
    <w:rsid w:val="009D5CA7"/>
    <w:rsid w:val="009D65CD"/>
    <w:rsid w:val="009D6E2E"/>
    <w:rsid w:val="009D7298"/>
    <w:rsid w:val="009E03C7"/>
    <w:rsid w:val="009E12B5"/>
    <w:rsid w:val="009E3C1C"/>
    <w:rsid w:val="009E3D49"/>
    <w:rsid w:val="009E3F6F"/>
    <w:rsid w:val="009E54FE"/>
    <w:rsid w:val="009E6ACB"/>
    <w:rsid w:val="009F1043"/>
    <w:rsid w:val="009F2D78"/>
    <w:rsid w:val="009F36CA"/>
    <w:rsid w:val="009F4FE2"/>
    <w:rsid w:val="009F58F9"/>
    <w:rsid w:val="009F6124"/>
    <w:rsid w:val="009F6167"/>
    <w:rsid w:val="009F63E6"/>
    <w:rsid w:val="009F6C13"/>
    <w:rsid w:val="009F752A"/>
    <w:rsid w:val="00A003BE"/>
    <w:rsid w:val="00A00EE1"/>
    <w:rsid w:val="00A016F0"/>
    <w:rsid w:val="00A01E22"/>
    <w:rsid w:val="00A022AB"/>
    <w:rsid w:val="00A02B33"/>
    <w:rsid w:val="00A03435"/>
    <w:rsid w:val="00A03567"/>
    <w:rsid w:val="00A0364E"/>
    <w:rsid w:val="00A0385F"/>
    <w:rsid w:val="00A06C2D"/>
    <w:rsid w:val="00A079D0"/>
    <w:rsid w:val="00A11132"/>
    <w:rsid w:val="00A11756"/>
    <w:rsid w:val="00A11969"/>
    <w:rsid w:val="00A123CD"/>
    <w:rsid w:val="00A1425B"/>
    <w:rsid w:val="00A157B9"/>
    <w:rsid w:val="00A158FB"/>
    <w:rsid w:val="00A1712E"/>
    <w:rsid w:val="00A17F2D"/>
    <w:rsid w:val="00A20667"/>
    <w:rsid w:val="00A22348"/>
    <w:rsid w:val="00A22C47"/>
    <w:rsid w:val="00A243D6"/>
    <w:rsid w:val="00A24C62"/>
    <w:rsid w:val="00A254EC"/>
    <w:rsid w:val="00A25C9D"/>
    <w:rsid w:val="00A25F51"/>
    <w:rsid w:val="00A26182"/>
    <w:rsid w:val="00A2649E"/>
    <w:rsid w:val="00A26522"/>
    <w:rsid w:val="00A30382"/>
    <w:rsid w:val="00A30C5B"/>
    <w:rsid w:val="00A30CEC"/>
    <w:rsid w:val="00A318B9"/>
    <w:rsid w:val="00A32604"/>
    <w:rsid w:val="00A326EA"/>
    <w:rsid w:val="00A32EF3"/>
    <w:rsid w:val="00A33959"/>
    <w:rsid w:val="00A34A64"/>
    <w:rsid w:val="00A35312"/>
    <w:rsid w:val="00A354C8"/>
    <w:rsid w:val="00A376FC"/>
    <w:rsid w:val="00A40705"/>
    <w:rsid w:val="00A407E6"/>
    <w:rsid w:val="00A40E71"/>
    <w:rsid w:val="00A40EF5"/>
    <w:rsid w:val="00A417AE"/>
    <w:rsid w:val="00A43345"/>
    <w:rsid w:val="00A447E6"/>
    <w:rsid w:val="00A45327"/>
    <w:rsid w:val="00A463E3"/>
    <w:rsid w:val="00A46D13"/>
    <w:rsid w:val="00A50AD6"/>
    <w:rsid w:val="00A50D0F"/>
    <w:rsid w:val="00A50E2B"/>
    <w:rsid w:val="00A50EBE"/>
    <w:rsid w:val="00A51495"/>
    <w:rsid w:val="00A52070"/>
    <w:rsid w:val="00A54097"/>
    <w:rsid w:val="00A57661"/>
    <w:rsid w:val="00A57B68"/>
    <w:rsid w:val="00A609DD"/>
    <w:rsid w:val="00A60E34"/>
    <w:rsid w:val="00A62074"/>
    <w:rsid w:val="00A62606"/>
    <w:rsid w:val="00A62772"/>
    <w:rsid w:val="00A62EA7"/>
    <w:rsid w:val="00A62F76"/>
    <w:rsid w:val="00A63D95"/>
    <w:rsid w:val="00A6459E"/>
    <w:rsid w:val="00A64686"/>
    <w:rsid w:val="00A64CAE"/>
    <w:rsid w:val="00A6578C"/>
    <w:rsid w:val="00A65D17"/>
    <w:rsid w:val="00A71A0A"/>
    <w:rsid w:val="00A71A31"/>
    <w:rsid w:val="00A72227"/>
    <w:rsid w:val="00A72CC1"/>
    <w:rsid w:val="00A73E12"/>
    <w:rsid w:val="00A748F2"/>
    <w:rsid w:val="00A74939"/>
    <w:rsid w:val="00A76AED"/>
    <w:rsid w:val="00A77B52"/>
    <w:rsid w:val="00A77BE7"/>
    <w:rsid w:val="00A80044"/>
    <w:rsid w:val="00A81845"/>
    <w:rsid w:val="00A82211"/>
    <w:rsid w:val="00A8271D"/>
    <w:rsid w:val="00A82B34"/>
    <w:rsid w:val="00A82F45"/>
    <w:rsid w:val="00A833DF"/>
    <w:rsid w:val="00A83611"/>
    <w:rsid w:val="00A84B21"/>
    <w:rsid w:val="00A85181"/>
    <w:rsid w:val="00A8540F"/>
    <w:rsid w:val="00A8580C"/>
    <w:rsid w:val="00A85A45"/>
    <w:rsid w:val="00A85F3E"/>
    <w:rsid w:val="00A86A92"/>
    <w:rsid w:val="00A86CEB"/>
    <w:rsid w:val="00A90AA5"/>
    <w:rsid w:val="00A91055"/>
    <w:rsid w:val="00A912BA"/>
    <w:rsid w:val="00A924F3"/>
    <w:rsid w:val="00A92AF0"/>
    <w:rsid w:val="00A94369"/>
    <w:rsid w:val="00A97801"/>
    <w:rsid w:val="00A97923"/>
    <w:rsid w:val="00AA026D"/>
    <w:rsid w:val="00AA041A"/>
    <w:rsid w:val="00AA055A"/>
    <w:rsid w:val="00AA0DA2"/>
    <w:rsid w:val="00AA0E31"/>
    <w:rsid w:val="00AA1803"/>
    <w:rsid w:val="00AA1A3F"/>
    <w:rsid w:val="00AA20EA"/>
    <w:rsid w:val="00AA21BF"/>
    <w:rsid w:val="00AA3B5B"/>
    <w:rsid w:val="00AA446F"/>
    <w:rsid w:val="00AA59A6"/>
    <w:rsid w:val="00AA6FBA"/>
    <w:rsid w:val="00AA739B"/>
    <w:rsid w:val="00AA7ADF"/>
    <w:rsid w:val="00AA7DF1"/>
    <w:rsid w:val="00AB0D80"/>
    <w:rsid w:val="00AB16D9"/>
    <w:rsid w:val="00AB1C49"/>
    <w:rsid w:val="00AB1FC8"/>
    <w:rsid w:val="00AB284D"/>
    <w:rsid w:val="00AB2F02"/>
    <w:rsid w:val="00AB304E"/>
    <w:rsid w:val="00AB3252"/>
    <w:rsid w:val="00AB60F2"/>
    <w:rsid w:val="00AB6C17"/>
    <w:rsid w:val="00AB6F3C"/>
    <w:rsid w:val="00AC0581"/>
    <w:rsid w:val="00AC0A9D"/>
    <w:rsid w:val="00AC0C9E"/>
    <w:rsid w:val="00AC20C0"/>
    <w:rsid w:val="00AC2876"/>
    <w:rsid w:val="00AC3349"/>
    <w:rsid w:val="00AC33C8"/>
    <w:rsid w:val="00AC449A"/>
    <w:rsid w:val="00AC4C13"/>
    <w:rsid w:val="00AC4C74"/>
    <w:rsid w:val="00AC4CD2"/>
    <w:rsid w:val="00AC512C"/>
    <w:rsid w:val="00AC5D5B"/>
    <w:rsid w:val="00AC7BE1"/>
    <w:rsid w:val="00AD059B"/>
    <w:rsid w:val="00AD0826"/>
    <w:rsid w:val="00AD0A1C"/>
    <w:rsid w:val="00AD102A"/>
    <w:rsid w:val="00AD10EB"/>
    <w:rsid w:val="00AD1502"/>
    <w:rsid w:val="00AD1796"/>
    <w:rsid w:val="00AD1974"/>
    <w:rsid w:val="00AD2353"/>
    <w:rsid w:val="00AD239A"/>
    <w:rsid w:val="00AD26D4"/>
    <w:rsid w:val="00AD3102"/>
    <w:rsid w:val="00AD3EDC"/>
    <w:rsid w:val="00AD4AEF"/>
    <w:rsid w:val="00AD4BF1"/>
    <w:rsid w:val="00AD505E"/>
    <w:rsid w:val="00AD5CCC"/>
    <w:rsid w:val="00AD6CC5"/>
    <w:rsid w:val="00AD713A"/>
    <w:rsid w:val="00AD7E0B"/>
    <w:rsid w:val="00AE0E58"/>
    <w:rsid w:val="00AE142B"/>
    <w:rsid w:val="00AE3D4E"/>
    <w:rsid w:val="00AE594A"/>
    <w:rsid w:val="00AE7DAF"/>
    <w:rsid w:val="00AF0189"/>
    <w:rsid w:val="00AF061D"/>
    <w:rsid w:val="00AF12CE"/>
    <w:rsid w:val="00AF15EA"/>
    <w:rsid w:val="00AF19CE"/>
    <w:rsid w:val="00AF3FE0"/>
    <w:rsid w:val="00AF45EB"/>
    <w:rsid w:val="00AF4794"/>
    <w:rsid w:val="00AF4DF5"/>
    <w:rsid w:val="00AF695E"/>
    <w:rsid w:val="00AF7191"/>
    <w:rsid w:val="00AF7C74"/>
    <w:rsid w:val="00B001EB"/>
    <w:rsid w:val="00B004D7"/>
    <w:rsid w:val="00B00586"/>
    <w:rsid w:val="00B00972"/>
    <w:rsid w:val="00B0098B"/>
    <w:rsid w:val="00B01D41"/>
    <w:rsid w:val="00B0271B"/>
    <w:rsid w:val="00B031B0"/>
    <w:rsid w:val="00B041BF"/>
    <w:rsid w:val="00B0681C"/>
    <w:rsid w:val="00B06B70"/>
    <w:rsid w:val="00B07161"/>
    <w:rsid w:val="00B13B65"/>
    <w:rsid w:val="00B16602"/>
    <w:rsid w:val="00B1677E"/>
    <w:rsid w:val="00B16A33"/>
    <w:rsid w:val="00B16F2A"/>
    <w:rsid w:val="00B17AC0"/>
    <w:rsid w:val="00B17B7B"/>
    <w:rsid w:val="00B17D41"/>
    <w:rsid w:val="00B21333"/>
    <w:rsid w:val="00B22129"/>
    <w:rsid w:val="00B22D00"/>
    <w:rsid w:val="00B24AD9"/>
    <w:rsid w:val="00B25959"/>
    <w:rsid w:val="00B2671B"/>
    <w:rsid w:val="00B267CA"/>
    <w:rsid w:val="00B30995"/>
    <w:rsid w:val="00B32A7C"/>
    <w:rsid w:val="00B3572E"/>
    <w:rsid w:val="00B35A4A"/>
    <w:rsid w:val="00B36A86"/>
    <w:rsid w:val="00B36F44"/>
    <w:rsid w:val="00B37EB0"/>
    <w:rsid w:val="00B401C7"/>
    <w:rsid w:val="00B40734"/>
    <w:rsid w:val="00B40C90"/>
    <w:rsid w:val="00B41FAA"/>
    <w:rsid w:val="00B42A95"/>
    <w:rsid w:val="00B43322"/>
    <w:rsid w:val="00B44EFF"/>
    <w:rsid w:val="00B4549A"/>
    <w:rsid w:val="00B46F12"/>
    <w:rsid w:val="00B5134D"/>
    <w:rsid w:val="00B516F5"/>
    <w:rsid w:val="00B51EFE"/>
    <w:rsid w:val="00B5413B"/>
    <w:rsid w:val="00B54341"/>
    <w:rsid w:val="00B559F2"/>
    <w:rsid w:val="00B57130"/>
    <w:rsid w:val="00B57816"/>
    <w:rsid w:val="00B57D82"/>
    <w:rsid w:val="00B6087C"/>
    <w:rsid w:val="00B60E4E"/>
    <w:rsid w:val="00B61973"/>
    <w:rsid w:val="00B61ED6"/>
    <w:rsid w:val="00B62E41"/>
    <w:rsid w:val="00B6403E"/>
    <w:rsid w:val="00B65E5A"/>
    <w:rsid w:val="00B66C2A"/>
    <w:rsid w:val="00B670ED"/>
    <w:rsid w:val="00B6741C"/>
    <w:rsid w:val="00B70AD6"/>
    <w:rsid w:val="00B70BE5"/>
    <w:rsid w:val="00B710C6"/>
    <w:rsid w:val="00B71940"/>
    <w:rsid w:val="00B72D36"/>
    <w:rsid w:val="00B72FE0"/>
    <w:rsid w:val="00B735E5"/>
    <w:rsid w:val="00B73C79"/>
    <w:rsid w:val="00B743E8"/>
    <w:rsid w:val="00B75FEC"/>
    <w:rsid w:val="00B76239"/>
    <w:rsid w:val="00B76908"/>
    <w:rsid w:val="00B775F5"/>
    <w:rsid w:val="00B808E4"/>
    <w:rsid w:val="00B810C9"/>
    <w:rsid w:val="00B81A7D"/>
    <w:rsid w:val="00B823A3"/>
    <w:rsid w:val="00B83125"/>
    <w:rsid w:val="00B83729"/>
    <w:rsid w:val="00B839FB"/>
    <w:rsid w:val="00B83DFF"/>
    <w:rsid w:val="00B84A9F"/>
    <w:rsid w:val="00B85C12"/>
    <w:rsid w:val="00B8620B"/>
    <w:rsid w:val="00B87034"/>
    <w:rsid w:val="00B87823"/>
    <w:rsid w:val="00B909F2"/>
    <w:rsid w:val="00B928DE"/>
    <w:rsid w:val="00B92912"/>
    <w:rsid w:val="00B92BEA"/>
    <w:rsid w:val="00B95605"/>
    <w:rsid w:val="00B968AA"/>
    <w:rsid w:val="00B96B6A"/>
    <w:rsid w:val="00BA0943"/>
    <w:rsid w:val="00BA0C81"/>
    <w:rsid w:val="00BA1F04"/>
    <w:rsid w:val="00BA21E1"/>
    <w:rsid w:val="00BA23ED"/>
    <w:rsid w:val="00BA2405"/>
    <w:rsid w:val="00BA423F"/>
    <w:rsid w:val="00BA64E8"/>
    <w:rsid w:val="00BA6512"/>
    <w:rsid w:val="00BA75BB"/>
    <w:rsid w:val="00BA7CD8"/>
    <w:rsid w:val="00BB0064"/>
    <w:rsid w:val="00BB0343"/>
    <w:rsid w:val="00BB09F8"/>
    <w:rsid w:val="00BB0DDB"/>
    <w:rsid w:val="00BB235B"/>
    <w:rsid w:val="00BB27EB"/>
    <w:rsid w:val="00BB344E"/>
    <w:rsid w:val="00BB3CBD"/>
    <w:rsid w:val="00BB418F"/>
    <w:rsid w:val="00BB44B9"/>
    <w:rsid w:val="00BB458D"/>
    <w:rsid w:val="00BB5CDE"/>
    <w:rsid w:val="00BB6000"/>
    <w:rsid w:val="00BB600D"/>
    <w:rsid w:val="00BB72F4"/>
    <w:rsid w:val="00BB7D5B"/>
    <w:rsid w:val="00BC0BB3"/>
    <w:rsid w:val="00BC0E8D"/>
    <w:rsid w:val="00BC10BC"/>
    <w:rsid w:val="00BC17C3"/>
    <w:rsid w:val="00BC1CE0"/>
    <w:rsid w:val="00BC23FB"/>
    <w:rsid w:val="00BC2458"/>
    <w:rsid w:val="00BC38B8"/>
    <w:rsid w:val="00BC6254"/>
    <w:rsid w:val="00BD05FC"/>
    <w:rsid w:val="00BD0EEB"/>
    <w:rsid w:val="00BD2B8D"/>
    <w:rsid w:val="00BD2DE6"/>
    <w:rsid w:val="00BD37E5"/>
    <w:rsid w:val="00BD3834"/>
    <w:rsid w:val="00BD5923"/>
    <w:rsid w:val="00BD6750"/>
    <w:rsid w:val="00BD6E30"/>
    <w:rsid w:val="00BD7018"/>
    <w:rsid w:val="00BD7A6B"/>
    <w:rsid w:val="00BD7D58"/>
    <w:rsid w:val="00BD7DD0"/>
    <w:rsid w:val="00BD7DD8"/>
    <w:rsid w:val="00BE0493"/>
    <w:rsid w:val="00BF4442"/>
    <w:rsid w:val="00BF4547"/>
    <w:rsid w:val="00BF487A"/>
    <w:rsid w:val="00BF5642"/>
    <w:rsid w:val="00BF57D1"/>
    <w:rsid w:val="00BF640F"/>
    <w:rsid w:val="00BF7129"/>
    <w:rsid w:val="00C02D24"/>
    <w:rsid w:val="00C033E7"/>
    <w:rsid w:val="00C04166"/>
    <w:rsid w:val="00C07DF4"/>
    <w:rsid w:val="00C10836"/>
    <w:rsid w:val="00C1149F"/>
    <w:rsid w:val="00C11FD0"/>
    <w:rsid w:val="00C122BA"/>
    <w:rsid w:val="00C12873"/>
    <w:rsid w:val="00C12D78"/>
    <w:rsid w:val="00C14885"/>
    <w:rsid w:val="00C15234"/>
    <w:rsid w:val="00C15A52"/>
    <w:rsid w:val="00C15E83"/>
    <w:rsid w:val="00C1632D"/>
    <w:rsid w:val="00C170C0"/>
    <w:rsid w:val="00C17DE9"/>
    <w:rsid w:val="00C204A6"/>
    <w:rsid w:val="00C218CB"/>
    <w:rsid w:val="00C2197D"/>
    <w:rsid w:val="00C22DAC"/>
    <w:rsid w:val="00C2352A"/>
    <w:rsid w:val="00C23BD1"/>
    <w:rsid w:val="00C300E4"/>
    <w:rsid w:val="00C303A9"/>
    <w:rsid w:val="00C303F0"/>
    <w:rsid w:val="00C306A7"/>
    <w:rsid w:val="00C30CD3"/>
    <w:rsid w:val="00C310C0"/>
    <w:rsid w:val="00C31569"/>
    <w:rsid w:val="00C31905"/>
    <w:rsid w:val="00C31AF7"/>
    <w:rsid w:val="00C32B05"/>
    <w:rsid w:val="00C33CFA"/>
    <w:rsid w:val="00C33CFD"/>
    <w:rsid w:val="00C344E9"/>
    <w:rsid w:val="00C349F2"/>
    <w:rsid w:val="00C35C70"/>
    <w:rsid w:val="00C35F90"/>
    <w:rsid w:val="00C36B44"/>
    <w:rsid w:val="00C36BFD"/>
    <w:rsid w:val="00C37C60"/>
    <w:rsid w:val="00C4008F"/>
    <w:rsid w:val="00C42215"/>
    <w:rsid w:val="00C42588"/>
    <w:rsid w:val="00C43AFE"/>
    <w:rsid w:val="00C443EA"/>
    <w:rsid w:val="00C449C8"/>
    <w:rsid w:val="00C451D8"/>
    <w:rsid w:val="00C4636A"/>
    <w:rsid w:val="00C4663F"/>
    <w:rsid w:val="00C51EEC"/>
    <w:rsid w:val="00C5303D"/>
    <w:rsid w:val="00C53328"/>
    <w:rsid w:val="00C53BC4"/>
    <w:rsid w:val="00C547E1"/>
    <w:rsid w:val="00C55A51"/>
    <w:rsid w:val="00C55A71"/>
    <w:rsid w:val="00C608B8"/>
    <w:rsid w:val="00C61016"/>
    <w:rsid w:val="00C610FD"/>
    <w:rsid w:val="00C611C7"/>
    <w:rsid w:val="00C632AD"/>
    <w:rsid w:val="00C6348B"/>
    <w:rsid w:val="00C63620"/>
    <w:rsid w:val="00C6398A"/>
    <w:rsid w:val="00C66BC5"/>
    <w:rsid w:val="00C67434"/>
    <w:rsid w:val="00C70077"/>
    <w:rsid w:val="00C704AA"/>
    <w:rsid w:val="00C71652"/>
    <w:rsid w:val="00C7184D"/>
    <w:rsid w:val="00C72DC0"/>
    <w:rsid w:val="00C74B14"/>
    <w:rsid w:val="00C76AC4"/>
    <w:rsid w:val="00C77269"/>
    <w:rsid w:val="00C779B2"/>
    <w:rsid w:val="00C77C17"/>
    <w:rsid w:val="00C77F54"/>
    <w:rsid w:val="00C80798"/>
    <w:rsid w:val="00C818BD"/>
    <w:rsid w:val="00C81B55"/>
    <w:rsid w:val="00C81D46"/>
    <w:rsid w:val="00C822E1"/>
    <w:rsid w:val="00C82372"/>
    <w:rsid w:val="00C82687"/>
    <w:rsid w:val="00C82A5B"/>
    <w:rsid w:val="00C84DE1"/>
    <w:rsid w:val="00C8517B"/>
    <w:rsid w:val="00C85CAB"/>
    <w:rsid w:val="00C85F05"/>
    <w:rsid w:val="00C865A9"/>
    <w:rsid w:val="00C86ACD"/>
    <w:rsid w:val="00C872A0"/>
    <w:rsid w:val="00C90EE5"/>
    <w:rsid w:val="00C93677"/>
    <w:rsid w:val="00C941DF"/>
    <w:rsid w:val="00C94FA3"/>
    <w:rsid w:val="00C9589E"/>
    <w:rsid w:val="00C95F1F"/>
    <w:rsid w:val="00C95FC8"/>
    <w:rsid w:val="00C97809"/>
    <w:rsid w:val="00C97DDC"/>
    <w:rsid w:val="00CA1905"/>
    <w:rsid w:val="00CA1C80"/>
    <w:rsid w:val="00CA2E36"/>
    <w:rsid w:val="00CA396C"/>
    <w:rsid w:val="00CA3D17"/>
    <w:rsid w:val="00CA3FF4"/>
    <w:rsid w:val="00CA5380"/>
    <w:rsid w:val="00CA6532"/>
    <w:rsid w:val="00CA6B1E"/>
    <w:rsid w:val="00CB04A3"/>
    <w:rsid w:val="00CB0B25"/>
    <w:rsid w:val="00CB1B3B"/>
    <w:rsid w:val="00CB20CB"/>
    <w:rsid w:val="00CB28CD"/>
    <w:rsid w:val="00CB5257"/>
    <w:rsid w:val="00CB52E3"/>
    <w:rsid w:val="00CB540B"/>
    <w:rsid w:val="00CB76D0"/>
    <w:rsid w:val="00CB7777"/>
    <w:rsid w:val="00CC014E"/>
    <w:rsid w:val="00CC1054"/>
    <w:rsid w:val="00CC22A8"/>
    <w:rsid w:val="00CC4104"/>
    <w:rsid w:val="00CC467F"/>
    <w:rsid w:val="00CC665E"/>
    <w:rsid w:val="00CC6E87"/>
    <w:rsid w:val="00CC79E0"/>
    <w:rsid w:val="00CD04B0"/>
    <w:rsid w:val="00CD059B"/>
    <w:rsid w:val="00CD1748"/>
    <w:rsid w:val="00CD251B"/>
    <w:rsid w:val="00CD25B8"/>
    <w:rsid w:val="00CD307F"/>
    <w:rsid w:val="00CD35DD"/>
    <w:rsid w:val="00CD415F"/>
    <w:rsid w:val="00CD5DB4"/>
    <w:rsid w:val="00CD5E06"/>
    <w:rsid w:val="00CD670F"/>
    <w:rsid w:val="00CE0290"/>
    <w:rsid w:val="00CE0BF0"/>
    <w:rsid w:val="00CE0EF4"/>
    <w:rsid w:val="00CE0FA9"/>
    <w:rsid w:val="00CE0FED"/>
    <w:rsid w:val="00CE10C2"/>
    <w:rsid w:val="00CE1258"/>
    <w:rsid w:val="00CE213B"/>
    <w:rsid w:val="00CE2BEB"/>
    <w:rsid w:val="00CE3842"/>
    <w:rsid w:val="00CE4800"/>
    <w:rsid w:val="00CE4F0A"/>
    <w:rsid w:val="00CE51EE"/>
    <w:rsid w:val="00CE57AA"/>
    <w:rsid w:val="00CE7B82"/>
    <w:rsid w:val="00CE7F54"/>
    <w:rsid w:val="00CF0BB6"/>
    <w:rsid w:val="00CF18F5"/>
    <w:rsid w:val="00CF2BA3"/>
    <w:rsid w:val="00CF3423"/>
    <w:rsid w:val="00CF45D2"/>
    <w:rsid w:val="00CF4C38"/>
    <w:rsid w:val="00CF4FC7"/>
    <w:rsid w:val="00CF53EC"/>
    <w:rsid w:val="00D00330"/>
    <w:rsid w:val="00D0089D"/>
    <w:rsid w:val="00D00FD6"/>
    <w:rsid w:val="00D012B0"/>
    <w:rsid w:val="00D0157F"/>
    <w:rsid w:val="00D01AA7"/>
    <w:rsid w:val="00D0207D"/>
    <w:rsid w:val="00D027E6"/>
    <w:rsid w:val="00D02E83"/>
    <w:rsid w:val="00D03064"/>
    <w:rsid w:val="00D03079"/>
    <w:rsid w:val="00D03616"/>
    <w:rsid w:val="00D03F7E"/>
    <w:rsid w:val="00D05841"/>
    <w:rsid w:val="00D05C27"/>
    <w:rsid w:val="00D05D30"/>
    <w:rsid w:val="00D05F8E"/>
    <w:rsid w:val="00D077A6"/>
    <w:rsid w:val="00D07BB7"/>
    <w:rsid w:val="00D10BDF"/>
    <w:rsid w:val="00D110CF"/>
    <w:rsid w:val="00D1186B"/>
    <w:rsid w:val="00D11C10"/>
    <w:rsid w:val="00D12DCB"/>
    <w:rsid w:val="00D132FA"/>
    <w:rsid w:val="00D144D9"/>
    <w:rsid w:val="00D1582D"/>
    <w:rsid w:val="00D15D33"/>
    <w:rsid w:val="00D1745F"/>
    <w:rsid w:val="00D1749C"/>
    <w:rsid w:val="00D17D49"/>
    <w:rsid w:val="00D202A1"/>
    <w:rsid w:val="00D20CE3"/>
    <w:rsid w:val="00D214C1"/>
    <w:rsid w:val="00D228CE"/>
    <w:rsid w:val="00D2329A"/>
    <w:rsid w:val="00D23477"/>
    <w:rsid w:val="00D23754"/>
    <w:rsid w:val="00D24728"/>
    <w:rsid w:val="00D25027"/>
    <w:rsid w:val="00D254BA"/>
    <w:rsid w:val="00D256CC"/>
    <w:rsid w:val="00D2585B"/>
    <w:rsid w:val="00D305E7"/>
    <w:rsid w:val="00D31519"/>
    <w:rsid w:val="00D3180A"/>
    <w:rsid w:val="00D31E7C"/>
    <w:rsid w:val="00D32C28"/>
    <w:rsid w:val="00D3428F"/>
    <w:rsid w:val="00D3493F"/>
    <w:rsid w:val="00D34D18"/>
    <w:rsid w:val="00D35071"/>
    <w:rsid w:val="00D37B8F"/>
    <w:rsid w:val="00D37D8A"/>
    <w:rsid w:val="00D40574"/>
    <w:rsid w:val="00D416CF"/>
    <w:rsid w:val="00D41A52"/>
    <w:rsid w:val="00D42FF4"/>
    <w:rsid w:val="00D44458"/>
    <w:rsid w:val="00D44789"/>
    <w:rsid w:val="00D46637"/>
    <w:rsid w:val="00D46800"/>
    <w:rsid w:val="00D46C7E"/>
    <w:rsid w:val="00D46D6E"/>
    <w:rsid w:val="00D4714F"/>
    <w:rsid w:val="00D475B2"/>
    <w:rsid w:val="00D4786B"/>
    <w:rsid w:val="00D50B41"/>
    <w:rsid w:val="00D50E0E"/>
    <w:rsid w:val="00D51662"/>
    <w:rsid w:val="00D519B7"/>
    <w:rsid w:val="00D51D7E"/>
    <w:rsid w:val="00D52696"/>
    <w:rsid w:val="00D52DD4"/>
    <w:rsid w:val="00D54C49"/>
    <w:rsid w:val="00D55598"/>
    <w:rsid w:val="00D557BF"/>
    <w:rsid w:val="00D56517"/>
    <w:rsid w:val="00D571B4"/>
    <w:rsid w:val="00D60C9C"/>
    <w:rsid w:val="00D6289E"/>
    <w:rsid w:val="00D628AE"/>
    <w:rsid w:val="00D629C0"/>
    <w:rsid w:val="00D6337A"/>
    <w:rsid w:val="00D63C8B"/>
    <w:rsid w:val="00D63CFD"/>
    <w:rsid w:val="00D641D6"/>
    <w:rsid w:val="00D65888"/>
    <w:rsid w:val="00D66301"/>
    <w:rsid w:val="00D701DD"/>
    <w:rsid w:val="00D70B1F"/>
    <w:rsid w:val="00D717AD"/>
    <w:rsid w:val="00D72659"/>
    <w:rsid w:val="00D72978"/>
    <w:rsid w:val="00D72C6E"/>
    <w:rsid w:val="00D72DDD"/>
    <w:rsid w:val="00D7419B"/>
    <w:rsid w:val="00D742B5"/>
    <w:rsid w:val="00D7654E"/>
    <w:rsid w:val="00D80209"/>
    <w:rsid w:val="00D8047B"/>
    <w:rsid w:val="00D81445"/>
    <w:rsid w:val="00D82509"/>
    <w:rsid w:val="00D825EA"/>
    <w:rsid w:val="00D82A17"/>
    <w:rsid w:val="00D831E8"/>
    <w:rsid w:val="00D83995"/>
    <w:rsid w:val="00D83CC0"/>
    <w:rsid w:val="00D83D8F"/>
    <w:rsid w:val="00D84607"/>
    <w:rsid w:val="00D84901"/>
    <w:rsid w:val="00D86250"/>
    <w:rsid w:val="00D8651C"/>
    <w:rsid w:val="00D86879"/>
    <w:rsid w:val="00D86F6F"/>
    <w:rsid w:val="00D87EFC"/>
    <w:rsid w:val="00D900B7"/>
    <w:rsid w:val="00D91654"/>
    <w:rsid w:val="00D93CB3"/>
    <w:rsid w:val="00D95665"/>
    <w:rsid w:val="00D96D6A"/>
    <w:rsid w:val="00D96F97"/>
    <w:rsid w:val="00D97421"/>
    <w:rsid w:val="00D97481"/>
    <w:rsid w:val="00D97C66"/>
    <w:rsid w:val="00DA10A4"/>
    <w:rsid w:val="00DA1953"/>
    <w:rsid w:val="00DA1B90"/>
    <w:rsid w:val="00DA42B5"/>
    <w:rsid w:val="00DA5B20"/>
    <w:rsid w:val="00DA63A6"/>
    <w:rsid w:val="00DA70B4"/>
    <w:rsid w:val="00DA74E2"/>
    <w:rsid w:val="00DA78F5"/>
    <w:rsid w:val="00DB0837"/>
    <w:rsid w:val="00DB0CC6"/>
    <w:rsid w:val="00DB32BF"/>
    <w:rsid w:val="00DB364D"/>
    <w:rsid w:val="00DB3ABE"/>
    <w:rsid w:val="00DB5B03"/>
    <w:rsid w:val="00DB6078"/>
    <w:rsid w:val="00DB63A4"/>
    <w:rsid w:val="00DB753A"/>
    <w:rsid w:val="00DB76D9"/>
    <w:rsid w:val="00DB7A60"/>
    <w:rsid w:val="00DC0E99"/>
    <w:rsid w:val="00DC162F"/>
    <w:rsid w:val="00DC1FC3"/>
    <w:rsid w:val="00DC2E09"/>
    <w:rsid w:val="00DC330A"/>
    <w:rsid w:val="00DC4A62"/>
    <w:rsid w:val="00DC4F0E"/>
    <w:rsid w:val="00DC5632"/>
    <w:rsid w:val="00DC6559"/>
    <w:rsid w:val="00DC6563"/>
    <w:rsid w:val="00DC6A5E"/>
    <w:rsid w:val="00DC6C11"/>
    <w:rsid w:val="00DC7221"/>
    <w:rsid w:val="00DC7523"/>
    <w:rsid w:val="00DD0F62"/>
    <w:rsid w:val="00DD1A20"/>
    <w:rsid w:val="00DD20B7"/>
    <w:rsid w:val="00DD233A"/>
    <w:rsid w:val="00DD254F"/>
    <w:rsid w:val="00DD2820"/>
    <w:rsid w:val="00DD4F4B"/>
    <w:rsid w:val="00DD54CA"/>
    <w:rsid w:val="00DD57EB"/>
    <w:rsid w:val="00DD5DE3"/>
    <w:rsid w:val="00DD5F50"/>
    <w:rsid w:val="00DD7206"/>
    <w:rsid w:val="00DD7D54"/>
    <w:rsid w:val="00DE04F8"/>
    <w:rsid w:val="00DE069B"/>
    <w:rsid w:val="00DE096C"/>
    <w:rsid w:val="00DE13D0"/>
    <w:rsid w:val="00DE1BDE"/>
    <w:rsid w:val="00DE1FFC"/>
    <w:rsid w:val="00DE2D03"/>
    <w:rsid w:val="00DE368D"/>
    <w:rsid w:val="00DE38DF"/>
    <w:rsid w:val="00DE3B47"/>
    <w:rsid w:val="00DE3D20"/>
    <w:rsid w:val="00DE4028"/>
    <w:rsid w:val="00DE43D9"/>
    <w:rsid w:val="00DE6CFB"/>
    <w:rsid w:val="00DE7017"/>
    <w:rsid w:val="00DE76B9"/>
    <w:rsid w:val="00DF052F"/>
    <w:rsid w:val="00DF0540"/>
    <w:rsid w:val="00DF1356"/>
    <w:rsid w:val="00DF2BD4"/>
    <w:rsid w:val="00DF4C28"/>
    <w:rsid w:val="00DF505B"/>
    <w:rsid w:val="00DF631B"/>
    <w:rsid w:val="00DF66D0"/>
    <w:rsid w:val="00DF78FB"/>
    <w:rsid w:val="00E005BB"/>
    <w:rsid w:val="00E006CC"/>
    <w:rsid w:val="00E00849"/>
    <w:rsid w:val="00E019D5"/>
    <w:rsid w:val="00E02095"/>
    <w:rsid w:val="00E05350"/>
    <w:rsid w:val="00E05851"/>
    <w:rsid w:val="00E05AD0"/>
    <w:rsid w:val="00E10860"/>
    <w:rsid w:val="00E1199B"/>
    <w:rsid w:val="00E11F9C"/>
    <w:rsid w:val="00E125C6"/>
    <w:rsid w:val="00E162B6"/>
    <w:rsid w:val="00E1739F"/>
    <w:rsid w:val="00E1762B"/>
    <w:rsid w:val="00E17973"/>
    <w:rsid w:val="00E179DC"/>
    <w:rsid w:val="00E17E55"/>
    <w:rsid w:val="00E205E4"/>
    <w:rsid w:val="00E20610"/>
    <w:rsid w:val="00E24AAC"/>
    <w:rsid w:val="00E258BC"/>
    <w:rsid w:val="00E25EE0"/>
    <w:rsid w:val="00E25FA3"/>
    <w:rsid w:val="00E27E7C"/>
    <w:rsid w:val="00E30C19"/>
    <w:rsid w:val="00E3116D"/>
    <w:rsid w:val="00E371B7"/>
    <w:rsid w:val="00E37663"/>
    <w:rsid w:val="00E3787C"/>
    <w:rsid w:val="00E37A2B"/>
    <w:rsid w:val="00E37E61"/>
    <w:rsid w:val="00E40C34"/>
    <w:rsid w:val="00E413F6"/>
    <w:rsid w:val="00E41647"/>
    <w:rsid w:val="00E43E68"/>
    <w:rsid w:val="00E44556"/>
    <w:rsid w:val="00E44D46"/>
    <w:rsid w:val="00E454E2"/>
    <w:rsid w:val="00E458FF"/>
    <w:rsid w:val="00E46472"/>
    <w:rsid w:val="00E46890"/>
    <w:rsid w:val="00E46E66"/>
    <w:rsid w:val="00E4787F"/>
    <w:rsid w:val="00E50592"/>
    <w:rsid w:val="00E50A96"/>
    <w:rsid w:val="00E50ECC"/>
    <w:rsid w:val="00E523A6"/>
    <w:rsid w:val="00E523AE"/>
    <w:rsid w:val="00E52891"/>
    <w:rsid w:val="00E52A6B"/>
    <w:rsid w:val="00E52E82"/>
    <w:rsid w:val="00E52F76"/>
    <w:rsid w:val="00E533A9"/>
    <w:rsid w:val="00E537FF"/>
    <w:rsid w:val="00E53C7D"/>
    <w:rsid w:val="00E53DED"/>
    <w:rsid w:val="00E556FA"/>
    <w:rsid w:val="00E557C1"/>
    <w:rsid w:val="00E565FB"/>
    <w:rsid w:val="00E56885"/>
    <w:rsid w:val="00E56AC9"/>
    <w:rsid w:val="00E577BF"/>
    <w:rsid w:val="00E60DC6"/>
    <w:rsid w:val="00E61319"/>
    <w:rsid w:val="00E61993"/>
    <w:rsid w:val="00E65DDE"/>
    <w:rsid w:val="00E669C4"/>
    <w:rsid w:val="00E66EAD"/>
    <w:rsid w:val="00E6740C"/>
    <w:rsid w:val="00E7030A"/>
    <w:rsid w:val="00E70500"/>
    <w:rsid w:val="00E70DF0"/>
    <w:rsid w:val="00E70E21"/>
    <w:rsid w:val="00E70FCB"/>
    <w:rsid w:val="00E71027"/>
    <w:rsid w:val="00E71691"/>
    <w:rsid w:val="00E71852"/>
    <w:rsid w:val="00E71D99"/>
    <w:rsid w:val="00E71FB7"/>
    <w:rsid w:val="00E72466"/>
    <w:rsid w:val="00E725B6"/>
    <w:rsid w:val="00E72ED0"/>
    <w:rsid w:val="00E734BB"/>
    <w:rsid w:val="00E74280"/>
    <w:rsid w:val="00E759AB"/>
    <w:rsid w:val="00E75ACD"/>
    <w:rsid w:val="00E76ADF"/>
    <w:rsid w:val="00E77291"/>
    <w:rsid w:val="00E774C7"/>
    <w:rsid w:val="00E800B3"/>
    <w:rsid w:val="00E81AA1"/>
    <w:rsid w:val="00E821BF"/>
    <w:rsid w:val="00E8350C"/>
    <w:rsid w:val="00E835E9"/>
    <w:rsid w:val="00E840AA"/>
    <w:rsid w:val="00E84770"/>
    <w:rsid w:val="00E85252"/>
    <w:rsid w:val="00E85665"/>
    <w:rsid w:val="00E858C0"/>
    <w:rsid w:val="00E8692D"/>
    <w:rsid w:val="00E87299"/>
    <w:rsid w:val="00E909DF"/>
    <w:rsid w:val="00E90EBB"/>
    <w:rsid w:val="00E90EE0"/>
    <w:rsid w:val="00E92647"/>
    <w:rsid w:val="00E940B0"/>
    <w:rsid w:val="00E950BC"/>
    <w:rsid w:val="00E95510"/>
    <w:rsid w:val="00E9563C"/>
    <w:rsid w:val="00E95FC7"/>
    <w:rsid w:val="00EA0DA2"/>
    <w:rsid w:val="00EA1069"/>
    <w:rsid w:val="00EA120A"/>
    <w:rsid w:val="00EA1480"/>
    <w:rsid w:val="00EA2ABA"/>
    <w:rsid w:val="00EA2E7A"/>
    <w:rsid w:val="00EA2F62"/>
    <w:rsid w:val="00EA301E"/>
    <w:rsid w:val="00EA3BAC"/>
    <w:rsid w:val="00EA4B05"/>
    <w:rsid w:val="00EA5046"/>
    <w:rsid w:val="00EA546C"/>
    <w:rsid w:val="00EA5653"/>
    <w:rsid w:val="00EA5B26"/>
    <w:rsid w:val="00EA5B42"/>
    <w:rsid w:val="00EA70FF"/>
    <w:rsid w:val="00EA7911"/>
    <w:rsid w:val="00EA7C36"/>
    <w:rsid w:val="00EB1EB7"/>
    <w:rsid w:val="00EB264B"/>
    <w:rsid w:val="00EB30C9"/>
    <w:rsid w:val="00EB31F4"/>
    <w:rsid w:val="00EB37BB"/>
    <w:rsid w:val="00EB4370"/>
    <w:rsid w:val="00EB5A71"/>
    <w:rsid w:val="00EB6D36"/>
    <w:rsid w:val="00EB72CA"/>
    <w:rsid w:val="00EC26B0"/>
    <w:rsid w:val="00EC28D0"/>
    <w:rsid w:val="00EC3897"/>
    <w:rsid w:val="00EC3E42"/>
    <w:rsid w:val="00EC3E4C"/>
    <w:rsid w:val="00EC462C"/>
    <w:rsid w:val="00EC4745"/>
    <w:rsid w:val="00EC4BEE"/>
    <w:rsid w:val="00EC4FED"/>
    <w:rsid w:val="00EC5253"/>
    <w:rsid w:val="00EC5A36"/>
    <w:rsid w:val="00EC6B24"/>
    <w:rsid w:val="00EC7073"/>
    <w:rsid w:val="00EC7600"/>
    <w:rsid w:val="00ED2CBC"/>
    <w:rsid w:val="00ED3388"/>
    <w:rsid w:val="00ED440C"/>
    <w:rsid w:val="00ED79B1"/>
    <w:rsid w:val="00EE1344"/>
    <w:rsid w:val="00EE15CE"/>
    <w:rsid w:val="00EE1C69"/>
    <w:rsid w:val="00EE2BC4"/>
    <w:rsid w:val="00EE3379"/>
    <w:rsid w:val="00EE52D6"/>
    <w:rsid w:val="00EE5A0D"/>
    <w:rsid w:val="00EE6C9E"/>
    <w:rsid w:val="00EE77F7"/>
    <w:rsid w:val="00EE7DB4"/>
    <w:rsid w:val="00EF0435"/>
    <w:rsid w:val="00EF11AE"/>
    <w:rsid w:val="00EF1969"/>
    <w:rsid w:val="00EF2589"/>
    <w:rsid w:val="00EF25EC"/>
    <w:rsid w:val="00EF2F73"/>
    <w:rsid w:val="00EF34B9"/>
    <w:rsid w:val="00EF383F"/>
    <w:rsid w:val="00EF5378"/>
    <w:rsid w:val="00EF573C"/>
    <w:rsid w:val="00EF6541"/>
    <w:rsid w:val="00EF6550"/>
    <w:rsid w:val="00F02B7B"/>
    <w:rsid w:val="00F0369D"/>
    <w:rsid w:val="00F0594C"/>
    <w:rsid w:val="00F05C46"/>
    <w:rsid w:val="00F0678A"/>
    <w:rsid w:val="00F074BF"/>
    <w:rsid w:val="00F077A8"/>
    <w:rsid w:val="00F07B5E"/>
    <w:rsid w:val="00F102CD"/>
    <w:rsid w:val="00F1048B"/>
    <w:rsid w:val="00F10951"/>
    <w:rsid w:val="00F10B61"/>
    <w:rsid w:val="00F132A8"/>
    <w:rsid w:val="00F132DC"/>
    <w:rsid w:val="00F1394D"/>
    <w:rsid w:val="00F142FD"/>
    <w:rsid w:val="00F145E5"/>
    <w:rsid w:val="00F15947"/>
    <w:rsid w:val="00F177C2"/>
    <w:rsid w:val="00F17862"/>
    <w:rsid w:val="00F201B9"/>
    <w:rsid w:val="00F218B7"/>
    <w:rsid w:val="00F21A48"/>
    <w:rsid w:val="00F23E9C"/>
    <w:rsid w:val="00F24010"/>
    <w:rsid w:val="00F24086"/>
    <w:rsid w:val="00F24E6F"/>
    <w:rsid w:val="00F25BBC"/>
    <w:rsid w:val="00F25C62"/>
    <w:rsid w:val="00F26294"/>
    <w:rsid w:val="00F30AE6"/>
    <w:rsid w:val="00F31BDD"/>
    <w:rsid w:val="00F33550"/>
    <w:rsid w:val="00F338E7"/>
    <w:rsid w:val="00F33973"/>
    <w:rsid w:val="00F35437"/>
    <w:rsid w:val="00F35F68"/>
    <w:rsid w:val="00F3765A"/>
    <w:rsid w:val="00F40413"/>
    <w:rsid w:val="00F40E31"/>
    <w:rsid w:val="00F42920"/>
    <w:rsid w:val="00F42E3D"/>
    <w:rsid w:val="00F43B23"/>
    <w:rsid w:val="00F45288"/>
    <w:rsid w:val="00F458D3"/>
    <w:rsid w:val="00F4655D"/>
    <w:rsid w:val="00F5030C"/>
    <w:rsid w:val="00F52C95"/>
    <w:rsid w:val="00F5367B"/>
    <w:rsid w:val="00F5387B"/>
    <w:rsid w:val="00F5467E"/>
    <w:rsid w:val="00F54A9F"/>
    <w:rsid w:val="00F54BA5"/>
    <w:rsid w:val="00F54BE0"/>
    <w:rsid w:val="00F54FF0"/>
    <w:rsid w:val="00F574B3"/>
    <w:rsid w:val="00F57CFE"/>
    <w:rsid w:val="00F60A49"/>
    <w:rsid w:val="00F60A55"/>
    <w:rsid w:val="00F60F45"/>
    <w:rsid w:val="00F63864"/>
    <w:rsid w:val="00F6407E"/>
    <w:rsid w:val="00F66D2D"/>
    <w:rsid w:val="00F66E13"/>
    <w:rsid w:val="00F71596"/>
    <w:rsid w:val="00F7399D"/>
    <w:rsid w:val="00F73E5E"/>
    <w:rsid w:val="00F73FFF"/>
    <w:rsid w:val="00F74C40"/>
    <w:rsid w:val="00F76033"/>
    <w:rsid w:val="00F7618B"/>
    <w:rsid w:val="00F7699A"/>
    <w:rsid w:val="00F8252F"/>
    <w:rsid w:val="00F8391F"/>
    <w:rsid w:val="00F83B13"/>
    <w:rsid w:val="00F84339"/>
    <w:rsid w:val="00F846A9"/>
    <w:rsid w:val="00F846FC"/>
    <w:rsid w:val="00F84D37"/>
    <w:rsid w:val="00F854DE"/>
    <w:rsid w:val="00F8554C"/>
    <w:rsid w:val="00F856E9"/>
    <w:rsid w:val="00F85F2D"/>
    <w:rsid w:val="00F862D0"/>
    <w:rsid w:val="00F86355"/>
    <w:rsid w:val="00F869A4"/>
    <w:rsid w:val="00F86D4B"/>
    <w:rsid w:val="00F8727C"/>
    <w:rsid w:val="00F90909"/>
    <w:rsid w:val="00F93B5C"/>
    <w:rsid w:val="00F94116"/>
    <w:rsid w:val="00F947AE"/>
    <w:rsid w:val="00F95126"/>
    <w:rsid w:val="00F95B7B"/>
    <w:rsid w:val="00F95D6A"/>
    <w:rsid w:val="00F962A8"/>
    <w:rsid w:val="00F962F3"/>
    <w:rsid w:val="00F96371"/>
    <w:rsid w:val="00F965F6"/>
    <w:rsid w:val="00F96718"/>
    <w:rsid w:val="00FA04AD"/>
    <w:rsid w:val="00FA18EB"/>
    <w:rsid w:val="00FA19CC"/>
    <w:rsid w:val="00FA1DC6"/>
    <w:rsid w:val="00FA2035"/>
    <w:rsid w:val="00FA2087"/>
    <w:rsid w:val="00FA296B"/>
    <w:rsid w:val="00FA2C37"/>
    <w:rsid w:val="00FA41CF"/>
    <w:rsid w:val="00FA467D"/>
    <w:rsid w:val="00FA69A5"/>
    <w:rsid w:val="00FA6B84"/>
    <w:rsid w:val="00FA6B86"/>
    <w:rsid w:val="00FA759D"/>
    <w:rsid w:val="00FB2C32"/>
    <w:rsid w:val="00FB37FF"/>
    <w:rsid w:val="00FB5436"/>
    <w:rsid w:val="00FB57A6"/>
    <w:rsid w:val="00FB5905"/>
    <w:rsid w:val="00FB6899"/>
    <w:rsid w:val="00FB6C66"/>
    <w:rsid w:val="00FC0D89"/>
    <w:rsid w:val="00FC0FA3"/>
    <w:rsid w:val="00FC1E77"/>
    <w:rsid w:val="00FC3054"/>
    <w:rsid w:val="00FC41C1"/>
    <w:rsid w:val="00FC4360"/>
    <w:rsid w:val="00FC6328"/>
    <w:rsid w:val="00FC6828"/>
    <w:rsid w:val="00FC6FB3"/>
    <w:rsid w:val="00FD0006"/>
    <w:rsid w:val="00FD0766"/>
    <w:rsid w:val="00FD0B7B"/>
    <w:rsid w:val="00FD1787"/>
    <w:rsid w:val="00FD1A68"/>
    <w:rsid w:val="00FD20F9"/>
    <w:rsid w:val="00FD26C5"/>
    <w:rsid w:val="00FD2772"/>
    <w:rsid w:val="00FD31FF"/>
    <w:rsid w:val="00FD5762"/>
    <w:rsid w:val="00FD6207"/>
    <w:rsid w:val="00FD6893"/>
    <w:rsid w:val="00FE00B5"/>
    <w:rsid w:val="00FE027F"/>
    <w:rsid w:val="00FE11F8"/>
    <w:rsid w:val="00FE2568"/>
    <w:rsid w:val="00FE2EE5"/>
    <w:rsid w:val="00FE32C0"/>
    <w:rsid w:val="00FE6F63"/>
    <w:rsid w:val="00FE71B9"/>
    <w:rsid w:val="00FE76F1"/>
    <w:rsid w:val="00FF01BC"/>
    <w:rsid w:val="00FF15AD"/>
    <w:rsid w:val="00FF1BB7"/>
    <w:rsid w:val="00FF2778"/>
    <w:rsid w:val="00FF2BC5"/>
    <w:rsid w:val="00FF3188"/>
    <w:rsid w:val="00FF4AE2"/>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52FA1657-3DD9-4BA7-A1A2-FD217CC0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8948B2"/>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795447"/>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795447"/>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48B2"/>
    <w:rPr>
      <w:b/>
      <w:bCs/>
      <w:sz w:val="28"/>
      <w:szCs w:val="28"/>
    </w:rPr>
  </w:style>
  <w:style w:type="character" w:customStyle="1" w:styleId="Heading2Char">
    <w:name w:val="Heading 2 Char"/>
    <w:basedOn w:val="DefaultParagraphFont"/>
    <w:link w:val="Heading2"/>
    <w:uiPriority w:val="99"/>
    <w:locked/>
    <w:rsid w:val="00795447"/>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795447"/>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795447"/>
    <w:pPr>
      <w:tabs>
        <w:tab w:val="left" w:pos="480"/>
        <w:tab w:val="right" w:leader="dot" w:pos="9530"/>
      </w:tabs>
      <w:spacing w:before="240"/>
    </w:pPr>
    <w:rPr>
      <w:rFonts w:asciiTheme="minorHAnsi" w:hAnsiTheme="minorHAnsi" w:cstheme="minorHAnsi"/>
      <w:bCs/>
      <w:noProof/>
      <w:sz w:val="28"/>
      <w:szCs w:val="28"/>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795447"/>
    <w:rPr>
      <w:rFonts w:asciiTheme="minorHAnsi" w:hAnsiTheme="minorHAnsi" w:cstheme="minorHAnsi"/>
      <w:bCs/>
      <w:noProof/>
      <w:sz w:val="28"/>
      <w:szCs w:val="28"/>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paragraph" w:styleId="BodyText2">
    <w:name w:val="Body Text 2"/>
    <w:basedOn w:val="Normal"/>
    <w:link w:val="BodyText2Char"/>
    <w:rsid w:val="00AA21BF"/>
    <w:pPr>
      <w:widowControl/>
      <w:autoSpaceDE/>
      <w:autoSpaceDN/>
      <w:adjustRightInd/>
      <w:spacing w:after="120" w:line="480" w:lineRule="auto"/>
    </w:pPr>
    <w:rPr>
      <w:rFonts w:ascii="Times New Roman" w:hAnsi="Times New Roman"/>
    </w:rPr>
  </w:style>
  <w:style w:type="character" w:customStyle="1" w:styleId="BodyText2Char">
    <w:name w:val="Body Text 2 Char"/>
    <w:basedOn w:val="DefaultParagraphFont"/>
    <w:link w:val="BodyText2"/>
    <w:rsid w:val="00AA21BF"/>
    <w:rPr>
      <w:rFonts w:ascii="Times New Roman" w:hAnsi="Times New Roman"/>
      <w:sz w:val="24"/>
      <w:szCs w:val="24"/>
    </w:rPr>
  </w:style>
  <w:style w:type="character" w:styleId="UnresolvedMention">
    <w:name w:val="Unresolved Mention"/>
    <w:basedOn w:val="DefaultParagraphFont"/>
    <w:uiPriority w:val="99"/>
    <w:semiHidden/>
    <w:unhideWhenUsed/>
    <w:rsid w:val="001C2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www.vtlmi.info/indareanaics.cfm?areatype=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3803</Words>
  <Characters>20892</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cp:lastModifiedBy>Eccles, Tanesha - OSHA</cp:lastModifiedBy>
  <cp:revision>2</cp:revision>
  <cp:lastPrinted>2017-07-11T18:59:00Z</cp:lastPrinted>
  <dcterms:created xsi:type="dcterms:W3CDTF">2023-06-02T13:19:00Z</dcterms:created>
  <dcterms:modified xsi:type="dcterms:W3CDTF">2023-06-02T13:19:00Z</dcterms:modified>
</cp:coreProperties>
</file>