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D7AB" w14:textId="095D6F88" w:rsidR="000A134A" w:rsidRPr="001C1E47" w:rsidRDefault="002511E9" w:rsidP="009F5654">
      <w:pPr>
        <w:pStyle w:val="Heading1"/>
      </w:pPr>
      <w:bookmarkStart w:id="0" w:name="_Toc118900169"/>
      <w:bookmarkStart w:id="1" w:name="_Toc118905008"/>
      <w:r w:rsidRPr="001C1E47">
        <w:rPr>
          <w:iCs/>
        </w:rPr>
        <w:t>FY 20</w:t>
      </w:r>
      <w:r w:rsidR="00185C7D" w:rsidRPr="001C1E47">
        <w:rPr>
          <w:iCs/>
        </w:rPr>
        <w:t>22</w:t>
      </w:r>
      <w:r w:rsidR="001C1E47" w:rsidRPr="001C1E47">
        <w:rPr>
          <w:iCs/>
        </w:rPr>
        <w:t xml:space="preserve"> </w:t>
      </w:r>
      <w:r w:rsidR="000A134A" w:rsidRPr="001C1E47">
        <w:rPr>
          <w:iCs/>
        </w:rPr>
        <w:t xml:space="preserve">Follow-up </w:t>
      </w:r>
      <w:r w:rsidR="00626033" w:rsidRPr="001C1E47">
        <w:t>Federal Annual Monitoring</w:t>
      </w:r>
      <w:r w:rsidR="000A134A" w:rsidRPr="001C1E47">
        <w:t xml:space="preserve"> Evaluation (FAME) Report</w:t>
      </w:r>
      <w:bookmarkEnd w:id="0"/>
      <w:bookmarkEnd w:id="1"/>
    </w:p>
    <w:p w14:paraId="2681F091" w14:textId="5834C064" w:rsidR="000A134A" w:rsidRPr="001C1E47" w:rsidRDefault="000A134A" w:rsidP="009F5654">
      <w:pPr>
        <w:widowControl/>
        <w:autoSpaceDE/>
        <w:autoSpaceDN/>
        <w:adjustRightInd/>
        <w:rPr>
          <w:rFonts w:cs="Calibri"/>
        </w:rPr>
      </w:pPr>
    </w:p>
    <w:p w14:paraId="61F6BBD2" w14:textId="77777777" w:rsidR="000A134A" w:rsidRPr="001C1E47" w:rsidRDefault="000A134A" w:rsidP="0091160D">
      <w:pPr>
        <w:widowControl/>
        <w:autoSpaceDE/>
        <w:autoSpaceDN/>
        <w:adjustRightInd/>
        <w:jc w:val="center"/>
        <w:rPr>
          <w:rFonts w:cs="Calibri"/>
          <w:b/>
        </w:rPr>
      </w:pPr>
    </w:p>
    <w:p w14:paraId="51905CA0" w14:textId="7D4D4C82" w:rsidR="000A134A" w:rsidRPr="009F5654" w:rsidRDefault="006304A1" w:rsidP="002A6E13">
      <w:pPr>
        <w:widowControl/>
        <w:autoSpaceDE/>
        <w:autoSpaceDN/>
        <w:adjustRightInd/>
        <w:rPr>
          <w:rFonts w:cs="Calibri"/>
          <w:b/>
        </w:rPr>
      </w:pPr>
      <w:r w:rsidRPr="009F5654">
        <w:rPr>
          <w:rFonts w:cs="Calibri"/>
          <w:b/>
        </w:rPr>
        <w:t>Virginia Occupational Safety and Health (VOSH) Program</w:t>
      </w:r>
    </w:p>
    <w:p w14:paraId="2A3E5133" w14:textId="77777777" w:rsidR="000A134A" w:rsidRPr="001C1E47" w:rsidRDefault="000A134A" w:rsidP="0091160D">
      <w:pPr>
        <w:widowControl/>
        <w:autoSpaceDE/>
        <w:autoSpaceDN/>
        <w:adjustRightInd/>
        <w:jc w:val="center"/>
        <w:rPr>
          <w:rFonts w:cs="Calibri"/>
          <w:bCs/>
        </w:rPr>
      </w:pPr>
    </w:p>
    <w:p w14:paraId="33BDDAA9" w14:textId="67D6B65D" w:rsidR="000A134A" w:rsidRPr="001C1E47" w:rsidRDefault="000A134A" w:rsidP="0091160D">
      <w:pPr>
        <w:widowControl/>
        <w:autoSpaceDE/>
        <w:autoSpaceDN/>
        <w:adjustRightInd/>
        <w:jc w:val="center"/>
        <w:rPr>
          <w:rFonts w:cs="Calibri"/>
          <w:bCs/>
        </w:rPr>
      </w:pPr>
    </w:p>
    <w:p w14:paraId="157A43AA" w14:textId="500C7AA4" w:rsidR="000A134A" w:rsidRPr="00C53328" w:rsidRDefault="006304A1" w:rsidP="0091160D">
      <w:pPr>
        <w:widowControl/>
        <w:autoSpaceDE/>
        <w:autoSpaceDN/>
        <w:adjustRightInd/>
        <w:jc w:val="center"/>
        <w:rPr>
          <w:rFonts w:cs="Calibri"/>
          <w:bCs/>
          <w:color w:val="0070C0"/>
        </w:rPr>
      </w:pPr>
      <w:r>
        <w:rPr>
          <w:rFonts w:cs="Calibri"/>
          <w:bCs/>
          <w:noProof/>
          <w:color w:val="0070C0"/>
        </w:rPr>
        <w:drawing>
          <wp:inline distT="0" distB="0" distL="0" distR="0" wp14:anchorId="0738A8A4" wp14:editId="59A18E9B">
            <wp:extent cx="2804160" cy="1633855"/>
            <wp:effectExtent l="0" t="0" r="0" b="4445"/>
            <wp:docPr id="1" name="Picture 1" descr="Virginia Department of Labor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rginia Department of Labor 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4160" cy="1633855"/>
                    </a:xfrm>
                    <a:prstGeom prst="rect">
                      <a:avLst/>
                    </a:prstGeom>
                    <a:noFill/>
                  </pic:spPr>
                </pic:pic>
              </a:graphicData>
            </a:graphic>
          </wp:inline>
        </w:drawing>
      </w:r>
    </w:p>
    <w:p w14:paraId="0E828210" w14:textId="77777777" w:rsidR="000A134A" w:rsidRPr="001C1E47" w:rsidRDefault="000A134A" w:rsidP="0091160D">
      <w:pPr>
        <w:widowControl/>
        <w:autoSpaceDE/>
        <w:autoSpaceDN/>
        <w:adjustRightInd/>
        <w:jc w:val="center"/>
        <w:rPr>
          <w:rFonts w:cs="Calibri"/>
          <w:bCs/>
        </w:rPr>
      </w:pPr>
    </w:p>
    <w:p w14:paraId="3FC46738" w14:textId="77777777" w:rsidR="000A134A" w:rsidRPr="001C1E47" w:rsidRDefault="000A134A" w:rsidP="0091160D">
      <w:pPr>
        <w:widowControl/>
        <w:autoSpaceDE/>
        <w:autoSpaceDN/>
        <w:adjustRightInd/>
        <w:jc w:val="center"/>
        <w:rPr>
          <w:rFonts w:cs="Calibri"/>
          <w:b/>
        </w:rPr>
      </w:pPr>
    </w:p>
    <w:p w14:paraId="6CB8AD27" w14:textId="7356AD48" w:rsidR="000A134A" w:rsidRPr="001C1E47" w:rsidRDefault="000A134A" w:rsidP="002A6E13">
      <w:pPr>
        <w:widowControl/>
        <w:tabs>
          <w:tab w:val="left" w:pos="720"/>
          <w:tab w:val="left" w:pos="1440"/>
          <w:tab w:val="left" w:pos="2160"/>
        </w:tabs>
        <w:autoSpaceDE/>
        <w:autoSpaceDN/>
        <w:adjustRightInd/>
        <w:rPr>
          <w:rFonts w:eastAsia="Batang" w:cs="Calibri"/>
          <w:b/>
          <w:sz w:val="28"/>
          <w:szCs w:val="28"/>
        </w:rPr>
      </w:pPr>
      <w:r w:rsidRPr="001C1E47">
        <w:rPr>
          <w:rFonts w:eastAsia="Batang" w:cs="Calibri"/>
          <w:b/>
          <w:sz w:val="28"/>
          <w:szCs w:val="28"/>
        </w:rPr>
        <w:t>Ev</w:t>
      </w:r>
      <w:r w:rsidR="00882F2B" w:rsidRPr="001C1E47">
        <w:rPr>
          <w:rFonts w:eastAsia="Batang" w:cs="Calibri"/>
          <w:b/>
          <w:sz w:val="28"/>
          <w:szCs w:val="28"/>
        </w:rPr>
        <w:t>aluation Period: October 1, 20</w:t>
      </w:r>
      <w:r w:rsidR="00F54BE0" w:rsidRPr="001C1E47">
        <w:rPr>
          <w:rFonts w:eastAsia="Batang" w:cs="Calibri"/>
          <w:b/>
          <w:sz w:val="28"/>
          <w:szCs w:val="28"/>
        </w:rPr>
        <w:t>21</w:t>
      </w:r>
      <w:r w:rsidRPr="001C1E47">
        <w:rPr>
          <w:rFonts w:eastAsia="Batang" w:cs="Calibri"/>
          <w:b/>
          <w:sz w:val="28"/>
          <w:szCs w:val="28"/>
        </w:rPr>
        <w:t xml:space="preserve"> –</w:t>
      </w:r>
      <w:r w:rsidR="00882F2B" w:rsidRPr="001C1E47">
        <w:rPr>
          <w:rFonts w:eastAsia="Batang" w:cs="Calibri"/>
          <w:b/>
          <w:sz w:val="28"/>
          <w:szCs w:val="28"/>
        </w:rPr>
        <w:t xml:space="preserve"> September 30, 20</w:t>
      </w:r>
      <w:r w:rsidR="00F54BE0" w:rsidRPr="001C1E47">
        <w:rPr>
          <w:rFonts w:eastAsia="Batang" w:cs="Calibri"/>
          <w:b/>
          <w:sz w:val="28"/>
          <w:szCs w:val="28"/>
        </w:rPr>
        <w:t>22</w:t>
      </w:r>
    </w:p>
    <w:p w14:paraId="03D79AE5" w14:textId="77777777" w:rsidR="000A134A" w:rsidRPr="001C1E47" w:rsidRDefault="000A134A" w:rsidP="0091160D">
      <w:pPr>
        <w:widowControl/>
        <w:autoSpaceDE/>
        <w:autoSpaceDN/>
        <w:adjustRightInd/>
        <w:jc w:val="center"/>
        <w:rPr>
          <w:rFonts w:cs="Calibri"/>
        </w:rPr>
      </w:pPr>
    </w:p>
    <w:p w14:paraId="015E020F" w14:textId="77777777" w:rsidR="000A134A" w:rsidRPr="001C1E47" w:rsidRDefault="000A134A" w:rsidP="0091160D">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center"/>
        <w:rPr>
          <w:rFonts w:cs="Calibri"/>
        </w:rPr>
      </w:pPr>
    </w:p>
    <w:p w14:paraId="0E81BC24" w14:textId="77777777" w:rsidR="000A134A" w:rsidRPr="001C1E47" w:rsidRDefault="000A134A" w:rsidP="0091160D">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center"/>
        <w:rPr>
          <w:rFonts w:cs="Calibri"/>
        </w:rPr>
      </w:pPr>
    </w:p>
    <w:p w14:paraId="221B5785" w14:textId="77777777" w:rsidR="000A134A" w:rsidRPr="001C1E47" w:rsidRDefault="000A134A" w:rsidP="0091160D">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center"/>
        <w:rPr>
          <w:rFonts w:cs="Calibri"/>
          <w:b/>
        </w:rPr>
      </w:pPr>
    </w:p>
    <w:p w14:paraId="0DF94F44" w14:textId="261CF8AA" w:rsidR="000A134A" w:rsidRPr="001C1E47" w:rsidRDefault="000A134A" w:rsidP="002A6E13">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Initial Approval Date:  </w:t>
      </w:r>
      <w:r w:rsidR="006304A1">
        <w:rPr>
          <w:rFonts w:eastAsia="Batang" w:cs="Calibri"/>
          <w:b/>
        </w:rPr>
        <w:t>September 28, 1976</w:t>
      </w:r>
    </w:p>
    <w:p w14:paraId="3062998A" w14:textId="4F3CEACC" w:rsidR="000A134A" w:rsidRPr="001C1E47" w:rsidRDefault="000A134A" w:rsidP="002A6E13">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Program Certification Date:</w:t>
      </w:r>
      <w:r w:rsidR="006304A1">
        <w:rPr>
          <w:rFonts w:eastAsia="Batang" w:cs="Calibri"/>
          <w:b/>
        </w:rPr>
        <w:t xml:space="preserve"> August 21, 1984</w:t>
      </w:r>
    </w:p>
    <w:p w14:paraId="51A91D4F" w14:textId="1282CCBE" w:rsidR="000A134A" w:rsidRPr="001C1E47" w:rsidRDefault="000A134A" w:rsidP="002A6E13">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r w:rsidRPr="001C1E47">
        <w:rPr>
          <w:rFonts w:eastAsia="Batang" w:cs="Calibri"/>
          <w:b/>
        </w:rPr>
        <w:t>Final Approval Date:</w:t>
      </w:r>
      <w:r w:rsidR="006304A1">
        <w:rPr>
          <w:rFonts w:eastAsia="Batang" w:cs="Calibri"/>
          <w:b/>
        </w:rPr>
        <w:t xml:space="preserve"> November 30, 1988</w:t>
      </w:r>
    </w:p>
    <w:p w14:paraId="5FD63D8C" w14:textId="77777777" w:rsidR="000A134A" w:rsidRPr="001C1E47" w:rsidRDefault="000A134A" w:rsidP="0091160D">
      <w:pPr>
        <w:widowControl/>
        <w:autoSpaceDE/>
        <w:autoSpaceDN/>
        <w:adjustRightInd/>
        <w:jc w:val="center"/>
        <w:rPr>
          <w:rFonts w:cs="Calibri"/>
          <w:b/>
          <w:bCs/>
        </w:rPr>
      </w:pPr>
    </w:p>
    <w:p w14:paraId="3903FDED" w14:textId="77777777" w:rsidR="000A134A" w:rsidRPr="001C1E47" w:rsidRDefault="000A134A" w:rsidP="0091160D">
      <w:pPr>
        <w:widowControl/>
        <w:autoSpaceDE/>
        <w:autoSpaceDN/>
        <w:adjustRightInd/>
        <w:jc w:val="center"/>
        <w:rPr>
          <w:rFonts w:cs="Calibri"/>
          <w:b/>
        </w:rPr>
      </w:pPr>
    </w:p>
    <w:p w14:paraId="1EA42317" w14:textId="77777777" w:rsidR="000A134A" w:rsidRPr="001C1E47" w:rsidRDefault="000A134A" w:rsidP="0091160D">
      <w:pPr>
        <w:widowControl/>
        <w:tabs>
          <w:tab w:val="right" w:pos="9720"/>
        </w:tabs>
        <w:autoSpaceDE/>
        <w:autoSpaceDN/>
        <w:adjustRightInd/>
        <w:jc w:val="center"/>
        <w:rPr>
          <w:rFonts w:cs="Calibri"/>
          <w:b/>
          <w:bCs/>
        </w:rPr>
      </w:pPr>
    </w:p>
    <w:p w14:paraId="19E2F8B5" w14:textId="77777777" w:rsidR="000A134A" w:rsidRPr="0061177B" w:rsidRDefault="000A134A" w:rsidP="002A6E13">
      <w:pPr>
        <w:widowControl/>
        <w:autoSpaceDE/>
        <w:autoSpaceDN/>
        <w:adjustRightInd/>
        <w:rPr>
          <w:rFonts w:cs="Calibri"/>
          <w:bCs/>
          <w:iCs/>
        </w:rPr>
      </w:pPr>
    </w:p>
    <w:p w14:paraId="336BF8F1" w14:textId="77777777" w:rsidR="000A134A" w:rsidRPr="001C1E47" w:rsidRDefault="000A134A" w:rsidP="002A6E13">
      <w:pPr>
        <w:widowControl/>
        <w:autoSpaceDE/>
        <w:autoSpaceDN/>
        <w:adjustRightInd/>
        <w:rPr>
          <w:rFonts w:cs="Calibri"/>
          <w:b/>
        </w:rPr>
      </w:pPr>
      <w:r w:rsidRPr="001C1E47">
        <w:rPr>
          <w:rFonts w:cs="Calibri"/>
          <w:b/>
        </w:rPr>
        <w:t>Prepared by:</w:t>
      </w:r>
    </w:p>
    <w:p w14:paraId="503A1070" w14:textId="7AC59424" w:rsidR="000A134A" w:rsidRPr="001C1E47" w:rsidRDefault="000A134A" w:rsidP="002A6E13">
      <w:pPr>
        <w:widowControl/>
        <w:autoSpaceDE/>
        <w:autoSpaceDN/>
        <w:adjustRightInd/>
        <w:rPr>
          <w:rFonts w:cs="Calibri"/>
          <w:b/>
        </w:rPr>
      </w:pPr>
      <w:r w:rsidRPr="001C1E47">
        <w:rPr>
          <w:rFonts w:cs="Calibri"/>
          <w:b/>
        </w:rPr>
        <w:t>U. S. Department of Labor</w:t>
      </w:r>
    </w:p>
    <w:p w14:paraId="5E957F30" w14:textId="77777777" w:rsidR="000A134A" w:rsidRPr="001C1E47" w:rsidRDefault="000A134A" w:rsidP="002A6E13">
      <w:pPr>
        <w:widowControl/>
        <w:autoSpaceDE/>
        <w:autoSpaceDN/>
        <w:adjustRightInd/>
        <w:rPr>
          <w:rFonts w:cs="Calibri"/>
          <w:b/>
        </w:rPr>
      </w:pPr>
      <w:r w:rsidRPr="001C1E47">
        <w:rPr>
          <w:rFonts w:cs="Calibri"/>
          <w:b/>
        </w:rPr>
        <w:t>Occupational Safety and Health Administration</w:t>
      </w:r>
    </w:p>
    <w:p w14:paraId="50EE0B64" w14:textId="0A2D3665" w:rsidR="000A134A" w:rsidRDefault="000A134A" w:rsidP="002A6E13">
      <w:pPr>
        <w:widowControl/>
        <w:autoSpaceDE/>
        <w:autoSpaceDN/>
        <w:adjustRightInd/>
        <w:rPr>
          <w:rFonts w:cs="Calibri"/>
          <w:b/>
        </w:rPr>
      </w:pPr>
      <w:r w:rsidRPr="001C1E47">
        <w:rPr>
          <w:rFonts w:cs="Calibri"/>
          <w:b/>
        </w:rPr>
        <w:t>Region</w:t>
      </w:r>
      <w:r w:rsidR="006304A1">
        <w:rPr>
          <w:rFonts w:cs="Calibri"/>
          <w:b/>
        </w:rPr>
        <w:t xml:space="preserve"> III</w:t>
      </w:r>
    </w:p>
    <w:p w14:paraId="038C6F9A" w14:textId="15938A7E" w:rsidR="006304A1" w:rsidRPr="006304A1" w:rsidRDefault="006304A1" w:rsidP="002A6E13">
      <w:pPr>
        <w:widowControl/>
        <w:autoSpaceDE/>
        <w:autoSpaceDN/>
        <w:adjustRightInd/>
        <w:rPr>
          <w:rFonts w:cs="Calibri"/>
          <w:b/>
        </w:rPr>
      </w:pPr>
      <w:r>
        <w:rPr>
          <w:rFonts w:cs="Calibri"/>
          <w:b/>
        </w:rPr>
        <w:t>Philadelphia, Pennsylvania</w:t>
      </w:r>
    </w:p>
    <w:p w14:paraId="5737E281" w14:textId="77777777" w:rsidR="000A134A" w:rsidRPr="001C1E47" w:rsidRDefault="000A134A" w:rsidP="007A71AC">
      <w:pPr>
        <w:widowControl/>
        <w:autoSpaceDE/>
        <w:autoSpaceDN/>
        <w:adjustRightInd/>
        <w:jc w:val="center"/>
        <w:rPr>
          <w:rFonts w:cs="Calibri"/>
          <w:b/>
        </w:rPr>
      </w:pPr>
    </w:p>
    <w:p w14:paraId="2A63637C" w14:textId="77777777" w:rsidR="000A134A" w:rsidRPr="001C1E47" w:rsidRDefault="000A134A" w:rsidP="006304A1">
      <w:pPr>
        <w:widowControl/>
        <w:autoSpaceDE/>
        <w:autoSpaceDN/>
        <w:adjustRightInd/>
        <w:rPr>
          <w:rFonts w:cs="Calibri"/>
          <w:b/>
        </w:rPr>
      </w:pPr>
    </w:p>
    <w:p w14:paraId="41EC6729" w14:textId="77777777" w:rsidR="000A134A" w:rsidRPr="001C1E47" w:rsidRDefault="000A134A" w:rsidP="007A71AC">
      <w:pPr>
        <w:widowControl/>
        <w:autoSpaceDE/>
        <w:autoSpaceDN/>
        <w:adjustRightInd/>
        <w:jc w:val="center"/>
        <w:rPr>
          <w:rFonts w:cs="Calibri"/>
          <w:b/>
          <w:sz w:val="40"/>
          <w:szCs w:val="40"/>
        </w:rPr>
      </w:pPr>
      <w:r w:rsidRPr="001C1E47">
        <w:rPr>
          <w:rFonts w:cs="Calibri"/>
          <w:noProof/>
        </w:rPr>
        <w:drawing>
          <wp:inline distT="0" distB="0" distL="0" distR="0" wp14:anchorId="1D849888" wp14:editId="02DC62B1">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26D1C94C" w14:textId="08D124CA" w:rsidR="00F43B23" w:rsidRDefault="00F43B23">
      <w:pPr>
        <w:widowControl/>
        <w:autoSpaceDE/>
        <w:autoSpaceDN/>
        <w:adjustRightInd/>
        <w:rPr>
          <w:rFonts w:cs="Calibri"/>
          <w:b/>
          <w:sz w:val="40"/>
          <w:szCs w:val="40"/>
        </w:rPr>
      </w:pPr>
    </w:p>
    <w:p w14:paraId="253E64F1" w14:textId="5E4BFF9B" w:rsidR="002A6CAA" w:rsidRPr="00F43B23" w:rsidRDefault="00F43B23" w:rsidP="00C37A75">
      <w:pPr>
        <w:widowControl/>
        <w:tabs>
          <w:tab w:val="left" w:pos="8280"/>
        </w:tabs>
        <w:autoSpaceDE/>
        <w:autoSpaceDN/>
        <w:adjustRightInd/>
        <w:rPr>
          <w:rFonts w:cs="Calibri"/>
          <w:b/>
          <w:sz w:val="28"/>
          <w:szCs w:val="28"/>
        </w:rPr>
      </w:pPr>
      <w:r w:rsidRPr="00F43B23">
        <w:rPr>
          <w:rFonts w:cs="Calibri"/>
          <w:b/>
          <w:sz w:val="28"/>
          <w:szCs w:val="28"/>
        </w:rPr>
        <w:t>Table of Contents</w:t>
      </w:r>
      <w:r w:rsidR="00C37A75">
        <w:rPr>
          <w:rFonts w:cs="Calibri"/>
          <w:b/>
          <w:sz w:val="28"/>
          <w:szCs w:val="28"/>
        </w:rPr>
        <w:tab/>
      </w:r>
    </w:p>
    <w:p w14:paraId="161B9969" w14:textId="0E42BE26" w:rsidR="000F63C1" w:rsidRDefault="000F63C1">
      <w:pPr>
        <w:pStyle w:val="TOC2"/>
        <w:tabs>
          <w:tab w:val="left" w:pos="480"/>
          <w:tab w:val="right" w:leader="dot" w:pos="9530"/>
        </w:tabs>
        <w:rPr>
          <w:rFonts w:eastAsiaTheme="minorEastAsia" w:cstheme="minorBidi"/>
          <w:b/>
          <w:bCs w:val="0"/>
          <w:noProof/>
          <w:sz w:val="22"/>
          <w:szCs w:val="22"/>
        </w:rPr>
      </w:pPr>
      <w:r>
        <w:fldChar w:fldCharType="begin"/>
      </w:r>
      <w:r>
        <w:instrText xml:space="preserve"> TOC \o "2-3" \h \z \u \t "Level 1,1" </w:instrText>
      </w:r>
      <w:r>
        <w:fldChar w:fldCharType="separate"/>
      </w:r>
      <w:hyperlink w:anchor="_Toc119418663" w:history="1">
        <w:r w:rsidRPr="00B5463F">
          <w:rPr>
            <w:rStyle w:val="Hyperlink"/>
            <w:noProof/>
          </w:rPr>
          <w:t>I.</w:t>
        </w:r>
        <w:r>
          <w:rPr>
            <w:rFonts w:eastAsiaTheme="minorEastAsia" w:cstheme="minorBidi"/>
            <w:b/>
            <w:bCs w:val="0"/>
            <w:noProof/>
            <w:sz w:val="22"/>
            <w:szCs w:val="22"/>
          </w:rPr>
          <w:tab/>
        </w:r>
        <w:r w:rsidRPr="00B5463F">
          <w:rPr>
            <w:rStyle w:val="Hyperlink"/>
            <w:noProof/>
          </w:rPr>
          <w:t>Executive Summary</w:t>
        </w:r>
        <w:r>
          <w:rPr>
            <w:noProof/>
            <w:webHidden/>
          </w:rPr>
          <w:tab/>
        </w:r>
        <w:r>
          <w:rPr>
            <w:noProof/>
            <w:webHidden/>
          </w:rPr>
          <w:fldChar w:fldCharType="begin"/>
        </w:r>
        <w:r>
          <w:rPr>
            <w:noProof/>
            <w:webHidden/>
          </w:rPr>
          <w:instrText xml:space="preserve"> PAGEREF _Toc119418663 \h </w:instrText>
        </w:r>
        <w:r>
          <w:rPr>
            <w:noProof/>
            <w:webHidden/>
          </w:rPr>
        </w:r>
        <w:r>
          <w:rPr>
            <w:noProof/>
            <w:webHidden/>
          </w:rPr>
          <w:fldChar w:fldCharType="separate"/>
        </w:r>
        <w:r w:rsidR="00E666AC">
          <w:rPr>
            <w:noProof/>
            <w:webHidden/>
          </w:rPr>
          <w:t>3</w:t>
        </w:r>
        <w:r>
          <w:rPr>
            <w:noProof/>
            <w:webHidden/>
          </w:rPr>
          <w:fldChar w:fldCharType="end"/>
        </w:r>
      </w:hyperlink>
    </w:p>
    <w:p w14:paraId="3BD91ACD" w14:textId="665A7BDC" w:rsidR="000F63C1" w:rsidRDefault="00E666AC">
      <w:pPr>
        <w:pStyle w:val="TOC2"/>
        <w:tabs>
          <w:tab w:val="left" w:pos="480"/>
          <w:tab w:val="right" w:leader="dot" w:pos="9530"/>
        </w:tabs>
        <w:rPr>
          <w:rFonts w:eastAsiaTheme="minorEastAsia" w:cstheme="minorBidi"/>
          <w:b/>
          <w:bCs w:val="0"/>
          <w:noProof/>
          <w:sz w:val="22"/>
          <w:szCs w:val="22"/>
        </w:rPr>
      </w:pPr>
      <w:hyperlink w:anchor="_Toc119418664" w:history="1">
        <w:r w:rsidR="000F63C1" w:rsidRPr="00B5463F">
          <w:rPr>
            <w:rStyle w:val="Hyperlink"/>
            <w:noProof/>
          </w:rPr>
          <w:t>II.</w:t>
        </w:r>
        <w:r w:rsidR="000F63C1">
          <w:rPr>
            <w:rFonts w:eastAsiaTheme="minorEastAsia" w:cstheme="minorBidi"/>
            <w:b/>
            <w:bCs w:val="0"/>
            <w:noProof/>
            <w:sz w:val="22"/>
            <w:szCs w:val="22"/>
          </w:rPr>
          <w:tab/>
        </w:r>
        <w:r w:rsidR="000F63C1" w:rsidRPr="00B5463F">
          <w:rPr>
            <w:rStyle w:val="Hyperlink"/>
            <w:noProof/>
          </w:rPr>
          <w:t>State Plan Background</w:t>
        </w:r>
        <w:r w:rsidR="000F63C1">
          <w:rPr>
            <w:noProof/>
            <w:webHidden/>
          </w:rPr>
          <w:tab/>
        </w:r>
        <w:r w:rsidR="000F63C1">
          <w:rPr>
            <w:noProof/>
            <w:webHidden/>
          </w:rPr>
          <w:fldChar w:fldCharType="begin"/>
        </w:r>
        <w:r w:rsidR="000F63C1">
          <w:rPr>
            <w:noProof/>
            <w:webHidden/>
          </w:rPr>
          <w:instrText xml:space="preserve"> PAGEREF _Toc119418664 \h </w:instrText>
        </w:r>
        <w:r w:rsidR="000F63C1">
          <w:rPr>
            <w:noProof/>
            <w:webHidden/>
          </w:rPr>
        </w:r>
        <w:r w:rsidR="000F63C1">
          <w:rPr>
            <w:noProof/>
            <w:webHidden/>
          </w:rPr>
          <w:fldChar w:fldCharType="separate"/>
        </w:r>
        <w:r>
          <w:rPr>
            <w:noProof/>
            <w:webHidden/>
          </w:rPr>
          <w:t>4</w:t>
        </w:r>
        <w:r w:rsidR="000F63C1">
          <w:rPr>
            <w:noProof/>
            <w:webHidden/>
          </w:rPr>
          <w:fldChar w:fldCharType="end"/>
        </w:r>
      </w:hyperlink>
    </w:p>
    <w:p w14:paraId="12E60A29" w14:textId="6880D096" w:rsidR="000F63C1" w:rsidRDefault="00E666AC">
      <w:pPr>
        <w:pStyle w:val="TOC2"/>
        <w:tabs>
          <w:tab w:val="left" w:pos="480"/>
          <w:tab w:val="right" w:leader="dot" w:pos="9530"/>
        </w:tabs>
        <w:rPr>
          <w:rFonts w:eastAsiaTheme="minorEastAsia" w:cstheme="minorBidi"/>
          <w:b/>
          <w:bCs w:val="0"/>
          <w:noProof/>
          <w:sz w:val="22"/>
          <w:szCs w:val="22"/>
        </w:rPr>
      </w:pPr>
      <w:hyperlink w:anchor="_Toc119418665" w:history="1">
        <w:r w:rsidR="000F63C1" w:rsidRPr="00B5463F">
          <w:rPr>
            <w:rStyle w:val="Hyperlink"/>
            <w:noProof/>
          </w:rPr>
          <w:t>III.</w:t>
        </w:r>
        <w:r w:rsidR="000F63C1">
          <w:rPr>
            <w:rFonts w:eastAsiaTheme="minorEastAsia" w:cstheme="minorBidi"/>
            <w:b/>
            <w:bCs w:val="0"/>
            <w:noProof/>
            <w:sz w:val="22"/>
            <w:szCs w:val="22"/>
          </w:rPr>
          <w:tab/>
        </w:r>
        <w:r w:rsidR="000F63C1" w:rsidRPr="00B5463F">
          <w:rPr>
            <w:rStyle w:val="Hyperlink"/>
            <w:noProof/>
          </w:rPr>
          <w:t>Assessment of State Plan Progress and Performance</w:t>
        </w:r>
        <w:r w:rsidR="000F63C1">
          <w:rPr>
            <w:noProof/>
            <w:webHidden/>
          </w:rPr>
          <w:tab/>
        </w:r>
        <w:r w:rsidR="005C1B8F">
          <w:rPr>
            <w:noProof/>
            <w:webHidden/>
          </w:rPr>
          <w:t>6</w:t>
        </w:r>
      </w:hyperlink>
    </w:p>
    <w:p w14:paraId="1E2078A6" w14:textId="114786EF" w:rsidR="000F63C1" w:rsidRDefault="00E666AC" w:rsidP="00CA6E73">
      <w:pPr>
        <w:pStyle w:val="TOC3"/>
        <w:rPr>
          <w:rFonts w:eastAsiaTheme="minorEastAsia" w:cstheme="minorBidi"/>
          <w:noProof/>
          <w:sz w:val="22"/>
          <w:szCs w:val="22"/>
        </w:rPr>
      </w:pPr>
      <w:hyperlink w:anchor="_Toc119418666" w:history="1">
        <w:r w:rsidR="000F63C1" w:rsidRPr="00B5463F">
          <w:rPr>
            <w:rStyle w:val="Hyperlink"/>
            <w:rFonts w:ascii="Calibri" w:hAnsi="Calibri"/>
            <w:noProof/>
          </w:rPr>
          <w:t>A.</w:t>
        </w:r>
        <w:r w:rsidR="000F63C1">
          <w:rPr>
            <w:rFonts w:eastAsiaTheme="minorEastAsia" w:cstheme="minorBidi"/>
            <w:noProof/>
            <w:sz w:val="22"/>
            <w:szCs w:val="22"/>
          </w:rPr>
          <w:tab/>
        </w:r>
        <w:r w:rsidR="000F63C1" w:rsidRPr="00B5463F">
          <w:rPr>
            <w:rStyle w:val="Hyperlink"/>
            <w:noProof/>
          </w:rPr>
          <w:t>Data and Methodology</w:t>
        </w:r>
        <w:r w:rsidR="000F63C1">
          <w:rPr>
            <w:noProof/>
            <w:webHidden/>
          </w:rPr>
          <w:tab/>
        </w:r>
        <w:r w:rsidR="00C37A75">
          <w:rPr>
            <w:noProof/>
            <w:webHidden/>
          </w:rPr>
          <w:t>6</w:t>
        </w:r>
      </w:hyperlink>
    </w:p>
    <w:p w14:paraId="5EC14328" w14:textId="0B1586BD" w:rsidR="000F63C1" w:rsidRDefault="00E666AC" w:rsidP="00CA6E73">
      <w:pPr>
        <w:pStyle w:val="TOC3"/>
        <w:rPr>
          <w:rFonts w:eastAsiaTheme="minorEastAsia" w:cstheme="minorBidi"/>
          <w:noProof/>
          <w:sz w:val="22"/>
          <w:szCs w:val="22"/>
        </w:rPr>
      </w:pPr>
      <w:hyperlink w:anchor="_Toc119418667" w:history="1">
        <w:r w:rsidR="000F63C1" w:rsidRPr="00B5463F">
          <w:rPr>
            <w:rStyle w:val="Hyperlink"/>
            <w:rFonts w:ascii="Calibri" w:hAnsi="Calibri"/>
            <w:noProof/>
          </w:rPr>
          <w:t>B.</w:t>
        </w:r>
        <w:r w:rsidR="000F63C1">
          <w:rPr>
            <w:rFonts w:eastAsiaTheme="minorEastAsia" w:cstheme="minorBidi"/>
            <w:noProof/>
            <w:sz w:val="22"/>
            <w:szCs w:val="22"/>
          </w:rPr>
          <w:tab/>
        </w:r>
        <w:r w:rsidR="000F63C1" w:rsidRPr="00B5463F">
          <w:rPr>
            <w:rStyle w:val="Hyperlink"/>
            <w:noProof/>
          </w:rPr>
          <w:t>Findings and Observations</w:t>
        </w:r>
        <w:r w:rsidR="000F63C1">
          <w:rPr>
            <w:noProof/>
            <w:webHidden/>
          </w:rPr>
          <w:tab/>
        </w:r>
        <w:r w:rsidR="00CA6E73">
          <w:rPr>
            <w:noProof/>
            <w:webHidden/>
          </w:rPr>
          <w:t>6</w:t>
        </w:r>
      </w:hyperlink>
    </w:p>
    <w:p w14:paraId="373A40FB" w14:textId="23804D39" w:rsidR="000F63C1" w:rsidRDefault="00E666AC" w:rsidP="00CA6E73">
      <w:pPr>
        <w:pStyle w:val="TOC3"/>
        <w:rPr>
          <w:rFonts w:eastAsiaTheme="minorEastAsia" w:cstheme="minorBidi"/>
          <w:noProof/>
          <w:sz w:val="22"/>
          <w:szCs w:val="22"/>
        </w:rPr>
      </w:pPr>
      <w:hyperlink w:anchor="_Toc119418668" w:history="1">
        <w:r w:rsidR="000F63C1" w:rsidRPr="00B5463F">
          <w:rPr>
            <w:rStyle w:val="Hyperlink"/>
            <w:rFonts w:ascii="Calibri" w:hAnsi="Calibri"/>
            <w:noProof/>
          </w:rPr>
          <w:t>C.</w:t>
        </w:r>
        <w:r w:rsidR="000F63C1">
          <w:rPr>
            <w:rFonts w:eastAsiaTheme="minorEastAsia" w:cstheme="minorBidi"/>
            <w:noProof/>
            <w:sz w:val="22"/>
            <w:szCs w:val="22"/>
          </w:rPr>
          <w:tab/>
        </w:r>
        <w:r w:rsidR="000F63C1" w:rsidRPr="00B5463F">
          <w:rPr>
            <w:rStyle w:val="Hyperlink"/>
            <w:noProof/>
          </w:rPr>
          <w:t>State Activity Mandated Measures (SAMM) Highlights</w:t>
        </w:r>
        <w:r w:rsidR="000F63C1">
          <w:rPr>
            <w:noProof/>
            <w:webHidden/>
          </w:rPr>
          <w:tab/>
        </w:r>
        <w:r w:rsidR="00C37A75">
          <w:rPr>
            <w:noProof/>
            <w:webHidden/>
          </w:rPr>
          <w:t>8</w:t>
        </w:r>
      </w:hyperlink>
    </w:p>
    <w:p w14:paraId="50DBA2CB" w14:textId="3B8E1263" w:rsidR="000F63C1" w:rsidRDefault="00E666AC" w:rsidP="00CA6E73">
      <w:pPr>
        <w:pStyle w:val="TOC3"/>
        <w:rPr>
          <w:rFonts w:eastAsiaTheme="minorEastAsia" w:cstheme="minorBidi"/>
          <w:noProof/>
          <w:sz w:val="22"/>
          <w:szCs w:val="22"/>
        </w:rPr>
      </w:pPr>
      <w:hyperlink w:anchor="_Toc119418669" w:history="1">
        <w:r w:rsidR="000F63C1" w:rsidRPr="00B5463F">
          <w:rPr>
            <w:rStyle w:val="Hyperlink"/>
            <w:noProof/>
          </w:rPr>
          <w:t>Appendix A – New and Continued Findings and Recommendations</w:t>
        </w:r>
        <w:r w:rsidR="000F63C1">
          <w:rPr>
            <w:noProof/>
            <w:webHidden/>
          </w:rPr>
          <w:tab/>
        </w:r>
        <w:r w:rsidR="000F63C1">
          <w:rPr>
            <w:noProof/>
            <w:webHidden/>
          </w:rPr>
          <w:fldChar w:fldCharType="begin"/>
        </w:r>
        <w:r w:rsidR="000F63C1">
          <w:rPr>
            <w:noProof/>
            <w:webHidden/>
          </w:rPr>
          <w:instrText xml:space="preserve"> PAGEREF _Toc119418669 \h </w:instrText>
        </w:r>
        <w:r w:rsidR="000F63C1">
          <w:rPr>
            <w:noProof/>
            <w:webHidden/>
          </w:rPr>
        </w:r>
        <w:r w:rsidR="000F63C1">
          <w:rPr>
            <w:noProof/>
            <w:webHidden/>
          </w:rPr>
          <w:fldChar w:fldCharType="separate"/>
        </w:r>
        <w:r>
          <w:rPr>
            <w:noProof/>
            <w:webHidden/>
          </w:rPr>
          <w:t>12</w:t>
        </w:r>
        <w:r w:rsidR="000F63C1">
          <w:rPr>
            <w:noProof/>
            <w:webHidden/>
          </w:rPr>
          <w:fldChar w:fldCharType="end"/>
        </w:r>
      </w:hyperlink>
    </w:p>
    <w:p w14:paraId="150115C6" w14:textId="20670F69" w:rsidR="000F63C1" w:rsidRDefault="00E666AC" w:rsidP="00CA6E73">
      <w:pPr>
        <w:pStyle w:val="TOC3"/>
        <w:rPr>
          <w:rFonts w:eastAsiaTheme="minorEastAsia" w:cstheme="minorBidi"/>
          <w:noProof/>
          <w:sz w:val="22"/>
          <w:szCs w:val="22"/>
        </w:rPr>
      </w:pPr>
      <w:hyperlink w:anchor="_Toc119418670" w:history="1">
        <w:r w:rsidR="000F63C1" w:rsidRPr="00B5463F">
          <w:rPr>
            <w:rStyle w:val="Hyperlink"/>
            <w:noProof/>
          </w:rPr>
          <w:t>Appendix B – Observations Subject to Continued Monitoring</w:t>
        </w:r>
        <w:r w:rsidR="000F63C1">
          <w:rPr>
            <w:noProof/>
            <w:webHidden/>
          </w:rPr>
          <w:tab/>
        </w:r>
        <w:r w:rsidR="000F63C1">
          <w:rPr>
            <w:noProof/>
            <w:webHidden/>
          </w:rPr>
          <w:fldChar w:fldCharType="begin"/>
        </w:r>
        <w:r w:rsidR="000F63C1">
          <w:rPr>
            <w:noProof/>
            <w:webHidden/>
          </w:rPr>
          <w:instrText xml:space="preserve"> PAGEREF _Toc119418670 \h </w:instrText>
        </w:r>
        <w:r w:rsidR="000F63C1">
          <w:rPr>
            <w:noProof/>
            <w:webHidden/>
          </w:rPr>
        </w:r>
        <w:r w:rsidR="000F63C1">
          <w:rPr>
            <w:noProof/>
            <w:webHidden/>
          </w:rPr>
          <w:fldChar w:fldCharType="separate"/>
        </w:r>
        <w:r>
          <w:rPr>
            <w:noProof/>
            <w:webHidden/>
          </w:rPr>
          <w:t>13</w:t>
        </w:r>
        <w:r w:rsidR="000F63C1">
          <w:rPr>
            <w:noProof/>
            <w:webHidden/>
          </w:rPr>
          <w:fldChar w:fldCharType="end"/>
        </w:r>
      </w:hyperlink>
    </w:p>
    <w:p w14:paraId="65AD001B" w14:textId="697FCAED" w:rsidR="000F63C1" w:rsidRDefault="00E666AC" w:rsidP="00CA6E73">
      <w:pPr>
        <w:pStyle w:val="TOC3"/>
        <w:rPr>
          <w:rFonts w:eastAsiaTheme="minorEastAsia" w:cstheme="minorBidi"/>
          <w:noProof/>
          <w:sz w:val="22"/>
          <w:szCs w:val="22"/>
        </w:rPr>
      </w:pPr>
      <w:hyperlink w:anchor="_Toc119418671" w:history="1">
        <w:r w:rsidR="000F63C1" w:rsidRPr="00B5463F">
          <w:rPr>
            <w:rStyle w:val="Hyperlink"/>
            <w:noProof/>
          </w:rPr>
          <w:t>Appendix C - Status of FY 20</w:t>
        </w:r>
        <w:r w:rsidR="0091160D">
          <w:rPr>
            <w:rStyle w:val="Hyperlink"/>
            <w:noProof/>
          </w:rPr>
          <w:t>21</w:t>
        </w:r>
        <w:r w:rsidR="000F63C1" w:rsidRPr="00B5463F">
          <w:rPr>
            <w:rStyle w:val="Hyperlink"/>
            <w:noProof/>
          </w:rPr>
          <w:t xml:space="preserve"> Findings and Recommendations</w:t>
        </w:r>
        <w:r w:rsidR="000F63C1">
          <w:rPr>
            <w:noProof/>
            <w:webHidden/>
          </w:rPr>
          <w:tab/>
        </w:r>
        <w:r w:rsidR="000F63C1">
          <w:rPr>
            <w:noProof/>
            <w:webHidden/>
          </w:rPr>
          <w:fldChar w:fldCharType="begin"/>
        </w:r>
        <w:r w:rsidR="000F63C1">
          <w:rPr>
            <w:noProof/>
            <w:webHidden/>
          </w:rPr>
          <w:instrText xml:space="preserve"> PAGEREF _Toc119418671 \h </w:instrText>
        </w:r>
        <w:r w:rsidR="000F63C1">
          <w:rPr>
            <w:noProof/>
            <w:webHidden/>
          </w:rPr>
        </w:r>
        <w:r w:rsidR="000F63C1">
          <w:rPr>
            <w:noProof/>
            <w:webHidden/>
          </w:rPr>
          <w:fldChar w:fldCharType="separate"/>
        </w:r>
        <w:r>
          <w:rPr>
            <w:noProof/>
            <w:webHidden/>
          </w:rPr>
          <w:t>14</w:t>
        </w:r>
        <w:r w:rsidR="000F63C1">
          <w:rPr>
            <w:noProof/>
            <w:webHidden/>
          </w:rPr>
          <w:fldChar w:fldCharType="end"/>
        </w:r>
      </w:hyperlink>
    </w:p>
    <w:p w14:paraId="38E9E7F9" w14:textId="0F301308" w:rsidR="000F63C1" w:rsidRDefault="00E666AC" w:rsidP="00CA6E73">
      <w:pPr>
        <w:pStyle w:val="TOC3"/>
        <w:rPr>
          <w:rFonts w:eastAsiaTheme="minorEastAsia" w:cstheme="minorBidi"/>
          <w:noProof/>
          <w:sz w:val="22"/>
          <w:szCs w:val="22"/>
        </w:rPr>
      </w:pPr>
      <w:hyperlink w:anchor="_Toc119418672" w:history="1">
        <w:r w:rsidR="000F63C1" w:rsidRPr="00B5463F">
          <w:rPr>
            <w:rStyle w:val="Hyperlink"/>
            <w:noProof/>
          </w:rPr>
          <w:t>Appendix D – FY 2022 State Activity Mandated Measures (SAMM) Report</w:t>
        </w:r>
        <w:r w:rsidR="000F63C1">
          <w:rPr>
            <w:noProof/>
            <w:webHidden/>
          </w:rPr>
          <w:tab/>
        </w:r>
        <w:r w:rsidR="000F63C1">
          <w:rPr>
            <w:noProof/>
            <w:webHidden/>
          </w:rPr>
          <w:fldChar w:fldCharType="begin"/>
        </w:r>
        <w:r w:rsidR="000F63C1">
          <w:rPr>
            <w:noProof/>
            <w:webHidden/>
          </w:rPr>
          <w:instrText xml:space="preserve"> PAGEREF _Toc119418672 \h </w:instrText>
        </w:r>
        <w:r w:rsidR="000F63C1">
          <w:rPr>
            <w:noProof/>
            <w:webHidden/>
          </w:rPr>
        </w:r>
        <w:r w:rsidR="000F63C1">
          <w:rPr>
            <w:noProof/>
            <w:webHidden/>
          </w:rPr>
          <w:fldChar w:fldCharType="separate"/>
        </w:r>
        <w:r>
          <w:rPr>
            <w:noProof/>
            <w:webHidden/>
          </w:rPr>
          <w:t>15</w:t>
        </w:r>
        <w:r w:rsidR="000F63C1">
          <w:rPr>
            <w:noProof/>
            <w:webHidden/>
          </w:rPr>
          <w:fldChar w:fldCharType="end"/>
        </w:r>
      </w:hyperlink>
    </w:p>
    <w:p w14:paraId="5025DE29" w14:textId="06636259" w:rsidR="000A134A" w:rsidRPr="006304A1" w:rsidRDefault="000F63C1" w:rsidP="006304A1">
      <w:r>
        <w:fldChar w:fldCharType="end"/>
      </w:r>
      <w:r w:rsidR="00B823A3">
        <w:br w:type="page"/>
      </w:r>
    </w:p>
    <w:p w14:paraId="57C8B837" w14:textId="77777777" w:rsidR="000A134A" w:rsidRPr="001C1E47" w:rsidRDefault="000A134A" w:rsidP="00476C08">
      <w:pPr>
        <w:pStyle w:val="Heading2"/>
      </w:pPr>
      <w:bookmarkStart w:id="2" w:name="_Toc338764303"/>
      <w:bookmarkStart w:id="3" w:name="_Toc118900170"/>
      <w:bookmarkStart w:id="4" w:name="_Toc118905009"/>
      <w:bookmarkStart w:id="5" w:name="_Toc119418663"/>
      <w:r w:rsidRPr="001C1E47">
        <w:lastRenderedPageBreak/>
        <w:t>Executive Summary</w:t>
      </w:r>
      <w:bookmarkEnd w:id="2"/>
      <w:bookmarkEnd w:id="3"/>
      <w:bookmarkEnd w:id="4"/>
      <w:bookmarkEnd w:id="5"/>
    </w:p>
    <w:p w14:paraId="4A4FF058" w14:textId="77777777" w:rsidR="000A134A" w:rsidRPr="001C1E47" w:rsidRDefault="000A134A" w:rsidP="00783189">
      <w:pPr>
        <w:widowControl/>
        <w:autoSpaceDE/>
        <w:autoSpaceDN/>
        <w:adjustRightInd/>
        <w:rPr>
          <w:rFonts w:cs="Calibri"/>
          <w:b/>
        </w:rPr>
      </w:pPr>
    </w:p>
    <w:p w14:paraId="4A6EBB71" w14:textId="31102602" w:rsidR="00605B93" w:rsidRPr="00FE41EC" w:rsidRDefault="00605B93" w:rsidP="00783189">
      <w:pPr>
        <w:widowControl/>
        <w:autoSpaceDE/>
        <w:autoSpaceDN/>
        <w:adjustRightInd/>
        <w:rPr>
          <w:rFonts w:cs="Calibri"/>
          <w:iCs/>
        </w:rPr>
      </w:pPr>
      <w:r w:rsidRPr="00FE41EC">
        <w:rPr>
          <w:rFonts w:cs="Calibri"/>
          <w:iCs/>
        </w:rPr>
        <w:t>The purpose of th</w:t>
      </w:r>
      <w:r w:rsidR="005F2246">
        <w:rPr>
          <w:rFonts w:cs="Calibri"/>
          <w:iCs/>
        </w:rPr>
        <w:t>e</w:t>
      </w:r>
      <w:r w:rsidRPr="00FE41EC">
        <w:rPr>
          <w:rFonts w:cs="Calibri"/>
          <w:iCs/>
        </w:rPr>
        <w:t xml:space="preserve"> </w:t>
      </w:r>
      <w:r w:rsidR="002A6E13">
        <w:rPr>
          <w:rFonts w:cs="Calibri"/>
          <w:iCs/>
        </w:rPr>
        <w:t>Follow-up</w:t>
      </w:r>
      <w:r w:rsidRPr="00FE41EC">
        <w:rPr>
          <w:rFonts w:cs="Calibri"/>
          <w:iCs/>
        </w:rPr>
        <w:t xml:space="preserve"> Federal Annual Monitoring Evaluation (FAME) </w:t>
      </w:r>
      <w:r w:rsidR="002A6E13">
        <w:rPr>
          <w:rFonts w:cs="Calibri"/>
          <w:iCs/>
        </w:rPr>
        <w:t>R</w:t>
      </w:r>
      <w:r w:rsidRPr="00FE41EC">
        <w:rPr>
          <w:rFonts w:cs="Calibri"/>
          <w:iCs/>
        </w:rPr>
        <w:t>eport is to assess the Virginia Occupational Safety and Health (VOSH) Program’s performance during Fiscal Year (FY) 202</w:t>
      </w:r>
      <w:r w:rsidR="003C4B7D" w:rsidRPr="00FE41EC">
        <w:rPr>
          <w:rFonts w:cs="Calibri"/>
          <w:iCs/>
        </w:rPr>
        <w:t>2</w:t>
      </w:r>
      <w:r w:rsidRPr="00FE41EC">
        <w:rPr>
          <w:rFonts w:cs="Calibri"/>
          <w:iCs/>
        </w:rPr>
        <w:t xml:space="preserve">.  VOSH continues to effectively accomplish its mission of protecting </w:t>
      </w:r>
      <w:r w:rsidR="006162EB" w:rsidRPr="00FE41EC">
        <w:rPr>
          <w:rFonts w:cs="Calibri"/>
          <w:iCs/>
        </w:rPr>
        <w:t xml:space="preserve">over three </w:t>
      </w:r>
      <w:r w:rsidRPr="00FE41EC">
        <w:rPr>
          <w:rFonts w:cs="Calibri"/>
          <w:iCs/>
        </w:rPr>
        <w:t>million Virginians from workplace safety and health hazards</w:t>
      </w:r>
      <w:r w:rsidR="003C4B7D" w:rsidRPr="00FE41EC">
        <w:rPr>
          <w:rFonts w:cs="Calibri"/>
          <w:iCs/>
        </w:rPr>
        <w:t xml:space="preserve"> by covering </w:t>
      </w:r>
      <w:r w:rsidR="006162EB" w:rsidRPr="00FE41EC">
        <w:rPr>
          <w:rFonts w:cs="Calibri"/>
          <w:iCs/>
        </w:rPr>
        <w:t>over</w:t>
      </w:r>
      <w:r w:rsidRPr="00FE41EC">
        <w:rPr>
          <w:rFonts w:cs="Calibri"/>
          <w:iCs/>
        </w:rPr>
        <w:t xml:space="preserve"> 2</w:t>
      </w:r>
      <w:r w:rsidR="006162EB" w:rsidRPr="00FE41EC">
        <w:rPr>
          <w:rFonts w:cs="Calibri"/>
          <w:iCs/>
        </w:rPr>
        <w:t>91</w:t>
      </w:r>
      <w:r w:rsidRPr="00FE41EC">
        <w:rPr>
          <w:rFonts w:cs="Calibri"/>
          <w:iCs/>
        </w:rPr>
        <w:t>,000 employers.</w:t>
      </w:r>
      <w:r w:rsidR="002B4CAA" w:rsidRPr="00FE41EC">
        <w:rPr>
          <w:rFonts w:cs="Calibri"/>
          <w:iCs/>
        </w:rPr>
        <w:t xml:space="preserve">  The U.S. Bureau of Labor Statistics</w:t>
      </w:r>
      <w:r w:rsidR="009F5654">
        <w:rPr>
          <w:rFonts w:cs="Calibri"/>
          <w:iCs/>
        </w:rPr>
        <w:t>’</w:t>
      </w:r>
      <w:r w:rsidR="002B4CAA" w:rsidRPr="00FE41EC">
        <w:rPr>
          <w:rFonts w:cs="Calibri"/>
          <w:iCs/>
        </w:rPr>
        <w:t xml:space="preserve"> (BLS) 2021 data reflects an overall Total Recordable Case Rate (TRCR) of non</w:t>
      </w:r>
      <w:r w:rsidR="009F5654">
        <w:rPr>
          <w:rFonts w:cs="Calibri"/>
          <w:iCs/>
        </w:rPr>
        <w:t>-</w:t>
      </w:r>
      <w:r w:rsidR="002B4CAA" w:rsidRPr="00FE41EC">
        <w:rPr>
          <w:rFonts w:cs="Calibri"/>
          <w:iCs/>
        </w:rPr>
        <w:t xml:space="preserve">fatal occupational injuries and illnesses of 2.3 for Virginia (23% lower than the national TRCR). Virginia’s TRCRs in private industry, construction, and government </w:t>
      </w:r>
      <w:r w:rsidR="00162678" w:rsidRPr="00FE41EC">
        <w:rPr>
          <w:rFonts w:cs="Calibri"/>
          <w:iCs/>
        </w:rPr>
        <w:t>also remain</w:t>
      </w:r>
      <w:r w:rsidR="002B4CAA" w:rsidRPr="00FE41EC">
        <w:rPr>
          <w:rFonts w:cs="Calibri"/>
          <w:iCs/>
        </w:rPr>
        <w:t xml:space="preserve"> below the national average</w:t>
      </w:r>
      <w:r w:rsidR="00162678" w:rsidRPr="00FE41EC">
        <w:rPr>
          <w:rFonts w:cs="Calibri"/>
          <w:iCs/>
        </w:rPr>
        <w:t>s</w:t>
      </w:r>
      <w:r w:rsidR="002B4CAA" w:rsidRPr="00FE41EC">
        <w:rPr>
          <w:rFonts w:cs="Calibri"/>
          <w:iCs/>
        </w:rPr>
        <w:t xml:space="preserve">.  </w:t>
      </w:r>
    </w:p>
    <w:p w14:paraId="6563C1DA" w14:textId="3F10C421" w:rsidR="002B4CAA" w:rsidRPr="00FE41EC" w:rsidRDefault="002B4CAA" w:rsidP="00783189">
      <w:pPr>
        <w:widowControl/>
        <w:autoSpaceDE/>
        <w:autoSpaceDN/>
        <w:adjustRightInd/>
        <w:rPr>
          <w:rFonts w:cs="Calibri"/>
          <w:iCs/>
        </w:rPr>
      </w:pPr>
    </w:p>
    <w:p w14:paraId="0140EA1A" w14:textId="78E495CC" w:rsidR="002B4CAA" w:rsidRPr="00FE41EC" w:rsidRDefault="002B4CAA" w:rsidP="00783189">
      <w:pPr>
        <w:widowControl/>
        <w:autoSpaceDE/>
        <w:autoSpaceDN/>
        <w:adjustRightInd/>
        <w:rPr>
          <w:rFonts w:cs="Calibri"/>
          <w:iCs/>
        </w:rPr>
      </w:pPr>
      <w:r w:rsidRPr="00FE41EC">
        <w:rPr>
          <w:rFonts w:cs="Calibri"/>
          <w:iCs/>
        </w:rPr>
        <w:t>VOSH was the first State Plan to develop and implement a COVID-19 Emergency Temporary Standard (ETS</w:t>
      </w:r>
      <w:r w:rsidR="003E5F30">
        <w:rPr>
          <w:rFonts w:cs="Calibri"/>
          <w:iCs/>
        </w:rPr>
        <w:t>)</w:t>
      </w:r>
      <w:r w:rsidR="00B74937">
        <w:rPr>
          <w:rFonts w:cs="Calibri"/>
          <w:iCs/>
        </w:rPr>
        <w:t xml:space="preserve"> in 2020</w:t>
      </w:r>
      <w:r w:rsidR="006E1A24">
        <w:rPr>
          <w:rFonts w:cs="Calibri"/>
          <w:iCs/>
        </w:rPr>
        <w:t>.  The</w:t>
      </w:r>
      <w:r w:rsidR="003E5F30">
        <w:rPr>
          <w:rFonts w:cs="Calibri"/>
          <w:iCs/>
        </w:rPr>
        <w:t xml:space="preserve"> </w:t>
      </w:r>
      <w:r w:rsidRPr="00FE41EC">
        <w:rPr>
          <w:rFonts w:cs="Calibri"/>
          <w:i/>
        </w:rPr>
        <w:t>Infectious Disease Prevention of the SARS-CoV-2 Virus that Causes COVID-19</w:t>
      </w:r>
      <w:r w:rsidRPr="00FE41EC">
        <w:rPr>
          <w:rFonts w:cs="Calibri"/>
          <w:iCs/>
        </w:rPr>
        <w:t xml:space="preserve"> (16VAC25-220) became the first final, permanent standar</w:t>
      </w:r>
      <w:r w:rsidR="00264FCD" w:rsidRPr="00FE41EC">
        <w:rPr>
          <w:rFonts w:cs="Calibri"/>
          <w:iCs/>
        </w:rPr>
        <w:t>d</w:t>
      </w:r>
      <w:r w:rsidR="006E1A24">
        <w:rPr>
          <w:rFonts w:cs="Calibri"/>
          <w:iCs/>
        </w:rPr>
        <w:t xml:space="preserve"> in the nation</w:t>
      </w:r>
      <w:r w:rsidR="00264FCD" w:rsidRPr="00FE41EC">
        <w:rPr>
          <w:rFonts w:cs="Calibri"/>
          <w:iCs/>
        </w:rPr>
        <w:t xml:space="preserve"> to specifically cover COVID-19</w:t>
      </w:r>
      <w:r w:rsidR="00F93AD2">
        <w:rPr>
          <w:rFonts w:cs="Calibri"/>
          <w:iCs/>
        </w:rPr>
        <w:t>-</w:t>
      </w:r>
      <w:r w:rsidR="00264FCD" w:rsidRPr="00FE41EC">
        <w:rPr>
          <w:rFonts w:cs="Calibri"/>
          <w:iCs/>
        </w:rPr>
        <w:t xml:space="preserve">related hazards. </w:t>
      </w:r>
      <w:r w:rsidRPr="00FE41EC">
        <w:rPr>
          <w:rFonts w:cs="Calibri"/>
          <w:iCs/>
        </w:rPr>
        <w:t xml:space="preserve"> </w:t>
      </w:r>
      <w:r w:rsidR="006E1A24">
        <w:rPr>
          <w:rFonts w:cs="Calibri"/>
          <w:iCs/>
        </w:rPr>
        <w:t>The</w:t>
      </w:r>
      <w:r w:rsidRPr="00FE41EC">
        <w:rPr>
          <w:rFonts w:cs="Calibri"/>
          <w:iCs/>
        </w:rPr>
        <w:t xml:space="preserve"> Virginia Safety and health Codes Board </w:t>
      </w:r>
      <w:r w:rsidR="006E1A24">
        <w:rPr>
          <w:rFonts w:cs="Calibri"/>
          <w:iCs/>
        </w:rPr>
        <w:t>revoked</w:t>
      </w:r>
      <w:r w:rsidRPr="00FE41EC">
        <w:rPr>
          <w:rFonts w:cs="Calibri"/>
          <w:iCs/>
        </w:rPr>
        <w:t xml:space="preserve"> the Virginia Standard </w:t>
      </w:r>
      <w:r w:rsidR="006E1A24">
        <w:rPr>
          <w:rFonts w:cs="Calibri"/>
          <w:iCs/>
        </w:rPr>
        <w:t xml:space="preserve">effective </w:t>
      </w:r>
      <w:r w:rsidRPr="00FE41EC">
        <w:rPr>
          <w:rFonts w:cs="Calibri"/>
          <w:iCs/>
        </w:rPr>
        <w:t>March 23, 2022.</w:t>
      </w:r>
    </w:p>
    <w:p w14:paraId="2E184300" w14:textId="73CF25AC" w:rsidR="00926B9C" w:rsidRPr="00FE41EC" w:rsidRDefault="00926B9C" w:rsidP="00783189">
      <w:pPr>
        <w:widowControl/>
        <w:autoSpaceDE/>
        <w:autoSpaceDN/>
        <w:adjustRightInd/>
        <w:rPr>
          <w:rFonts w:cs="Calibri"/>
          <w:iCs/>
        </w:rPr>
      </w:pPr>
    </w:p>
    <w:p w14:paraId="4F32909E" w14:textId="4B60132E" w:rsidR="00363407" w:rsidRDefault="00926B9C" w:rsidP="00363407">
      <w:pPr>
        <w:widowControl/>
        <w:autoSpaceDE/>
        <w:autoSpaceDN/>
        <w:adjustRightInd/>
        <w:rPr>
          <w:rFonts w:cs="Calibri"/>
          <w:iCs/>
        </w:rPr>
      </w:pPr>
      <w:r w:rsidRPr="00FE41EC">
        <w:rPr>
          <w:rFonts w:cs="Calibri"/>
          <w:iCs/>
        </w:rPr>
        <w:t xml:space="preserve">In FY 2022, VOSH agreed to honor OSHA’s approval of the Traylor Brothers’ variance modification for compressed air work being performed on the RiverRenew Tunnel System Project crossing through both federal and VOSH jurisdiction.  </w:t>
      </w:r>
      <w:r w:rsidR="00363407">
        <w:rPr>
          <w:rFonts w:cs="Calibri"/>
          <w:iCs/>
        </w:rPr>
        <w:t>VOSH also received variance requests from Chesapeake Tunnel Joint Venture (CTJV) and the Hampton Roads Connector Partners (HRCP) for projects located exclusively in Virginia</w:t>
      </w:r>
      <w:r w:rsidR="00CA6E73">
        <w:rPr>
          <w:rFonts w:cs="Calibri"/>
          <w:iCs/>
        </w:rPr>
        <w:t xml:space="preserve">.  </w:t>
      </w:r>
      <w:r w:rsidR="00363407">
        <w:rPr>
          <w:rFonts w:cs="Calibri"/>
          <w:iCs/>
        </w:rPr>
        <w:t>Both projects requested consideration of alternative protective measures for specific paragraphs of the 29 CFR 1926.803 (Underground Construction, Caissons, Cofferdams, and Compressed Air) regulation adopted identically by VOSH</w:t>
      </w:r>
      <w:r w:rsidR="00CA6E73">
        <w:rPr>
          <w:rFonts w:cs="Calibri"/>
          <w:iCs/>
        </w:rPr>
        <w:t xml:space="preserve">. Ultimately, VOSH </w:t>
      </w:r>
      <w:r w:rsidR="00363407">
        <w:rPr>
          <w:rFonts w:cs="Calibri"/>
          <w:iCs/>
        </w:rPr>
        <w:t>issued variances for CTJV effective January 20, 2023, and HRCP effective January 23, 2023</w:t>
      </w:r>
      <w:r w:rsidR="00363407" w:rsidRPr="00FE41EC">
        <w:rPr>
          <w:rFonts w:cs="Calibri"/>
          <w:iCs/>
        </w:rPr>
        <w:t>.</w:t>
      </w:r>
    </w:p>
    <w:p w14:paraId="2EFDFF0D" w14:textId="61E2D609" w:rsidR="00926B9C" w:rsidRPr="00FE41EC" w:rsidRDefault="00926B9C" w:rsidP="00926B9C">
      <w:pPr>
        <w:widowControl/>
        <w:autoSpaceDE/>
        <w:autoSpaceDN/>
        <w:adjustRightInd/>
        <w:rPr>
          <w:rFonts w:cs="Calibri"/>
          <w:iCs/>
        </w:rPr>
      </w:pPr>
    </w:p>
    <w:p w14:paraId="5DF808A2" w14:textId="77777777" w:rsidR="002A063F" w:rsidRDefault="001E330D" w:rsidP="00783189">
      <w:pPr>
        <w:widowControl/>
        <w:autoSpaceDE/>
        <w:autoSpaceDN/>
        <w:adjustRightInd/>
        <w:rPr>
          <w:rFonts w:cs="Calibri"/>
          <w:iCs/>
        </w:rPr>
      </w:pPr>
      <w:r w:rsidRPr="00FE41EC">
        <w:rPr>
          <w:rFonts w:cs="Calibri"/>
          <w:iCs/>
        </w:rPr>
        <w:t xml:space="preserve">VOSH continued to respond to occupational concerns in the Commonwealth of Virginia by inspecting or investigating at least </w:t>
      </w:r>
      <w:r w:rsidR="007A2810" w:rsidRPr="00FE41EC">
        <w:rPr>
          <w:rFonts w:cs="Calibri"/>
          <w:iCs/>
        </w:rPr>
        <w:t>8</w:t>
      </w:r>
      <w:r w:rsidR="00E76ABF" w:rsidRPr="00FE41EC">
        <w:rPr>
          <w:rFonts w:cs="Calibri"/>
          <w:iCs/>
        </w:rPr>
        <w:t>9</w:t>
      </w:r>
      <w:r w:rsidRPr="00FE41EC">
        <w:rPr>
          <w:rFonts w:cs="Calibri"/>
          <w:iCs/>
        </w:rPr>
        <w:t>% (1,</w:t>
      </w:r>
      <w:r w:rsidR="007A2810" w:rsidRPr="00FE41EC">
        <w:rPr>
          <w:rFonts w:cs="Calibri"/>
          <w:iCs/>
        </w:rPr>
        <w:t>140</w:t>
      </w:r>
      <w:r w:rsidRPr="00FE41EC">
        <w:rPr>
          <w:rFonts w:cs="Calibri"/>
          <w:iCs/>
        </w:rPr>
        <w:t xml:space="preserve"> of 1,</w:t>
      </w:r>
      <w:r w:rsidR="007A2810" w:rsidRPr="00FE41EC">
        <w:rPr>
          <w:rFonts w:cs="Calibri"/>
          <w:iCs/>
        </w:rPr>
        <w:t>285</w:t>
      </w:r>
      <w:r w:rsidRPr="00FE41EC">
        <w:rPr>
          <w:rFonts w:cs="Calibri"/>
          <w:iCs/>
        </w:rPr>
        <w:t>) of all the complaints received in FY 202</w:t>
      </w:r>
      <w:r w:rsidR="007A2810" w:rsidRPr="00FE41EC">
        <w:rPr>
          <w:rFonts w:cs="Calibri"/>
          <w:iCs/>
        </w:rPr>
        <w:t>2</w:t>
      </w:r>
      <w:r w:rsidRPr="00FE41EC">
        <w:rPr>
          <w:rFonts w:cs="Calibri"/>
          <w:iCs/>
        </w:rPr>
        <w:t xml:space="preserve">.  VOSH refers complaints falling outside of its coverage or jurisdiction to other regulatory or law enforcement agencies as appropriate.  VOSH also remained steadfast in its commitment to conduct inspections in high-hazard industries by conducting </w:t>
      </w:r>
      <w:r w:rsidR="00E76ABF" w:rsidRPr="00FE41EC">
        <w:rPr>
          <w:rFonts w:cs="Calibri"/>
          <w:iCs/>
        </w:rPr>
        <w:t>826</w:t>
      </w:r>
      <w:r w:rsidRPr="00FE41EC">
        <w:rPr>
          <w:rFonts w:cs="Calibri"/>
          <w:iCs/>
        </w:rPr>
        <w:t xml:space="preserve"> programmed inspections in FY 202</w:t>
      </w:r>
      <w:r w:rsidR="007A2810" w:rsidRPr="00FE41EC">
        <w:rPr>
          <w:rFonts w:cs="Calibri"/>
          <w:iCs/>
        </w:rPr>
        <w:t>2</w:t>
      </w:r>
      <w:r w:rsidRPr="00FE41EC">
        <w:rPr>
          <w:rFonts w:cs="Calibri"/>
          <w:iCs/>
        </w:rPr>
        <w:t xml:space="preserve">.  </w:t>
      </w:r>
    </w:p>
    <w:p w14:paraId="309BEE55" w14:textId="77777777" w:rsidR="002A063F" w:rsidRDefault="002A063F" w:rsidP="00783189">
      <w:pPr>
        <w:widowControl/>
        <w:autoSpaceDE/>
        <w:autoSpaceDN/>
        <w:adjustRightInd/>
        <w:rPr>
          <w:rFonts w:cs="Calibri"/>
          <w:iCs/>
        </w:rPr>
      </w:pPr>
    </w:p>
    <w:p w14:paraId="3252E023" w14:textId="5B461A12" w:rsidR="001E330D" w:rsidRPr="00FE41EC" w:rsidRDefault="001E330D" w:rsidP="00783189">
      <w:pPr>
        <w:widowControl/>
        <w:autoSpaceDE/>
        <w:autoSpaceDN/>
        <w:adjustRightInd/>
        <w:rPr>
          <w:rFonts w:cs="Calibri"/>
          <w:iCs/>
        </w:rPr>
      </w:pPr>
      <w:r w:rsidRPr="00FE41EC">
        <w:rPr>
          <w:rFonts w:cs="Calibri"/>
          <w:iCs/>
        </w:rPr>
        <w:t>VOSH continues to have significant enforcement presence</w:t>
      </w:r>
      <w:r w:rsidR="007A2810" w:rsidRPr="00FE41EC">
        <w:rPr>
          <w:rFonts w:cs="Calibri"/>
          <w:iCs/>
        </w:rPr>
        <w:t>.</w:t>
      </w:r>
      <w:r w:rsidR="003E33C3" w:rsidRPr="00FE41EC">
        <w:rPr>
          <w:rFonts w:cs="Calibri"/>
          <w:iCs/>
        </w:rPr>
        <w:t xml:space="preserve">  </w:t>
      </w:r>
      <w:r w:rsidR="007A2810" w:rsidRPr="00FE41EC">
        <w:rPr>
          <w:rFonts w:cs="Calibri"/>
          <w:iCs/>
        </w:rPr>
        <w:t xml:space="preserve">VOSH conducted </w:t>
      </w:r>
      <w:r w:rsidRPr="00FE41EC">
        <w:rPr>
          <w:rFonts w:cs="Calibri"/>
          <w:iCs/>
        </w:rPr>
        <w:t>1,</w:t>
      </w:r>
      <w:r w:rsidR="007A2810" w:rsidRPr="00FE41EC">
        <w:rPr>
          <w:rFonts w:cs="Calibri"/>
          <w:iCs/>
        </w:rPr>
        <w:t>876</w:t>
      </w:r>
      <w:r w:rsidRPr="00FE41EC">
        <w:rPr>
          <w:rFonts w:cs="Calibri"/>
          <w:iCs/>
        </w:rPr>
        <w:t xml:space="preserve"> inspections in private and state and local government (SLG) workplaces</w:t>
      </w:r>
      <w:r w:rsidR="007A2810" w:rsidRPr="00FE41EC">
        <w:rPr>
          <w:rFonts w:cs="Calibri"/>
          <w:iCs/>
        </w:rPr>
        <w:t xml:space="preserve"> during FY 2022</w:t>
      </w:r>
      <w:r w:rsidR="00141F37">
        <w:rPr>
          <w:rFonts w:cs="Calibri"/>
          <w:iCs/>
        </w:rPr>
        <w:t xml:space="preserve"> –</w:t>
      </w:r>
      <w:r w:rsidR="003E33C3" w:rsidRPr="00FE41EC">
        <w:rPr>
          <w:rFonts w:cs="Calibri"/>
          <w:iCs/>
        </w:rPr>
        <w:t xml:space="preserve"> 125 more inspections than was conducted in FY 2021. </w:t>
      </w:r>
      <w:r w:rsidR="007A2810" w:rsidRPr="00FE41EC">
        <w:rPr>
          <w:rFonts w:cs="Calibri"/>
          <w:iCs/>
        </w:rPr>
        <w:t xml:space="preserve"> </w:t>
      </w:r>
      <w:r w:rsidRPr="00FE41EC">
        <w:rPr>
          <w:rFonts w:cs="Calibri"/>
          <w:iCs/>
        </w:rPr>
        <w:t xml:space="preserve">These inspections resulted in VOSH issuing </w:t>
      </w:r>
      <w:r w:rsidR="003E33C3" w:rsidRPr="00FE41EC">
        <w:rPr>
          <w:rFonts w:cs="Calibri"/>
          <w:iCs/>
        </w:rPr>
        <w:t xml:space="preserve">2,656 </w:t>
      </w:r>
      <w:r w:rsidRPr="00FE41EC">
        <w:rPr>
          <w:rFonts w:cs="Calibri"/>
          <w:iCs/>
        </w:rPr>
        <w:t>violations</w:t>
      </w:r>
      <w:r w:rsidR="00141F37">
        <w:rPr>
          <w:rFonts w:cs="Calibri"/>
          <w:iCs/>
        </w:rPr>
        <w:t xml:space="preserve"> –</w:t>
      </w:r>
      <w:r w:rsidR="00363407">
        <w:rPr>
          <w:rFonts w:cs="Calibri"/>
          <w:iCs/>
        </w:rPr>
        <w:t xml:space="preserve"> </w:t>
      </w:r>
      <w:r w:rsidR="003E33C3" w:rsidRPr="00FE41EC">
        <w:rPr>
          <w:rFonts w:cs="Calibri"/>
          <w:iCs/>
        </w:rPr>
        <w:t>an increase of 765 violations from FY 2021.</w:t>
      </w:r>
      <w:r w:rsidR="0036673B" w:rsidRPr="00FE41EC">
        <w:rPr>
          <w:rFonts w:cs="Calibri"/>
          <w:iCs/>
        </w:rPr>
        <w:t xml:space="preserve">  VOSH investigates all work-related fatalities within its jurisdiction and coverage limitations.  The program investigated 39 work-related fatalities in FY 2022</w:t>
      </w:r>
      <w:r w:rsidR="009F5654">
        <w:rPr>
          <w:rFonts w:cs="Calibri"/>
          <w:iCs/>
        </w:rPr>
        <w:t>(</w:t>
      </w:r>
      <w:r w:rsidR="0036673B" w:rsidRPr="00FE41EC">
        <w:rPr>
          <w:rFonts w:cs="Calibri"/>
          <w:iCs/>
        </w:rPr>
        <w:t>five less than FY 2021</w:t>
      </w:r>
      <w:r w:rsidR="009F5654">
        <w:rPr>
          <w:rFonts w:cs="Calibri"/>
          <w:iCs/>
        </w:rPr>
        <w:t>)</w:t>
      </w:r>
      <w:r w:rsidR="0036673B" w:rsidRPr="00FE41EC">
        <w:rPr>
          <w:rFonts w:cs="Calibri"/>
          <w:iCs/>
        </w:rPr>
        <w:t xml:space="preserve">.  </w:t>
      </w:r>
      <w:r w:rsidRPr="00FE41EC">
        <w:rPr>
          <w:rFonts w:cs="Calibri"/>
          <w:iCs/>
        </w:rPr>
        <w:t xml:space="preserve">Since its inception in 2015, VOSH’s Worker Misclassification policy resulted in over </w:t>
      </w:r>
      <w:r w:rsidR="00A070E4" w:rsidRPr="00FE41EC">
        <w:rPr>
          <w:rFonts w:cs="Calibri"/>
          <w:iCs/>
        </w:rPr>
        <w:t>437</w:t>
      </w:r>
      <w:r w:rsidRPr="00FE41EC">
        <w:rPr>
          <w:rFonts w:cs="Calibri"/>
          <w:iCs/>
        </w:rPr>
        <w:t xml:space="preserve"> referrals to the Department of Professional and Occupational Regulations for potential misclassification issues.</w:t>
      </w:r>
      <w:r w:rsidR="00F9597F" w:rsidRPr="00FE41EC">
        <w:rPr>
          <w:rFonts w:cs="Calibri"/>
          <w:iCs/>
        </w:rPr>
        <w:br/>
      </w:r>
    </w:p>
    <w:p w14:paraId="72722F99" w14:textId="77464472" w:rsidR="0095667B" w:rsidRPr="00FE41EC" w:rsidRDefault="00264FCD" w:rsidP="003D6A43">
      <w:pPr>
        <w:pStyle w:val="Default"/>
        <w:rPr>
          <w:rFonts w:ascii="Calibri" w:hAnsi="Calibri" w:cs="Calibri"/>
        </w:rPr>
      </w:pPr>
      <w:r w:rsidRPr="00FE41EC">
        <w:rPr>
          <w:rFonts w:ascii="Calibri" w:hAnsi="Calibri" w:cs="Calibri"/>
          <w:iCs/>
        </w:rPr>
        <w:t>Throughout the year</w:t>
      </w:r>
      <w:r w:rsidR="00F9597F" w:rsidRPr="00FE41EC">
        <w:rPr>
          <w:rFonts w:ascii="Calibri" w:hAnsi="Calibri" w:cs="Calibri"/>
          <w:iCs/>
        </w:rPr>
        <w:t>, VOSH communicated to OSHA that</w:t>
      </w:r>
      <w:r w:rsidR="001B22CA" w:rsidRPr="00FE41EC">
        <w:rPr>
          <w:rFonts w:ascii="Calibri" w:hAnsi="Calibri" w:cs="Calibri"/>
          <w:iCs/>
        </w:rPr>
        <w:t xml:space="preserve"> corrective steps </w:t>
      </w:r>
      <w:r w:rsidR="009F5654">
        <w:rPr>
          <w:rFonts w:ascii="Calibri" w:hAnsi="Calibri" w:cs="Calibri"/>
          <w:iCs/>
        </w:rPr>
        <w:t xml:space="preserve">were </w:t>
      </w:r>
      <w:r w:rsidR="001B22CA" w:rsidRPr="00FE41EC">
        <w:rPr>
          <w:rFonts w:ascii="Calibri" w:hAnsi="Calibri" w:cs="Calibri"/>
          <w:iCs/>
        </w:rPr>
        <w:t xml:space="preserve">taken to ensure that </w:t>
      </w:r>
      <w:r w:rsidR="00F9597F" w:rsidRPr="00FE41EC">
        <w:rPr>
          <w:rFonts w:ascii="Calibri" w:hAnsi="Calibri" w:cs="Calibri"/>
          <w:iCs/>
        </w:rPr>
        <w:t>work-related fatality case files</w:t>
      </w:r>
      <w:r w:rsidR="001B22CA" w:rsidRPr="00FE41EC">
        <w:rPr>
          <w:rFonts w:ascii="Calibri" w:hAnsi="Calibri" w:cs="Calibri"/>
          <w:iCs/>
        </w:rPr>
        <w:t xml:space="preserve"> include</w:t>
      </w:r>
      <w:r w:rsidR="00F9597F" w:rsidRPr="00FE41EC">
        <w:rPr>
          <w:rFonts w:ascii="Calibri" w:hAnsi="Calibri" w:cs="Calibri"/>
          <w:iCs/>
        </w:rPr>
        <w:t xml:space="preserve"> the final next-of-kin (NOK) lett</w:t>
      </w:r>
      <w:r w:rsidR="001B22CA" w:rsidRPr="00FE41EC">
        <w:rPr>
          <w:rFonts w:ascii="Calibri" w:hAnsi="Calibri" w:cs="Calibri"/>
          <w:iCs/>
        </w:rPr>
        <w:t xml:space="preserve">er, ensuring that the </w:t>
      </w:r>
      <w:r w:rsidR="001B22CA" w:rsidRPr="00FE41EC">
        <w:rPr>
          <w:rFonts w:ascii="Calibri" w:hAnsi="Calibri" w:cs="Calibri"/>
          <w:iCs/>
        </w:rPr>
        <w:lastRenderedPageBreak/>
        <w:t>results of the inspection and guidance for obtaining</w:t>
      </w:r>
      <w:r w:rsidR="007D26DC" w:rsidRPr="00FE41EC">
        <w:rPr>
          <w:rFonts w:ascii="Calibri" w:hAnsi="Calibri" w:cs="Calibri"/>
          <w:iCs/>
        </w:rPr>
        <w:t xml:space="preserve"> a releasable copy of</w:t>
      </w:r>
      <w:r w:rsidR="001B22CA" w:rsidRPr="00FE41EC">
        <w:rPr>
          <w:rFonts w:ascii="Calibri" w:hAnsi="Calibri" w:cs="Calibri"/>
          <w:iCs/>
        </w:rPr>
        <w:t xml:space="preserve"> the case file are shared with the NOK.  OSHA will conduct a fatality case file review during the </w:t>
      </w:r>
      <w:r w:rsidR="009F5654" w:rsidRPr="00FE41EC">
        <w:rPr>
          <w:rFonts w:ascii="Calibri" w:hAnsi="Calibri" w:cs="Calibri"/>
          <w:iCs/>
        </w:rPr>
        <w:t xml:space="preserve">FY 2023 </w:t>
      </w:r>
      <w:r w:rsidR="009F5654">
        <w:rPr>
          <w:rFonts w:ascii="Calibri" w:hAnsi="Calibri" w:cs="Calibri"/>
          <w:iCs/>
        </w:rPr>
        <w:t>c</w:t>
      </w:r>
      <w:r w:rsidR="001B22CA" w:rsidRPr="00FE41EC">
        <w:rPr>
          <w:rFonts w:ascii="Calibri" w:hAnsi="Calibri" w:cs="Calibri"/>
          <w:iCs/>
        </w:rPr>
        <w:t>omprehensive FAME on-site</w:t>
      </w:r>
      <w:r w:rsidR="007D26DC" w:rsidRPr="00FE41EC">
        <w:rPr>
          <w:rFonts w:ascii="Calibri" w:hAnsi="Calibri" w:cs="Calibri"/>
          <w:iCs/>
        </w:rPr>
        <w:t xml:space="preserve"> </w:t>
      </w:r>
      <w:r w:rsidR="009F5654">
        <w:rPr>
          <w:rFonts w:ascii="Calibri" w:hAnsi="Calibri" w:cs="Calibri"/>
          <w:iCs/>
        </w:rPr>
        <w:t xml:space="preserve">case file </w:t>
      </w:r>
      <w:r w:rsidR="007D26DC" w:rsidRPr="00FE41EC">
        <w:rPr>
          <w:rFonts w:ascii="Calibri" w:hAnsi="Calibri" w:cs="Calibri"/>
          <w:iCs/>
        </w:rPr>
        <w:t>review</w:t>
      </w:r>
      <w:r w:rsidR="003D6A43" w:rsidRPr="00FE41EC">
        <w:rPr>
          <w:rFonts w:ascii="Calibri" w:hAnsi="Calibri" w:cs="Calibri"/>
          <w:iCs/>
        </w:rPr>
        <w:t xml:space="preserve">.  In FY 2022, OSHA </w:t>
      </w:r>
      <w:r w:rsidR="007D26DC" w:rsidRPr="00FE41EC">
        <w:rPr>
          <w:rFonts w:ascii="Calibri" w:hAnsi="Calibri" w:cs="Calibri"/>
          <w:iCs/>
        </w:rPr>
        <w:t xml:space="preserve">also </w:t>
      </w:r>
      <w:r w:rsidR="003D6A43" w:rsidRPr="00FE41EC">
        <w:rPr>
          <w:rFonts w:ascii="Calibri" w:hAnsi="Calibri" w:cs="Calibri"/>
          <w:iCs/>
        </w:rPr>
        <w:t xml:space="preserve">identified that </w:t>
      </w:r>
      <w:r w:rsidR="003D6A43" w:rsidRPr="00FE41EC">
        <w:rPr>
          <w:rFonts w:ascii="Calibri" w:hAnsi="Calibri" w:cs="Calibri"/>
        </w:rPr>
        <w:t xml:space="preserve">VOSH did not adopt Federal Program Changes (FPCs) within the required timeframes. </w:t>
      </w:r>
    </w:p>
    <w:p w14:paraId="5D954A86" w14:textId="77777777" w:rsidR="003D6A43" w:rsidRPr="00FE41EC" w:rsidRDefault="003D6A43" w:rsidP="003D6A43">
      <w:pPr>
        <w:pStyle w:val="Default"/>
        <w:rPr>
          <w:rFonts w:ascii="Calibri" w:hAnsi="Calibri" w:cs="Calibri"/>
        </w:rPr>
      </w:pPr>
    </w:p>
    <w:p w14:paraId="6A7D671B" w14:textId="5F2839A9" w:rsidR="00783189" w:rsidRPr="00FE41EC" w:rsidRDefault="0095667B" w:rsidP="00783189">
      <w:pPr>
        <w:widowControl/>
        <w:autoSpaceDE/>
        <w:autoSpaceDN/>
        <w:adjustRightInd/>
        <w:rPr>
          <w:rFonts w:cs="Calibri"/>
          <w:iCs/>
        </w:rPr>
      </w:pPr>
      <w:r w:rsidRPr="00FE41EC">
        <w:rPr>
          <w:rFonts w:cs="Calibri"/>
          <w:iCs/>
        </w:rPr>
        <w:t xml:space="preserve">VOSH </w:t>
      </w:r>
      <w:r w:rsidR="00F32A13" w:rsidRPr="00FE41EC">
        <w:rPr>
          <w:rFonts w:cs="Calibri"/>
          <w:iCs/>
        </w:rPr>
        <w:t>is responsive to OSHA requ</w:t>
      </w:r>
      <w:r w:rsidR="009D6252" w:rsidRPr="00FE41EC">
        <w:rPr>
          <w:rFonts w:cs="Calibri"/>
          <w:iCs/>
        </w:rPr>
        <w:t>ests and works collaboratively to achieve the</w:t>
      </w:r>
      <w:r w:rsidR="000E1534" w:rsidRPr="00FE41EC">
        <w:rPr>
          <w:rFonts w:cs="Calibri"/>
          <w:iCs/>
        </w:rPr>
        <w:t xml:space="preserve"> mission of protecting the nation’s workers.  VOSH </w:t>
      </w:r>
      <w:r w:rsidR="004736F8" w:rsidRPr="00FE41EC">
        <w:rPr>
          <w:rFonts w:cs="Calibri"/>
          <w:iCs/>
        </w:rPr>
        <w:t xml:space="preserve">shares initiatives and seeks to work in concert </w:t>
      </w:r>
      <w:r w:rsidR="003C51E1" w:rsidRPr="00FE41EC">
        <w:rPr>
          <w:rFonts w:cs="Calibri"/>
          <w:iCs/>
        </w:rPr>
        <w:t>with OSHA when possible</w:t>
      </w:r>
      <w:r w:rsidR="00376E07" w:rsidRPr="00FE41EC">
        <w:rPr>
          <w:rFonts w:cs="Calibri"/>
          <w:iCs/>
        </w:rPr>
        <w:t xml:space="preserve">. </w:t>
      </w:r>
    </w:p>
    <w:p w14:paraId="2538F1E5" w14:textId="77777777" w:rsidR="00264FCD" w:rsidRPr="003F6424" w:rsidRDefault="00264FCD" w:rsidP="00783189">
      <w:pPr>
        <w:widowControl/>
        <w:autoSpaceDE/>
        <w:autoSpaceDN/>
        <w:adjustRightInd/>
        <w:rPr>
          <w:rFonts w:cs="Calibri"/>
          <w:iCs/>
        </w:rPr>
      </w:pPr>
    </w:p>
    <w:p w14:paraId="67E95E6F" w14:textId="6755D6C3" w:rsidR="000A134A" w:rsidRPr="001C1E47" w:rsidRDefault="001E71BA" w:rsidP="00476C08">
      <w:pPr>
        <w:pStyle w:val="Heading2"/>
      </w:pPr>
      <w:bookmarkStart w:id="6" w:name="_Toc118900171"/>
      <w:bookmarkStart w:id="7" w:name="_Toc118905010"/>
      <w:bookmarkStart w:id="8" w:name="_Toc119418664"/>
      <w:r w:rsidRPr="001C1E47">
        <w:t>State Plan Background</w:t>
      </w:r>
      <w:bookmarkEnd w:id="6"/>
      <w:bookmarkEnd w:id="7"/>
      <w:bookmarkEnd w:id="8"/>
    </w:p>
    <w:p w14:paraId="7ED8AA2D" w14:textId="77777777" w:rsidR="000A134A" w:rsidRPr="001C1E47" w:rsidRDefault="000A134A" w:rsidP="00783189">
      <w:pPr>
        <w:widowControl/>
        <w:autoSpaceDE/>
        <w:autoSpaceDN/>
        <w:adjustRightInd/>
        <w:rPr>
          <w:rFonts w:cs="Calibri"/>
          <w:i/>
        </w:rPr>
      </w:pPr>
    </w:p>
    <w:p w14:paraId="74D32B46" w14:textId="7EB30F2D" w:rsidR="008820B8" w:rsidRDefault="008820B8" w:rsidP="00783189">
      <w:pPr>
        <w:widowControl/>
        <w:autoSpaceDE/>
        <w:autoSpaceDN/>
        <w:adjustRightInd/>
        <w:rPr>
          <w:rFonts w:cs="Calibri"/>
          <w:iCs/>
        </w:rPr>
      </w:pPr>
      <w:r>
        <w:rPr>
          <w:rFonts w:cs="Calibri"/>
          <w:iCs/>
        </w:rPr>
        <w:t xml:space="preserve">Virginia operates a State Plan occupational safety and health program under Section 18 of the Occupational Safety and Health (OSH) Act of 1970.  The Virginia Department of Labor and Industry (DOLI) administers the </w:t>
      </w:r>
      <w:r w:rsidR="009E46B7">
        <w:rPr>
          <w:rFonts w:cs="Calibri"/>
          <w:iCs/>
        </w:rPr>
        <w:t>VOSH Program</w:t>
      </w:r>
      <w:r>
        <w:rPr>
          <w:rFonts w:cs="Calibri"/>
          <w:iCs/>
        </w:rPr>
        <w:t xml:space="preserve">.  VOSH operates within DOLI and is headquartered in Richmond, Virginia with field offices located in Abingdon, Lynchburg, Manassas, Norfolk, Richmond, Roanoke, and Verona. </w:t>
      </w:r>
    </w:p>
    <w:p w14:paraId="4AE449C9" w14:textId="32EF7910" w:rsidR="008820B8" w:rsidRDefault="008820B8" w:rsidP="00783189">
      <w:pPr>
        <w:widowControl/>
        <w:autoSpaceDE/>
        <w:autoSpaceDN/>
        <w:adjustRightInd/>
        <w:rPr>
          <w:rFonts w:cs="Calibri"/>
          <w:iCs/>
        </w:rPr>
      </w:pPr>
    </w:p>
    <w:p w14:paraId="28043ADF" w14:textId="56BED72F" w:rsidR="008820B8" w:rsidRDefault="006336F5" w:rsidP="00783189">
      <w:pPr>
        <w:widowControl/>
        <w:autoSpaceDE/>
        <w:autoSpaceDN/>
        <w:adjustRightInd/>
        <w:rPr>
          <w:rFonts w:cs="Calibri"/>
          <w:iCs/>
        </w:rPr>
      </w:pPr>
      <w:r>
        <w:rPr>
          <w:rFonts w:cs="Calibri"/>
          <w:iCs/>
        </w:rPr>
        <w:t>The previous DOLI</w:t>
      </w:r>
      <w:r w:rsidR="00C62AC7">
        <w:rPr>
          <w:rFonts w:cs="Calibri"/>
          <w:iCs/>
        </w:rPr>
        <w:t xml:space="preserve"> Commissioner, </w:t>
      </w:r>
      <w:r w:rsidR="003D0298">
        <w:rPr>
          <w:rFonts w:cs="Calibri"/>
          <w:iCs/>
        </w:rPr>
        <w:t>C. Ray Davenport</w:t>
      </w:r>
      <w:r w:rsidR="00C62AC7">
        <w:rPr>
          <w:rFonts w:cs="Calibri"/>
          <w:iCs/>
        </w:rPr>
        <w:t>,</w:t>
      </w:r>
      <w:r w:rsidR="003D0298">
        <w:rPr>
          <w:rFonts w:cs="Calibri"/>
          <w:iCs/>
        </w:rPr>
        <w:t xml:space="preserve"> </w:t>
      </w:r>
      <w:r w:rsidR="00201BD2">
        <w:rPr>
          <w:rFonts w:cs="Calibri"/>
          <w:iCs/>
        </w:rPr>
        <w:t>was replaced by Gary Pan on January 15, 2022</w:t>
      </w:r>
      <w:r w:rsidR="00C62AC7">
        <w:rPr>
          <w:rFonts w:cs="Calibri"/>
          <w:iCs/>
        </w:rPr>
        <w:t xml:space="preserve">.  </w:t>
      </w:r>
      <w:r w:rsidR="008E5402">
        <w:rPr>
          <w:rFonts w:cs="Calibri"/>
          <w:iCs/>
        </w:rPr>
        <w:t>In FY 202</w:t>
      </w:r>
      <w:r w:rsidR="00ED43D3">
        <w:rPr>
          <w:rFonts w:cs="Calibri"/>
          <w:iCs/>
        </w:rPr>
        <w:t>2</w:t>
      </w:r>
      <w:r w:rsidR="008E5402">
        <w:rPr>
          <w:rFonts w:cs="Calibri"/>
          <w:iCs/>
        </w:rPr>
        <w:t xml:space="preserve">, </w:t>
      </w:r>
      <w:r w:rsidR="00CF50FB">
        <w:rPr>
          <w:rFonts w:cs="Calibri"/>
          <w:iCs/>
        </w:rPr>
        <w:t>Harold Pyon and Willis Morris served as Deputy Commissioners</w:t>
      </w:r>
      <w:r w:rsidR="0027246D">
        <w:rPr>
          <w:rFonts w:cs="Calibri"/>
          <w:iCs/>
        </w:rPr>
        <w:t xml:space="preserve"> of </w:t>
      </w:r>
      <w:r w:rsidR="00C97544">
        <w:rPr>
          <w:rFonts w:cs="Calibri"/>
          <w:iCs/>
        </w:rPr>
        <w:t>the DOLI</w:t>
      </w:r>
      <w:r w:rsidR="0074044E">
        <w:rPr>
          <w:rFonts w:cs="Calibri"/>
          <w:iCs/>
        </w:rPr>
        <w:t xml:space="preserve"> </w:t>
      </w:r>
      <w:r w:rsidR="00ED43D3">
        <w:rPr>
          <w:rFonts w:cs="Calibri"/>
          <w:iCs/>
        </w:rPr>
        <w:t>and William</w:t>
      </w:r>
      <w:r w:rsidR="00515879">
        <w:rPr>
          <w:rFonts w:cs="Calibri"/>
          <w:iCs/>
        </w:rPr>
        <w:t xml:space="preserve"> Burge </w:t>
      </w:r>
      <w:r w:rsidR="008E5402">
        <w:rPr>
          <w:rFonts w:cs="Calibri"/>
          <w:iCs/>
        </w:rPr>
        <w:t>remained</w:t>
      </w:r>
      <w:r w:rsidR="0074044E">
        <w:rPr>
          <w:rFonts w:cs="Calibri"/>
          <w:iCs/>
        </w:rPr>
        <w:t xml:space="preserve"> the Assistant Commissioner</w:t>
      </w:r>
      <w:r w:rsidR="00ED43D3">
        <w:rPr>
          <w:rFonts w:cs="Calibri"/>
          <w:iCs/>
        </w:rPr>
        <w:t xml:space="preserve">.  Ronald Graham </w:t>
      </w:r>
      <w:r w:rsidR="00B525B1">
        <w:rPr>
          <w:rFonts w:cs="Calibri"/>
          <w:iCs/>
        </w:rPr>
        <w:t xml:space="preserve">served as VOSH’s </w:t>
      </w:r>
      <w:r w:rsidR="00042C95">
        <w:rPr>
          <w:rFonts w:cs="Calibri"/>
          <w:iCs/>
        </w:rPr>
        <w:t>h</w:t>
      </w:r>
      <w:r w:rsidR="00B525B1">
        <w:rPr>
          <w:rFonts w:cs="Calibri"/>
          <w:iCs/>
        </w:rPr>
        <w:t xml:space="preserve">ealth director and Marta Fernandes as VOSH’s safety director.  Jay Withrow serves as VOSH’s </w:t>
      </w:r>
      <w:r w:rsidR="00EA69A4">
        <w:rPr>
          <w:rFonts w:cs="Calibri"/>
          <w:iCs/>
        </w:rPr>
        <w:t>D</w:t>
      </w:r>
      <w:r w:rsidR="00B525B1">
        <w:rPr>
          <w:rFonts w:cs="Calibri"/>
          <w:iCs/>
        </w:rPr>
        <w:t xml:space="preserve">irector of the Division of Legal Support (DLS). </w:t>
      </w:r>
      <w:r w:rsidR="007C434D">
        <w:rPr>
          <w:rFonts w:cs="Calibri"/>
          <w:iCs/>
        </w:rPr>
        <w:t xml:space="preserve"> Jennifer Rose continued her </w:t>
      </w:r>
      <w:r w:rsidR="00656C31">
        <w:rPr>
          <w:rFonts w:cs="Calibri"/>
          <w:iCs/>
        </w:rPr>
        <w:t xml:space="preserve">role </w:t>
      </w:r>
      <w:r w:rsidR="007C434D">
        <w:rPr>
          <w:rFonts w:cs="Calibri"/>
          <w:iCs/>
        </w:rPr>
        <w:t xml:space="preserve">within VOSH as </w:t>
      </w:r>
      <w:r w:rsidR="00EA69A4">
        <w:rPr>
          <w:rFonts w:cs="Calibri"/>
          <w:iCs/>
        </w:rPr>
        <w:t>D</w:t>
      </w:r>
      <w:r w:rsidR="007C434D">
        <w:rPr>
          <w:rFonts w:cs="Calibri"/>
          <w:iCs/>
        </w:rPr>
        <w:t xml:space="preserve">irector of Cooperative Programs throughout FY 2021.  </w:t>
      </w:r>
      <w:r w:rsidR="00227C3F">
        <w:rPr>
          <w:rFonts w:cs="Calibri"/>
          <w:iCs/>
        </w:rPr>
        <w:t>The agency directors for safety, health, and consultation services, as well as DLS, the Office of Research and Analysis (ORA), which handles Bureau of Labor Statistics (BLS) survey, Voluntary Protection Programs</w:t>
      </w:r>
      <w:r w:rsidR="00783A33">
        <w:rPr>
          <w:rFonts w:cs="Calibri"/>
          <w:iCs/>
        </w:rPr>
        <w:t xml:space="preserve"> (VPP), Office of Policy, Planning and Public Information (OPPPI), and Office of Whistleblower Protection (OWP), are under the direction of the assistant commissioner who, in turn, reports to the commissioner. </w:t>
      </w:r>
    </w:p>
    <w:p w14:paraId="72520B4D" w14:textId="50887205" w:rsidR="00A65526" w:rsidRDefault="00A65526" w:rsidP="00783189">
      <w:pPr>
        <w:widowControl/>
        <w:autoSpaceDE/>
        <w:autoSpaceDN/>
        <w:adjustRightInd/>
        <w:rPr>
          <w:rFonts w:cs="Calibri"/>
          <w:iCs/>
        </w:rPr>
      </w:pPr>
    </w:p>
    <w:p w14:paraId="1D8B1D22" w14:textId="3EC927DC" w:rsidR="00A65526" w:rsidRDefault="00A65526" w:rsidP="00783189">
      <w:pPr>
        <w:widowControl/>
        <w:autoSpaceDE/>
        <w:autoSpaceDN/>
        <w:adjustRightInd/>
        <w:rPr>
          <w:rFonts w:cs="Calibri"/>
          <w:iCs/>
        </w:rPr>
      </w:pPr>
      <w:r>
        <w:rPr>
          <w:rFonts w:cs="Calibri"/>
          <w:iCs/>
        </w:rPr>
        <w:t xml:space="preserve">VOSH consists of two major units: compliance and cooperative programs, including consultation and training services. </w:t>
      </w:r>
      <w:r w:rsidR="004B4A35">
        <w:rPr>
          <w:rFonts w:cs="Calibri"/>
          <w:iCs/>
        </w:rPr>
        <w:t xml:space="preserve"> The compliance unit inspects workplaces; issues citations and penalties for violations of established occupational standards; and responds to fatalities, incidents, and worker complaints </w:t>
      </w:r>
      <w:r w:rsidR="009D10A5">
        <w:rPr>
          <w:rFonts w:cs="Calibri"/>
          <w:iCs/>
        </w:rPr>
        <w:t xml:space="preserve">about workplace safety and health hazards.  VOSH also conducts randomly scheduled inspections of high hazard industries.  In addition to enforcement efforts, VOSH provides compliance assistance </w:t>
      </w:r>
      <w:r w:rsidR="003219DB">
        <w:rPr>
          <w:rFonts w:cs="Calibri"/>
          <w:iCs/>
        </w:rPr>
        <w:t xml:space="preserve">through targeted outreach, education, and training to emphasize increased awareness on the part of both employers and workers of the importance of a safety and health culture. </w:t>
      </w:r>
    </w:p>
    <w:p w14:paraId="460AFF9C" w14:textId="2EFCD199" w:rsidR="0022250B" w:rsidRDefault="0022250B" w:rsidP="00783189">
      <w:pPr>
        <w:widowControl/>
        <w:autoSpaceDE/>
        <w:autoSpaceDN/>
        <w:adjustRightInd/>
        <w:rPr>
          <w:rFonts w:cs="Calibri"/>
          <w:iCs/>
        </w:rPr>
      </w:pPr>
    </w:p>
    <w:p w14:paraId="3E336ABD" w14:textId="66A60524" w:rsidR="002A063F" w:rsidRDefault="0022250B" w:rsidP="00783189">
      <w:pPr>
        <w:widowControl/>
        <w:autoSpaceDE/>
        <w:autoSpaceDN/>
        <w:adjustRightInd/>
        <w:rPr>
          <w:rFonts w:cs="Calibri"/>
          <w:iCs/>
        </w:rPr>
      </w:pPr>
      <w:r>
        <w:rPr>
          <w:rFonts w:cs="Calibri"/>
          <w:iCs/>
        </w:rPr>
        <w:t>VOSH operates a private sector on-site consultation project under Section 21(d) and an SLG consultation project under Section 23(g) of the OSH Act of 1970.  The consultation services unit assists Virginia’s SLG employers and private employers to voluntarily comply with applicable requirements without issuing citations and penalties.  The VOSH consultation program provides free on-site surveys and technical assistance to Virginia businesses, especially small businesses in high-hazard industries and to SLG employers</w:t>
      </w:r>
      <w:r w:rsidR="002A063F">
        <w:rPr>
          <w:rFonts w:cs="Calibri"/>
          <w:iCs/>
        </w:rPr>
        <w:t>.</w:t>
      </w:r>
      <w:r w:rsidR="003042EB">
        <w:rPr>
          <w:rFonts w:cs="Calibri"/>
          <w:iCs/>
        </w:rPr>
        <w:t xml:space="preserve">  VOSH also provides free educational and training programs for employers and workers to assist them in achieving voluntary compliance. </w:t>
      </w:r>
    </w:p>
    <w:p w14:paraId="516DD289" w14:textId="205342E3" w:rsidR="00306DCA" w:rsidRDefault="00306DCA" w:rsidP="00783189">
      <w:pPr>
        <w:widowControl/>
        <w:autoSpaceDE/>
        <w:autoSpaceDN/>
        <w:adjustRightInd/>
        <w:rPr>
          <w:rFonts w:cs="Calibri"/>
          <w:iCs/>
        </w:rPr>
      </w:pPr>
      <w:r>
        <w:rPr>
          <w:rFonts w:cs="Calibri"/>
          <w:iCs/>
        </w:rPr>
        <w:t xml:space="preserve">VOSH’s Cooperative Programs Division </w:t>
      </w:r>
      <w:r w:rsidR="00BD195F">
        <w:rPr>
          <w:rFonts w:cs="Calibri"/>
          <w:iCs/>
        </w:rPr>
        <w:t>continues to offer</w:t>
      </w:r>
      <w:r>
        <w:rPr>
          <w:rFonts w:cs="Calibri"/>
          <w:iCs/>
        </w:rPr>
        <w:t xml:space="preserve"> six voluntary programs to promote and recognize exceptional workplace safety and health efforts.  They include:</w:t>
      </w:r>
    </w:p>
    <w:p w14:paraId="115B23D3" w14:textId="7079FE43" w:rsidR="00306DCA" w:rsidRDefault="00306DCA" w:rsidP="00783189">
      <w:pPr>
        <w:widowControl/>
        <w:autoSpaceDE/>
        <w:autoSpaceDN/>
        <w:adjustRightInd/>
        <w:rPr>
          <w:rFonts w:cs="Calibri"/>
          <w:iCs/>
        </w:rPr>
      </w:pPr>
    </w:p>
    <w:p w14:paraId="131C3B6A" w14:textId="3CB6248F" w:rsidR="00306DCA" w:rsidRPr="00774279" w:rsidRDefault="003F1381" w:rsidP="003F1381">
      <w:pPr>
        <w:pStyle w:val="ListParagraph"/>
        <w:numPr>
          <w:ilvl w:val="0"/>
          <w:numId w:val="13"/>
        </w:numPr>
        <w:rPr>
          <w:iCs/>
          <w:sz w:val="24"/>
          <w:szCs w:val="24"/>
        </w:rPr>
      </w:pPr>
      <w:r w:rsidRPr="00774279">
        <w:rPr>
          <w:iCs/>
          <w:sz w:val="24"/>
          <w:szCs w:val="24"/>
        </w:rPr>
        <w:t>Virginia Safety and Health Achievement Recognition Program (SHARP);</w:t>
      </w:r>
    </w:p>
    <w:p w14:paraId="32A54C6E" w14:textId="25CBAABE" w:rsidR="003F1381" w:rsidRPr="00774279" w:rsidRDefault="003F1381" w:rsidP="003F1381">
      <w:pPr>
        <w:pStyle w:val="ListParagraph"/>
        <w:numPr>
          <w:ilvl w:val="0"/>
          <w:numId w:val="13"/>
        </w:numPr>
        <w:rPr>
          <w:iCs/>
          <w:sz w:val="24"/>
          <w:szCs w:val="24"/>
        </w:rPr>
      </w:pPr>
      <w:r w:rsidRPr="00774279">
        <w:rPr>
          <w:iCs/>
          <w:sz w:val="24"/>
          <w:szCs w:val="24"/>
        </w:rPr>
        <w:t>Virginia STAR;</w:t>
      </w:r>
    </w:p>
    <w:p w14:paraId="11621504" w14:textId="120A2672" w:rsidR="003F1381" w:rsidRPr="00774279" w:rsidRDefault="003F1381" w:rsidP="003F1381">
      <w:pPr>
        <w:pStyle w:val="ListParagraph"/>
        <w:numPr>
          <w:ilvl w:val="0"/>
          <w:numId w:val="13"/>
        </w:numPr>
        <w:rPr>
          <w:iCs/>
          <w:sz w:val="24"/>
          <w:szCs w:val="24"/>
        </w:rPr>
      </w:pPr>
      <w:r w:rsidRPr="00774279">
        <w:rPr>
          <w:iCs/>
          <w:sz w:val="24"/>
          <w:szCs w:val="24"/>
        </w:rPr>
        <w:t>Virginia BEST (Building Excellence in Safety, Health, and Training);</w:t>
      </w:r>
    </w:p>
    <w:p w14:paraId="2A71A0DB" w14:textId="43CDE312" w:rsidR="003F1381" w:rsidRPr="00774279" w:rsidRDefault="003F1381" w:rsidP="003F1381">
      <w:pPr>
        <w:pStyle w:val="ListParagraph"/>
        <w:numPr>
          <w:ilvl w:val="0"/>
          <w:numId w:val="13"/>
        </w:numPr>
        <w:rPr>
          <w:iCs/>
          <w:sz w:val="24"/>
          <w:szCs w:val="24"/>
        </w:rPr>
      </w:pPr>
      <w:r w:rsidRPr="00774279">
        <w:rPr>
          <w:iCs/>
          <w:sz w:val="24"/>
          <w:szCs w:val="24"/>
        </w:rPr>
        <w:t>Virginia C</w:t>
      </w:r>
      <w:r w:rsidR="001024C8">
        <w:rPr>
          <w:iCs/>
          <w:sz w:val="24"/>
          <w:szCs w:val="24"/>
        </w:rPr>
        <w:t>HALLENGE</w:t>
      </w:r>
      <w:r w:rsidRPr="00774279">
        <w:rPr>
          <w:iCs/>
          <w:sz w:val="24"/>
          <w:szCs w:val="24"/>
        </w:rPr>
        <w:t xml:space="preserve"> </w:t>
      </w:r>
      <w:proofErr w:type="gramStart"/>
      <w:r w:rsidRPr="00774279">
        <w:rPr>
          <w:iCs/>
          <w:sz w:val="24"/>
          <w:szCs w:val="24"/>
        </w:rPr>
        <w:t>Program;</w:t>
      </w:r>
      <w:proofErr w:type="gramEnd"/>
    </w:p>
    <w:p w14:paraId="03331625" w14:textId="5ADDD784" w:rsidR="003F1381" w:rsidRPr="00774279" w:rsidRDefault="003F1381" w:rsidP="003F1381">
      <w:pPr>
        <w:pStyle w:val="ListParagraph"/>
        <w:numPr>
          <w:ilvl w:val="0"/>
          <w:numId w:val="13"/>
        </w:numPr>
        <w:rPr>
          <w:iCs/>
          <w:sz w:val="24"/>
          <w:szCs w:val="24"/>
        </w:rPr>
      </w:pPr>
      <w:r w:rsidRPr="00774279">
        <w:rPr>
          <w:iCs/>
          <w:sz w:val="24"/>
          <w:szCs w:val="24"/>
        </w:rPr>
        <w:t>Virginia Department of Corrections (VADO</w:t>
      </w:r>
      <w:r w:rsidR="00AD1B52" w:rsidRPr="00774279">
        <w:rPr>
          <w:iCs/>
          <w:sz w:val="24"/>
          <w:szCs w:val="24"/>
        </w:rPr>
        <w:t>C) C</w:t>
      </w:r>
      <w:r w:rsidR="001024C8">
        <w:rPr>
          <w:iCs/>
          <w:sz w:val="24"/>
          <w:szCs w:val="24"/>
        </w:rPr>
        <w:t>HALLANGE</w:t>
      </w:r>
      <w:r w:rsidR="00AD1B52" w:rsidRPr="00774279">
        <w:rPr>
          <w:iCs/>
          <w:sz w:val="24"/>
          <w:szCs w:val="24"/>
        </w:rPr>
        <w:t>; and</w:t>
      </w:r>
    </w:p>
    <w:p w14:paraId="42F4E414" w14:textId="3539CDD1" w:rsidR="00AD1B52" w:rsidRPr="00774279" w:rsidRDefault="00AD1B52" w:rsidP="003F1381">
      <w:pPr>
        <w:pStyle w:val="ListParagraph"/>
        <w:numPr>
          <w:ilvl w:val="0"/>
          <w:numId w:val="13"/>
        </w:numPr>
        <w:rPr>
          <w:iCs/>
          <w:sz w:val="24"/>
          <w:szCs w:val="24"/>
        </w:rPr>
      </w:pPr>
      <w:r w:rsidRPr="00774279">
        <w:rPr>
          <w:iCs/>
          <w:sz w:val="24"/>
          <w:szCs w:val="24"/>
        </w:rPr>
        <w:t xml:space="preserve">Virginia BUILT (Building Safety and Health Excellence in Construction </w:t>
      </w:r>
      <w:r w:rsidR="00381162" w:rsidRPr="00774279">
        <w:rPr>
          <w:iCs/>
          <w:sz w:val="24"/>
          <w:szCs w:val="24"/>
        </w:rPr>
        <w:t>through Mentorship and Training).</w:t>
      </w:r>
    </w:p>
    <w:p w14:paraId="5AA77D31" w14:textId="4188A34E" w:rsidR="00C27768" w:rsidRDefault="00BD195F" w:rsidP="00BD195F">
      <w:pPr>
        <w:rPr>
          <w:iCs/>
        </w:rPr>
      </w:pPr>
      <w:r>
        <w:rPr>
          <w:iCs/>
        </w:rPr>
        <w:t>VOSH’s</w:t>
      </w:r>
      <w:r w:rsidR="00BB3936">
        <w:rPr>
          <w:iCs/>
        </w:rPr>
        <w:t xml:space="preserve"> compliance</w:t>
      </w:r>
      <w:r>
        <w:rPr>
          <w:iCs/>
        </w:rPr>
        <w:t xml:space="preserve"> role </w:t>
      </w:r>
      <w:r w:rsidR="00BB3936">
        <w:rPr>
          <w:iCs/>
        </w:rPr>
        <w:t xml:space="preserve">is to enforce safety and health </w:t>
      </w:r>
      <w:r w:rsidR="002A063F">
        <w:rPr>
          <w:iCs/>
        </w:rPr>
        <w:t xml:space="preserve">laws, </w:t>
      </w:r>
      <w:r w:rsidR="00D21D73">
        <w:rPr>
          <w:iCs/>
        </w:rPr>
        <w:t>standards,</w:t>
      </w:r>
      <w:r w:rsidR="002A063F">
        <w:rPr>
          <w:iCs/>
        </w:rPr>
        <w:t xml:space="preserve"> and </w:t>
      </w:r>
      <w:r w:rsidR="00BB3936">
        <w:rPr>
          <w:iCs/>
        </w:rPr>
        <w:t>regulations</w:t>
      </w:r>
      <w:r w:rsidR="00CF533C">
        <w:rPr>
          <w:iCs/>
        </w:rPr>
        <w:t xml:space="preserve"> (“standards”)</w:t>
      </w:r>
      <w:r w:rsidR="00BB3936">
        <w:rPr>
          <w:iCs/>
        </w:rPr>
        <w:t xml:space="preserve"> for general industry, construction</w:t>
      </w:r>
      <w:r w:rsidR="00321B8B">
        <w:rPr>
          <w:iCs/>
        </w:rPr>
        <w:t>, agricultural, and SLG maritime employers.  All standards adopted by the Safety and Health Codes Board apply to all employers who have workers working within the jurisdiction of</w:t>
      </w:r>
      <w:r w:rsidR="00222F0E">
        <w:rPr>
          <w:iCs/>
        </w:rPr>
        <w:t xml:space="preserve"> the Commonwealth of Virginia.  VOSH covers both SLG employers and workers </w:t>
      </w:r>
      <w:r w:rsidR="00D10109">
        <w:rPr>
          <w:iCs/>
        </w:rPr>
        <w:t xml:space="preserve">as well as private sector employers and workers in Virginia, </w:t>
      </w:r>
      <w:r w:rsidR="00C27768">
        <w:rPr>
          <w:iCs/>
        </w:rPr>
        <w:t>except for</w:t>
      </w:r>
      <w:r w:rsidR="00D10109">
        <w:rPr>
          <w:iCs/>
        </w:rPr>
        <w:t xml:space="preserve"> federal workers, the United States Postal Service, private sector maritime, </w:t>
      </w:r>
      <w:r w:rsidR="002B50AF">
        <w:rPr>
          <w:iCs/>
        </w:rPr>
        <w:t xml:space="preserve">employment at worksites located within federal </w:t>
      </w:r>
      <w:r w:rsidR="003C4867">
        <w:rPr>
          <w:iCs/>
        </w:rPr>
        <w:t>military facilities</w:t>
      </w:r>
      <w:r w:rsidR="004926C8">
        <w:rPr>
          <w:iCs/>
        </w:rPr>
        <w:t xml:space="preserve"> and other federal enclaves where the state has ceded coverage to the federal government</w:t>
      </w:r>
      <w:r w:rsidR="00266AAD">
        <w:rPr>
          <w:iCs/>
        </w:rPr>
        <w:t>, an</w:t>
      </w:r>
      <w:r w:rsidR="00CF533C">
        <w:rPr>
          <w:iCs/>
        </w:rPr>
        <w:t>d</w:t>
      </w:r>
      <w:r w:rsidR="00266AAD">
        <w:rPr>
          <w:iCs/>
        </w:rPr>
        <w:t xml:space="preserve"> onboard aircraft in operation. </w:t>
      </w:r>
    </w:p>
    <w:p w14:paraId="0CC146C2" w14:textId="77777777" w:rsidR="00C27768" w:rsidRDefault="00C27768" w:rsidP="00BD195F">
      <w:pPr>
        <w:rPr>
          <w:iCs/>
        </w:rPr>
      </w:pPr>
    </w:p>
    <w:p w14:paraId="699C8114" w14:textId="7BC842BD" w:rsidR="00774279" w:rsidRDefault="00C27768" w:rsidP="00BD195F">
      <w:pPr>
        <w:rPr>
          <w:iCs/>
        </w:rPr>
      </w:pPr>
      <w:r>
        <w:rPr>
          <w:iCs/>
        </w:rPr>
        <w:t xml:space="preserve">The </w:t>
      </w:r>
      <w:r w:rsidR="009E46B7">
        <w:rPr>
          <w:iCs/>
        </w:rPr>
        <w:t>VOSH Program</w:t>
      </w:r>
      <w:r>
        <w:rPr>
          <w:iCs/>
        </w:rPr>
        <w:t xml:space="preserve"> mirrors the federal program as closely as possible while recognizing the aut</w:t>
      </w:r>
      <w:r w:rsidR="006D65A1">
        <w:rPr>
          <w:iCs/>
        </w:rPr>
        <w:t>onomy and unique characteristics of the state.  The majority of VOSH standards are identical to OSHA standards.  However, VOSH has enacted unique regulations covering overhead high vol</w:t>
      </w:r>
      <w:r w:rsidR="000A74F3">
        <w:rPr>
          <w:iCs/>
        </w:rPr>
        <w:t>tage line safety; fall protection in steel erection; reverse signal operation of vehicles, machinery, tool and equipment in general industry</w:t>
      </w:r>
      <w:r w:rsidR="007278E5">
        <w:rPr>
          <w:iCs/>
        </w:rPr>
        <w:t>, construction, maritime (SLG only), and agriculture; tree trimming</w:t>
      </w:r>
      <w:r w:rsidR="00793850">
        <w:rPr>
          <w:iCs/>
        </w:rPr>
        <w:t>; and</w:t>
      </w:r>
      <w:r w:rsidR="00793850" w:rsidRPr="00793850">
        <w:t xml:space="preserve"> </w:t>
      </w:r>
      <w:r w:rsidR="00793850" w:rsidRPr="00793850">
        <w:rPr>
          <w:iCs/>
        </w:rPr>
        <w:t>confined space hazards in telecommunication industries</w:t>
      </w:r>
      <w:r w:rsidR="007278E5">
        <w:rPr>
          <w:iCs/>
        </w:rPr>
        <w:t>.  In these instances, either OSHA does not have a comparable standard addressing the specific hazard or condition, or if it does, the federal standard differs substantially.</w:t>
      </w:r>
    </w:p>
    <w:p w14:paraId="054B8041" w14:textId="77777777" w:rsidR="00774279" w:rsidRDefault="00774279" w:rsidP="00BD195F">
      <w:pPr>
        <w:rPr>
          <w:iCs/>
        </w:rPr>
      </w:pPr>
    </w:p>
    <w:p w14:paraId="0A8F567F" w14:textId="41456B09" w:rsidR="005E29EA" w:rsidRDefault="003C314D" w:rsidP="00BD195F">
      <w:pPr>
        <w:rPr>
          <w:iCs/>
        </w:rPr>
      </w:pPr>
      <w:r>
        <w:rPr>
          <w:iCs/>
        </w:rPr>
        <w:t>VOSH’s Administrative Regulations Manual (ARM), 16 VAC 25-60-</w:t>
      </w:r>
      <w:r w:rsidR="00B119D0">
        <w:rPr>
          <w:iCs/>
        </w:rPr>
        <w:t>270, et seq., sets forth rules defining the applicability of occupational safety and health standards in Virginia.  VOSH enforces the Virginia Department of Transportation (VDOT) Work Area Protection M</w:t>
      </w:r>
      <w:r w:rsidR="00A83B87">
        <w:rPr>
          <w:iCs/>
        </w:rPr>
        <w:t xml:space="preserve">anual in lieu of the federal Manual on Uniform Traffic Control Devices (MUTCD) referenced in 29 CFR </w:t>
      </w:r>
      <w:r w:rsidR="00E86E3A">
        <w:rPr>
          <w:iCs/>
        </w:rPr>
        <w:t xml:space="preserve">1926.200 and 1926.202.  Virginia has codified in regulation the Multi-Employer Worksite Policy </w:t>
      </w:r>
      <w:r w:rsidR="00D07C87">
        <w:rPr>
          <w:iCs/>
        </w:rPr>
        <w:t xml:space="preserve">and Multi-Employer Misconduct </w:t>
      </w:r>
      <w:r w:rsidR="005E29EA">
        <w:rPr>
          <w:iCs/>
        </w:rPr>
        <w:t>Defense but</w:t>
      </w:r>
      <w:r w:rsidR="00D07C87">
        <w:rPr>
          <w:iCs/>
        </w:rPr>
        <w:t xml:space="preserve"> provides that the defense does not apply to supervisory personnel having control of the worksite. </w:t>
      </w:r>
    </w:p>
    <w:p w14:paraId="74A3749D" w14:textId="77777777" w:rsidR="005E29EA" w:rsidRDefault="005E29EA" w:rsidP="00BD195F">
      <w:pPr>
        <w:rPr>
          <w:iCs/>
        </w:rPr>
      </w:pPr>
    </w:p>
    <w:p w14:paraId="4649F87D" w14:textId="0A203250" w:rsidR="00264FCD" w:rsidRPr="000353C0" w:rsidRDefault="00B74937" w:rsidP="000353C0">
      <w:pPr>
        <w:rPr>
          <w:iCs/>
        </w:rPr>
      </w:pPr>
      <w:r>
        <w:rPr>
          <w:rFonts w:cs="Calibri"/>
          <w:iCs/>
        </w:rPr>
        <w:t xml:space="preserve">The 2021 Virginia General Assembly approved 100% state funding for 12 benchmark positions that took effect on July 1, 2021.  Due to the funding increase, VOSH has been actively recruiting safety and health compliance staff to fill vacancies.  </w:t>
      </w:r>
      <w:r w:rsidR="00486957">
        <w:rPr>
          <w:iCs/>
        </w:rPr>
        <w:t xml:space="preserve">Based on </w:t>
      </w:r>
      <w:r>
        <w:rPr>
          <w:iCs/>
        </w:rPr>
        <w:t>its</w:t>
      </w:r>
      <w:r w:rsidR="00486957">
        <w:rPr>
          <w:iCs/>
        </w:rPr>
        <w:t xml:space="preserve"> </w:t>
      </w:r>
      <w:r w:rsidR="0066605E">
        <w:rPr>
          <w:iCs/>
        </w:rPr>
        <w:t>FY</w:t>
      </w:r>
      <w:r w:rsidR="00F74C4E">
        <w:rPr>
          <w:iCs/>
        </w:rPr>
        <w:t xml:space="preserve"> 2023 grant application, VOSH filled 76% of </w:t>
      </w:r>
      <w:r w:rsidR="00E7427E">
        <w:rPr>
          <w:iCs/>
        </w:rPr>
        <w:t>safety compliance officer benchmarks</w:t>
      </w:r>
      <w:r w:rsidR="00E92280">
        <w:rPr>
          <w:iCs/>
        </w:rPr>
        <w:t xml:space="preserve"> </w:t>
      </w:r>
      <w:r w:rsidR="00D722FD">
        <w:rPr>
          <w:iCs/>
        </w:rPr>
        <w:t>and</w:t>
      </w:r>
      <w:r w:rsidR="00E7427E">
        <w:rPr>
          <w:iCs/>
        </w:rPr>
        <w:t xml:space="preserve"> met its </w:t>
      </w:r>
      <w:r w:rsidR="00E537C1">
        <w:rPr>
          <w:iCs/>
        </w:rPr>
        <w:t>health compliance officer benchmark</w:t>
      </w:r>
      <w:r w:rsidR="00751CC5">
        <w:rPr>
          <w:iCs/>
        </w:rPr>
        <w:t>.</w:t>
      </w:r>
      <w:r w:rsidR="00E92280">
        <w:rPr>
          <w:iCs/>
        </w:rPr>
        <w:t xml:space="preserve">  </w:t>
      </w:r>
      <w:r w:rsidR="005E29EA">
        <w:rPr>
          <w:iCs/>
        </w:rPr>
        <w:t xml:space="preserve">VOSH overmatched </w:t>
      </w:r>
      <w:r w:rsidR="00DB3088">
        <w:rPr>
          <w:iCs/>
        </w:rPr>
        <w:t xml:space="preserve">the </w:t>
      </w:r>
      <w:r w:rsidR="00322CBB">
        <w:rPr>
          <w:iCs/>
        </w:rPr>
        <w:t>$</w:t>
      </w:r>
      <w:r w:rsidR="00127AF6">
        <w:rPr>
          <w:iCs/>
        </w:rPr>
        <w:t>4,410,800</w:t>
      </w:r>
      <w:r w:rsidR="00276292">
        <w:rPr>
          <w:iCs/>
        </w:rPr>
        <w:t xml:space="preserve"> federal award by $1,450,000</w:t>
      </w:r>
      <w:r w:rsidR="00A71419">
        <w:rPr>
          <w:iCs/>
        </w:rPr>
        <w:t xml:space="preserve">, contributing to </w:t>
      </w:r>
      <w:r w:rsidR="00670753">
        <w:rPr>
          <w:iCs/>
        </w:rPr>
        <w:lastRenderedPageBreak/>
        <w:t>57</w:t>
      </w:r>
      <w:r w:rsidR="00AC3A1C">
        <w:rPr>
          <w:iCs/>
        </w:rPr>
        <w:t xml:space="preserve">% of its funding in FY 2022. </w:t>
      </w:r>
    </w:p>
    <w:p w14:paraId="68FBAFD2" w14:textId="6B7CD38C" w:rsidR="00781312" w:rsidRPr="001C1E47" w:rsidRDefault="00781312" w:rsidP="00783189">
      <w:pPr>
        <w:widowControl/>
        <w:autoSpaceDE/>
        <w:autoSpaceDN/>
        <w:adjustRightInd/>
        <w:contextualSpacing/>
        <w:rPr>
          <w:rFonts w:cs="Calibri"/>
          <w:b/>
        </w:rPr>
      </w:pPr>
      <w:r w:rsidRPr="001C1E47">
        <w:rPr>
          <w:rFonts w:cs="Calibri"/>
          <w:b/>
        </w:rPr>
        <w:t>New Issues</w:t>
      </w:r>
    </w:p>
    <w:p w14:paraId="1A950952" w14:textId="77777777" w:rsidR="00781312" w:rsidRPr="001C1E47" w:rsidRDefault="00781312" w:rsidP="00783189">
      <w:pPr>
        <w:ind w:left="720"/>
        <w:contextualSpacing/>
        <w:rPr>
          <w:rFonts w:cs="Calibri"/>
          <w:sz w:val="28"/>
          <w:szCs w:val="28"/>
        </w:rPr>
      </w:pPr>
    </w:p>
    <w:p w14:paraId="5ECF495A" w14:textId="65267C68" w:rsidR="001E713D" w:rsidRDefault="001E713D" w:rsidP="001E713D">
      <w:pPr>
        <w:widowControl/>
        <w:autoSpaceDE/>
        <w:autoSpaceDN/>
        <w:adjustRightInd/>
        <w:rPr>
          <w:rFonts w:cs="Calibri"/>
          <w:iCs/>
        </w:rPr>
      </w:pPr>
      <w:r>
        <w:rPr>
          <w:rFonts w:cs="Calibri"/>
          <w:iCs/>
        </w:rPr>
        <w:t>VOSH’s</w:t>
      </w:r>
      <w:r w:rsidRPr="002B4CAA">
        <w:rPr>
          <w:rFonts w:cs="Calibri"/>
          <w:iCs/>
        </w:rPr>
        <w:t xml:space="preserve"> Infectious Disease Prevention: SARS-CoV-2 Virus that Causes COVID-19 ETS became effective on July 27, </w:t>
      </w:r>
      <w:r w:rsidR="001024C8" w:rsidRPr="002B4CAA">
        <w:rPr>
          <w:rFonts w:cs="Calibri"/>
          <w:iCs/>
        </w:rPr>
        <w:t>2020,</w:t>
      </w:r>
      <w:r w:rsidRPr="002B4CAA">
        <w:rPr>
          <w:rFonts w:cs="Calibri"/>
          <w:iCs/>
        </w:rPr>
        <w:t xml:space="preserve"> and expired on January 26, 2021.  On January 27, 2021, VOSH’s COVID-19 ETS, Infectious Disease Prevention of the SARS-CoV-2 Virus that Causes COVID-19 (16VAC25-220), became the first final, permanent standard.</w:t>
      </w:r>
      <w:r>
        <w:rPr>
          <w:rFonts w:cs="Calibri"/>
          <w:iCs/>
        </w:rPr>
        <w:t xml:space="preserve">  On March 21, 2022, the Virginia Safety and </w:t>
      </w:r>
      <w:r w:rsidR="00B74937">
        <w:rPr>
          <w:rFonts w:cs="Calibri"/>
          <w:iCs/>
        </w:rPr>
        <w:t>H</w:t>
      </w:r>
      <w:r>
        <w:rPr>
          <w:rFonts w:cs="Calibri"/>
          <w:iCs/>
        </w:rPr>
        <w:t>ealth Codes Board adopted the final revocation of the Virginia Standard for Infectious Disease Prevention of the SARS-CoV-2 Virus that Causes COVID-19 (16VAC25-220).  Revocation of the standard became effective on March 23, 2022.</w:t>
      </w:r>
    </w:p>
    <w:p w14:paraId="4D45CF2E" w14:textId="7CDE8F22" w:rsidR="00780E29" w:rsidRDefault="00780E29" w:rsidP="00783189">
      <w:pPr>
        <w:widowControl/>
        <w:autoSpaceDE/>
        <w:autoSpaceDN/>
        <w:adjustRightInd/>
        <w:rPr>
          <w:rFonts w:cs="Calibri"/>
          <w:iCs/>
          <w:color w:val="0070C0"/>
        </w:rPr>
      </w:pPr>
    </w:p>
    <w:p w14:paraId="0A29FCDE" w14:textId="40051B71" w:rsidR="00054900" w:rsidRPr="00476C08" w:rsidRDefault="00054900" w:rsidP="00476C08">
      <w:pPr>
        <w:pStyle w:val="Heading2"/>
      </w:pPr>
      <w:bookmarkStart w:id="9" w:name="_Toc118900172"/>
      <w:bookmarkStart w:id="10" w:name="_Toc118905011"/>
      <w:bookmarkStart w:id="11" w:name="_Toc119418665"/>
      <w:r w:rsidRPr="00476C08">
        <w:t xml:space="preserve">Assessment of State Plan </w:t>
      </w:r>
      <w:r w:rsidR="001E2FBB" w:rsidRPr="00476C08">
        <w:t xml:space="preserve">Progress and </w:t>
      </w:r>
      <w:r w:rsidRPr="00476C08">
        <w:t>Performance</w:t>
      </w:r>
      <w:bookmarkEnd w:id="9"/>
      <w:bookmarkEnd w:id="10"/>
      <w:bookmarkEnd w:id="11"/>
    </w:p>
    <w:p w14:paraId="07D68C5F" w14:textId="77777777" w:rsidR="00054900" w:rsidRPr="001C1E47" w:rsidRDefault="00054900" w:rsidP="00783189">
      <w:pPr>
        <w:widowControl/>
        <w:autoSpaceDE/>
        <w:autoSpaceDN/>
        <w:adjustRightInd/>
        <w:rPr>
          <w:rFonts w:cs="Calibri"/>
        </w:rPr>
      </w:pPr>
    </w:p>
    <w:p w14:paraId="4CD3C312" w14:textId="7190BEED" w:rsidR="000A134A" w:rsidRPr="00C53328" w:rsidRDefault="000A134A" w:rsidP="000353C0">
      <w:pPr>
        <w:pStyle w:val="Heading3"/>
        <w:numPr>
          <w:ilvl w:val="0"/>
          <w:numId w:val="15"/>
        </w:numPr>
      </w:pPr>
      <w:bookmarkStart w:id="12" w:name="_Toc118900173"/>
      <w:bookmarkStart w:id="13" w:name="_Toc118905012"/>
      <w:bookmarkStart w:id="14" w:name="_Toc119418666"/>
      <w:r w:rsidRPr="00C53328">
        <w:t>Data and Methodology</w:t>
      </w:r>
      <w:bookmarkEnd w:id="12"/>
      <w:bookmarkEnd w:id="13"/>
      <w:bookmarkEnd w:id="14"/>
    </w:p>
    <w:p w14:paraId="72EF69F8" w14:textId="77777777" w:rsidR="000A134A" w:rsidRPr="001C1E47" w:rsidRDefault="000A134A" w:rsidP="00783189">
      <w:pPr>
        <w:widowControl/>
        <w:autoSpaceDE/>
        <w:autoSpaceDN/>
        <w:adjustRightInd/>
        <w:ind w:left="1440"/>
        <w:rPr>
          <w:rFonts w:cs="Calibri"/>
          <w:bCs/>
        </w:rPr>
      </w:pPr>
    </w:p>
    <w:p w14:paraId="6F8398D5" w14:textId="2DFA2789" w:rsidR="008000B4" w:rsidRDefault="008000B4" w:rsidP="00783189">
      <w:pPr>
        <w:widowControl/>
        <w:autoSpaceDE/>
        <w:autoSpaceDN/>
        <w:adjustRightInd/>
        <w:rPr>
          <w:rFonts w:cs="Calibri"/>
          <w:bCs/>
          <w:iCs/>
        </w:rPr>
      </w:pPr>
      <w:r w:rsidRPr="008000B4">
        <w:rPr>
          <w:rFonts w:cs="Calibri"/>
          <w:bCs/>
          <w:iCs/>
        </w:rPr>
        <w:t>OSHA</w:t>
      </w:r>
      <w:r>
        <w:rPr>
          <w:rFonts w:cs="Calibri"/>
          <w:bCs/>
          <w:iCs/>
        </w:rPr>
        <w:t xml:space="preserve"> established a two-year cycle for the FAME process.  This </w:t>
      </w:r>
      <w:r w:rsidR="003E65E7">
        <w:rPr>
          <w:rFonts w:cs="Calibri"/>
          <w:bCs/>
          <w:iCs/>
        </w:rPr>
        <w:t xml:space="preserve">report represents </w:t>
      </w:r>
      <w:r>
        <w:rPr>
          <w:rFonts w:cs="Calibri"/>
          <w:bCs/>
          <w:iCs/>
        </w:rPr>
        <w:t>the follow-up year and</w:t>
      </w:r>
      <w:r w:rsidR="003E65E7">
        <w:rPr>
          <w:rFonts w:cs="Calibri"/>
          <w:bCs/>
          <w:iCs/>
        </w:rPr>
        <w:t>,</w:t>
      </w:r>
      <w:r>
        <w:rPr>
          <w:rFonts w:cs="Calibri"/>
          <w:bCs/>
          <w:iCs/>
        </w:rPr>
        <w:t xml:space="preserve"> as such, OSHA did not perform an on-site evaluation and case file review.  The strategy allows the State Plan to focus on correcting deficiencies identified in the most recent comprehensive FAME.  The analyses and conclusions described in this report are based on information obtained from a variety of monitoring sources, including:</w:t>
      </w:r>
    </w:p>
    <w:p w14:paraId="32D1052E" w14:textId="17C082E4" w:rsidR="008000B4" w:rsidRDefault="008000B4" w:rsidP="00783189">
      <w:pPr>
        <w:widowControl/>
        <w:autoSpaceDE/>
        <w:autoSpaceDN/>
        <w:adjustRightInd/>
        <w:rPr>
          <w:rFonts w:cs="Calibri"/>
          <w:bCs/>
          <w:iCs/>
        </w:rPr>
      </w:pPr>
    </w:p>
    <w:p w14:paraId="4F6A1BC0" w14:textId="2717A922" w:rsidR="008000B4" w:rsidRPr="00C11454" w:rsidRDefault="008000B4" w:rsidP="008000B4">
      <w:pPr>
        <w:pStyle w:val="ListParagraph"/>
        <w:numPr>
          <w:ilvl w:val="0"/>
          <w:numId w:val="14"/>
        </w:numPr>
        <w:rPr>
          <w:bCs/>
          <w:iCs/>
          <w:sz w:val="24"/>
          <w:szCs w:val="24"/>
        </w:rPr>
      </w:pPr>
      <w:r w:rsidRPr="00C11454">
        <w:rPr>
          <w:bCs/>
          <w:iCs/>
          <w:sz w:val="24"/>
          <w:szCs w:val="24"/>
        </w:rPr>
        <w:t>State Activity Mandated Measures</w:t>
      </w:r>
      <w:r w:rsidR="00EF4B7F">
        <w:rPr>
          <w:bCs/>
          <w:iCs/>
          <w:sz w:val="24"/>
          <w:szCs w:val="24"/>
        </w:rPr>
        <w:t xml:space="preserve"> (SAMM)</w:t>
      </w:r>
      <w:r w:rsidRPr="00C11454">
        <w:rPr>
          <w:bCs/>
          <w:iCs/>
          <w:sz w:val="24"/>
          <w:szCs w:val="24"/>
        </w:rPr>
        <w:t xml:space="preserve"> Report (Appendix D)</w:t>
      </w:r>
    </w:p>
    <w:p w14:paraId="74300C9C" w14:textId="0D8C7F42" w:rsidR="008000B4" w:rsidRPr="00C11454" w:rsidRDefault="008000B4" w:rsidP="008000B4">
      <w:pPr>
        <w:pStyle w:val="ListParagraph"/>
        <w:numPr>
          <w:ilvl w:val="0"/>
          <w:numId w:val="14"/>
        </w:numPr>
        <w:rPr>
          <w:bCs/>
          <w:iCs/>
          <w:sz w:val="24"/>
          <w:szCs w:val="24"/>
        </w:rPr>
      </w:pPr>
      <w:r w:rsidRPr="00C11454">
        <w:rPr>
          <w:bCs/>
          <w:iCs/>
          <w:sz w:val="24"/>
          <w:szCs w:val="24"/>
        </w:rPr>
        <w:t>State Information Report (SIR)</w:t>
      </w:r>
    </w:p>
    <w:p w14:paraId="61FAB475" w14:textId="56D225F2" w:rsidR="008000B4" w:rsidRPr="00C11454" w:rsidRDefault="008000B4" w:rsidP="008000B4">
      <w:pPr>
        <w:pStyle w:val="ListParagraph"/>
        <w:numPr>
          <w:ilvl w:val="0"/>
          <w:numId w:val="14"/>
        </w:numPr>
        <w:rPr>
          <w:bCs/>
          <w:iCs/>
          <w:sz w:val="24"/>
          <w:szCs w:val="24"/>
        </w:rPr>
      </w:pPr>
      <w:r w:rsidRPr="00C11454">
        <w:rPr>
          <w:bCs/>
          <w:iCs/>
          <w:sz w:val="24"/>
          <w:szCs w:val="24"/>
        </w:rPr>
        <w:t>Mandate Activities Report for Consul</w:t>
      </w:r>
      <w:r w:rsidR="00C11454" w:rsidRPr="00C11454">
        <w:rPr>
          <w:bCs/>
          <w:iCs/>
          <w:sz w:val="24"/>
          <w:szCs w:val="24"/>
        </w:rPr>
        <w:t>tation (MARC)</w:t>
      </w:r>
    </w:p>
    <w:p w14:paraId="57068B75" w14:textId="6EE2C35E" w:rsidR="00C11454" w:rsidRPr="00C11454" w:rsidRDefault="00C11454" w:rsidP="008000B4">
      <w:pPr>
        <w:pStyle w:val="ListParagraph"/>
        <w:numPr>
          <w:ilvl w:val="0"/>
          <w:numId w:val="14"/>
        </w:numPr>
        <w:rPr>
          <w:bCs/>
          <w:iCs/>
          <w:sz w:val="24"/>
          <w:szCs w:val="24"/>
        </w:rPr>
      </w:pPr>
      <w:r w:rsidRPr="00C11454">
        <w:rPr>
          <w:bCs/>
          <w:iCs/>
          <w:sz w:val="24"/>
          <w:szCs w:val="24"/>
        </w:rPr>
        <w:t xml:space="preserve">State OSHA Annual Report </w:t>
      </w:r>
      <w:r w:rsidR="00170A62">
        <w:rPr>
          <w:bCs/>
          <w:iCs/>
          <w:sz w:val="24"/>
          <w:szCs w:val="24"/>
        </w:rPr>
        <w:t xml:space="preserve">(SOAR) </w:t>
      </w:r>
    </w:p>
    <w:p w14:paraId="472754DE" w14:textId="40397010" w:rsidR="00C11454" w:rsidRPr="00C11454" w:rsidRDefault="00C11454" w:rsidP="008000B4">
      <w:pPr>
        <w:pStyle w:val="ListParagraph"/>
        <w:numPr>
          <w:ilvl w:val="0"/>
          <w:numId w:val="14"/>
        </w:numPr>
        <w:rPr>
          <w:bCs/>
          <w:iCs/>
          <w:sz w:val="24"/>
          <w:szCs w:val="24"/>
        </w:rPr>
      </w:pPr>
      <w:r w:rsidRPr="00C11454">
        <w:rPr>
          <w:bCs/>
          <w:iCs/>
          <w:sz w:val="24"/>
          <w:szCs w:val="24"/>
        </w:rPr>
        <w:t xml:space="preserve">State Plan </w:t>
      </w:r>
      <w:r w:rsidR="00EF4B7F">
        <w:rPr>
          <w:bCs/>
          <w:iCs/>
          <w:sz w:val="24"/>
          <w:szCs w:val="24"/>
        </w:rPr>
        <w:t xml:space="preserve">Annual </w:t>
      </w:r>
      <w:r w:rsidRPr="00C11454">
        <w:rPr>
          <w:bCs/>
          <w:iCs/>
          <w:sz w:val="24"/>
          <w:szCs w:val="24"/>
        </w:rPr>
        <w:t>Performance Plan</w:t>
      </w:r>
      <w:r w:rsidR="00EF4B7F">
        <w:rPr>
          <w:bCs/>
          <w:iCs/>
          <w:sz w:val="24"/>
          <w:szCs w:val="24"/>
        </w:rPr>
        <w:t xml:space="preserve"> (APP)</w:t>
      </w:r>
    </w:p>
    <w:p w14:paraId="7BB6516E" w14:textId="1B647C72" w:rsidR="00C11454" w:rsidRPr="00170A62" w:rsidRDefault="00C11454" w:rsidP="00170A62">
      <w:pPr>
        <w:pStyle w:val="ListParagraph"/>
        <w:numPr>
          <w:ilvl w:val="0"/>
          <w:numId w:val="14"/>
        </w:numPr>
        <w:rPr>
          <w:bCs/>
          <w:iCs/>
          <w:sz w:val="24"/>
          <w:szCs w:val="24"/>
        </w:rPr>
      </w:pPr>
      <w:r w:rsidRPr="00C11454">
        <w:rPr>
          <w:bCs/>
          <w:iCs/>
          <w:sz w:val="24"/>
          <w:szCs w:val="24"/>
        </w:rPr>
        <w:t>State Plan Grant Application</w:t>
      </w:r>
    </w:p>
    <w:p w14:paraId="7EA0158E" w14:textId="7DE3E862" w:rsidR="001E2FBB" w:rsidRPr="00DE4EB5" w:rsidRDefault="00C11454" w:rsidP="00783189">
      <w:pPr>
        <w:pStyle w:val="ListParagraph"/>
        <w:numPr>
          <w:ilvl w:val="0"/>
          <w:numId w:val="14"/>
        </w:numPr>
        <w:rPr>
          <w:bCs/>
          <w:iCs/>
          <w:sz w:val="24"/>
          <w:szCs w:val="24"/>
        </w:rPr>
      </w:pPr>
      <w:r w:rsidRPr="00C11454">
        <w:rPr>
          <w:bCs/>
          <w:iCs/>
          <w:sz w:val="24"/>
          <w:szCs w:val="24"/>
        </w:rPr>
        <w:t>Quarterly monitoring meetings between OSHA and the VOSH Program</w:t>
      </w:r>
    </w:p>
    <w:p w14:paraId="5E67DDEC" w14:textId="73BD2973" w:rsidR="000A134A" w:rsidRPr="001C1E47" w:rsidRDefault="000A134A" w:rsidP="000353C0">
      <w:pPr>
        <w:pStyle w:val="Heading3"/>
        <w:numPr>
          <w:ilvl w:val="0"/>
          <w:numId w:val="15"/>
        </w:numPr>
      </w:pPr>
      <w:bookmarkStart w:id="15" w:name="_Toc118900174"/>
      <w:bookmarkStart w:id="16" w:name="_Toc118905013"/>
      <w:bookmarkStart w:id="17" w:name="_Toc119418667"/>
      <w:r w:rsidRPr="001C1E47">
        <w:t>Findings and Observations</w:t>
      </w:r>
      <w:bookmarkEnd w:id="15"/>
      <w:bookmarkEnd w:id="16"/>
      <w:bookmarkEnd w:id="17"/>
    </w:p>
    <w:p w14:paraId="6C7BE9F8" w14:textId="77777777" w:rsidR="00E71FB7" w:rsidRPr="001C1E47" w:rsidRDefault="00E71FB7" w:rsidP="00783189">
      <w:pPr>
        <w:widowControl/>
        <w:autoSpaceDE/>
        <w:autoSpaceDN/>
        <w:adjustRightInd/>
        <w:rPr>
          <w:rFonts w:cs="Calibri"/>
          <w:highlight w:val="yellow"/>
          <w:u w:val="single"/>
        </w:rPr>
      </w:pPr>
    </w:p>
    <w:p w14:paraId="740D60B6" w14:textId="7DB1662A" w:rsidR="00E33389" w:rsidRPr="00E33389" w:rsidRDefault="00E33389" w:rsidP="00783189">
      <w:pPr>
        <w:widowControl/>
        <w:autoSpaceDE/>
        <w:autoSpaceDN/>
        <w:adjustRightInd/>
        <w:rPr>
          <w:rFonts w:cs="Calibri"/>
          <w:b/>
          <w:bCs/>
        </w:rPr>
      </w:pPr>
      <w:r>
        <w:rPr>
          <w:rFonts w:cs="Calibri"/>
          <w:b/>
          <w:bCs/>
        </w:rPr>
        <w:t>Findings (Status of Previous and New Items)</w:t>
      </w:r>
    </w:p>
    <w:p w14:paraId="11370CD9" w14:textId="77777777" w:rsidR="00E33389" w:rsidRDefault="00E33389" w:rsidP="00783189">
      <w:pPr>
        <w:widowControl/>
        <w:autoSpaceDE/>
        <w:autoSpaceDN/>
        <w:adjustRightInd/>
        <w:rPr>
          <w:rFonts w:cs="Calibri"/>
        </w:rPr>
      </w:pPr>
    </w:p>
    <w:p w14:paraId="6DDDBD82" w14:textId="1DBEC328" w:rsidR="004F461A" w:rsidRDefault="00644015" w:rsidP="00783189">
      <w:pPr>
        <w:widowControl/>
        <w:autoSpaceDE/>
        <w:autoSpaceDN/>
        <w:adjustRightInd/>
        <w:rPr>
          <w:rFonts w:cs="Calibri"/>
        </w:rPr>
      </w:pPr>
      <w:r>
        <w:rPr>
          <w:rFonts w:cs="Calibri"/>
        </w:rPr>
        <w:t xml:space="preserve">There were </w:t>
      </w:r>
      <w:r w:rsidR="009773AD">
        <w:rPr>
          <w:rFonts w:cs="Calibri"/>
        </w:rPr>
        <w:t xml:space="preserve">no new or continued findings identified during the FY 2022 FAME.  </w:t>
      </w:r>
      <w:r w:rsidR="00E14184">
        <w:rPr>
          <w:rFonts w:cs="Calibri"/>
        </w:rPr>
        <w:t>VOSH did not have any findings identifie</w:t>
      </w:r>
      <w:r w:rsidR="004F461A">
        <w:rPr>
          <w:rFonts w:cs="Calibri"/>
        </w:rPr>
        <w:t xml:space="preserve">d during the FY 2021 </w:t>
      </w:r>
      <w:r w:rsidR="00C50A0E">
        <w:rPr>
          <w:rFonts w:cs="Calibri"/>
        </w:rPr>
        <w:t xml:space="preserve">comprehensive </w:t>
      </w:r>
      <w:r w:rsidR="004F461A">
        <w:rPr>
          <w:rFonts w:cs="Calibri"/>
        </w:rPr>
        <w:t>FAME to discuss in this report.</w:t>
      </w:r>
    </w:p>
    <w:p w14:paraId="407E3C59" w14:textId="77777777" w:rsidR="004F461A" w:rsidRDefault="004F461A" w:rsidP="00783189">
      <w:pPr>
        <w:widowControl/>
        <w:autoSpaceDE/>
        <w:autoSpaceDN/>
        <w:adjustRightInd/>
        <w:rPr>
          <w:rFonts w:cs="Calibri"/>
        </w:rPr>
      </w:pPr>
    </w:p>
    <w:p w14:paraId="07AC653F" w14:textId="77777777" w:rsidR="004E2BB0" w:rsidRPr="00DF2797" w:rsidRDefault="004F461A" w:rsidP="00783189">
      <w:pPr>
        <w:widowControl/>
        <w:autoSpaceDE/>
        <w:autoSpaceDN/>
        <w:adjustRightInd/>
        <w:rPr>
          <w:rFonts w:cs="Calibri"/>
          <w:u w:val="single"/>
        </w:rPr>
      </w:pPr>
      <w:r w:rsidRPr="00DF2797">
        <w:rPr>
          <w:rFonts w:cs="Calibri"/>
          <w:u w:val="single"/>
        </w:rPr>
        <w:t>Completed Findings</w:t>
      </w:r>
    </w:p>
    <w:p w14:paraId="66751F68" w14:textId="77777777" w:rsidR="004E2BB0" w:rsidRDefault="004E2BB0" w:rsidP="00783189">
      <w:pPr>
        <w:widowControl/>
        <w:autoSpaceDE/>
        <w:autoSpaceDN/>
        <w:adjustRightInd/>
        <w:rPr>
          <w:rFonts w:cs="Calibri"/>
          <w:u w:val="single"/>
        </w:rPr>
      </w:pPr>
    </w:p>
    <w:p w14:paraId="2094A9D8" w14:textId="3091C608" w:rsidR="00644015" w:rsidRDefault="004E2BB0" w:rsidP="00783189">
      <w:pPr>
        <w:widowControl/>
        <w:autoSpaceDE/>
        <w:autoSpaceDN/>
        <w:adjustRightInd/>
        <w:rPr>
          <w:rFonts w:cs="Calibri"/>
        </w:rPr>
      </w:pPr>
      <w:r>
        <w:rPr>
          <w:rFonts w:cs="Calibri"/>
        </w:rPr>
        <w:t>There were no findings in FY 2021 and therefore no completed findings to report in FY 2022.</w:t>
      </w:r>
    </w:p>
    <w:p w14:paraId="47940341" w14:textId="77777777" w:rsidR="00CA6E73" w:rsidRDefault="00CA6E73" w:rsidP="00783189">
      <w:pPr>
        <w:widowControl/>
        <w:autoSpaceDE/>
        <w:autoSpaceDN/>
        <w:adjustRightInd/>
        <w:rPr>
          <w:rFonts w:cs="Calibri"/>
          <w:u w:val="single"/>
        </w:rPr>
      </w:pPr>
    </w:p>
    <w:p w14:paraId="6366DF52" w14:textId="50B8409F" w:rsidR="004E2BB0" w:rsidRPr="00DF2797" w:rsidRDefault="004E2BB0" w:rsidP="00783189">
      <w:pPr>
        <w:widowControl/>
        <w:autoSpaceDE/>
        <w:autoSpaceDN/>
        <w:adjustRightInd/>
        <w:rPr>
          <w:rFonts w:cs="Calibri"/>
          <w:u w:val="single"/>
        </w:rPr>
      </w:pPr>
      <w:r w:rsidRPr="00DF2797">
        <w:rPr>
          <w:rFonts w:cs="Calibri"/>
          <w:u w:val="single"/>
        </w:rPr>
        <w:lastRenderedPageBreak/>
        <w:t>Continued Findings</w:t>
      </w:r>
    </w:p>
    <w:p w14:paraId="18E167F9" w14:textId="1A5E6BCA" w:rsidR="004E2BB0" w:rsidRDefault="004E2BB0" w:rsidP="00783189">
      <w:pPr>
        <w:widowControl/>
        <w:autoSpaceDE/>
        <w:autoSpaceDN/>
        <w:adjustRightInd/>
        <w:rPr>
          <w:rFonts w:cs="Calibri"/>
        </w:rPr>
      </w:pPr>
    </w:p>
    <w:p w14:paraId="45EFFCEC" w14:textId="21C1F043" w:rsidR="00E97562" w:rsidRDefault="004E2BB0" w:rsidP="000353C0">
      <w:pPr>
        <w:widowControl/>
        <w:autoSpaceDE/>
        <w:autoSpaceDN/>
        <w:adjustRightInd/>
        <w:rPr>
          <w:rFonts w:cs="Calibri"/>
        </w:rPr>
      </w:pPr>
      <w:r>
        <w:rPr>
          <w:rFonts w:cs="Calibri"/>
        </w:rPr>
        <w:t xml:space="preserve">There were no findings in FY 2021 and therefore no </w:t>
      </w:r>
      <w:r w:rsidR="00E97562">
        <w:rPr>
          <w:rFonts w:cs="Calibri"/>
        </w:rPr>
        <w:t>continued findings to report in FY 2022.</w:t>
      </w:r>
    </w:p>
    <w:p w14:paraId="3F18A6C3" w14:textId="54494AEB" w:rsidR="00E97562" w:rsidRPr="00DF2797" w:rsidRDefault="00E97562" w:rsidP="00783189">
      <w:pPr>
        <w:widowControl/>
        <w:autoSpaceDE/>
        <w:autoSpaceDN/>
        <w:adjustRightInd/>
        <w:rPr>
          <w:rFonts w:cs="Calibri"/>
          <w:u w:val="single"/>
        </w:rPr>
      </w:pPr>
      <w:r w:rsidRPr="00DF2797">
        <w:rPr>
          <w:rFonts w:cs="Calibri"/>
          <w:u w:val="single"/>
        </w:rPr>
        <w:t>New</w:t>
      </w:r>
      <w:r w:rsidR="008448BD" w:rsidRPr="00DF2797">
        <w:rPr>
          <w:rFonts w:cs="Calibri"/>
          <w:u w:val="single"/>
        </w:rPr>
        <w:t xml:space="preserve"> Findings</w:t>
      </w:r>
    </w:p>
    <w:p w14:paraId="27ACEE66" w14:textId="30427CA6" w:rsidR="008448BD" w:rsidRDefault="008448BD" w:rsidP="00783189">
      <w:pPr>
        <w:widowControl/>
        <w:autoSpaceDE/>
        <w:autoSpaceDN/>
        <w:adjustRightInd/>
        <w:rPr>
          <w:rFonts w:cs="Calibri"/>
          <w:b/>
          <w:bCs/>
        </w:rPr>
      </w:pPr>
    </w:p>
    <w:p w14:paraId="01B4ABA0" w14:textId="6338447E" w:rsidR="008448BD" w:rsidRDefault="008448BD" w:rsidP="00783189">
      <w:pPr>
        <w:widowControl/>
        <w:autoSpaceDE/>
        <w:autoSpaceDN/>
        <w:adjustRightInd/>
        <w:rPr>
          <w:rFonts w:cs="Calibri"/>
        </w:rPr>
      </w:pPr>
      <w:r>
        <w:rPr>
          <w:rFonts w:cs="Calibri"/>
        </w:rPr>
        <w:t>There we</w:t>
      </w:r>
      <w:r w:rsidR="005F2246">
        <w:rPr>
          <w:rFonts w:cs="Calibri"/>
        </w:rPr>
        <w:t>re</w:t>
      </w:r>
      <w:r>
        <w:rPr>
          <w:rFonts w:cs="Calibri"/>
        </w:rPr>
        <w:t xml:space="preserve"> no new findings identified in FY 2022.</w:t>
      </w:r>
    </w:p>
    <w:p w14:paraId="5E0F964C" w14:textId="1705C365" w:rsidR="00DF2797" w:rsidRDefault="00DF2797" w:rsidP="00783189">
      <w:pPr>
        <w:widowControl/>
        <w:autoSpaceDE/>
        <w:autoSpaceDN/>
        <w:adjustRightInd/>
        <w:rPr>
          <w:rFonts w:cs="Calibri"/>
        </w:rPr>
      </w:pPr>
    </w:p>
    <w:p w14:paraId="5325AEBD" w14:textId="3F474517" w:rsidR="00DF2797" w:rsidRPr="00DF2797" w:rsidRDefault="00DF2797" w:rsidP="00783189">
      <w:pPr>
        <w:widowControl/>
        <w:autoSpaceDE/>
        <w:autoSpaceDN/>
        <w:adjustRightInd/>
        <w:rPr>
          <w:rFonts w:cs="Calibri"/>
          <w:b/>
          <w:bCs/>
        </w:rPr>
      </w:pPr>
      <w:r w:rsidRPr="00DF2797">
        <w:rPr>
          <w:rFonts w:cs="Calibri"/>
          <w:b/>
          <w:bCs/>
        </w:rPr>
        <w:t>Observations (Status of Previous and New Items)</w:t>
      </w:r>
    </w:p>
    <w:p w14:paraId="45457D8B" w14:textId="15EE07AE" w:rsidR="008448BD" w:rsidRDefault="008448BD" w:rsidP="00783189">
      <w:pPr>
        <w:widowControl/>
        <w:autoSpaceDE/>
        <w:autoSpaceDN/>
        <w:adjustRightInd/>
        <w:rPr>
          <w:rFonts w:cs="Calibri"/>
        </w:rPr>
      </w:pPr>
    </w:p>
    <w:p w14:paraId="54A00D10" w14:textId="1B21F761" w:rsidR="00E33389" w:rsidRDefault="00E33389" w:rsidP="00783189">
      <w:pPr>
        <w:widowControl/>
        <w:autoSpaceDE/>
        <w:autoSpaceDN/>
        <w:adjustRightInd/>
        <w:rPr>
          <w:rFonts w:cs="Calibri"/>
          <w:b/>
          <w:bCs/>
        </w:rPr>
      </w:pPr>
      <w:r>
        <w:rPr>
          <w:rFonts w:cs="Calibri"/>
        </w:rPr>
        <w:t xml:space="preserve">There was one continued and one new observation identified in the FY 2022 FAME.  </w:t>
      </w:r>
    </w:p>
    <w:p w14:paraId="6F19BF64" w14:textId="77777777" w:rsidR="00DF2797" w:rsidRDefault="00DF2797" w:rsidP="00783189">
      <w:pPr>
        <w:widowControl/>
        <w:autoSpaceDE/>
        <w:autoSpaceDN/>
        <w:adjustRightInd/>
        <w:rPr>
          <w:rFonts w:cs="Calibri"/>
          <w:b/>
          <w:bCs/>
        </w:rPr>
      </w:pPr>
    </w:p>
    <w:p w14:paraId="6B35B805" w14:textId="0FF151CB" w:rsidR="00815B82" w:rsidRDefault="00D97421" w:rsidP="00783189">
      <w:pPr>
        <w:widowControl/>
        <w:autoSpaceDE/>
        <w:autoSpaceDN/>
        <w:adjustRightInd/>
        <w:rPr>
          <w:rFonts w:cs="Calibri"/>
          <w:u w:val="single"/>
        </w:rPr>
      </w:pPr>
      <w:r w:rsidRPr="00DF2797">
        <w:rPr>
          <w:rFonts w:cs="Calibri"/>
          <w:u w:val="single"/>
        </w:rPr>
        <w:t>Closed Observation</w:t>
      </w:r>
      <w:r w:rsidR="00DF2797" w:rsidRPr="00DF2797">
        <w:rPr>
          <w:rFonts w:cs="Calibri"/>
          <w:u w:val="single"/>
        </w:rPr>
        <w:t>s</w:t>
      </w:r>
    </w:p>
    <w:p w14:paraId="52DEB3D6" w14:textId="44A6010B" w:rsidR="00815B82" w:rsidRDefault="00815B82" w:rsidP="00783189">
      <w:pPr>
        <w:widowControl/>
        <w:autoSpaceDE/>
        <w:autoSpaceDN/>
        <w:adjustRightInd/>
        <w:rPr>
          <w:rFonts w:cs="Calibri"/>
          <w:u w:val="single"/>
        </w:rPr>
      </w:pPr>
    </w:p>
    <w:p w14:paraId="2F82D6D8" w14:textId="7D75BB30" w:rsidR="00815B82" w:rsidRDefault="00815B82" w:rsidP="00783189">
      <w:pPr>
        <w:widowControl/>
        <w:autoSpaceDE/>
        <w:autoSpaceDN/>
        <w:adjustRightInd/>
        <w:rPr>
          <w:rFonts w:cs="Calibri"/>
        </w:rPr>
      </w:pPr>
      <w:r>
        <w:rPr>
          <w:rFonts w:cs="Calibri"/>
        </w:rPr>
        <w:t xml:space="preserve">There were no </w:t>
      </w:r>
      <w:r w:rsidR="002A53F6">
        <w:rPr>
          <w:rFonts w:cs="Calibri"/>
        </w:rPr>
        <w:t xml:space="preserve">closed findings in FY 2022. </w:t>
      </w:r>
    </w:p>
    <w:p w14:paraId="51635E11" w14:textId="77777777" w:rsidR="002A53F6" w:rsidRPr="00815B82" w:rsidRDefault="002A53F6" w:rsidP="00783189">
      <w:pPr>
        <w:widowControl/>
        <w:autoSpaceDE/>
        <w:autoSpaceDN/>
        <w:adjustRightInd/>
        <w:rPr>
          <w:rFonts w:cs="Calibri"/>
        </w:rPr>
      </w:pPr>
    </w:p>
    <w:p w14:paraId="35543200" w14:textId="37DB9E21" w:rsidR="00E72615" w:rsidRDefault="00E72615" w:rsidP="00783189">
      <w:pPr>
        <w:widowControl/>
        <w:autoSpaceDE/>
        <w:autoSpaceDN/>
        <w:adjustRightInd/>
        <w:rPr>
          <w:rFonts w:cs="Calibri"/>
          <w:u w:val="single"/>
        </w:rPr>
      </w:pPr>
      <w:r>
        <w:rPr>
          <w:rFonts w:cs="Calibri"/>
          <w:u w:val="single"/>
        </w:rPr>
        <w:t>Continued Observations</w:t>
      </w:r>
    </w:p>
    <w:p w14:paraId="2C106C6B" w14:textId="19FAF284" w:rsidR="00E72615" w:rsidRDefault="00E72615" w:rsidP="00783189">
      <w:pPr>
        <w:widowControl/>
        <w:autoSpaceDE/>
        <w:autoSpaceDN/>
        <w:adjustRightInd/>
        <w:rPr>
          <w:rFonts w:cs="Calibri"/>
          <w:u w:val="single"/>
        </w:rPr>
      </w:pPr>
    </w:p>
    <w:p w14:paraId="4B366A60" w14:textId="598066F2" w:rsidR="00E72615" w:rsidRDefault="00931626" w:rsidP="00783189">
      <w:pPr>
        <w:widowControl/>
        <w:autoSpaceDE/>
        <w:autoSpaceDN/>
        <w:adjustRightInd/>
        <w:rPr>
          <w:rFonts w:cs="Calibri"/>
        </w:rPr>
      </w:pPr>
      <w:r w:rsidRPr="00AD2898">
        <w:rPr>
          <w:rFonts w:cs="Calibri"/>
          <w:b/>
          <w:bCs/>
        </w:rPr>
        <w:t>Observation FY 2021-OB-01</w:t>
      </w:r>
      <w:r w:rsidR="00AD2898">
        <w:rPr>
          <w:rFonts w:cs="Calibri"/>
          <w:b/>
          <w:bCs/>
        </w:rPr>
        <w:t>:</w:t>
      </w:r>
      <w:r w:rsidR="00AD2898">
        <w:rPr>
          <w:rFonts w:cs="Calibri"/>
        </w:rPr>
        <w:t xml:space="preserve"> In seven of 16 (44%) of work-related fatality case files reviewed, the case file did not contain documentation </w:t>
      </w:r>
      <w:r w:rsidR="00F41F53">
        <w:rPr>
          <w:rFonts w:cs="Calibri"/>
        </w:rPr>
        <w:t>that the final NOK letter identifying how to obtain the inspection file and results was sent.</w:t>
      </w:r>
    </w:p>
    <w:p w14:paraId="2DFA30ED" w14:textId="7233B3DC" w:rsidR="00F41F53" w:rsidRDefault="00F41F53" w:rsidP="00783189">
      <w:pPr>
        <w:widowControl/>
        <w:autoSpaceDE/>
        <w:autoSpaceDN/>
        <w:adjustRightInd/>
        <w:rPr>
          <w:rFonts w:cs="Calibri"/>
        </w:rPr>
      </w:pPr>
    </w:p>
    <w:p w14:paraId="34D7BF4F" w14:textId="3195D988" w:rsidR="00500AAC" w:rsidRPr="00F41F53" w:rsidRDefault="00F41F53" w:rsidP="00783189">
      <w:pPr>
        <w:widowControl/>
        <w:autoSpaceDE/>
        <w:autoSpaceDN/>
        <w:adjustRightInd/>
        <w:rPr>
          <w:rFonts w:cs="Calibri"/>
        </w:rPr>
      </w:pPr>
      <w:r>
        <w:rPr>
          <w:rFonts w:cs="Calibri"/>
          <w:b/>
          <w:bCs/>
        </w:rPr>
        <w:t>Status:</w:t>
      </w:r>
      <w:r>
        <w:rPr>
          <w:rFonts w:cs="Calibri"/>
        </w:rPr>
        <w:t xml:space="preserve"> </w:t>
      </w:r>
      <w:r w:rsidR="003F333E">
        <w:rPr>
          <w:rFonts w:cs="Calibri"/>
        </w:rPr>
        <w:t xml:space="preserve">VOSH has implemented a policy to </w:t>
      </w:r>
      <w:r w:rsidR="003016D4">
        <w:rPr>
          <w:rFonts w:cs="Calibri"/>
        </w:rPr>
        <w:t xml:space="preserve">ensure that documentation of the final NOK letter is </w:t>
      </w:r>
      <w:r w:rsidR="00514119">
        <w:rPr>
          <w:rFonts w:cs="Calibri"/>
        </w:rPr>
        <w:t>maintained in work-related fatality case f</w:t>
      </w:r>
      <w:r w:rsidR="00500AAC">
        <w:rPr>
          <w:rFonts w:cs="Calibri"/>
        </w:rPr>
        <w:t>il</w:t>
      </w:r>
      <w:r w:rsidR="00273AC1">
        <w:rPr>
          <w:rFonts w:cs="Calibri"/>
        </w:rPr>
        <w:t>es.</w:t>
      </w:r>
      <w:r w:rsidR="006C171D">
        <w:rPr>
          <w:rFonts w:cs="Calibri"/>
        </w:rPr>
        <w:t xml:space="preserve">  A case file review that will include work-related fatality </w:t>
      </w:r>
      <w:r w:rsidR="00427933">
        <w:rPr>
          <w:rFonts w:cs="Calibri"/>
        </w:rPr>
        <w:t>cases</w:t>
      </w:r>
      <w:r w:rsidR="006C171D">
        <w:rPr>
          <w:rFonts w:cs="Calibri"/>
        </w:rPr>
        <w:t xml:space="preserve"> will be conducted as part of the FY 2023 </w:t>
      </w:r>
      <w:r w:rsidR="00FE277C">
        <w:rPr>
          <w:rFonts w:cs="Calibri"/>
        </w:rPr>
        <w:t xml:space="preserve">comprehensive FAME to verify </w:t>
      </w:r>
      <w:r w:rsidR="00CC3C33">
        <w:rPr>
          <w:rFonts w:cs="Calibri"/>
        </w:rPr>
        <w:t xml:space="preserve">that the final NOK letters are included in </w:t>
      </w:r>
      <w:r w:rsidR="00263F28">
        <w:rPr>
          <w:rFonts w:cs="Calibri"/>
        </w:rPr>
        <w:t>the case files.</w:t>
      </w:r>
      <w:r w:rsidR="00863F13">
        <w:rPr>
          <w:rFonts w:cs="Calibri"/>
        </w:rPr>
        <w:t xml:space="preserve">  This observation is continued. </w:t>
      </w:r>
    </w:p>
    <w:p w14:paraId="61D1A559" w14:textId="49DA00C4" w:rsidR="0091160D" w:rsidRDefault="0091160D" w:rsidP="00783189">
      <w:pPr>
        <w:widowControl/>
        <w:autoSpaceDE/>
        <w:autoSpaceDN/>
        <w:adjustRightInd/>
        <w:rPr>
          <w:rFonts w:cs="Calibri"/>
          <w:u w:val="single"/>
        </w:rPr>
      </w:pPr>
    </w:p>
    <w:p w14:paraId="60205B8E" w14:textId="101A739A" w:rsidR="006672E3" w:rsidRPr="008B42CD" w:rsidRDefault="00443054" w:rsidP="00783189">
      <w:pPr>
        <w:widowControl/>
        <w:autoSpaceDE/>
        <w:autoSpaceDN/>
        <w:adjustRightInd/>
        <w:rPr>
          <w:rFonts w:cs="Calibri"/>
          <w:u w:val="single"/>
        </w:rPr>
      </w:pPr>
      <w:r w:rsidRPr="008B42CD">
        <w:rPr>
          <w:rFonts w:cs="Calibri"/>
          <w:u w:val="single"/>
        </w:rPr>
        <w:t xml:space="preserve">New </w:t>
      </w:r>
      <w:r w:rsidR="006672E3" w:rsidRPr="008B42CD">
        <w:rPr>
          <w:rFonts w:cs="Calibri"/>
          <w:u w:val="single"/>
        </w:rPr>
        <w:t>Observation</w:t>
      </w:r>
      <w:r w:rsidR="008B42CD" w:rsidRPr="008B42CD">
        <w:rPr>
          <w:rFonts w:cs="Calibri"/>
          <w:u w:val="single"/>
        </w:rPr>
        <w:t>s</w:t>
      </w:r>
    </w:p>
    <w:p w14:paraId="3ACE3665" w14:textId="77777777" w:rsidR="00EF5378" w:rsidRPr="001C1E47" w:rsidRDefault="00EF5378" w:rsidP="00783189">
      <w:pPr>
        <w:widowControl/>
        <w:autoSpaceDE/>
        <w:autoSpaceDN/>
        <w:adjustRightInd/>
        <w:rPr>
          <w:rFonts w:cs="Calibri"/>
          <w:i/>
          <w:highlight w:val="yellow"/>
          <w:u w:val="single"/>
        </w:rPr>
      </w:pPr>
    </w:p>
    <w:p w14:paraId="1409A46D" w14:textId="688365E8" w:rsidR="00A84B21" w:rsidRPr="008D7E50" w:rsidRDefault="007C0A36" w:rsidP="00783189">
      <w:pPr>
        <w:pStyle w:val="Default"/>
        <w:rPr>
          <w:rFonts w:ascii="Calibri" w:hAnsi="Calibri" w:cs="Calibri"/>
        </w:rPr>
      </w:pPr>
      <w:r w:rsidRPr="008D7E50">
        <w:rPr>
          <w:rFonts w:ascii="Calibri" w:hAnsi="Calibri" w:cs="Calibri"/>
          <w:b/>
        </w:rPr>
        <w:t>Observation FY 20</w:t>
      </w:r>
      <w:r w:rsidR="00312BC5" w:rsidRPr="008D7E50">
        <w:rPr>
          <w:rFonts w:ascii="Calibri" w:hAnsi="Calibri" w:cs="Calibri"/>
          <w:b/>
        </w:rPr>
        <w:t>22</w:t>
      </w:r>
      <w:r w:rsidRPr="008D7E50">
        <w:rPr>
          <w:rFonts w:ascii="Calibri" w:hAnsi="Calibri" w:cs="Calibri"/>
          <w:b/>
        </w:rPr>
        <w:t>-</w:t>
      </w:r>
      <w:r w:rsidR="00312BC5" w:rsidRPr="008D7E50">
        <w:rPr>
          <w:rFonts w:ascii="Calibri" w:hAnsi="Calibri" w:cs="Calibri"/>
          <w:b/>
        </w:rPr>
        <w:t>OB-02</w:t>
      </w:r>
      <w:r w:rsidR="002529E8" w:rsidRPr="008D7E50">
        <w:rPr>
          <w:rFonts w:ascii="Calibri" w:hAnsi="Calibri" w:cs="Calibri"/>
          <w:b/>
        </w:rPr>
        <w:t xml:space="preserve">:  </w:t>
      </w:r>
      <w:r w:rsidR="00B8457F" w:rsidRPr="008D7E50">
        <w:rPr>
          <w:rFonts w:ascii="Calibri" w:hAnsi="Calibri" w:cs="Calibri"/>
        </w:rPr>
        <w:t>VOSH</w:t>
      </w:r>
      <w:r w:rsidR="008D7E50" w:rsidRPr="008D7E50">
        <w:rPr>
          <w:rFonts w:ascii="Calibri" w:hAnsi="Calibri" w:cs="Calibri"/>
        </w:rPr>
        <w:t xml:space="preserve"> did not </w:t>
      </w:r>
      <w:r w:rsidR="00EB63B8">
        <w:rPr>
          <w:rFonts w:ascii="Calibri" w:hAnsi="Calibri" w:cs="Calibri"/>
        </w:rPr>
        <w:t>adopt</w:t>
      </w:r>
      <w:r w:rsidR="008D7E50" w:rsidRPr="008D7E50">
        <w:rPr>
          <w:rFonts w:ascii="Calibri" w:hAnsi="Calibri" w:cs="Calibri"/>
        </w:rPr>
        <w:t xml:space="preserve"> </w:t>
      </w:r>
      <w:r w:rsidR="00AF52A3">
        <w:rPr>
          <w:rFonts w:ascii="Calibri" w:hAnsi="Calibri" w:cs="Calibri"/>
        </w:rPr>
        <w:t>Federal Program Changes (</w:t>
      </w:r>
      <w:r w:rsidR="008D7E50" w:rsidRPr="008D7E50">
        <w:rPr>
          <w:rFonts w:ascii="Calibri" w:hAnsi="Calibri" w:cs="Calibri"/>
        </w:rPr>
        <w:t>FPCs</w:t>
      </w:r>
      <w:r w:rsidR="00AF52A3">
        <w:rPr>
          <w:rFonts w:ascii="Calibri" w:hAnsi="Calibri" w:cs="Calibri"/>
        </w:rPr>
        <w:t>)</w:t>
      </w:r>
      <w:r w:rsidR="008D7E50" w:rsidRPr="008D7E50">
        <w:rPr>
          <w:rFonts w:ascii="Calibri" w:hAnsi="Calibri" w:cs="Calibri"/>
        </w:rPr>
        <w:t xml:space="preserve"> within the required timeframes.</w:t>
      </w:r>
      <w:r w:rsidR="00A84B21" w:rsidRPr="008D7E50">
        <w:rPr>
          <w:rFonts w:ascii="Calibri" w:hAnsi="Calibri" w:cs="Calibri"/>
        </w:rPr>
        <w:t xml:space="preserve"> </w:t>
      </w:r>
    </w:p>
    <w:p w14:paraId="50F59402" w14:textId="77777777" w:rsidR="00A84B21" w:rsidRPr="006C3144" w:rsidRDefault="00A84B21" w:rsidP="00783189">
      <w:pPr>
        <w:widowControl/>
        <w:autoSpaceDE/>
        <w:autoSpaceDN/>
        <w:adjustRightInd/>
        <w:rPr>
          <w:rFonts w:cs="Calibri"/>
          <w:i/>
          <w:iCs/>
        </w:rPr>
      </w:pPr>
    </w:p>
    <w:p w14:paraId="783BE338" w14:textId="75A44A8A" w:rsidR="00A84B21" w:rsidRPr="006C3144" w:rsidRDefault="00A84B21" w:rsidP="00783189">
      <w:pPr>
        <w:widowControl/>
        <w:autoSpaceDE/>
        <w:autoSpaceDN/>
        <w:adjustRightInd/>
        <w:rPr>
          <w:rFonts w:cs="Calibri"/>
          <w:b/>
          <w:i/>
          <w:iCs/>
        </w:rPr>
      </w:pPr>
      <w:r w:rsidRPr="008D7E50">
        <w:rPr>
          <w:rFonts w:cs="Calibri"/>
          <w:b/>
        </w:rPr>
        <w:t>Federal Monitoring Plan:</w:t>
      </w:r>
      <w:r w:rsidRPr="006C3144">
        <w:rPr>
          <w:rFonts w:cs="Calibri"/>
          <w:i/>
          <w:iCs/>
        </w:rPr>
        <w:t xml:space="preserve">  </w:t>
      </w:r>
      <w:r w:rsidR="00F76070">
        <w:rPr>
          <w:rFonts w:eastAsia="Calibri" w:cs="Calibri"/>
        </w:rPr>
        <w:t xml:space="preserve">OSHA will continue to </w:t>
      </w:r>
      <w:r w:rsidR="003747CB">
        <w:rPr>
          <w:rFonts w:eastAsia="Calibri" w:cs="Calibri"/>
        </w:rPr>
        <w:t xml:space="preserve">identify </w:t>
      </w:r>
      <w:r w:rsidR="00EB63B8">
        <w:rPr>
          <w:rFonts w:eastAsia="Calibri" w:cs="Calibri"/>
        </w:rPr>
        <w:t>overdue FPCs</w:t>
      </w:r>
      <w:r w:rsidR="00D36220">
        <w:rPr>
          <w:rFonts w:eastAsia="Calibri" w:cs="Calibri"/>
        </w:rPr>
        <w:t xml:space="preserve"> and monitor adoption status.</w:t>
      </w:r>
      <w:r w:rsidR="00D82745">
        <w:rPr>
          <w:rFonts w:eastAsia="Calibri" w:cs="Calibri"/>
        </w:rPr>
        <w:t xml:space="preserve">  </w:t>
      </w:r>
      <w:r w:rsidR="00D36220">
        <w:rPr>
          <w:rFonts w:eastAsia="Calibri" w:cs="Calibri"/>
        </w:rPr>
        <w:t xml:space="preserve"> </w:t>
      </w:r>
      <w:r w:rsidR="00AF52A3">
        <w:rPr>
          <w:rFonts w:eastAsia="Calibri" w:cs="Calibri"/>
        </w:rPr>
        <w:t xml:space="preserve"> </w:t>
      </w:r>
    </w:p>
    <w:p w14:paraId="542A361B" w14:textId="77777777" w:rsidR="00CE51EE" w:rsidRPr="006C3144" w:rsidRDefault="00CE51EE" w:rsidP="00783189">
      <w:pPr>
        <w:widowControl/>
        <w:autoSpaceDE/>
        <w:autoSpaceDN/>
        <w:adjustRightInd/>
        <w:rPr>
          <w:rFonts w:cs="Calibri"/>
          <w:bCs/>
          <w:i/>
          <w:iCs/>
        </w:rPr>
      </w:pPr>
    </w:p>
    <w:p w14:paraId="41AA4873" w14:textId="785A5A75" w:rsidR="00DB73D0" w:rsidRDefault="00CE51EE" w:rsidP="00783189">
      <w:pPr>
        <w:widowControl/>
        <w:autoSpaceDE/>
        <w:autoSpaceDN/>
        <w:adjustRightInd/>
        <w:rPr>
          <w:rFonts w:cs="Calibri"/>
          <w:bCs/>
        </w:rPr>
      </w:pPr>
      <w:r w:rsidRPr="008D7E50">
        <w:rPr>
          <w:rFonts w:cs="Calibri"/>
          <w:b/>
          <w:bCs/>
        </w:rPr>
        <w:t>Discussion:</w:t>
      </w:r>
      <w:r w:rsidR="005E038B" w:rsidRPr="006C3144">
        <w:rPr>
          <w:rFonts w:cs="Calibri"/>
          <w:bCs/>
          <w:i/>
          <w:iCs/>
        </w:rPr>
        <w:t xml:space="preserve"> </w:t>
      </w:r>
      <w:r w:rsidR="00AA3AF2">
        <w:rPr>
          <w:rFonts w:cs="Calibri"/>
          <w:bCs/>
        </w:rPr>
        <w:t xml:space="preserve">This did not rise to the level of a finding </w:t>
      </w:r>
      <w:r w:rsidR="001C2934">
        <w:rPr>
          <w:rFonts w:cs="Calibri"/>
          <w:bCs/>
        </w:rPr>
        <w:t>as VOSH has been actively communicating with OSHA concerning the adoption of overdu</w:t>
      </w:r>
      <w:r w:rsidR="00040EC6">
        <w:rPr>
          <w:rFonts w:cs="Calibri"/>
          <w:bCs/>
        </w:rPr>
        <w:t>e</w:t>
      </w:r>
      <w:r w:rsidR="001C2934">
        <w:rPr>
          <w:rFonts w:cs="Calibri"/>
          <w:bCs/>
        </w:rPr>
        <w:t xml:space="preserve"> FPCs</w:t>
      </w:r>
      <w:r w:rsidR="00E17BA4">
        <w:rPr>
          <w:rFonts w:cs="Calibri"/>
          <w:bCs/>
        </w:rPr>
        <w:t xml:space="preserve">, and in many cases, continues to </w:t>
      </w:r>
      <w:r w:rsidR="003B47DD">
        <w:rPr>
          <w:rFonts w:cs="Calibri"/>
          <w:bCs/>
        </w:rPr>
        <w:t xml:space="preserve">utilize state-specific guidance documents addressing the </w:t>
      </w:r>
      <w:r w:rsidR="00810F64">
        <w:rPr>
          <w:rFonts w:cs="Calibri"/>
          <w:bCs/>
        </w:rPr>
        <w:t xml:space="preserve">hazards associated with </w:t>
      </w:r>
      <w:r w:rsidR="00EF57BA">
        <w:rPr>
          <w:rFonts w:cs="Calibri"/>
          <w:bCs/>
        </w:rPr>
        <w:t xml:space="preserve">related </w:t>
      </w:r>
      <w:r w:rsidR="00810F64">
        <w:rPr>
          <w:rFonts w:cs="Calibri"/>
          <w:bCs/>
        </w:rPr>
        <w:t>OSHA FPCs.</w:t>
      </w:r>
      <w:r w:rsidR="00165E71">
        <w:rPr>
          <w:rFonts w:cs="Calibri"/>
          <w:bCs/>
        </w:rPr>
        <w:t xml:space="preserve">  </w:t>
      </w:r>
      <w:r w:rsidR="00E55995">
        <w:rPr>
          <w:rFonts w:cs="Calibri"/>
          <w:bCs/>
        </w:rPr>
        <w:t>Also</w:t>
      </w:r>
      <w:r w:rsidR="00165E71">
        <w:rPr>
          <w:rFonts w:cs="Calibri"/>
          <w:bCs/>
        </w:rPr>
        <w:t xml:space="preserve">, VOSH has recently </w:t>
      </w:r>
      <w:r w:rsidR="004C2898">
        <w:rPr>
          <w:rFonts w:cs="Calibri"/>
          <w:bCs/>
        </w:rPr>
        <w:t>acted</w:t>
      </w:r>
      <w:r w:rsidR="00165E71">
        <w:rPr>
          <w:rFonts w:cs="Calibri"/>
          <w:bCs/>
        </w:rPr>
        <w:t xml:space="preserve"> on</w:t>
      </w:r>
      <w:r w:rsidR="004C2898">
        <w:rPr>
          <w:rFonts w:cs="Calibri"/>
          <w:bCs/>
        </w:rPr>
        <w:t xml:space="preserve"> multiple FPC</w:t>
      </w:r>
      <w:r w:rsidR="00BC0CA6">
        <w:rPr>
          <w:rFonts w:cs="Calibri"/>
          <w:bCs/>
        </w:rPr>
        <w:t>s</w:t>
      </w:r>
      <w:r w:rsidR="004C2898">
        <w:rPr>
          <w:rFonts w:cs="Calibri"/>
          <w:bCs/>
        </w:rPr>
        <w:t xml:space="preserve">.  </w:t>
      </w:r>
      <w:r w:rsidR="009C3536">
        <w:rPr>
          <w:rFonts w:cs="Calibri"/>
          <w:bCs/>
        </w:rPr>
        <w:t xml:space="preserve">Therefore, </w:t>
      </w:r>
      <w:r w:rsidR="005A1E5F">
        <w:rPr>
          <w:rFonts w:cs="Calibri"/>
          <w:bCs/>
        </w:rPr>
        <w:t xml:space="preserve">at this time, </w:t>
      </w:r>
      <w:r w:rsidR="009C3536">
        <w:rPr>
          <w:rFonts w:cs="Calibri"/>
          <w:bCs/>
        </w:rPr>
        <w:t xml:space="preserve">OSHA will continue to monitor </w:t>
      </w:r>
      <w:r w:rsidR="005A1E5F">
        <w:rPr>
          <w:rFonts w:cs="Calibri"/>
          <w:bCs/>
        </w:rPr>
        <w:t xml:space="preserve">the status of FPC adoption and any impact to the </w:t>
      </w:r>
      <w:r w:rsidR="009E46B7">
        <w:rPr>
          <w:rFonts w:cs="Calibri"/>
          <w:bCs/>
        </w:rPr>
        <w:t>VOSH Program</w:t>
      </w:r>
      <w:r w:rsidR="005A1E5F">
        <w:rPr>
          <w:rFonts w:cs="Calibri"/>
          <w:bCs/>
        </w:rPr>
        <w:t>.</w:t>
      </w:r>
      <w:r w:rsidR="00040EC6">
        <w:rPr>
          <w:rFonts w:cs="Calibri"/>
          <w:bCs/>
        </w:rPr>
        <w:t xml:space="preserve">  </w:t>
      </w:r>
    </w:p>
    <w:p w14:paraId="69CE4AC9" w14:textId="77777777" w:rsidR="00DB73D0" w:rsidRDefault="00DB73D0" w:rsidP="00783189">
      <w:pPr>
        <w:widowControl/>
        <w:autoSpaceDE/>
        <w:autoSpaceDN/>
        <w:adjustRightInd/>
        <w:rPr>
          <w:rFonts w:cs="Calibri"/>
          <w:bCs/>
        </w:rPr>
      </w:pPr>
    </w:p>
    <w:p w14:paraId="719B4B6D" w14:textId="10C45BA3" w:rsidR="00DB73D0" w:rsidRDefault="005B7C8A" w:rsidP="00783189">
      <w:pPr>
        <w:widowControl/>
        <w:autoSpaceDE/>
        <w:autoSpaceDN/>
        <w:adjustRightInd/>
        <w:rPr>
          <w:rFonts w:cs="Calibri"/>
          <w:bCs/>
        </w:rPr>
      </w:pPr>
      <w:r>
        <w:rPr>
          <w:rFonts w:cs="Calibri"/>
          <w:bCs/>
        </w:rPr>
        <w:t>Although VOSH is technically delinquent in the adoption of the specific di</w:t>
      </w:r>
      <w:r w:rsidR="00FD1A61">
        <w:rPr>
          <w:rFonts w:cs="Calibri"/>
          <w:bCs/>
        </w:rPr>
        <w:t>rective for the National Emphasis Program on Trenching and Excavation</w:t>
      </w:r>
      <w:r w:rsidR="001E4FA2">
        <w:rPr>
          <w:rFonts w:cs="Calibri"/>
          <w:bCs/>
        </w:rPr>
        <w:t xml:space="preserve"> and the Compliance</w:t>
      </w:r>
      <w:r w:rsidR="0092669D">
        <w:rPr>
          <w:rFonts w:cs="Calibri"/>
          <w:bCs/>
        </w:rPr>
        <w:t xml:space="preserve"> Directive for the Excavation </w:t>
      </w:r>
      <w:r w:rsidR="0092669D">
        <w:rPr>
          <w:rFonts w:cs="Calibri"/>
          <w:bCs/>
        </w:rPr>
        <w:lastRenderedPageBreak/>
        <w:t>Standard</w:t>
      </w:r>
      <w:r w:rsidR="00FD1A61">
        <w:rPr>
          <w:rFonts w:cs="Calibri"/>
          <w:bCs/>
        </w:rPr>
        <w:t>, it continue</w:t>
      </w:r>
      <w:r w:rsidR="00C50A0E">
        <w:rPr>
          <w:rFonts w:cs="Calibri"/>
          <w:bCs/>
        </w:rPr>
        <w:t>d</w:t>
      </w:r>
      <w:r w:rsidR="00FD1A61">
        <w:rPr>
          <w:rFonts w:cs="Calibri"/>
          <w:bCs/>
        </w:rPr>
        <w:t xml:space="preserve"> to conduct trenching and excavation inspection</w:t>
      </w:r>
      <w:r w:rsidR="003E65E7">
        <w:rPr>
          <w:rFonts w:cs="Calibri"/>
          <w:bCs/>
        </w:rPr>
        <w:t>s</w:t>
      </w:r>
      <w:r w:rsidR="00FD1A61">
        <w:rPr>
          <w:rFonts w:cs="Calibri"/>
          <w:bCs/>
        </w:rPr>
        <w:t xml:space="preserve"> in accordance with</w:t>
      </w:r>
      <w:r w:rsidR="0042707B">
        <w:rPr>
          <w:rFonts w:cs="Calibri"/>
          <w:bCs/>
        </w:rPr>
        <w:t xml:space="preserve"> its Special Emphasis Program</w:t>
      </w:r>
      <w:r w:rsidR="00FD664F">
        <w:rPr>
          <w:rFonts w:cs="Calibri"/>
          <w:bCs/>
        </w:rPr>
        <w:t xml:space="preserve"> (SEP)</w:t>
      </w:r>
      <w:r w:rsidR="0042707B">
        <w:rPr>
          <w:rFonts w:cs="Calibri"/>
          <w:bCs/>
        </w:rPr>
        <w:t xml:space="preserve">: Trenching and Excavation </w:t>
      </w:r>
      <w:r w:rsidR="00C50A0E">
        <w:rPr>
          <w:rFonts w:cs="Calibri"/>
          <w:bCs/>
        </w:rPr>
        <w:t>D</w:t>
      </w:r>
      <w:r w:rsidR="0042707B">
        <w:rPr>
          <w:rFonts w:cs="Calibri"/>
          <w:bCs/>
        </w:rPr>
        <w:t>irective (14-203) in the interim</w:t>
      </w:r>
      <w:r w:rsidR="00411600">
        <w:rPr>
          <w:rFonts w:cs="Calibri"/>
          <w:bCs/>
        </w:rPr>
        <w:t xml:space="preserve">.  </w:t>
      </w:r>
    </w:p>
    <w:p w14:paraId="1B378B65" w14:textId="77777777" w:rsidR="00DB73D0" w:rsidRDefault="00DB73D0" w:rsidP="00783189">
      <w:pPr>
        <w:widowControl/>
        <w:autoSpaceDE/>
        <w:autoSpaceDN/>
        <w:adjustRightInd/>
        <w:rPr>
          <w:rFonts w:cs="Calibri"/>
          <w:bCs/>
        </w:rPr>
      </w:pPr>
    </w:p>
    <w:p w14:paraId="20FC269B" w14:textId="3CEB6940" w:rsidR="006E183D" w:rsidRDefault="00411600" w:rsidP="00783189">
      <w:pPr>
        <w:widowControl/>
        <w:autoSpaceDE/>
        <w:autoSpaceDN/>
        <w:adjustRightInd/>
        <w:rPr>
          <w:rFonts w:cs="Calibri"/>
          <w:bCs/>
        </w:rPr>
      </w:pPr>
      <w:r>
        <w:rPr>
          <w:rFonts w:cs="Calibri"/>
          <w:bCs/>
        </w:rPr>
        <w:t xml:space="preserve">VOSH is currently working on adoption of the Amputations in Manufacturing Industries NEP and in </w:t>
      </w:r>
      <w:r w:rsidR="003C13A2">
        <w:rPr>
          <w:rFonts w:cs="Calibri"/>
          <w:bCs/>
        </w:rPr>
        <w:t>the interim continues to use the 2016 version of the OSHA directive.  VOSH also has a</w:t>
      </w:r>
      <w:r w:rsidR="00FD664F">
        <w:rPr>
          <w:rFonts w:cs="Calibri"/>
          <w:bCs/>
        </w:rPr>
        <w:t>n SEP entitled “First Report of Injuries and Illnesses (FRI),” VOSH Directive 14-005C, where VOSH receives weekly reports from the Virginia Workers’ Compensation Commission of certain workplace injuries and illnesses, including those resulting in “loss of limb</w:t>
      </w:r>
      <w:r w:rsidR="006E183D">
        <w:rPr>
          <w:rFonts w:cs="Calibri"/>
          <w:bCs/>
        </w:rPr>
        <w:t>(s) or loss of sight (total or partial), including on more joints of a finger.”</w:t>
      </w:r>
    </w:p>
    <w:p w14:paraId="2E3181A3" w14:textId="3C470555" w:rsidR="00DB73D0" w:rsidRDefault="00DB73D0" w:rsidP="00783189">
      <w:pPr>
        <w:widowControl/>
        <w:autoSpaceDE/>
        <w:autoSpaceDN/>
        <w:adjustRightInd/>
        <w:rPr>
          <w:rFonts w:cs="Calibri"/>
          <w:bCs/>
        </w:rPr>
      </w:pPr>
    </w:p>
    <w:p w14:paraId="0BA473C9" w14:textId="5CED6232" w:rsidR="00DB73D0" w:rsidRDefault="00DB73D0" w:rsidP="00783189">
      <w:pPr>
        <w:widowControl/>
        <w:autoSpaceDE/>
        <w:autoSpaceDN/>
        <w:adjustRightInd/>
        <w:rPr>
          <w:rFonts w:cs="Calibri"/>
          <w:bCs/>
        </w:rPr>
      </w:pPr>
      <w:r>
        <w:rPr>
          <w:rFonts w:cs="Calibri"/>
          <w:bCs/>
        </w:rPr>
        <w:t xml:space="preserve">VOSH is reviewing the most recent Site-Specific Targeting </w:t>
      </w:r>
      <w:r w:rsidR="00C50A0E">
        <w:rPr>
          <w:rFonts w:cs="Calibri"/>
          <w:bCs/>
        </w:rPr>
        <w:t>D</w:t>
      </w:r>
      <w:r>
        <w:rPr>
          <w:rFonts w:cs="Calibri"/>
          <w:bCs/>
        </w:rPr>
        <w:t>irective to consider for adoption and in the interim continues to use its General Schedule Inspection Plans for Safety and Health I</w:t>
      </w:r>
      <w:r w:rsidR="00B83C70">
        <w:rPr>
          <w:rFonts w:cs="Calibri"/>
          <w:bCs/>
        </w:rPr>
        <w:t>nspections in General Industry ad described in Chapter 3 of the VOSH Field Operations Manua</w:t>
      </w:r>
      <w:r w:rsidR="001E4FA2">
        <w:rPr>
          <w:rFonts w:cs="Calibri"/>
          <w:bCs/>
        </w:rPr>
        <w:t xml:space="preserve">l. </w:t>
      </w:r>
    </w:p>
    <w:p w14:paraId="57599893" w14:textId="201954C5" w:rsidR="00087E20" w:rsidRDefault="00E44AA1" w:rsidP="00783189">
      <w:pPr>
        <w:widowControl/>
        <w:autoSpaceDE/>
        <w:autoSpaceDN/>
        <w:adjustRightInd/>
        <w:rPr>
          <w:rFonts w:cs="Calibri"/>
          <w:bCs/>
        </w:rPr>
      </w:pPr>
      <w:r>
        <w:rPr>
          <w:rFonts w:cs="Calibri"/>
          <w:bCs/>
        </w:rPr>
        <w:t xml:space="preserve">VOSH is also considering adoption </w:t>
      </w:r>
      <w:r w:rsidR="004C5C3B">
        <w:rPr>
          <w:rFonts w:cs="Calibri"/>
          <w:bCs/>
        </w:rPr>
        <w:t>Compliance Directive for Cranes and Derricks in Construction Standard</w:t>
      </w:r>
      <w:r w:rsidR="00BE51A1">
        <w:rPr>
          <w:rFonts w:cs="Calibri"/>
          <w:bCs/>
        </w:rPr>
        <w:t>, recent changes to the OSHA Field Operations Manual (FOM),</w:t>
      </w:r>
      <w:r w:rsidR="00EF57BA">
        <w:rPr>
          <w:rFonts w:cs="Calibri"/>
          <w:bCs/>
        </w:rPr>
        <w:t xml:space="preserve"> </w:t>
      </w:r>
      <w:r w:rsidR="00FA3E5D">
        <w:rPr>
          <w:rFonts w:cs="Calibri"/>
          <w:bCs/>
        </w:rPr>
        <w:t xml:space="preserve">and </w:t>
      </w:r>
      <w:bookmarkStart w:id="18" w:name="_Hlk134176217"/>
      <w:r w:rsidR="00FA3E5D">
        <w:rPr>
          <w:rFonts w:cs="Calibri"/>
          <w:bCs/>
        </w:rPr>
        <w:t>the</w:t>
      </w:r>
      <w:r w:rsidR="00EF57BA">
        <w:rPr>
          <w:rFonts w:cs="Calibri"/>
          <w:bCs/>
        </w:rPr>
        <w:t xml:space="preserve"> Occupational Exposure to COVID-19; Healthcare Emergency Temporary Standard: COVID-19 Log and Reporting Provisions. </w:t>
      </w:r>
      <w:r w:rsidR="004C5C3B">
        <w:rPr>
          <w:rFonts w:cs="Calibri"/>
          <w:bCs/>
        </w:rPr>
        <w:t xml:space="preserve"> </w:t>
      </w:r>
      <w:bookmarkEnd w:id="18"/>
    </w:p>
    <w:p w14:paraId="7C2F3EA1" w14:textId="5E870283" w:rsidR="005E038B" w:rsidRPr="00E427CD" w:rsidRDefault="005E038B" w:rsidP="00783189">
      <w:pPr>
        <w:widowControl/>
        <w:autoSpaceDE/>
        <w:autoSpaceDN/>
        <w:adjustRightInd/>
        <w:rPr>
          <w:rFonts w:cs="Calibri"/>
          <w:bCs/>
          <w:i/>
          <w:iCs/>
        </w:rPr>
      </w:pPr>
    </w:p>
    <w:p w14:paraId="3B828F9D" w14:textId="653D1487" w:rsidR="00F132A8" w:rsidRPr="0061362E" w:rsidRDefault="00F132A8" w:rsidP="000353C0">
      <w:pPr>
        <w:pStyle w:val="Heading3"/>
        <w:numPr>
          <w:ilvl w:val="0"/>
          <w:numId w:val="15"/>
        </w:numPr>
      </w:pPr>
      <w:bookmarkStart w:id="19" w:name="_Toc118900177"/>
      <w:bookmarkStart w:id="20" w:name="_Toc118905016"/>
      <w:bookmarkStart w:id="21" w:name="_Toc119418668"/>
      <w:r w:rsidRPr="0061362E">
        <w:t>State Activity Mandated Measures (SAMM)</w:t>
      </w:r>
      <w:r w:rsidR="00A243D6" w:rsidRPr="0061362E">
        <w:t xml:space="preserve"> Highlights</w:t>
      </w:r>
      <w:bookmarkEnd w:id="19"/>
      <w:bookmarkEnd w:id="20"/>
      <w:bookmarkEnd w:id="21"/>
    </w:p>
    <w:p w14:paraId="6AD12CC3" w14:textId="77777777" w:rsidR="00C14885" w:rsidRPr="001C1E47" w:rsidRDefault="00C14885" w:rsidP="00783189">
      <w:pPr>
        <w:widowControl/>
        <w:autoSpaceDE/>
        <w:adjustRightInd/>
        <w:rPr>
          <w:rFonts w:cs="Calibri"/>
          <w:i/>
        </w:rPr>
      </w:pPr>
    </w:p>
    <w:p w14:paraId="3EFB88C9" w14:textId="08A0861F" w:rsidR="00F70F27" w:rsidRDefault="00EC7600" w:rsidP="00783189">
      <w:pPr>
        <w:widowControl/>
        <w:autoSpaceDE/>
        <w:adjustRightInd/>
        <w:rPr>
          <w:rFonts w:cs="Calibri"/>
        </w:rPr>
      </w:pPr>
      <w:r w:rsidRPr="001C1E47">
        <w:rPr>
          <w:rFonts w:cs="Calibri"/>
        </w:rPr>
        <w:t xml:space="preserve">Each SAMM has an agreed upon </w:t>
      </w:r>
      <w:r w:rsidR="00D7654E" w:rsidRPr="001C1E47">
        <w:rPr>
          <w:rFonts w:cs="Calibri"/>
        </w:rPr>
        <w:t>FRL</w:t>
      </w:r>
      <w:r w:rsidRPr="001C1E47">
        <w:rPr>
          <w:rFonts w:cs="Calibri"/>
        </w:rPr>
        <w:t xml:space="preserve"> which can be either a single number, or </w:t>
      </w:r>
      <w:r w:rsidR="00D7654E" w:rsidRPr="001C1E47">
        <w:rPr>
          <w:rFonts w:cs="Calibri"/>
        </w:rPr>
        <w:t xml:space="preserve">a </w:t>
      </w:r>
      <w:r w:rsidRPr="001C1E47">
        <w:rPr>
          <w:rFonts w:cs="Calibri"/>
        </w:rPr>
        <w:t xml:space="preserve">range of numbers above and below the national average.  State Plan SAMM data that falls outside the FRL triggers a closer look at the underlying performance of the mandatory activity.  </w:t>
      </w:r>
      <w:r w:rsidR="005D1F76" w:rsidRPr="001C1E47">
        <w:rPr>
          <w:rFonts w:cs="Calibri"/>
        </w:rPr>
        <w:t>Appendix D presents the State Plan’s FY 20</w:t>
      </w:r>
      <w:r w:rsidR="00476C08">
        <w:rPr>
          <w:rFonts w:cs="Calibri"/>
        </w:rPr>
        <w:t>22</w:t>
      </w:r>
      <w:r w:rsidR="005D1F76" w:rsidRPr="001C1E47">
        <w:rPr>
          <w:rFonts w:cs="Calibri"/>
        </w:rPr>
        <w:t xml:space="preserve"> State Activity Mandated Measures (SAMM) Report and includes the FRLs for each measure. </w:t>
      </w:r>
    </w:p>
    <w:p w14:paraId="114612F4" w14:textId="4851DD40" w:rsidR="00264FCD" w:rsidRDefault="00264FCD" w:rsidP="00783189">
      <w:pPr>
        <w:widowControl/>
        <w:autoSpaceDE/>
        <w:adjustRightInd/>
        <w:rPr>
          <w:rFonts w:cs="Calibri"/>
        </w:rPr>
      </w:pPr>
    </w:p>
    <w:p w14:paraId="09DF3CD7" w14:textId="77777777" w:rsidR="00264FCD" w:rsidRPr="00DB278E" w:rsidRDefault="00264FCD" w:rsidP="00264FCD">
      <w:pPr>
        <w:widowControl/>
        <w:autoSpaceDE/>
        <w:adjustRightInd/>
        <w:rPr>
          <w:rFonts w:cs="Calibri"/>
        </w:rPr>
      </w:pPr>
      <w:r w:rsidRPr="00DB278E">
        <w:rPr>
          <w:rFonts w:cs="Calibri"/>
        </w:rPr>
        <w:t>It should be noted that OSHA is in the final stages of transitioning from the Whistleblower Application in the OSHA IT Support System (OITSS), a legacy data system, to the Whistleblower module in OIS, a modern data system.  For FY 2022, a portion of the State Plan whistleblower data was recorded OITSS, and a portion was captured in OIS.   OSHA encountered challenges in combining the report that generates SAMM 14, 15, and 16 from both systems.  As such, OSHA will not be relying on SAMMs 14, 15, or 16 in their evaluation of the State Plans whistleblower programs for FY 2022.</w:t>
      </w:r>
    </w:p>
    <w:p w14:paraId="77BF3DC4" w14:textId="77777777" w:rsidR="00F70F27" w:rsidRDefault="00F70F27" w:rsidP="00783189">
      <w:pPr>
        <w:widowControl/>
        <w:autoSpaceDE/>
        <w:adjustRightInd/>
        <w:rPr>
          <w:rFonts w:cs="Calibri"/>
        </w:rPr>
      </w:pPr>
    </w:p>
    <w:p w14:paraId="5B2B946B" w14:textId="3421CA5D" w:rsidR="00A02B33" w:rsidRDefault="00EC7600" w:rsidP="00783189">
      <w:pPr>
        <w:widowControl/>
        <w:autoSpaceDE/>
        <w:adjustRightInd/>
        <w:rPr>
          <w:rFonts w:cs="Calibri"/>
        </w:rPr>
      </w:pPr>
      <w:r w:rsidRPr="001C1E47">
        <w:rPr>
          <w:rFonts w:cs="Calibri"/>
        </w:rPr>
        <w:t xml:space="preserve">The </w:t>
      </w:r>
      <w:r w:rsidR="009E46B7">
        <w:rPr>
          <w:rFonts w:cs="Calibri"/>
        </w:rPr>
        <w:t>VOSH Program</w:t>
      </w:r>
      <w:r w:rsidRPr="001C1E47">
        <w:rPr>
          <w:rFonts w:cs="Calibri"/>
        </w:rPr>
        <w:t xml:space="preserve"> was outside the FRL on the following SAMMs:</w:t>
      </w:r>
    </w:p>
    <w:p w14:paraId="7CFBB3FE" w14:textId="77777777" w:rsidR="00264FCD" w:rsidRPr="0000553D" w:rsidRDefault="00264FCD" w:rsidP="00783189">
      <w:pPr>
        <w:widowControl/>
        <w:autoSpaceDE/>
        <w:adjustRightInd/>
        <w:rPr>
          <w:rFonts w:cs="Calibri"/>
        </w:rPr>
      </w:pPr>
    </w:p>
    <w:p w14:paraId="31E9ACDB" w14:textId="4C553F1D" w:rsidR="00EC7600" w:rsidRDefault="00EC7600" w:rsidP="00783189">
      <w:pPr>
        <w:widowControl/>
        <w:autoSpaceDE/>
        <w:adjustRightInd/>
        <w:rPr>
          <w:rFonts w:cs="Calibri"/>
          <w:b/>
        </w:rPr>
      </w:pPr>
      <w:r w:rsidRPr="001C1E47">
        <w:rPr>
          <w:rFonts w:cs="Calibri"/>
          <w:b/>
        </w:rPr>
        <w:t xml:space="preserve">SAMM </w:t>
      </w:r>
      <w:r w:rsidR="00A05567">
        <w:rPr>
          <w:rFonts w:cs="Calibri"/>
          <w:b/>
        </w:rPr>
        <w:t>#</w:t>
      </w:r>
      <w:r w:rsidR="00825DC8">
        <w:rPr>
          <w:rFonts w:cs="Calibri"/>
          <w:b/>
        </w:rPr>
        <w:t>5</w:t>
      </w:r>
      <w:r w:rsidRPr="001C1E47">
        <w:rPr>
          <w:rFonts w:cs="Calibri"/>
          <w:b/>
        </w:rPr>
        <w:t xml:space="preserve"> – </w:t>
      </w:r>
      <w:r w:rsidR="00825DC8">
        <w:rPr>
          <w:rFonts w:cs="Calibri"/>
          <w:b/>
        </w:rPr>
        <w:t xml:space="preserve">Average </w:t>
      </w:r>
      <w:r w:rsidR="00271A9D">
        <w:rPr>
          <w:rFonts w:cs="Calibri"/>
          <w:b/>
        </w:rPr>
        <w:t>N</w:t>
      </w:r>
      <w:r w:rsidR="00825DC8">
        <w:rPr>
          <w:rFonts w:cs="Calibri"/>
          <w:b/>
        </w:rPr>
        <w:t xml:space="preserve">umber of </w:t>
      </w:r>
      <w:r w:rsidR="00271A9D">
        <w:rPr>
          <w:rFonts w:cs="Calibri"/>
          <w:b/>
        </w:rPr>
        <w:t>V</w:t>
      </w:r>
      <w:r w:rsidR="00825DC8">
        <w:rPr>
          <w:rFonts w:cs="Calibri"/>
          <w:b/>
        </w:rPr>
        <w:t xml:space="preserve">iolations per </w:t>
      </w:r>
      <w:r w:rsidR="00271A9D">
        <w:rPr>
          <w:rFonts w:cs="Calibri"/>
          <w:b/>
        </w:rPr>
        <w:t>I</w:t>
      </w:r>
      <w:r w:rsidR="00825DC8">
        <w:rPr>
          <w:rFonts w:cs="Calibri"/>
          <w:b/>
        </w:rPr>
        <w:t xml:space="preserve">nspection with </w:t>
      </w:r>
      <w:r w:rsidR="00271A9D">
        <w:rPr>
          <w:rFonts w:cs="Calibri"/>
          <w:b/>
        </w:rPr>
        <w:t>V</w:t>
      </w:r>
      <w:r w:rsidR="00825DC8">
        <w:rPr>
          <w:rFonts w:cs="Calibri"/>
          <w:b/>
        </w:rPr>
        <w:t xml:space="preserve">iolations by </w:t>
      </w:r>
      <w:r w:rsidR="00271A9D">
        <w:rPr>
          <w:rFonts w:cs="Calibri"/>
          <w:b/>
        </w:rPr>
        <w:t>V</w:t>
      </w:r>
      <w:r w:rsidR="00825DC8">
        <w:rPr>
          <w:rFonts w:cs="Calibri"/>
          <w:b/>
        </w:rPr>
        <w:t xml:space="preserve">iolation </w:t>
      </w:r>
      <w:r w:rsidR="00271A9D">
        <w:rPr>
          <w:rFonts w:cs="Calibri"/>
          <w:b/>
        </w:rPr>
        <w:t>T</w:t>
      </w:r>
      <w:r w:rsidR="00825DC8">
        <w:rPr>
          <w:rFonts w:cs="Calibri"/>
          <w:b/>
        </w:rPr>
        <w:t>ype</w:t>
      </w:r>
      <w:r w:rsidR="00F912D7">
        <w:rPr>
          <w:rFonts w:cs="Calibri"/>
          <w:b/>
        </w:rPr>
        <w:t>:</w:t>
      </w:r>
    </w:p>
    <w:p w14:paraId="2482692C" w14:textId="3A0980C1" w:rsidR="00F912D7" w:rsidRDefault="00F912D7" w:rsidP="00783189">
      <w:pPr>
        <w:widowControl/>
        <w:autoSpaceDE/>
        <w:adjustRightInd/>
        <w:rPr>
          <w:rFonts w:cs="Calibri"/>
          <w:b/>
        </w:rPr>
      </w:pPr>
    </w:p>
    <w:p w14:paraId="5CB11382" w14:textId="282B00ED" w:rsidR="00AD2E71" w:rsidRDefault="00F912D7" w:rsidP="00783189">
      <w:pPr>
        <w:widowControl/>
        <w:autoSpaceDE/>
        <w:adjustRightInd/>
        <w:rPr>
          <w:rFonts w:cs="Calibri"/>
          <w:bCs/>
        </w:rPr>
      </w:pPr>
      <w:r>
        <w:rPr>
          <w:rFonts w:cs="Calibri"/>
          <w:bCs/>
          <w:u w:val="single"/>
        </w:rPr>
        <w:t xml:space="preserve">Discussion of State Plan </w:t>
      </w:r>
      <w:r w:rsidR="00DD2E45">
        <w:rPr>
          <w:rFonts w:cs="Calibri"/>
          <w:bCs/>
          <w:u w:val="single"/>
        </w:rPr>
        <w:t>D</w:t>
      </w:r>
      <w:r>
        <w:rPr>
          <w:rFonts w:cs="Calibri"/>
          <w:bCs/>
          <w:u w:val="single"/>
        </w:rPr>
        <w:t>ata and FRL:</w:t>
      </w:r>
      <w:r>
        <w:rPr>
          <w:rFonts w:cs="Calibri"/>
          <w:bCs/>
        </w:rPr>
        <w:t xml:space="preserve"> The FRL for the average number of violations per inspection with violations by violation type is +/- 20% of the three-year national average of </w:t>
      </w:r>
      <w:r w:rsidR="00DE24EE" w:rsidRPr="00687774">
        <w:rPr>
          <w:rFonts w:cs="Calibri"/>
          <w:bCs/>
        </w:rPr>
        <w:t>1.</w:t>
      </w:r>
      <w:r w:rsidR="005369AA" w:rsidRPr="00687774">
        <w:rPr>
          <w:rFonts w:cs="Calibri"/>
          <w:bCs/>
        </w:rPr>
        <w:t>77</w:t>
      </w:r>
      <w:r w:rsidR="00DE24EE" w:rsidRPr="00687774">
        <w:rPr>
          <w:rFonts w:cs="Calibri"/>
          <w:bCs/>
        </w:rPr>
        <w:t xml:space="preserve"> </w:t>
      </w:r>
      <w:r w:rsidR="00DE24EE">
        <w:rPr>
          <w:rFonts w:cs="Calibri"/>
          <w:bCs/>
        </w:rPr>
        <w:t xml:space="preserve">for serious/willful/repeat/unclassified (S/W/R/U) violations which provides a range of </w:t>
      </w:r>
      <w:r w:rsidR="00373ADE" w:rsidRPr="00687774">
        <w:rPr>
          <w:rFonts w:cs="Calibri"/>
          <w:bCs/>
        </w:rPr>
        <w:t>1</w:t>
      </w:r>
      <w:r w:rsidR="00527D76" w:rsidRPr="00687774">
        <w:rPr>
          <w:rFonts w:cs="Calibri"/>
          <w:bCs/>
        </w:rPr>
        <w:t>.42</w:t>
      </w:r>
      <w:r w:rsidR="007B5A32" w:rsidRPr="00687774">
        <w:rPr>
          <w:rFonts w:cs="Calibri"/>
          <w:bCs/>
        </w:rPr>
        <w:t xml:space="preserve"> </w:t>
      </w:r>
      <w:r w:rsidR="007B5A32">
        <w:rPr>
          <w:rFonts w:cs="Calibri"/>
          <w:bCs/>
        </w:rPr>
        <w:t xml:space="preserve">to </w:t>
      </w:r>
      <w:r w:rsidR="007B5A32" w:rsidRPr="00687774">
        <w:rPr>
          <w:rFonts w:cs="Calibri"/>
          <w:bCs/>
        </w:rPr>
        <w:t>2.</w:t>
      </w:r>
      <w:r w:rsidR="00527D76" w:rsidRPr="00687774">
        <w:rPr>
          <w:rFonts w:cs="Calibri"/>
          <w:bCs/>
        </w:rPr>
        <w:t>12</w:t>
      </w:r>
      <w:r w:rsidR="007B5A32" w:rsidRPr="00687774">
        <w:rPr>
          <w:rFonts w:cs="Calibri"/>
          <w:bCs/>
        </w:rPr>
        <w:t xml:space="preserve">.  </w:t>
      </w:r>
      <w:r w:rsidR="007B5A32">
        <w:rPr>
          <w:rFonts w:cs="Calibri"/>
          <w:bCs/>
        </w:rPr>
        <w:t>VOSH’s S/W/R/U average is 1.94</w:t>
      </w:r>
      <w:r w:rsidR="00604DF0">
        <w:rPr>
          <w:rFonts w:cs="Calibri"/>
          <w:bCs/>
        </w:rPr>
        <w:t xml:space="preserve"> violations.  The FRL for other-than-serious (OTS) violations is</w:t>
      </w:r>
      <w:r w:rsidR="00BC4177">
        <w:rPr>
          <w:rFonts w:cs="Calibri"/>
          <w:bCs/>
        </w:rPr>
        <w:t xml:space="preserve"> +/- 20% of the three-year national average of </w:t>
      </w:r>
      <w:r w:rsidR="00BC4177" w:rsidRPr="00687774">
        <w:rPr>
          <w:rFonts w:cs="Calibri"/>
          <w:bCs/>
        </w:rPr>
        <w:t>0.9</w:t>
      </w:r>
      <w:r w:rsidR="00BE6341" w:rsidRPr="00687774">
        <w:rPr>
          <w:rFonts w:cs="Calibri"/>
          <w:bCs/>
        </w:rPr>
        <w:t>0</w:t>
      </w:r>
      <w:r w:rsidR="00BC4177" w:rsidRPr="00687774">
        <w:rPr>
          <w:rFonts w:cs="Calibri"/>
          <w:bCs/>
        </w:rPr>
        <w:t xml:space="preserve"> </w:t>
      </w:r>
      <w:r w:rsidR="00BC4177">
        <w:rPr>
          <w:rFonts w:cs="Calibri"/>
          <w:bCs/>
        </w:rPr>
        <w:t>which provides a range of</w:t>
      </w:r>
      <w:r w:rsidR="00AD2E71">
        <w:rPr>
          <w:rFonts w:cs="Calibri"/>
          <w:bCs/>
        </w:rPr>
        <w:t xml:space="preserve"> </w:t>
      </w:r>
      <w:r w:rsidR="00AD2E71" w:rsidRPr="00687774">
        <w:rPr>
          <w:rFonts w:cs="Calibri"/>
          <w:bCs/>
        </w:rPr>
        <w:t>0.7</w:t>
      </w:r>
      <w:r w:rsidR="00BE6341" w:rsidRPr="00687774">
        <w:rPr>
          <w:rFonts w:cs="Calibri"/>
          <w:bCs/>
        </w:rPr>
        <w:t>2</w:t>
      </w:r>
      <w:r w:rsidR="00AD2E71" w:rsidRPr="00687774">
        <w:rPr>
          <w:rFonts w:cs="Calibri"/>
          <w:bCs/>
        </w:rPr>
        <w:t xml:space="preserve"> </w:t>
      </w:r>
      <w:r w:rsidR="00AD2E71">
        <w:rPr>
          <w:rFonts w:cs="Calibri"/>
          <w:bCs/>
        </w:rPr>
        <w:t>to</w:t>
      </w:r>
      <w:r w:rsidR="00BC4177">
        <w:rPr>
          <w:rFonts w:cs="Calibri"/>
          <w:bCs/>
        </w:rPr>
        <w:t xml:space="preserve"> </w:t>
      </w:r>
      <w:r w:rsidR="00C94B7C" w:rsidRPr="00687774">
        <w:rPr>
          <w:rFonts w:cs="Calibri"/>
          <w:bCs/>
        </w:rPr>
        <w:t>1.</w:t>
      </w:r>
      <w:r w:rsidR="006C674D" w:rsidRPr="00687774">
        <w:rPr>
          <w:rFonts w:cs="Calibri"/>
          <w:bCs/>
        </w:rPr>
        <w:t>08</w:t>
      </w:r>
      <w:r w:rsidR="00AD2E71" w:rsidRPr="00687774">
        <w:rPr>
          <w:rFonts w:cs="Calibri"/>
          <w:bCs/>
        </w:rPr>
        <w:t xml:space="preserve">.  </w:t>
      </w:r>
      <w:r w:rsidR="00AD2E71">
        <w:rPr>
          <w:rFonts w:cs="Calibri"/>
          <w:bCs/>
        </w:rPr>
        <w:t>VOSH’s OTS average is 0.71.</w:t>
      </w:r>
    </w:p>
    <w:p w14:paraId="14CF3B9F" w14:textId="77777777" w:rsidR="000353C0" w:rsidRDefault="000353C0" w:rsidP="00783189">
      <w:pPr>
        <w:widowControl/>
        <w:autoSpaceDE/>
        <w:adjustRightInd/>
        <w:rPr>
          <w:rFonts w:cs="Calibri"/>
          <w:bCs/>
        </w:rPr>
      </w:pPr>
    </w:p>
    <w:p w14:paraId="6F75DDB6" w14:textId="13988EFC" w:rsidR="000A134A" w:rsidRPr="00647078" w:rsidRDefault="00AD2E71" w:rsidP="00647078">
      <w:pPr>
        <w:widowControl/>
        <w:autoSpaceDE/>
        <w:adjustRightInd/>
        <w:rPr>
          <w:rFonts w:cs="Calibri"/>
          <w:b/>
        </w:rPr>
      </w:pPr>
      <w:r>
        <w:rPr>
          <w:rFonts w:cs="Calibri"/>
          <w:bCs/>
          <w:u w:val="single"/>
        </w:rPr>
        <w:lastRenderedPageBreak/>
        <w:t>Explanation:</w:t>
      </w:r>
      <w:r>
        <w:rPr>
          <w:rFonts w:cs="Calibri"/>
          <w:bCs/>
        </w:rPr>
        <w:t xml:space="preserve"> VOSH is</w:t>
      </w:r>
      <w:r w:rsidR="00B22950">
        <w:rPr>
          <w:rFonts w:cs="Calibri"/>
          <w:bCs/>
        </w:rPr>
        <w:t xml:space="preserve"> slightly below </w:t>
      </w:r>
      <w:r>
        <w:rPr>
          <w:rFonts w:cs="Calibri"/>
          <w:bCs/>
        </w:rPr>
        <w:t xml:space="preserve">the FRL for the average number of OTS violations issued per inspection and within the FRL and </w:t>
      </w:r>
      <w:r w:rsidR="00613183">
        <w:rPr>
          <w:rFonts w:cs="Calibri"/>
          <w:bCs/>
        </w:rPr>
        <w:t xml:space="preserve">above the national average for the number of S/W/R/U violations issued per inspection.  </w:t>
      </w:r>
      <w:r w:rsidR="005843E2">
        <w:rPr>
          <w:rFonts w:cs="Calibri"/>
          <w:bCs/>
        </w:rPr>
        <w:t xml:space="preserve">VOSH increased its number of OTS violations per inspection by 31.48% since FY 2021.  </w:t>
      </w:r>
      <w:r w:rsidR="001C54A0">
        <w:rPr>
          <w:rFonts w:cs="Calibri"/>
          <w:bCs/>
        </w:rPr>
        <w:t xml:space="preserve">The data </w:t>
      </w:r>
      <w:r w:rsidR="00790C8A">
        <w:rPr>
          <w:rFonts w:cs="Calibri"/>
          <w:bCs/>
        </w:rPr>
        <w:t xml:space="preserve">also </w:t>
      </w:r>
      <w:r w:rsidR="001C54A0">
        <w:rPr>
          <w:rFonts w:cs="Calibri"/>
          <w:bCs/>
        </w:rPr>
        <w:t>indicates that VOSH issued more safety violations as S/W/R/U.</w:t>
      </w:r>
      <w:r w:rsidR="008772DF">
        <w:rPr>
          <w:rFonts w:cs="Calibri"/>
          <w:bCs/>
        </w:rPr>
        <w:t xml:space="preserve">  </w:t>
      </w:r>
      <w:r w:rsidR="00A634FE">
        <w:rPr>
          <w:rFonts w:cs="Calibri"/>
          <w:bCs/>
        </w:rPr>
        <w:t xml:space="preserve">Previous reviews have not identified </w:t>
      </w:r>
      <w:r w:rsidR="005843E2">
        <w:rPr>
          <w:rFonts w:cs="Calibri"/>
          <w:bCs/>
        </w:rPr>
        <w:t xml:space="preserve">any trends </w:t>
      </w:r>
      <w:r w:rsidR="00790C8A">
        <w:rPr>
          <w:rFonts w:cs="Calibri"/>
          <w:bCs/>
        </w:rPr>
        <w:t>with violation</w:t>
      </w:r>
      <w:r w:rsidR="00365954">
        <w:rPr>
          <w:rFonts w:cs="Calibri"/>
          <w:bCs/>
        </w:rPr>
        <w:t xml:space="preserve"> </w:t>
      </w:r>
      <w:r w:rsidR="00790C8A">
        <w:rPr>
          <w:rFonts w:cs="Calibri"/>
          <w:bCs/>
        </w:rPr>
        <w:t>misclassification</w:t>
      </w:r>
      <w:r w:rsidR="00365954">
        <w:rPr>
          <w:rFonts w:cs="Calibri"/>
          <w:bCs/>
        </w:rPr>
        <w:t xml:space="preserve">, </w:t>
      </w:r>
      <w:r w:rsidR="005D69B9">
        <w:rPr>
          <w:rFonts w:cs="Calibri"/>
          <w:bCs/>
        </w:rPr>
        <w:t>unidentified violations,</w:t>
      </w:r>
      <w:r w:rsidR="00365954">
        <w:rPr>
          <w:rFonts w:cs="Calibri"/>
          <w:bCs/>
        </w:rPr>
        <w:t xml:space="preserve"> or violations that were not cited; </w:t>
      </w:r>
      <w:r w:rsidR="001024C8">
        <w:rPr>
          <w:rFonts w:cs="Calibri"/>
          <w:bCs/>
        </w:rPr>
        <w:t>therefore,</w:t>
      </w:r>
      <w:r w:rsidR="005D69B9">
        <w:rPr>
          <w:rFonts w:cs="Calibri"/>
          <w:bCs/>
        </w:rPr>
        <w:t xml:space="preserve"> a finding was</w:t>
      </w:r>
      <w:r w:rsidR="00FF0D26">
        <w:rPr>
          <w:rFonts w:cs="Calibri"/>
          <w:bCs/>
        </w:rPr>
        <w:t xml:space="preserve"> not recommended. </w:t>
      </w:r>
      <w:r w:rsidR="000508EF">
        <w:rPr>
          <w:rFonts w:cs="Calibri"/>
          <w:bCs/>
        </w:rPr>
        <w:t xml:space="preserve"> </w:t>
      </w:r>
      <w:r w:rsidR="001C54A0">
        <w:rPr>
          <w:rFonts w:cs="Calibri"/>
          <w:bCs/>
        </w:rPr>
        <w:t xml:space="preserve">  </w:t>
      </w:r>
    </w:p>
    <w:p w14:paraId="35F55762" w14:textId="77777777" w:rsidR="009A5F46" w:rsidRDefault="009A5F46" w:rsidP="007A71AC">
      <w:pPr>
        <w:widowControl/>
        <w:autoSpaceDE/>
        <w:autoSpaceDN/>
        <w:adjustRightInd/>
        <w:rPr>
          <w:rFonts w:cs="Calibri"/>
        </w:rPr>
      </w:pPr>
    </w:p>
    <w:p w14:paraId="56EEC617" w14:textId="2631E1DA" w:rsidR="009A5F46" w:rsidRDefault="009A5F46" w:rsidP="007A71AC">
      <w:pPr>
        <w:widowControl/>
        <w:autoSpaceDE/>
        <w:autoSpaceDN/>
        <w:adjustRightInd/>
        <w:rPr>
          <w:rFonts w:cs="Calibri"/>
        </w:rPr>
      </w:pPr>
      <w:r w:rsidRPr="00C258F8">
        <w:rPr>
          <w:rFonts w:cs="Calibri"/>
          <w:b/>
          <w:bCs/>
        </w:rPr>
        <w:t xml:space="preserve">SAMM </w:t>
      </w:r>
      <w:r w:rsidR="00A05567">
        <w:rPr>
          <w:rFonts w:cs="Calibri"/>
          <w:b/>
          <w:bCs/>
        </w:rPr>
        <w:t>#</w:t>
      </w:r>
      <w:r w:rsidRPr="00C258F8">
        <w:rPr>
          <w:rFonts w:cs="Calibri"/>
          <w:b/>
          <w:bCs/>
        </w:rPr>
        <w:t>6 – Percent of Total Inspections in Public Sector</w:t>
      </w:r>
      <w:r w:rsidR="00271A9D">
        <w:rPr>
          <w:rFonts w:cs="Calibri"/>
          <w:b/>
          <w:bCs/>
        </w:rPr>
        <w:t>:</w:t>
      </w:r>
    </w:p>
    <w:p w14:paraId="64991D9B" w14:textId="12273D9C" w:rsidR="00C258F8" w:rsidRDefault="00C258F8" w:rsidP="007A71AC">
      <w:pPr>
        <w:widowControl/>
        <w:autoSpaceDE/>
        <w:autoSpaceDN/>
        <w:adjustRightInd/>
        <w:rPr>
          <w:rFonts w:cs="Calibri"/>
        </w:rPr>
      </w:pPr>
    </w:p>
    <w:p w14:paraId="6BD2F4A0" w14:textId="62F083DB" w:rsidR="008464FF" w:rsidRDefault="00C258F8" w:rsidP="007A71AC">
      <w:pPr>
        <w:widowControl/>
        <w:autoSpaceDE/>
        <w:autoSpaceDN/>
        <w:adjustRightInd/>
        <w:rPr>
          <w:rFonts w:cs="Calibri"/>
        </w:rPr>
      </w:pPr>
      <w:r>
        <w:rPr>
          <w:rFonts w:cs="Calibri"/>
          <w:u w:val="single"/>
        </w:rPr>
        <w:t xml:space="preserve">Discussion of State Plan </w:t>
      </w:r>
      <w:r w:rsidR="00DD2E45">
        <w:rPr>
          <w:rFonts w:cs="Calibri"/>
          <w:u w:val="single"/>
        </w:rPr>
        <w:t>D</w:t>
      </w:r>
      <w:r>
        <w:rPr>
          <w:rFonts w:cs="Calibri"/>
          <w:u w:val="single"/>
        </w:rPr>
        <w:t>ata and FRL:</w:t>
      </w:r>
      <w:r>
        <w:rPr>
          <w:rFonts w:cs="Calibri"/>
        </w:rPr>
        <w:t xml:space="preserve"> </w:t>
      </w:r>
      <w:r w:rsidR="00F125D8">
        <w:rPr>
          <w:rFonts w:cs="Calibri"/>
        </w:rPr>
        <w:t xml:space="preserve">The FRL for the percent of total inspection in SLG workplaces is +/- 5% of the negotiated </w:t>
      </w:r>
      <w:r w:rsidR="0061461A">
        <w:rPr>
          <w:rFonts w:cs="Calibri"/>
        </w:rPr>
        <w:t xml:space="preserve">value of </w:t>
      </w:r>
      <w:r w:rsidR="0061461A" w:rsidRPr="003F1663">
        <w:rPr>
          <w:rFonts w:cs="Calibri"/>
        </w:rPr>
        <w:t>6.5</w:t>
      </w:r>
      <w:r w:rsidR="003F180A" w:rsidRPr="003F1663">
        <w:rPr>
          <w:rFonts w:cs="Calibri"/>
        </w:rPr>
        <w:t>3</w:t>
      </w:r>
      <w:r w:rsidR="0061461A" w:rsidRPr="003F1663">
        <w:rPr>
          <w:rFonts w:cs="Calibri"/>
        </w:rPr>
        <w:t xml:space="preserve">% </w:t>
      </w:r>
      <w:r w:rsidR="0061461A">
        <w:rPr>
          <w:rFonts w:cs="Calibri"/>
        </w:rPr>
        <w:t xml:space="preserve">which provides a range from </w:t>
      </w:r>
      <w:r w:rsidR="0061461A" w:rsidRPr="003F1663">
        <w:rPr>
          <w:rFonts w:cs="Calibri"/>
        </w:rPr>
        <w:t>6.</w:t>
      </w:r>
      <w:r w:rsidR="003F1663" w:rsidRPr="003F1663">
        <w:rPr>
          <w:rFonts w:cs="Calibri"/>
        </w:rPr>
        <w:t>21</w:t>
      </w:r>
      <w:r w:rsidR="004023B5" w:rsidRPr="003F1663">
        <w:rPr>
          <w:rFonts w:cs="Calibri"/>
        </w:rPr>
        <w:t xml:space="preserve">% </w:t>
      </w:r>
      <w:r w:rsidR="004023B5">
        <w:rPr>
          <w:rFonts w:cs="Calibri"/>
        </w:rPr>
        <w:t xml:space="preserve">to </w:t>
      </w:r>
      <w:r w:rsidR="004023B5" w:rsidRPr="003F1663">
        <w:rPr>
          <w:rFonts w:cs="Calibri"/>
        </w:rPr>
        <w:t>6.8</w:t>
      </w:r>
      <w:r w:rsidR="003F1663" w:rsidRPr="003F1663">
        <w:rPr>
          <w:rFonts w:cs="Calibri"/>
        </w:rPr>
        <w:t>6</w:t>
      </w:r>
      <w:r w:rsidR="004023B5" w:rsidRPr="003F1663">
        <w:rPr>
          <w:rFonts w:cs="Calibri"/>
        </w:rPr>
        <w:t>%</w:t>
      </w:r>
      <w:r w:rsidR="004023B5" w:rsidRPr="00BE0C07">
        <w:rPr>
          <w:rFonts w:cs="Calibri"/>
        </w:rPr>
        <w:t xml:space="preserve">. </w:t>
      </w:r>
      <w:r w:rsidR="004023B5" w:rsidRPr="00BE0C07">
        <w:rPr>
          <w:rFonts w:cs="Calibri"/>
          <w:color w:val="C00000"/>
        </w:rPr>
        <w:t xml:space="preserve"> </w:t>
      </w:r>
      <w:r w:rsidR="004023B5">
        <w:rPr>
          <w:rFonts w:cs="Calibri"/>
        </w:rPr>
        <w:t xml:space="preserve">VOSH conducted </w:t>
      </w:r>
      <w:r w:rsidR="004023B5" w:rsidRPr="003F1663">
        <w:rPr>
          <w:rFonts w:cs="Calibri"/>
        </w:rPr>
        <w:t xml:space="preserve">6.12% </w:t>
      </w:r>
      <w:r w:rsidR="004023B5">
        <w:rPr>
          <w:rFonts w:cs="Calibri"/>
        </w:rPr>
        <w:t>of its total inspections in SLG workplaces in FY 2022</w:t>
      </w:r>
      <w:r w:rsidR="008464FF">
        <w:rPr>
          <w:rFonts w:cs="Calibri"/>
        </w:rPr>
        <w:t xml:space="preserve"> </w:t>
      </w:r>
      <w:r w:rsidR="004023B5">
        <w:rPr>
          <w:rFonts w:cs="Calibri"/>
        </w:rPr>
        <w:t>– falling just below the FRL</w:t>
      </w:r>
      <w:r w:rsidR="008464FF">
        <w:rPr>
          <w:rFonts w:cs="Calibri"/>
        </w:rPr>
        <w:t>.</w:t>
      </w:r>
    </w:p>
    <w:p w14:paraId="64E02B7D" w14:textId="77777777" w:rsidR="008464FF" w:rsidRDefault="008464FF" w:rsidP="007A71AC">
      <w:pPr>
        <w:widowControl/>
        <w:autoSpaceDE/>
        <w:autoSpaceDN/>
        <w:adjustRightInd/>
        <w:rPr>
          <w:rFonts w:cs="Calibri"/>
        </w:rPr>
      </w:pPr>
    </w:p>
    <w:p w14:paraId="06734791" w14:textId="37F4F9C9" w:rsidR="00C258F8" w:rsidRDefault="008464FF" w:rsidP="007A71AC">
      <w:pPr>
        <w:widowControl/>
        <w:autoSpaceDE/>
        <w:autoSpaceDN/>
        <w:adjustRightInd/>
        <w:rPr>
          <w:rFonts w:cs="Calibri"/>
        </w:rPr>
      </w:pPr>
      <w:r>
        <w:rPr>
          <w:rFonts w:cs="Calibri"/>
          <w:u w:val="single"/>
        </w:rPr>
        <w:t>Explanation:</w:t>
      </w:r>
      <w:r>
        <w:rPr>
          <w:rFonts w:cs="Calibri"/>
        </w:rPr>
        <w:t xml:space="preserve"> </w:t>
      </w:r>
      <w:r w:rsidR="000950A5">
        <w:rPr>
          <w:rFonts w:cs="Calibri"/>
        </w:rPr>
        <w:t xml:space="preserve">VOSH conducted 113 </w:t>
      </w:r>
      <w:r w:rsidR="003D168D">
        <w:rPr>
          <w:rFonts w:cs="Calibri"/>
        </w:rPr>
        <w:t>safety and health inspections in SLG workplaces.</w:t>
      </w:r>
      <w:r w:rsidR="00C3244B">
        <w:rPr>
          <w:rFonts w:cs="Calibri"/>
        </w:rPr>
        <w:t xml:space="preserve">  Although this represents a decrease </w:t>
      </w:r>
      <w:r w:rsidR="00E01789">
        <w:rPr>
          <w:rFonts w:cs="Calibri"/>
        </w:rPr>
        <w:t xml:space="preserve">from </w:t>
      </w:r>
      <w:r w:rsidR="00981F9C">
        <w:rPr>
          <w:rFonts w:cs="Calibri"/>
        </w:rPr>
        <w:t>the previous three years,</w:t>
      </w:r>
      <w:r w:rsidR="002446D2">
        <w:rPr>
          <w:rFonts w:cs="Calibri"/>
        </w:rPr>
        <w:t xml:space="preserve"> VOSH fell below the FRL</w:t>
      </w:r>
      <w:r w:rsidR="00D42A00">
        <w:rPr>
          <w:rFonts w:cs="Calibri"/>
        </w:rPr>
        <w:t xml:space="preserve"> by less than two</w:t>
      </w:r>
      <w:r w:rsidR="002446D2">
        <w:rPr>
          <w:rFonts w:cs="Calibri"/>
        </w:rPr>
        <w:t xml:space="preserve"> SLG inspection</w:t>
      </w:r>
      <w:r w:rsidR="00D42A00">
        <w:rPr>
          <w:rFonts w:cs="Calibri"/>
        </w:rPr>
        <w:t>s</w:t>
      </w:r>
      <w:r w:rsidR="002446D2">
        <w:rPr>
          <w:rFonts w:cs="Calibri"/>
        </w:rPr>
        <w:t xml:space="preserve">. </w:t>
      </w:r>
      <w:r w:rsidR="004023B5">
        <w:rPr>
          <w:rFonts w:cs="Calibri"/>
        </w:rPr>
        <w:t xml:space="preserve"> </w:t>
      </w:r>
      <w:r w:rsidR="00716674">
        <w:rPr>
          <w:rFonts w:cs="Calibri"/>
        </w:rPr>
        <w:t>Therefore, OSHA will not make this an observation at this time but will continue to</w:t>
      </w:r>
      <w:r w:rsidR="00D42A00">
        <w:rPr>
          <w:rFonts w:cs="Calibri"/>
        </w:rPr>
        <w:t xml:space="preserve"> discuss with VOSH </w:t>
      </w:r>
      <w:r w:rsidR="004C25B5">
        <w:rPr>
          <w:rFonts w:cs="Calibri"/>
        </w:rPr>
        <w:t xml:space="preserve">and monitor </w:t>
      </w:r>
      <w:r w:rsidR="00D42A00">
        <w:rPr>
          <w:rFonts w:cs="Calibri"/>
        </w:rPr>
        <w:t xml:space="preserve">during quarterly meetings. </w:t>
      </w:r>
    </w:p>
    <w:p w14:paraId="462A9A95" w14:textId="6B79212A" w:rsidR="00647078" w:rsidRDefault="00647078" w:rsidP="007A71AC">
      <w:pPr>
        <w:widowControl/>
        <w:autoSpaceDE/>
        <w:autoSpaceDN/>
        <w:adjustRightInd/>
        <w:rPr>
          <w:rFonts w:cs="Calibri"/>
        </w:rPr>
      </w:pPr>
    </w:p>
    <w:p w14:paraId="20FA3CB3" w14:textId="5DFFD554" w:rsidR="00647078" w:rsidRPr="00A05567" w:rsidRDefault="00A05567" w:rsidP="007A71AC">
      <w:pPr>
        <w:widowControl/>
        <w:autoSpaceDE/>
        <w:autoSpaceDN/>
        <w:adjustRightInd/>
        <w:rPr>
          <w:rFonts w:cs="Calibri"/>
          <w:b/>
          <w:bCs/>
        </w:rPr>
      </w:pPr>
      <w:r>
        <w:rPr>
          <w:rFonts w:cs="Calibri"/>
          <w:b/>
          <w:bCs/>
        </w:rPr>
        <w:t xml:space="preserve">SAMM #7 – Planned vs. </w:t>
      </w:r>
      <w:r w:rsidR="00271A9D">
        <w:rPr>
          <w:rFonts w:cs="Calibri"/>
          <w:b/>
          <w:bCs/>
        </w:rPr>
        <w:t>A</w:t>
      </w:r>
      <w:r>
        <w:rPr>
          <w:rFonts w:cs="Calibri"/>
          <w:b/>
          <w:bCs/>
        </w:rPr>
        <w:t xml:space="preserve">ctual </w:t>
      </w:r>
      <w:r w:rsidR="00271A9D">
        <w:rPr>
          <w:rFonts w:cs="Calibri"/>
          <w:b/>
          <w:bCs/>
        </w:rPr>
        <w:t>I</w:t>
      </w:r>
      <w:r>
        <w:rPr>
          <w:rFonts w:cs="Calibri"/>
          <w:b/>
          <w:bCs/>
        </w:rPr>
        <w:t>nspection (</w:t>
      </w:r>
      <w:r w:rsidR="00271A9D">
        <w:rPr>
          <w:rFonts w:cs="Calibri"/>
          <w:b/>
          <w:bCs/>
        </w:rPr>
        <w:t>S</w:t>
      </w:r>
      <w:r>
        <w:rPr>
          <w:rFonts w:cs="Calibri"/>
          <w:b/>
          <w:bCs/>
        </w:rPr>
        <w:t>afety/</w:t>
      </w:r>
      <w:r w:rsidR="00271A9D">
        <w:rPr>
          <w:rFonts w:cs="Calibri"/>
          <w:b/>
          <w:bCs/>
        </w:rPr>
        <w:t>H</w:t>
      </w:r>
      <w:r>
        <w:rPr>
          <w:rFonts w:cs="Calibri"/>
          <w:b/>
          <w:bCs/>
        </w:rPr>
        <w:t>ealth)</w:t>
      </w:r>
      <w:r w:rsidR="00271A9D">
        <w:rPr>
          <w:rFonts w:cs="Calibri"/>
          <w:b/>
          <w:bCs/>
        </w:rPr>
        <w:t>:</w:t>
      </w:r>
    </w:p>
    <w:p w14:paraId="3EB75E6E" w14:textId="77777777" w:rsidR="00647078" w:rsidRDefault="00647078" w:rsidP="007A71AC">
      <w:pPr>
        <w:widowControl/>
        <w:autoSpaceDE/>
        <w:autoSpaceDN/>
        <w:adjustRightInd/>
        <w:rPr>
          <w:rFonts w:cs="Calibri"/>
        </w:rPr>
      </w:pPr>
    </w:p>
    <w:p w14:paraId="75EBAE96" w14:textId="3EAE9436" w:rsidR="007923A9" w:rsidRDefault="00471C65" w:rsidP="007A71AC">
      <w:pPr>
        <w:widowControl/>
        <w:autoSpaceDE/>
        <w:autoSpaceDN/>
        <w:adjustRightInd/>
        <w:rPr>
          <w:rFonts w:cs="Calibri"/>
        </w:rPr>
      </w:pPr>
      <w:r>
        <w:rPr>
          <w:rFonts w:cs="Calibri"/>
          <w:u w:val="single"/>
        </w:rPr>
        <w:t xml:space="preserve">Discussion of State Plan </w:t>
      </w:r>
      <w:r w:rsidR="00DD2E45">
        <w:rPr>
          <w:rFonts w:cs="Calibri"/>
          <w:u w:val="single"/>
        </w:rPr>
        <w:t>D</w:t>
      </w:r>
      <w:r>
        <w:rPr>
          <w:rFonts w:cs="Calibri"/>
          <w:u w:val="single"/>
        </w:rPr>
        <w:t>ata and FRL:</w:t>
      </w:r>
      <w:r>
        <w:rPr>
          <w:rFonts w:cs="Calibri"/>
        </w:rPr>
        <w:t xml:space="preserve"> </w:t>
      </w:r>
      <w:r w:rsidR="00451D41">
        <w:rPr>
          <w:rFonts w:cs="Calibri"/>
        </w:rPr>
        <w:t xml:space="preserve">The FRL for planned vs. actual inspections is +/- 5% of the negotiated number of </w:t>
      </w:r>
      <w:r w:rsidR="001C5CA7" w:rsidRPr="00D6562B">
        <w:rPr>
          <w:rFonts w:cs="Calibri"/>
        </w:rPr>
        <w:t xml:space="preserve">1,574 </w:t>
      </w:r>
      <w:r w:rsidR="001C5CA7">
        <w:rPr>
          <w:rFonts w:cs="Calibri"/>
        </w:rPr>
        <w:t>safety inspections which provides a range of</w:t>
      </w:r>
      <w:r w:rsidR="004C31A0">
        <w:rPr>
          <w:rFonts w:cs="Calibri"/>
        </w:rPr>
        <w:t xml:space="preserve"> </w:t>
      </w:r>
      <w:r w:rsidR="00995C41" w:rsidRPr="00D6562B">
        <w:rPr>
          <w:rFonts w:cs="Calibri"/>
        </w:rPr>
        <w:t>1,495.3</w:t>
      </w:r>
      <w:r w:rsidR="00916362" w:rsidRPr="00D6562B">
        <w:rPr>
          <w:rFonts w:cs="Calibri"/>
        </w:rPr>
        <w:t xml:space="preserve"> </w:t>
      </w:r>
      <w:r w:rsidR="00916362">
        <w:rPr>
          <w:rFonts w:cs="Calibri"/>
        </w:rPr>
        <w:t xml:space="preserve">to </w:t>
      </w:r>
      <w:r w:rsidR="00916362" w:rsidRPr="00D6562B">
        <w:rPr>
          <w:rFonts w:cs="Calibri"/>
        </w:rPr>
        <w:t>1,652.7</w:t>
      </w:r>
      <w:r w:rsidR="00916362">
        <w:rPr>
          <w:rFonts w:cs="Calibri"/>
        </w:rPr>
        <w:t xml:space="preserve">, </w:t>
      </w:r>
      <w:r w:rsidR="001C5CA7">
        <w:rPr>
          <w:rFonts w:cs="Calibri"/>
        </w:rPr>
        <w:t xml:space="preserve">and </w:t>
      </w:r>
      <w:r w:rsidR="001C5CA7" w:rsidRPr="00D6562B">
        <w:rPr>
          <w:rFonts w:cs="Calibri"/>
        </w:rPr>
        <w:t>554</w:t>
      </w:r>
      <w:r w:rsidR="001C5CA7">
        <w:rPr>
          <w:rFonts w:cs="Calibri"/>
        </w:rPr>
        <w:t xml:space="preserve"> health inspections</w:t>
      </w:r>
      <w:r w:rsidR="00916362">
        <w:rPr>
          <w:rFonts w:cs="Calibri"/>
        </w:rPr>
        <w:t xml:space="preserve"> which </w:t>
      </w:r>
      <w:r w:rsidR="00CF340B">
        <w:rPr>
          <w:rFonts w:cs="Calibri"/>
        </w:rPr>
        <w:t xml:space="preserve">provides a range of </w:t>
      </w:r>
      <w:r w:rsidR="00CF340B" w:rsidRPr="00D6562B">
        <w:rPr>
          <w:rFonts w:cs="Calibri"/>
        </w:rPr>
        <w:t xml:space="preserve">526.3 </w:t>
      </w:r>
      <w:r w:rsidR="00CF340B">
        <w:rPr>
          <w:rFonts w:cs="Calibri"/>
        </w:rPr>
        <w:t xml:space="preserve">to </w:t>
      </w:r>
      <w:r w:rsidR="00CF340B" w:rsidRPr="00D6562B">
        <w:rPr>
          <w:rFonts w:cs="Calibri"/>
        </w:rPr>
        <w:t xml:space="preserve">581.7 </w:t>
      </w:r>
      <w:r w:rsidR="00CF340B">
        <w:rPr>
          <w:rFonts w:cs="Calibri"/>
        </w:rPr>
        <w:t>inspections.</w:t>
      </w:r>
      <w:r w:rsidR="00EE3DF0">
        <w:rPr>
          <w:rFonts w:cs="Calibri"/>
        </w:rPr>
        <w:t xml:space="preserve">  VOSH conducted </w:t>
      </w:r>
      <w:r w:rsidR="00D70C6D" w:rsidRPr="00D6562B">
        <w:rPr>
          <w:rFonts w:cs="Calibri"/>
        </w:rPr>
        <w:t xml:space="preserve">1,351 </w:t>
      </w:r>
      <w:r w:rsidR="00D70C6D">
        <w:rPr>
          <w:rFonts w:cs="Calibri"/>
        </w:rPr>
        <w:t xml:space="preserve">safety and </w:t>
      </w:r>
      <w:r w:rsidR="00D70C6D" w:rsidRPr="00D6562B">
        <w:rPr>
          <w:rFonts w:cs="Calibri"/>
        </w:rPr>
        <w:t>496</w:t>
      </w:r>
      <w:r w:rsidR="00D70C6D">
        <w:rPr>
          <w:rFonts w:cs="Calibri"/>
        </w:rPr>
        <w:t xml:space="preserve"> health inspections in FY 2022 – falling below the FRL for both </w:t>
      </w:r>
      <w:r w:rsidR="007923A9">
        <w:rPr>
          <w:rFonts w:cs="Calibri"/>
        </w:rPr>
        <w:t>subcategories.</w:t>
      </w:r>
    </w:p>
    <w:p w14:paraId="238E6411" w14:textId="77777777" w:rsidR="007923A9" w:rsidRDefault="007923A9" w:rsidP="007A71AC">
      <w:pPr>
        <w:widowControl/>
        <w:autoSpaceDE/>
        <w:autoSpaceDN/>
        <w:adjustRightInd/>
        <w:rPr>
          <w:rFonts w:cs="Calibri"/>
        </w:rPr>
      </w:pPr>
    </w:p>
    <w:p w14:paraId="3268EEB7" w14:textId="4EF5488C" w:rsidR="008464FF" w:rsidRDefault="007923A9" w:rsidP="007A71AC">
      <w:pPr>
        <w:widowControl/>
        <w:autoSpaceDE/>
        <w:autoSpaceDN/>
        <w:adjustRightInd/>
        <w:rPr>
          <w:rFonts w:cs="Calibri"/>
        </w:rPr>
      </w:pPr>
      <w:r>
        <w:rPr>
          <w:rFonts w:cs="Calibri"/>
          <w:u w:val="single"/>
        </w:rPr>
        <w:t>Explanation:</w:t>
      </w:r>
      <w:r>
        <w:rPr>
          <w:rFonts w:cs="Calibri"/>
        </w:rPr>
        <w:t xml:space="preserve"> </w:t>
      </w:r>
      <w:r w:rsidR="00852403">
        <w:rPr>
          <w:rFonts w:cs="Calibri"/>
        </w:rPr>
        <w:t xml:space="preserve">VOSH has consistently exceeded its </w:t>
      </w:r>
      <w:r w:rsidR="003D4CE3">
        <w:rPr>
          <w:rFonts w:cs="Calibri"/>
        </w:rPr>
        <w:t>health</w:t>
      </w:r>
      <w:r w:rsidR="00852403">
        <w:rPr>
          <w:rFonts w:cs="Calibri"/>
        </w:rPr>
        <w:t xml:space="preserve"> inspection goal </w:t>
      </w:r>
      <w:r w:rsidR="0040693B">
        <w:rPr>
          <w:rFonts w:cs="Calibri"/>
        </w:rPr>
        <w:t>since FY 2019</w:t>
      </w:r>
      <w:r w:rsidR="00B86679">
        <w:rPr>
          <w:rFonts w:cs="Calibri"/>
        </w:rPr>
        <w:t xml:space="preserve"> and exceeded its safety inspection goal in FY </w:t>
      </w:r>
      <w:r w:rsidR="00C44398">
        <w:rPr>
          <w:rFonts w:cs="Calibri"/>
        </w:rPr>
        <w:t xml:space="preserve">2021.  </w:t>
      </w:r>
      <w:r w:rsidR="00BD251A">
        <w:rPr>
          <w:rFonts w:cs="Calibri"/>
        </w:rPr>
        <w:t xml:space="preserve">VOSH has experienced staff turnover in the recent years but </w:t>
      </w:r>
      <w:r w:rsidR="004C25B5">
        <w:rPr>
          <w:rFonts w:cs="Calibri"/>
        </w:rPr>
        <w:t>is actively</w:t>
      </w:r>
      <w:r w:rsidR="006F40E3">
        <w:rPr>
          <w:rFonts w:cs="Calibri"/>
        </w:rPr>
        <w:t xml:space="preserve"> recruiting.</w:t>
      </w:r>
      <w:r w:rsidR="00204202">
        <w:rPr>
          <w:rFonts w:cs="Calibri"/>
        </w:rPr>
        <w:t xml:space="preserve"> Therefore, OSHA will not make this an observation at this time but will continue to discuss with VOSH and monitor during quarterly meetings. </w:t>
      </w:r>
      <w:r w:rsidR="004C25B5">
        <w:rPr>
          <w:rFonts w:cs="Calibri"/>
        </w:rPr>
        <w:t xml:space="preserve"> </w:t>
      </w:r>
      <w:r w:rsidR="0040693B">
        <w:rPr>
          <w:rFonts w:cs="Calibri"/>
        </w:rPr>
        <w:t xml:space="preserve"> </w:t>
      </w:r>
    </w:p>
    <w:p w14:paraId="60EA1647" w14:textId="77777777" w:rsidR="0000553D" w:rsidRDefault="0000553D" w:rsidP="007A71AC">
      <w:pPr>
        <w:widowControl/>
        <w:autoSpaceDE/>
        <w:autoSpaceDN/>
        <w:adjustRightInd/>
        <w:rPr>
          <w:rFonts w:cs="Calibri"/>
          <w:b/>
          <w:bCs/>
        </w:rPr>
      </w:pPr>
    </w:p>
    <w:p w14:paraId="09DF89C5" w14:textId="5550881F" w:rsidR="005531E8" w:rsidRDefault="005531E8" w:rsidP="007A71AC">
      <w:pPr>
        <w:widowControl/>
        <w:autoSpaceDE/>
        <w:autoSpaceDN/>
        <w:adjustRightInd/>
        <w:rPr>
          <w:rFonts w:cs="Calibri"/>
          <w:b/>
          <w:bCs/>
        </w:rPr>
      </w:pPr>
      <w:r>
        <w:rPr>
          <w:rFonts w:cs="Calibri"/>
          <w:b/>
          <w:bCs/>
        </w:rPr>
        <w:t xml:space="preserve">SAMM #9 Percent </w:t>
      </w:r>
      <w:r w:rsidR="00271A9D">
        <w:rPr>
          <w:rFonts w:cs="Calibri"/>
          <w:b/>
          <w:bCs/>
        </w:rPr>
        <w:t>I</w:t>
      </w:r>
      <w:r>
        <w:rPr>
          <w:rFonts w:cs="Calibri"/>
          <w:b/>
          <w:bCs/>
        </w:rPr>
        <w:t>n-compliance</w:t>
      </w:r>
      <w:r w:rsidR="00271A9D">
        <w:rPr>
          <w:rFonts w:cs="Calibri"/>
          <w:b/>
          <w:bCs/>
        </w:rPr>
        <w:t>:</w:t>
      </w:r>
    </w:p>
    <w:p w14:paraId="1402D6B1" w14:textId="4BF2F155" w:rsidR="004151E1" w:rsidRDefault="004151E1" w:rsidP="007A71AC">
      <w:pPr>
        <w:widowControl/>
        <w:autoSpaceDE/>
        <w:autoSpaceDN/>
        <w:adjustRightInd/>
        <w:rPr>
          <w:rFonts w:cs="Calibri"/>
          <w:b/>
          <w:bCs/>
        </w:rPr>
      </w:pPr>
    </w:p>
    <w:p w14:paraId="42212A16" w14:textId="6EE1CC36" w:rsidR="004151E1" w:rsidRDefault="004151E1" w:rsidP="007A71AC">
      <w:pPr>
        <w:widowControl/>
        <w:autoSpaceDE/>
        <w:autoSpaceDN/>
        <w:adjustRightInd/>
        <w:rPr>
          <w:rFonts w:cs="Calibri"/>
        </w:rPr>
      </w:pPr>
      <w:r>
        <w:rPr>
          <w:rFonts w:cs="Calibri"/>
          <w:u w:val="single"/>
        </w:rPr>
        <w:t xml:space="preserve">Discussion of State Plan </w:t>
      </w:r>
      <w:r w:rsidR="00DD2E45">
        <w:rPr>
          <w:rFonts w:cs="Calibri"/>
          <w:u w:val="single"/>
        </w:rPr>
        <w:t>D</w:t>
      </w:r>
      <w:r>
        <w:rPr>
          <w:rFonts w:cs="Calibri"/>
          <w:u w:val="single"/>
        </w:rPr>
        <w:t>ata and FRL:</w:t>
      </w:r>
      <w:r>
        <w:rPr>
          <w:rFonts w:cs="Calibri"/>
        </w:rPr>
        <w:t xml:space="preserve"> The FRL for percent in-compliance</w:t>
      </w:r>
      <w:r w:rsidR="000D71A3">
        <w:rPr>
          <w:rFonts w:cs="Calibri"/>
        </w:rPr>
        <w:t xml:space="preserve"> for safety</w:t>
      </w:r>
      <w:r>
        <w:rPr>
          <w:rFonts w:cs="Calibri"/>
        </w:rPr>
        <w:t xml:space="preserve"> is +/- 20%</w:t>
      </w:r>
      <w:r w:rsidR="006125FB">
        <w:rPr>
          <w:rFonts w:cs="Calibri"/>
        </w:rPr>
        <w:t xml:space="preserve"> of the three-year national average of </w:t>
      </w:r>
      <w:r w:rsidR="008B05E6" w:rsidRPr="009C6B28">
        <w:rPr>
          <w:rFonts w:cs="Calibri"/>
        </w:rPr>
        <w:t>32.25</w:t>
      </w:r>
      <w:r w:rsidR="006125FB" w:rsidRPr="009C6B28">
        <w:rPr>
          <w:rFonts w:cs="Calibri"/>
        </w:rPr>
        <w:t xml:space="preserve">% </w:t>
      </w:r>
      <w:r w:rsidR="006125FB">
        <w:rPr>
          <w:rFonts w:cs="Calibri"/>
        </w:rPr>
        <w:t xml:space="preserve">which provides a range of </w:t>
      </w:r>
      <w:r w:rsidR="00E942D5" w:rsidRPr="009C6B28">
        <w:rPr>
          <w:rFonts w:cs="Calibri"/>
        </w:rPr>
        <w:t>25.</w:t>
      </w:r>
      <w:r w:rsidR="00D926C3" w:rsidRPr="009C6B28">
        <w:rPr>
          <w:rFonts w:cs="Calibri"/>
        </w:rPr>
        <w:t>80</w:t>
      </w:r>
      <w:r w:rsidR="00E942D5" w:rsidRPr="009C6B28">
        <w:rPr>
          <w:rFonts w:cs="Calibri"/>
        </w:rPr>
        <w:t xml:space="preserve">% </w:t>
      </w:r>
      <w:r w:rsidR="00E942D5">
        <w:rPr>
          <w:rFonts w:cs="Calibri"/>
        </w:rPr>
        <w:t xml:space="preserve">to </w:t>
      </w:r>
      <w:r w:rsidR="00E942D5" w:rsidRPr="009C6B28">
        <w:rPr>
          <w:rFonts w:cs="Calibri"/>
        </w:rPr>
        <w:t>38.</w:t>
      </w:r>
      <w:r w:rsidR="00D926C3" w:rsidRPr="009C6B28">
        <w:rPr>
          <w:rFonts w:cs="Calibri"/>
        </w:rPr>
        <w:t>70</w:t>
      </w:r>
      <w:r w:rsidR="00057693" w:rsidRPr="009C6B28">
        <w:rPr>
          <w:rFonts w:cs="Calibri"/>
        </w:rPr>
        <w:t xml:space="preserve">%.  </w:t>
      </w:r>
      <w:r w:rsidR="0092239B">
        <w:rPr>
          <w:rFonts w:cs="Calibri"/>
        </w:rPr>
        <w:t>T</w:t>
      </w:r>
      <w:r w:rsidR="00057693">
        <w:rPr>
          <w:rFonts w:cs="Calibri"/>
        </w:rPr>
        <w:t>he FRL for percent in-compliance</w:t>
      </w:r>
      <w:r w:rsidR="000D71A3">
        <w:rPr>
          <w:rFonts w:cs="Calibri"/>
        </w:rPr>
        <w:t xml:space="preserve"> for health </w:t>
      </w:r>
      <w:r w:rsidR="00057693">
        <w:rPr>
          <w:rFonts w:cs="Calibri"/>
        </w:rPr>
        <w:t xml:space="preserve">is +/- 20% </w:t>
      </w:r>
      <w:r w:rsidR="008908A0">
        <w:rPr>
          <w:rFonts w:cs="Calibri"/>
        </w:rPr>
        <w:t xml:space="preserve">of the three-year national average of </w:t>
      </w:r>
      <w:r w:rsidR="008908A0" w:rsidRPr="009C6B28">
        <w:rPr>
          <w:rFonts w:cs="Calibri"/>
        </w:rPr>
        <w:t>4</w:t>
      </w:r>
      <w:r w:rsidR="00D926C3" w:rsidRPr="009C6B28">
        <w:rPr>
          <w:rFonts w:cs="Calibri"/>
        </w:rPr>
        <w:t>4</w:t>
      </w:r>
      <w:r w:rsidR="008908A0" w:rsidRPr="009C6B28">
        <w:rPr>
          <w:rFonts w:cs="Calibri"/>
        </w:rPr>
        <w:t>.</w:t>
      </w:r>
      <w:r w:rsidR="00D926C3" w:rsidRPr="009C6B28">
        <w:rPr>
          <w:rFonts w:cs="Calibri"/>
        </w:rPr>
        <w:t>4</w:t>
      </w:r>
      <w:r w:rsidR="008908A0" w:rsidRPr="009C6B28">
        <w:rPr>
          <w:rFonts w:cs="Calibri"/>
        </w:rPr>
        <w:t xml:space="preserve">2% </w:t>
      </w:r>
      <w:r w:rsidR="008908A0">
        <w:rPr>
          <w:rFonts w:cs="Calibri"/>
        </w:rPr>
        <w:t xml:space="preserve">which provides a range of </w:t>
      </w:r>
      <w:r w:rsidR="00C40B35" w:rsidRPr="009C6B28">
        <w:rPr>
          <w:rFonts w:cs="Calibri"/>
        </w:rPr>
        <w:t>35.54</w:t>
      </w:r>
      <w:r w:rsidR="00756F82" w:rsidRPr="009C6B28">
        <w:rPr>
          <w:rFonts w:cs="Calibri"/>
        </w:rPr>
        <w:t xml:space="preserve">% </w:t>
      </w:r>
      <w:r w:rsidR="00756F82">
        <w:rPr>
          <w:rFonts w:cs="Calibri"/>
        </w:rPr>
        <w:t xml:space="preserve">to </w:t>
      </w:r>
      <w:r w:rsidR="00C40B35" w:rsidRPr="009C6B28">
        <w:rPr>
          <w:rFonts w:cs="Calibri"/>
        </w:rPr>
        <w:t>53.30</w:t>
      </w:r>
      <w:r w:rsidR="00756F82" w:rsidRPr="009C6B28">
        <w:rPr>
          <w:rFonts w:cs="Calibri"/>
        </w:rPr>
        <w:t xml:space="preserve">%.  </w:t>
      </w:r>
      <w:r w:rsidR="00756F82">
        <w:rPr>
          <w:rFonts w:cs="Calibri"/>
        </w:rPr>
        <w:t xml:space="preserve">The FY 2022 data shows that VOSH’s in-compliance rate for safety was </w:t>
      </w:r>
      <w:r w:rsidR="00756F82" w:rsidRPr="009C6B28">
        <w:rPr>
          <w:rFonts w:cs="Calibri"/>
        </w:rPr>
        <w:t>44.30%</w:t>
      </w:r>
      <w:r w:rsidR="00513BB6" w:rsidRPr="009C6B28">
        <w:rPr>
          <w:rFonts w:cs="Calibri"/>
        </w:rPr>
        <w:t xml:space="preserve">, </w:t>
      </w:r>
      <w:r w:rsidR="00513BB6">
        <w:rPr>
          <w:rFonts w:cs="Calibri"/>
        </w:rPr>
        <w:t>which was higher than the FRL</w:t>
      </w:r>
      <w:r w:rsidR="00D651A6">
        <w:rPr>
          <w:rFonts w:cs="Calibri"/>
        </w:rPr>
        <w:t xml:space="preserve"> and </w:t>
      </w:r>
      <w:r w:rsidR="00D651A6" w:rsidRPr="009C6B28">
        <w:rPr>
          <w:rFonts w:cs="Calibri"/>
        </w:rPr>
        <w:t>52.</w:t>
      </w:r>
      <w:r w:rsidR="00030AD1">
        <w:rPr>
          <w:rFonts w:cs="Calibri"/>
        </w:rPr>
        <w:t>83</w:t>
      </w:r>
      <w:r w:rsidR="00D651A6" w:rsidRPr="009C6B28">
        <w:rPr>
          <w:rFonts w:cs="Calibri"/>
        </w:rPr>
        <w:t xml:space="preserve">% </w:t>
      </w:r>
      <w:r w:rsidR="00D651A6">
        <w:rPr>
          <w:rFonts w:cs="Calibri"/>
        </w:rPr>
        <w:t>for health</w:t>
      </w:r>
      <w:r w:rsidR="00513BB6">
        <w:rPr>
          <w:rFonts w:cs="Calibri"/>
        </w:rPr>
        <w:t xml:space="preserve">, </w:t>
      </w:r>
      <w:r w:rsidR="00C50A0E">
        <w:rPr>
          <w:rFonts w:cs="Calibri"/>
        </w:rPr>
        <w:t xml:space="preserve">but </w:t>
      </w:r>
      <w:r w:rsidR="00363407">
        <w:rPr>
          <w:rFonts w:cs="Calibri"/>
        </w:rPr>
        <w:t xml:space="preserve">was </w:t>
      </w:r>
      <w:r w:rsidR="00513BB6">
        <w:rPr>
          <w:rFonts w:cs="Calibri"/>
        </w:rPr>
        <w:t xml:space="preserve">within the FRL. </w:t>
      </w:r>
      <w:r w:rsidR="00646043">
        <w:rPr>
          <w:rFonts w:cs="Calibri"/>
        </w:rPr>
        <w:t xml:space="preserve"> </w:t>
      </w:r>
    </w:p>
    <w:p w14:paraId="13B9E2D9" w14:textId="5D405108" w:rsidR="00E05929" w:rsidRDefault="00E05929" w:rsidP="007A71AC">
      <w:pPr>
        <w:widowControl/>
        <w:autoSpaceDE/>
        <w:autoSpaceDN/>
        <w:adjustRightInd/>
        <w:rPr>
          <w:rFonts w:cs="Calibri"/>
        </w:rPr>
      </w:pPr>
    </w:p>
    <w:p w14:paraId="38FF1F88" w14:textId="77777777" w:rsidR="000B4E7D" w:rsidRDefault="00556BD7" w:rsidP="007A71AC">
      <w:pPr>
        <w:widowControl/>
        <w:autoSpaceDE/>
        <w:autoSpaceDN/>
        <w:adjustRightInd/>
        <w:rPr>
          <w:rFonts w:cs="Calibri"/>
        </w:rPr>
      </w:pPr>
      <w:r>
        <w:rPr>
          <w:rFonts w:cs="Calibri"/>
          <w:u w:val="single"/>
        </w:rPr>
        <w:t>Explanation:</w:t>
      </w:r>
      <w:r>
        <w:rPr>
          <w:rFonts w:cs="Calibri"/>
        </w:rPr>
        <w:t xml:space="preserve"> Historically, VOSH safety and health percent in-compliance </w:t>
      </w:r>
      <w:r w:rsidR="00593163">
        <w:rPr>
          <w:rFonts w:cs="Calibri"/>
        </w:rPr>
        <w:t>rates have frequently exceeded the FRL.  The outliers can be explained by policies and proc</w:t>
      </w:r>
      <w:r w:rsidR="00DF6C20">
        <w:rPr>
          <w:rFonts w:cs="Calibri"/>
        </w:rPr>
        <w:t xml:space="preserve">edures unique to VOSH.  For example, it is VOSH’s policy on multi-employer jobsites to open an inspection and assign an </w:t>
      </w:r>
      <w:r w:rsidR="00DF6C20">
        <w:rPr>
          <w:rFonts w:cs="Calibri"/>
        </w:rPr>
        <w:lastRenderedPageBreak/>
        <w:t>inspection number to all employers covered by the scope of the inspection - regar</w:t>
      </w:r>
      <w:r w:rsidR="00950F04">
        <w:rPr>
          <w:rFonts w:cs="Calibri"/>
        </w:rPr>
        <w:t xml:space="preserve">dless of whether citations are going to be issued to the employer or not.  Adjusting inspection counts to account for this policy would have placed the VOSH safety in-compliance rate within the FRL. </w:t>
      </w:r>
    </w:p>
    <w:p w14:paraId="21B25653" w14:textId="77777777" w:rsidR="000B4E7D" w:rsidRDefault="000B4E7D" w:rsidP="007A71AC">
      <w:pPr>
        <w:widowControl/>
        <w:autoSpaceDE/>
        <w:autoSpaceDN/>
        <w:adjustRightInd/>
        <w:rPr>
          <w:rFonts w:cs="Calibri"/>
        </w:rPr>
      </w:pPr>
    </w:p>
    <w:p w14:paraId="07719493" w14:textId="7A5EAD74" w:rsidR="00E05929" w:rsidRDefault="000B4E7D" w:rsidP="007A71AC">
      <w:pPr>
        <w:widowControl/>
        <w:autoSpaceDE/>
        <w:autoSpaceDN/>
        <w:adjustRightInd/>
        <w:rPr>
          <w:rFonts w:cs="Calibri"/>
        </w:rPr>
      </w:pPr>
      <w:r>
        <w:rPr>
          <w:rFonts w:cs="Calibri"/>
        </w:rPr>
        <w:t xml:space="preserve">Although VOSH was within the FRL </w:t>
      </w:r>
      <w:r w:rsidR="00E212E8">
        <w:rPr>
          <w:rFonts w:cs="Calibri"/>
        </w:rPr>
        <w:t>for its health in-compliance rate, VOSH health inspections often affect</w:t>
      </w:r>
      <w:r w:rsidR="0077418B">
        <w:rPr>
          <w:rFonts w:cs="Calibri"/>
        </w:rPr>
        <w:t xml:space="preserve">ed </w:t>
      </w:r>
      <w:r w:rsidR="00E27FCE">
        <w:rPr>
          <w:rFonts w:cs="Calibri"/>
        </w:rPr>
        <w:t xml:space="preserve">by unique policies </w:t>
      </w:r>
      <w:r w:rsidR="0077418B">
        <w:rPr>
          <w:rFonts w:cs="Calibri"/>
        </w:rPr>
        <w:t>as well</w:t>
      </w:r>
      <w:r w:rsidR="0061448F">
        <w:rPr>
          <w:rFonts w:cs="Calibri"/>
        </w:rPr>
        <w:t xml:space="preserve">.  VOSH inspects all formal and non-formal asbestos complaints alleging worker exposure.  According to statutory requirement, VOSH also inspects certain asbestos contractors resulting in a large number of planned asbestos </w:t>
      </w:r>
      <w:r w:rsidR="00897513">
        <w:rPr>
          <w:rFonts w:cs="Calibri"/>
        </w:rPr>
        <w:t>inspections</w:t>
      </w:r>
      <w:r w:rsidR="0061448F">
        <w:rPr>
          <w:rFonts w:cs="Calibri"/>
        </w:rPr>
        <w:t xml:space="preserve">.  In </w:t>
      </w:r>
      <w:r w:rsidR="00897513">
        <w:rPr>
          <w:rFonts w:cs="Calibri"/>
        </w:rPr>
        <w:t xml:space="preserve">FY 2022, </w:t>
      </w:r>
      <w:r w:rsidR="00484E80">
        <w:rPr>
          <w:rFonts w:cs="Calibri"/>
        </w:rPr>
        <w:t>V</w:t>
      </w:r>
      <w:r w:rsidR="00897513">
        <w:rPr>
          <w:rFonts w:cs="Calibri"/>
        </w:rPr>
        <w:t xml:space="preserve">OSH conducted </w:t>
      </w:r>
      <w:r w:rsidR="002E773C">
        <w:rPr>
          <w:rFonts w:cs="Calibri"/>
        </w:rPr>
        <w:t>164</w:t>
      </w:r>
      <w:r w:rsidR="00897513">
        <w:rPr>
          <w:rFonts w:cs="Calibri"/>
        </w:rPr>
        <w:t xml:space="preserve"> asbestos-related inspections</w:t>
      </w:r>
      <w:r w:rsidR="00484E80">
        <w:rPr>
          <w:rFonts w:cs="Calibri"/>
        </w:rPr>
        <w:t xml:space="preserve">. </w:t>
      </w:r>
    </w:p>
    <w:p w14:paraId="2D5B2A64" w14:textId="1D760EF4" w:rsidR="00484E80" w:rsidRDefault="00484E80" w:rsidP="007A71AC">
      <w:pPr>
        <w:widowControl/>
        <w:autoSpaceDE/>
        <w:autoSpaceDN/>
        <w:adjustRightInd/>
        <w:rPr>
          <w:rFonts w:cs="Calibri"/>
        </w:rPr>
      </w:pPr>
    </w:p>
    <w:p w14:paraId="55286B33" w14:textId="3DC2086F" w:rsidR="00484E80" w:rsidRDefault="00163694" w:rsidP="007A71AC">
      <w:pPr>
        <w:widowControl/>
        <w:autoSpaceDE/>
        <w:autoSpaceDN/>
        <w:adjustRightInd/>
        <w:rPr>
          <w:rFonts w:cs="Calibri"/>
        </w:rPr>
      </w:pPr>
      <w:bookmarkStart w:id="22" w:name="_Hlk134093773"/>
      <w:r>
        <w:rPr>
          <w:rFonts w:cs="Calibri"/>
        </w:rPr>
        <w:t>VOSH’s in-compliance rate for safety and health inspections has been consistent</w:t>
      </w:r>
      <w:r w:rsidR="0071320D">
        <w:rPr>
          <w:rFonts w:cs="Calibri"/>
        </w:rPr>
        <w:t xml:space="preserve"> for many years </w:t>
      </w:r>
      <w:r w:rsidR="00B7540F">
        <w:rPr>
          <w:rFonts w:cs="Calibri"/>
        </w:rPr>
        <w:t>except for</w:t>
      </w:r>
      <w:r w:rsidR="0071320D">
        <w:rPr>
          <w:rFonts w:cs="Calibri"/>
        </w:rPr>
        <w:t xml:space="preserve"> </w:t>
      </w:r>
      <w:r w:rsidR="00794E55">
        <w:rPr>
          <w:rFonts w:cs="Calibri"/>
        </w:rPr>
        <w:t>a temporary inflation of the</w:t>
      </w:r>
      <w:r w:rsidR="000D08F5">
        <w:rPr>
          <w:rFonts w:cs="Calibri"/>
        </w:rPr>
        <w:t xml:space="preserve"> health in-compliance rate in FY 2021 which was attributed to COVID-19 response</w:t>
      </w:r>
      <w:r w:rsidR="00794E55">
        <w:rPr>
          <w:rFonts w:cs="Calibri"/>
        </w:rPr>
        <w:t xml:space="preserve">.  </w:t>
      </w:r>
      <w:bookmarkEnd w:id="22"/>
      <w:r w:rsidR="00E92A78">
        <w:rPr>
          <w:rFonts w:cs="Calibri"/>
        </w:rPr>
        <w:t>The health in-compliance rate returned to</w:t>
      </w:r>
      <w:r w:rsidR="00A57D81">
        <w:rPr>
          <w:rFonts w:cs="Calibri"/>
        </w:rPr>
        <w:t xml:space="preserve"> its consistent</w:t>
      </w:r>
      <w:r w:rsidR="00E92A78">
        <w:rPr>
          <w:rFonts w:cs="Calibri"/>
        </w:rPr>
        <w:t xml:space="preserve"> pre-COVID-</w:t>
      </w:r>
      <w:r w:rsidR="00920EB6">
        <w:rPr>
          <w:rFonts w:cs="Calibri"/>
        </w:rPr>
        <w:t>19 value</w:t>
      </w:r>
      <w:r w:rsidR="00A57D81">
        <w:rPr>
          <w:rFonts w:cs="Calibri"/>
        </w:rPr>
        <w:t xml:space="preserve"> in FY 2022.  This indicates</w:t>
      </w:r>
      <w:r>
        <w:rPr>
          <w:rFonts w:cs="Calibri"/>
        </w:rPr>
        <w:t xml:space="preserve"> that </w:t>
      </w:r>
      <w:r w:rsidR="00A57D81">
        <w:rPr>
          <w:rFonts w:cs="Calibri"/>
        </w:rPr>
        <w:t>VOSH’s</w:t>
      </w:r>
      <w:r>
        <w:rPr>
          <w:rFonts w:cs="Calibri"/>
        </w:rPr>
        <w:t xml:space="preserve"> unique policies drive a higher in-compliance rate, but that it is not necessarily a cause for concern.</w:t>
      </w:r>
      <w:r w:rsidR="00944829">
        <w:rPr>
          <w:rFonts w:cs="Calibri"/>
        </w:rPr>
        <w:t xml:space="preserve">  The FY 2021 </w:t>
      </w:r>
      <w:r w:rsidR="00C50A0E">
        <w:rPr>
          <w:rFonts w:cs="Calibri"/>
        </w:rPr>
        <w:t xml:space="preserve">comprehensive </w:t>
      </w:r>
      <w:r w:rsidR="00944829">
        <w:rPr>
          <w:rFonts w:cs="Calibri"/>
        </w:rPr>
        <w:t xml:space="preserve">FAME on-site </w:t>
      </w:r>
      <w:r w:rsidR="00C50A0E">
        <w:rPr>
          <w:rFonts w:cs="Calibri"/>
        </w:rPr>
        <w:t xml:space="preserve">case file </w:t>
      </w:r>
      <w:r w:rsidR="000D008A">
        <w:rPr>
          <w:rFonts w:cs="Calibri"/>
        </w:rPr>
        <w:t>review</w:t>
      </w:r>
      <w:r w:rsidR="00322E38">
        <w:rPr>
          <w:rFonts w:cs="Calibri"/>
        </w:rPr>
        <w:t xml:space="preserve"> also confirmed </w:t>
      </w:r>
      <w:r w:rsidR="004B4FD3">
        <w:rPr>
          <w:rFonts w:cs="Calibri"/>
        </w:rPr>
        <w:t xml:space="preserve">VOSH’s unique policies impact on SAMM #9. </w:t>
      </w:r>
      <w:r>
        <w:rPr>
          <w:rFonts w:cs="Calibri"/>
        </w:rPr>
        <w:t xml:space="preserve"> </w:t>
      </w:r>
    </w:p>
    <w:p w14:paraId="31EE9BD2" w14:textId="29DC94D7" w:rsidR="000F552B" w:rsidRDefault="000F552B" w:rsidP="007A71AC">
      <w:pPr>
        <w:widowControl/>
        <w:autoSpaceDE/>
        <w:autoSpaceDN/>
        <w:adjustRightInd/>
        <w:rPr>
          <w:rFonts w:cs="Calibri"/>
        </w:rPr>
      </w:pPr>
    </w:p>
    <w:p w14:paraId="0E46D5DF" w14:textId="5D29004C" w:rsidR="000F552B" w:rsidRDefault="00271A9D" w:rsidP="007A71AC">
      <w:pPr>
        <w:widowControl/>
        <w:autoSpaceDE/>
        <w:autoSpaceDN/>
        <w:adjustRightInd/>
        <w:rPr>
          <w:rFonts w:cs="Calibri"/>
          <w:b/>
          <w:bCs/>
        </w:rPr>
      </w:pPr>
      <w:r>
        <w:rPr>
          <w:rFonts w:cs="Calibri"/>
          <w:b/>
          <w:bCs/>
        </w:rPr>
        <w:t>SAMM #11 – Average Lapse Time:</w:t>
      </w:r>
    </w:p>
    <w:p w14:paraId="08FD5AD3" w14:textId="7A9203C0" w:rsidR="00271A9D" w:rsidRDefault="00271A9D" w:rsidP="007A71AC">
      <w:pPr>
        <w:widowControl/>
        <w:autoSpaceDE/>
        <w:autoSpaceDN/>
        <w:adjustRightInd/>
        <w:rPr>
          <w:rFonts w:cs="Calibri"/>
          <w:b/>
          <w:bCs/>
        </w:rPr>
      </w:pPr>
    </w:p>
    <w:p w14:paraId="2A5DAD0E" w14:textId="2D418167" w:rsidR="00933D07" w:rsidRDefault="00271A9D" w:rsidP="007A71AC">
      <w:pPr>
        <w:widowControl/>
        <w:autoSpaceDE/>
        <w:autoSpaceDN/>
        <w:adjustRightInd/>
        <w:rPr>
          <w:rFonts w:cs="Calibri"/>
        </w:rPr>
      </w:pPr>
      <w:r>
        <w:rPr>
          <w:rFonts w:cs="Calibri"/>
          <w:u w:val="single"/>
        </w:rPr>
        <w:t xml:space="preserve">Discussion of State Plan </w:t>
      </w:r>
      <w:r w:rsidR="00E9472F">
        <w:rPr>
          <w:rFonts w:cs="Calibri"/>
          <w:u w:val="single"/>
        </w:rPr>
        <w:t>D</w:t>
      </w:r>
      <w:r>
        <w:rPr>
          <w:rFonts w:cs="Calibri"/>
          <w:u w:val="single"/>
        </w:rPr>
        <w:t>ata and FRL:</w:t>
      </w:r>
      <w:r>
        <w:rPr>
          <w:rFonts w:cs="Calibri"/>
        </w:rPr>
        <w:t xml:space="preserve"> </w:t>
      </w:r>
      <w:r w:rsidR="00821CD1">
        <w:rPr>
          <w:rFonts w:cs="Calibri"/>
        </w:rPr>
        <w:t>The FRL for average lapse time</w:t>
      </w:r>
      <w:r w:rsidR="000D71A3">
        <w:rPr>
          <w:rFonts w:cs="Calibri"/>
        </w:rPr>
        <w:t xml:space="preserve"> for safety</w:t>
      </w:r>
      <w:r w:rsidR="00821CD1">
        <w:rPr>
          <w:rFonts w:cs="Calibri"/>
        </w:rPr>
        <w:t xml:space="preserve"> </w:t>
      </w:r>
      <w:r w:rsidR="00F17D83">
        <w:rPr>
          <w:rFonts w:cs="Calibri"/>
        </w:rPr>
        <w:t xml:space="preserve">is +/- 20% of the three-year national average of </w:t>
      </w:r>
      <w:r w:rsidR="00A92EE5" w:rsidRPr="00A13D0C">
        <w:rPr>
          <w:rFonts w:cs="Calibri"/>
        </w:rPr>
        <w:t>54.</w:t>
      </w:r>
      <w:r w:rsidR="00793A89" w:rsidRPr="00A13D0C">
        <w:rPr>
          <w:rFonts w:cs="Calibri"/>
        </w:rPr>
        <w:t>5</w:t>
      </w:r>
      <w:r w:rsidR="00A92EE5" w:rsidRPr="00A13D0C">
        <w:rPr>
          <w:rFonts w:cs="Calibri"/>
        </w:rPr>
        <w:t>8</w:t>
      </w:r>
      <w:r w:rsidR="00486367">
        <w:rPr>
          <w:rFonts w:cs="Calibri"/>
        </w:rPr>
        <w:t xml:space="preserve"> days</w:t>
      </w:r>
      <w:r w:rsidR="00A92EE5">
        <w:rPr>
          <w:rFonts w:cs="Calibri"/>
        </w:rPr>
        <w:t xml:space="preserve"> provides a range of </w:t>
      </w:r>
      <w:r w:rsidR="00A92EE5" w:rsidRPr="00A13D0C">
        <w:rPr>
          <w:rFonts w:cs="Calibri"/>
        </w:rPr>
        <w:t>43.</w:t>
      </w:r>
      <w:r w:rsidR="00793A89" w:rsidRPr="00A13D0C">
        <w:rPr>
          <w:rFonts w:cs="Calibri"/>
        </w:rPr>
        <w:t>66</w:t>
      </w:r>
      <w:r w:rsidR="00486367" w:rsidRPr="00441DF5">
        <w:rPr>
          <w:rFonts w:cs="Calibri"/>
          <w:color w:val="C00000"/>
        </w:rPr>
        <w:t xml:space="preserve"> </w:t>
      </w:r>
      <w:r w:rsidR="00A92EE5">
        <w:rPr>
          <w:rFonts w:cs="Calibri"/>
        </w:rPr>
        <w:t xml:space="preserve">to </w:t>
      </w:r>
      <w:r w:rsidR="00A92EE5" w:rsidRPr="00A13D0C">
        <w:rPr>
          <w:rFonts w:cs="Calibri"/>
        </w:rPr>
        <w:t>65.</w:t>
      </w:r>
      <w:r w:rsidR="006D176D" w:rsidRPr="00A13D0C">
        <w:rPr>
          <w:rFonts w:cs="Calibri"/>
        </w:rPr>
        <w:t>50</w:t>
      </w:r>
      <w:r w:rsidR="00DB49C4" w:rsidRPr="00A13D0C">
        <w:rPr>
          <w:rFonts w:cs="Calibri"/>
        </w:rPr>
        <w:t xml:space="preserve"> </w:t>
      </w:r>
      <w:r w:rsidR="00DB49C4">
        <w:rPr>
          <w:rFonts w:cs="Calibri"/>
        </w:rPr>
        <w:t>days</w:t>
      </w:r>
      <w:r w:rsidR="0092239B">
        <w:rPr>
          <w:rFonts w:cs="Calibri"/>
        </w:rPr>
        <w:t xml:space="preserve">.  The FRL for average lapse time for health </w:t>
      </w:r>
      <w:r w:rsidR="000D71A3">
        <w:rPr>
          <w:rFonts w:cs="Calibri"/>
        </w:rPr>
        <w:t xml:space="preserve">is +/- 20% of the three-year national average of </w:t>
      </w:r>
      <w:r w:rsidR="006D176D" w:rsidRPr="00A13D0C">
        <w:rPr>
          <w:rFonts w:cs="Calibri"/>
        </w:rPr>
        <w:t>69.03</w:t>
      </w:r>
      <w:r w:rsidR="00DB49C4" w:rsidRPr="00A13D0C">
        <w:rPr>
          <w:rFonts w:cs="Calibri"/>
        </w:rPr>
        <w:t xml:space="preserve"> </w:t>
      </w:r>
      <w:r w:rsidR="00DB49C4">
        <w:rPr>
          <w:rFonts w:cs="Calibri"/>
        </w:rPr>
        <w:t>days</w:t>
      </w:r>
      <w:r w:rsidR="00106F50">
        <w:rPr>
          <w:rFonts w:cs="Calibri"/>
        </w:rPr>
        <w:t xml:space="preserve"> provides a range </w:t>
      </w:r>
      <w:r w:rsidR="006D176D" w:rsidRPr="00A13D0C">
        <w:rPr>
          <w:rFonts w:cs="Calibri"/>
        </w:rPr>
        <w:t>55.22</w:t>
      </w:r>
      <w:r w:rsidR="00486367" w:rsidRPr="00441DF5">
        <w:rPr>
          <w:rFonts w:cs="Calibri"/>
          <w:color w:val="C00000"/>
        </w:rPr>
        <w:t xml:space="preserve"> </w:t>
      </w:r>
      <w:r w:rsidR="00486367">
        <w:rPr>
          <w:rFonts w:cs="Calibri"/>
        </w:rPr>
        <w:t xml:space="preserve">to </w:t>
      </w:r>
      <w:r w:rsidR="006D176D" w:rsidRPr="00A13D0C">
        <w:rPr>
          <w:rFonts w:cs="Calibri"/>
        </w:rPr>
        <w:t>82.84</w:t>
      </w:r>
      <w:r w:rsidR="00DB49C4" w:rsidRPr="00A13D0C">
        <w:rPr>
          <w:rFonts w:cs="Calibri"/>
        </w:rPr>
        <w:t xml:space="preserve"> </w:t>
      </w:r>
      <w:r w:rsidR="00DB49C4">
        <w:rPr>
          <w:rFonts w:cs="Calibri"/>
        </w:rPr>
        <w:t>days</w:t>
      </w:r>
      <w:r w:rsidR="00486367">
        <w:rPr>
          <w:rFonts w:cs="Calibri"/>
        </w:rPr>
        <w:t xml:space="preserve">.  VOSH’s FY 2022 lapse time rate </w:t>
      </w:r>
      <w:r w:rsidR="00DB49C4">
        <w:rPr>
          <w:rFonts w:cs="Calibri"/>
        </w:rPr>
        <w:t xml:space="preserve">for safety was </w:t>
      </w:r>
      <w:r w:rsidR="00DB49C4" w:rsidRPr="00A13D0C">
        <w:rPr>
          <w:rFonts w:cs="Calibri"/>
        </w:rPr>
        <w:t xml:space="preserve">49.73 </w:t>
      </w:r>
      <w:r w:rsidR="00DB49C4">
        <w:rPr>
          <w:rFonts w:cs="Calibri"/>
        </w:rPr>
        <w:t>days</w:t>
      </w:r>
      <w:r w:rsidR="003F3194">
        <w:rPr>
          <w:rFonts w:cs="Calibri"/>
        </w:rPr>
        <w:t xml:space="preserve"> which was within the </w:t>
      </w:r>
      <w:r w:rsidR="00933D07">
        <w:rPr>
          <w:rFonts w:cs="Calibri"/>
        </w:rPr>
        <w:t>F</w:t>
      </w:r>
      <w:r w:rsidR="003F3194">
        <w:rPr>
          <w:rFonts w:cs="Calibri"/>
        </w:rPr>
        <w:t xml:space="preserve">RL and for health was </w:t>
      </w:r>
      <w:r w:rsidR="003F3194" w:rsidRPr="00A13D0C">
        <w:rPr>
          <w:rFonts w:cs="Calibri"/>
        </w:rPr>
        <w:t xml:space="preserve">51.47 </w:t>
      </w:r>
      <w:r w:rsidR="003F3194">
        <w:rPr>
          <w:rFonts w:cs="Calibri"/>
        </w:rPr>
        <w:t xml:space="preserve">days which was below the FRL.  </w:t>
      </w:r>
    </w:p>
    <w:p w14:paraId="241B53F0" w14:textId="77777777" w:rsidR="00933D07" w:rsidRDefault="00933D07" w:rsidP="007A71AC">
      <w:pPr>
        <w:widowControl/>
        <w:autoSpaceDE/>
        <w:autoSpaceDN/>
        <w:adjustRightInd/>
        <w:rPr>
          <w:rFonts w:cs="Calibri"/>
        </w:rPr>
      </w:pPr>
    </w:p>
    <w:p w14:paraId="4EA6D84E" w14:textId="2E84B036" w:rsidR="00271A9D" w:rsidRDefault="00933D07" w:rsidP="004B2560">
      <w:pPr>
        <w:widowControl/>
        <w:autoSpaceDE/>
        <w:autoSpaceDN/>
        <w:adjustRightInd/>
        <w:rPr>
          <w:rFonts w:cs="Calibri"/>
        </w:rPr>
      </w:pPr>
      <w:r>
        <w:rPr>
          <w:rFonts w:cs="Calibri"/>
          <w:u w:val="single"/>
        </w:rPr>
        <w:t>Explanation:</w:t>
      </w:r>
      <w:r>
        <w:rPr>
          <w:rFonts w:cs="Calibri"/>
        </w:rPr>
        <w:t xml:space="preserve"> </w:t>
      </w:r>
      <w:r w:rsidR="003F3194">
        <w:rPr>
          <w:rFonts w:cs="Calibri"/>
        </w:rPr>
        <w:t xml:space="preserve">VOSH </w:t>
      </w:r>
      <w:r w:rsidR="00840994">
        <w:rPr>
          <w:rFonts w:cs="Calibri"/>
        </w:rPr>
        <w:t>lapse times historically fall either within or below the FRL</w:t>
      </w:r>
      <w:r w:rsidR="00CB2A4C">
        <w:rPr>
          <w:rFonts w:cs="Calibri"/>
        </w:rPr>
        <w:t xml:space="preserve"> indicating that VOSH completes inspections promptly without undue delay.</w:t>
      </w:r>
      <w:r>
        <w:rPr>
          <w:rFonts w:cs="Calibri"/>
        </w:rPr>
        <w:t xml:space="preserve">  The most recent on-site review did not reveal any inconsistencies </w:t>
      </w:r>
      <w:r w:rsidR="00CA2BDC">
        <w:rPr>
          <w:rFonts w:cs="Calibri"/>
        </w:rPr>
        <w:t xml:space="preserve">with case management. </w:t>
      </w:r>
      <w:r w:rsidR="00CB2A4C">
        <w:rPr>
          <w:rFonts w:cs="Calibri"/>
        </w:rPr>
        <w:t xml:space="preserve"> </w:t>
      </w:r>
    </w:p>
    <w:p w14:paraId="2FB4D6CB" w14:textId="77777777" w:rsidR="00BB0BF0" w:rsidRDefault="00BB0BF0" w:rsidP="007A71AC">
      <w:pPr>
        <w:widowControl/>
        <w:autoSpaceDE/>
        <w:autoSpaceDN/>
        <w:adjustRightInd/>
        <w:rPr>
          <w:rFonts w:cs="Calibri"/>
          <w:b/>
          <w:bCs/>
        </w:rPr>
      </w:pPr>
    </w:p>
    <w:p w14:paraId="64793D4E" w14:textId="1DBE7C57" w:rsidR="00695F9C" w:rsidRPr="00495856" w:rsidRDefault="00695F9C" w:rsidP="007A71AC">
      <w:pPr>
        <w:widowControl/>
        <w:autoSpaceDE/>
        <w:autoSpaceDN/>
        <w:adjustRightInd/>
        <w:rPr>
          <w:rFonts w:cs="Calibri"/>
          <w:b/>
          <w:bCs/>
        </w:rPr>
      </w:pPr>
      <w:r w:rsidRPr="00495856">
        <w:rPr>
          <w:rFonts w:cs="Calibri"/>
          <w:b/>
          <w:bCs/>
        </w:rPr>
        <w:t>SAMM#12 – Percent Penalty Retained</w:t>
      </w:r>
      <w:r w:rsidR="00DD2E45" w:rsidRPr="00495856">
        <w:rPr>
          <w:rFonts w:cs="Calibri"/>
          <w:b/>
          <w:bCs/>
        </w:rPr>
        <w:t>:</w:t>
      </w:r>
    </w:p>
    <w:p w14:paraId="30438FEA" w14:textId="2AF4DB27" w:rsidR="00DD2E45" w:rsidRDefault="00DD2E45" w:rsidP="007A71AC">
      <w:pPr>
        <w:widowControl/>
        <w:autoSpaceDE/>
        <w:autoSpaceDN/>
        <w:adjustRightInd/>
        <w:rPr>
          <w:rFonts w:cs="Calibri"/>
        </w:rPr>
      </w:pPr>
    </w:p>
    <w:p w14:paraId="0E88242A" w14:textId="0BA58153" w:rsidR="00DD2E45" w:rsidRPr="009E5A94" w:rsidRDefault="00DD2E45" w:rsidP="007A71AC">
      <w:pPr>
        <w:widowControl/>
        <w:autoSpaceDE/>
        <w:autoSpaceDN/>
        <w:adjustRightInd/>
        <w:rPr>
          <w:rFonts w:cs="Calibri"/>
        </w:rPr>
      </w:pPr>
      <w:r>
        <w:rPr>
          <w:rFonts w:cs="Calibri"/>
          <w:u w:val="single"/>
        </w:rPr>
        <w:t xml:space="preserve">Discussion of State Plan </w:t>
      </w:r>
      <w:r w:rsidR="00495856">
        <w:rPr>
          <w:rFonts w:cs="Calibri"/>
          <w:u w:val="single"/>
        </w:rPr>
        <w:t>D</w:t>
      </w:r>
      <w:r>
        <w:rPr>
          <w:rFonts w:cs="Calibri"/>
          <w:u w:val="single"/>
        </w:rPr>
        <w:t>ata and FRL</w:t>
      </w:r>
      <w:r w:rsidR="00495856">
        <w:rPr>
          <w:rFonts w:cs="Calibri"/>
          <w:u w:val="single"/>
        </w:rPr>
        <w:t>:</w:t>
      </w:r>
      <w:r w:rsidR="00E23F08">
        <w:rPr>
          <w:rFonts w:cs="Calibri"/>
        </w:rPr>
        <w:t xml:space="preserve"> The FRL for </w:t>
      </w:r>
      <w:r w:rsidR="00D605DE">
        <w:rPr>
          <w:rFonts w:cs="Calibri"/>
        </w:rPr>
        <w:t xml:space="preserve">percent penalty retained </w:t>
      </w:r>
      <w:r w:rsidR="000A59CF">
        <w:rPr>
          <w:rFonts w:cs="Calibri"/>
        </w:rPr>
        <w:t xml:space="preserve">is </w:t>
      </w:r>
      <w:r w:rsidR="00DE6E54">
        <w:rPr>
          <w:rFonts w:cs="Calibri"/>
        </w:rPr>
        <w:t xml:space="preserve">+/- 15% of the three-year national average of </w:t>
      </w:r>
      <w:r w:rsidR="00202313">
        <w:rPr>
          <w:rFonts w:cs="Calibri"/>
        </w:rPr>
        <w:t>69.97%</w:t>
      </w:r>
      <w:r w:rsidR="005576A6">
        <w:rPr>
          <w:rFonts w:cs="Calibri"/>
        </w:rPr>
        <w:t xml:space="preserve"> </w:t>
      </w:r>
      <w:r w:rsidR="007174F3">
        <w:rPr>
          <w:rFonts w:cs="Calibri"/>
        </w:rPr>
        <w:t xml:space="preserve">provides a range of </w:t>
      </w:r>
      <w:r w:rsidR="00363183">
        <w:rPr>
          <w:rFonts w:cs="Calibri"/>
        </w:rPr>
        <w:t>59.47% to 80.47%</w:t>
      </w:r>
      <w:r w:rsidR="003D4271">
        <w:rPr>
          <w:rFonts w:cs="Calibri"/>
        </w:rPr>
        <w:t>.  VOSH</w:t>
      </w:r>
      <w:r w:rsidR="001C0D2D">
        <w:rPr>
          <w:rFonts w:cs="Calibri"/>
        </w:rPr>
        <w:t xml:space="preserve">’s FY 2022 percent penalty retention was 81.48% which was above the FRL. </w:t>
      </w:r>
    </w:p>
    <w:p w14:paraId="48913E29" w14:textId="070A851D" w:rsidR="00E9472F" w:rsidRDefault="00E9472F" w:rsidP="007A71AC">
      <w:pPr>
        <w:widowControl/>
        <w:autoSpaceDE/>
        <w:autoSpaceDN/>
        <w:adjustRightInd/>
        <w:rPr>
          <w:rFonts w:cs="Calibri"/>
          <w:u w:val="single"/>
        </w:rPr>
      </w:pPr>
    </w:p>
    <w:p w14:paraId="39A15153" w14:textId="0CD6333D" w:rsidR="00E9472F" w:rsidRPr="00225D1B" w:rsidRDefault="00E9472F" w:rsidP="007A71AC">
      <w:pPr>
        <w:widowControl/>
        <w:autoSpaceDE/>
        <w:autoSpaceDN/>
        <w:adjustRightInd/>
        <w:rPr>
          <w:rFonts w:cs="Calibri"/>
        </w:rPr>
      </w:pPr>
      <w:r>
        <w:rPr>
          <w:rFonts w:cs="Calibri"/>
          <w:u w:val="single"/>
        </w:rPr>
        <w:t>Explanation:</w:t>
      </w:r>
      <w:r w:rsidR="00225D1B">
        <w:rPr>
          <w:rFonts w:cs="Calibri"/>
        </w:rPr>
        <w:t xml:space="preserve"> </w:t>
      </w:r>
      <w:r w:rsidR="0048145E">
        <w:rPr>
          <w:rFonts w:cs="Calibri"/>
        </w:rPr>
        <w:t xml:space="preserve">VOSH’s penalty retention </w:t>
      </w:r>
      <w:r w:rsidR="00927C5D">
        <w:rPr>
          <w:rFonts w:cs="Calibri"/>
        </w:rPr>
        <w:t>has been trending up over the past three years</w:t>
      </w:r>
      <w:r w:rsidR="000E1D95">
        <w:rPr>
          <w:rFonts w:cs="Calibri"/>
        </w:rPr>
        <w:t xml:space="preserve">.  </w:t>
      </w:r>
      <w:r w:rsidR="000E1D95" w:rsidRPr="00510E54">
        <w:rPr>
          <w:rFonts w:cs="Calibri"/>
        </w:rPr>
        <w:t>The VOSH FOM outlines procedures for vacating and reclassifying citations for settlement purposes</w:t>
      </w:r>
      <w:r w:rsidR="000E1D95">
        <w:rPr>
          <w:rFonts w:cs="Calibri"/>
        </w:rPr>
        <w:t xml:space="preserve">.  </w:t>
      </w:r>
      <w:r w:rsidR="000E1D95" w:rsidRPr="00510E54">
        <w:rPr>
          <w:rFonts w:cs="Calibri"/>
        </w:rPr>
        <w:t>For routine cases, the regional directors are authorized to reclassify violations and to modify or withdraw a penalty, a citation, or a citation item</w:t>
      </w:r>
      <w:r w:rsidR="000E1D95">
        <w:rPr>
          <w:rFonts w:cs="Calibri"/>
        </w:rPr>
        <w:t xml:space="preserve">.  </w:t>
      </w:r>
      <w:r w:rsidR="000E1D95" w:rsidRPr="004B2560">
        <w:rPr>
          <w:rFonts w:cs="Calibri"/>
        </w:rPr>
        <w:t>The FY 2021 EOY SIR indicated that only 2.</w:t>
      </w:r>
      <w:r w:rsidR="000E1D95">
        <w:rPr>
          <w:rFonts w:cs="Calibri"/>
        </w:rPr>
        <w:t>44</w:t>
      </w:r>
      <w:r w:rsidR="000E1D95" w:rsidRPr="004B2560">
        <w:rPr>
          <w:rFonts w:cs="Calibri"/>
        </w:rPr>
        <w:t xml:space="preserve">% and </w:t>
      </w:r>
      <w:r w:rsidR="000E1D95">
        <w:rPr>
          <w:rFonts w:cs="Calibri"/>
        </w:rPr>
        <w:t>2.77</w:t>
      </w:r>
      <w:r w:rsidR="000E1D95" w:rsidRPr="004B2560">
        <w:rPr>
          <w:rFonts w:cs="Calibri"/>
        </w:rPr>
        <w:t>% of total violations pre-contest were vacated and reclassified respectively</w:t>
      </w:r>
    </w:p>
    <w:p w14:paraId="48601894" w14:textId="77777777" w:rsidR="000353C0" w:rsidRDefault="000353C0" w:rsidP="007A71AC">
      <w:pPr>
        <w:widowControl/>
        <w:autoSpaceDE/>
        <w:autoSpaceDN/>
        <w:adjustRightInd/>
        <w:rPr>
          <w:rFonts w:cs="Calibri"/>
          <w:b/>
          <w:bCs/>
        </w:rPr>
      </w:pPr>
    </w:p>
    <w:p w14:paraId="0D9F90D9" w14:textId="14C5BA36" w:rsidR="008464FF" w:rsidRDefault="00495856" w:rsidP="007A71AC">
      <w:pPr>
        <w:widowControl/>
        <w:autoSpaceDE/>
        <w:autoSpaceDN/>
        <w:adjustRightInd/>
        <w:rPr>
          <w:rFonts w:cs="Calibri"/>
          <w:b/>
          <w:bCs/>
        </w:rPr>
      </w:pPr>
      <w:r>
        <w:rPr>
          <w:rFonts w:cs="Calibri"/>
          <w:b/>
          <w:bCs/>
        </w:rPr>
        <w:t>SAMM#17 Percent of Enforcement Presence:</w:t>
      </w:r>
    </w:p>
    <w:p w14:paraId="6CE7CA3C" w14:textId="306BF8F7" w:rsidR="00495856" w:rsidRDefault="00495856" w:rsidP="007A71AC">
      <w:pPr>
        <w:widowControl/>
        <w:autoSpaceDE/>
        <w:autoSpaceDN/>
        <w:adjustRightInd/>
        <w:rPr>
          <w:rFonts w:cs="Calibri"/>
          <w:b/>
          <w:bCs/>
        </w:rPr>
      </w:pPr>
    </w:p>
    <w:p w14:paraId="27DA38CC" w14:textId="6A668531" w:rsidR="00495856" w:rsidRDefault="00495856" w:rsidP="007A71AC">
      <w:pPr>
        <w:widowControl/>
        <w:autoSpaceDE/>
        <w:autoSpaceDN/>
        <w:adjustRightInd/>
        <w:rPr>
          <w:rFonts w:cs="Calibri"/>
        </w:rPr>
      </w:pPr>
      <w:r>
        <w:rPr>
          <w:rFonts w:cs="Calibri"/>
          <w:u w:val="single"/>
        </w:rPr>
        <w:t>Discussion of State Plan Data and FRL:</w:t>
      </w:r>
      <w:r w:rsidR="00697B1F">
        <w:rPr>
          <w:rFonts w:cs="Calibri"/>
        </w:rPr>
        <w:t xml:space="preserve"> </w:t>
      </w:r>
      <w:r w:rsidR="00F33190">
        <w:rPr>
          <w:rFonts w:cs="Calibri"/>
        </w:rPr>
        <w:t>The FRL for</w:t>
      </w:r>
      <w:r w:rsidR="00291DCF">
        <w:rPr>
          <w:rFonts w:cs="Calibri"/>
        </w:rPr>
        <w:t xml:space="preserve"> percent of enforcement presence is +/- 25% of</w:t>
      </w:r>
      <w:r w:rsidR="006B0C01">
        <w:rPr>
          <w:rFonts w:cs="Calibri"/>
        </w:rPr>
        <w:t xml:space="preserve"> the three-year national average of</w:t>
      </w:r>
      <w:r w:rsidR="00291DCF">
        <w:rPr>
          <w:rFonts w:cs="Calibri"/>
        </w:rPr>
        <w:t xml:space="preserve"> 1.64% </w:t>
      </w:r>
      <w:r w:rsidR="006B0C01">
        <w:rPr>
          <w:rFonts w:cs="Calibri"/>
        </w:rPr>
        <w:t>provides a range of 1.23% to 2.05%</w:t>
      </w:r>
      <w:r w:rsidR="00D87212">
        <w:rPr>
          <w:rFonts w:cs="Calibri"/>
        </w:rPr>
        <w:t xml:space="preserve">.  VOSH’s FY 2022 percent of enforcement presence </w:t>
      </w:r>
      <w:r w:rsidR="00DB7C32">
        <w:rPr>
          <w:rFonts w:cs="Calibri"/>
        </w:rPr>
        <w:t xml:space="preserve">was 1.21% which was slightly below the FRL. </w:t>
      </w:r>
    </w:p>
    <w:p w14:paraId="5B89B639" w14:textId="77777777" w:rsidR="00495856" w:rsidRDefault="00495856" w:rsidP="007A71AC">
      <w:pPr>
        <w:widowControl/>
        <w:autoSpaceDE/>
        <w:autoSpaceDN/>
        <w:adjustRightInd/>
        <w:rPr>
          <w:rFonts w:cs="Calibri"/>
          <w:u w:val="single"/>
        </w:rPr>
      </w:pPr>
    </w:p>
    <w:p w14:paraId="19677460" w14:textId="0B2DC6DA" w:rsidR="00495856" w:rsidRPr="007D38A5" w:rsidRDefault="00495856" w:rsidP="007A71AC">
      <w:pPr>
        <w:widowControl/>
        <w:autoSpaceDE/>
        <w:autoSpaceDN/>
        <w:adjustRightInd/>
        <w:rPr>
          <w:rFonts w:cs="Calibri"/>
        </w:rPr>
      </w:pPr>
      <w:r>
        <w:rPr>
          <w:rFonts w:cs="Calibri"/>
          <w:u w:val="single"/>
        </w:rPr>
        <w:t>Explanation:</w:t>
      </w:r>
      <w:r w:rsidR="007D38A5">
        <w:rPr>
          <w:rFonts w:cs="Calibri"/>
        </w:rPr>
        <w:t xml:space="preserve">  Percent enforcement presence is tied directly to the number of inspections </w:t>
      </w:r>
      <w:r w:rsidR="00441D72">
        <w:rPr>
          <w:rFonts w:cs="Calibri"/>
        </w:rPr>
        <w:t>conducted during the year.  Because VOSH conducted fewer inspections than</w:t>
      </w:r>
      <w:r w:rsidR="00BE5E73">
        <w:rPr>
          <w:rFonts w:cs="Calibri"/>
        </w:rPr>
        <w:t xml:space="preserve"> anticipated</w:t>
      </w:r>
      <w:r w:rsidR="001B13F8">
        <w:rPr>
          <w:rFonts w:cs="Calibri"/>
        </w:rPr>
        <w:t xml:space="preserve">, SAMM #17 was directly impacted.  </w:t>
      </w:r>
      <w:r w:rsidR="00A1370A">
        <w:rPr>
          <w:rFonts w:cs="Calibri"/>
        </w:rPr>
        <w:t>Historically, VOSH has been well within the FRL</w:t>
      </w:r>
      <w:r w:rsidR="00D514D2">
        <w:rPr>
          <w:rFonts w:cs="Calibri"/>
        </w:rPr>
        <w:t xml:space="preserve">.  Therefore, </w:t>
      </w:r>
      <w:r w:rsidR="00D05321">
        <w:rPr>
          <w:rFonts w:cs="Calibri"/>
        </w:rPr>
        <w:t xml:space="preserve">OSHA will not make this an observation this year. </w:t>
      </w:r>
      <w:r w:rsidR="00106FE7">
        <w:rPr>
          <w:rFonts w:cs="Calibri"/>
        </w:rPr>
        <w:t xml:space="preserve"> </w:t>
      </w:r>
      <w:r w:rsidR="00B0685F">
        <w:rPr>
          <w:rFonts w:cs="Calibri"/>
        </w:rPr>
        <w:t xml:space="preserve"> </w:t>
      </w:r>
    </w:p>
    <w:p w14:paraId="4DD4CBB7" w14:textId="1054622D" w:rsidR="00C258F8" w:rsidRPr="00C258F8" w:rsidRDefault="00C258F8" w:rsidP="007A71AC">
      <w:pPr>
        <w:widowControl/>
        <w:autoSpaceDE/>
        <w:autoSpaceDN/>
        <w:adjustRightInd/>
        <w:rPr>
          <w:rFonts w:cs="Calibri"/>
        </w:rPr>
        <w:sectPr w:rsidR="00C258F8" w:rsidRPr="00C258F8" w:rsidSect="00783189">
          <w:footerReference w:type="default" r:id="rId10"/>
          <w:footerReference w:type="first" r:id="rId11"/>
          <w:pgSz w:w="12240" w:h="15840"/>
          <w:pgMar w:top="1440" w:right="1260" w:bottom="1260" w:left="1440" w:header="720" w:footer="526" w:gutter="0"/>
          <w:pgNumType w:start="1"/>
          <w:cols w:space="720"/>
          <w:titlePg/>
          <w:docGrid w:linePitch="360"/>
        </w:sectPr>
      </w:pPr>
    </w:p>
    <w:p w14:paraId="516D3ECD" w14:textId="77777777" w:rsidR="00B6741C" w:rsidRPr="0002572C" w:rsidRDefault="00B6741C" w:rsidP="00C50A0E">
      <w:pPr>
        <w:pStyle w:val="Heading3"/>
      </w:pPr>
      <w:bookmarkStart w:id="23" w:name="_Toc118905017"/>
      <w:bookmarkStart w:id="24" w:name="_Toc119418669"/>
      <w:r w:rsidRPr="0002572C">
        <w:lastRenderedPageBreak/>
        <w:t>Appendix A – New and Continued Findings and Recommendations</w:t>
      </w:r>
      <w:bookmarkEnd w:id="23"/>
      <w:bookmarkEnd w:id="24"/>
    </w:p>
    <w:p w14:paraId="670F195C" w14:textId="0900E64E" w:rsidR="00B6741C" w:rsidRDefault="00B6741C" w:rsidP="00363407">
      <w:r>
        <w:t>FY 2022</w:t>
      </w:r>
      <w:r w:rsidR="00800403">
        <w:t xml:space="preserve"> Virginia Occupational Safety and Health </w:t>
      </w:r>
      <w:r>
        <w:t>Follow-up FAME Report</w:t>
      </w:r>
    </w:p>
    <w:p w14:paraId="77980CE2" w14:textId="77777777" w:rsidR="000A134A" w:rsidRPr="001C1E47" w:rsidRDefault="000A134A" w:rsidP="007A71AC">
      <w:pPr>
        <w:widowControl/>
        <w:tabs>
          <w:tab w:val="left" w:pos="3630"/>
        </w:tabs>
        <w:autoSpaceDE/>
        <w:autoSpaceDN/>
        <w:adjustRightInd/>
        <w:rPr>
          <w:rFonts w:cs="Calibri"/>
        </w:rPr>
      </w:pPr>
    </w:p>
    <w:p w14:paraId="7C19C4AE" w14:textId="014C30B7" w:rsidR="00D86879" w:rsidRDefault="00D86879" w:rsidP="007A71AC">
      <w:pPr>
        <w:widowControl/>
        <w:autoSpaceDE/>
        <w:autoSpaceDN/>
        <w:adjustRightInd/>
        <w:rPr>
          <w:rFonts w:cs="Calibri"/>
          <w:i/>
        </w:rPr>
      </w:pPr>
    </w:p>
    <w:p w14:paraId="62F58CA8" w14:textId="70C48C70" w:rsidR="00800403" w:rsidRPr="00800403" w:rsidRDefault="00800403" w:rsidP="00363407">
      <w:pPr>
        <w:widowControl/>
        <w:autoSpaceDE/>
        <w:autoSpaceDN/>
        <w:adjustRightInd/>
        <w:rPr>
          <w:rFonts w:cs="Calibri"/>
          <w:iCs/>
        </w:rPr>
      </w:pPr>
      <w:r>
        <w:rPr>
          <w:rFonts w:cs="Calibri"/>
          <w:iCs/>
        </w:rPr>
        <w:t>There were no new or continued findings in FY 2022.</w:t>
      </w:r>
    </w:p>
    <w:p w14:paraId="109B4D84" w14:textId="30F976AE" w:rsidR="00800403" w:rsidRDefault="00800403" w:rsidP="007A71AC">
      <w:pPr>
        <w:widowControl/>
        <w:autoSpaceDE/>
        <w:autoSpaceDN/>
        <w:adjustRightInd/>
        <w:rPr>
          <w:rFonts w:cs="Calibri"/>
          <w:i/>
        </w:rPr>
      </w:pPr>
    </w:p>
    <w:p w14:paraId="6D4AB941" w14:textId="66B1D21B" w:rsidR="00800403" w:rsidRDefault="00800403" w:rsidP="007A71AC">
      <w:pPr>
        <w:widowControl/>
        <w:autoSpaceDE/>
        <w:autoSpaceDN/>
        <w:adjustRightInd/>
        <w:rPr>
          <w:rFonts w:cs="Calibri"/>
          <w:i/>
        </w:rPr>
      </w:pPr>
    </w:p>
    <w:p w14:paraId="4ED65629" w14:textId="0FB44282" w:rsidR="00800403" w:rsidRDefault="00800403" w:rsidP="007A71AC">
      <w:pPr>
        <w:widowControl/>
        <w:autoSpaceDE/>
        <w:autoSpaceDN/>
        <w:adjustRightInd/>
        <w:rPr>
          <w:rFonts w:cs="Calibri"/>
          <w:i/>
        </w:rPr>
      </w:pPr>
    </w:p>
    <w:p w14:paraId="11682004" w14:textId="62A0E210" w:rsidR="00800403" w:rsidRDefault="00800403" w:rsidP="007A71AC">
      <w:pPr>
        <w:widowControl/>
        <w:autoSpaceDE/>
        <w:autoSpaceDN/>
        <w:adjustRightInd/>
        <w:rPr>
          <w:rFonts w:cs="Calibri"/>
          <w:i/>
        </w:rPr>
      </w:pPr>
    </w:p>
    <w:p w14:paraId="510D6AE2" w14:textId="0ACA4F99" w:rsidR="00800403" w:rsidRDefault="00800403" w:rsidP="007A71AC">
      <w:pPr>
        <w:widowControl/>
        <w:autoSpaceDE/>
        <w:autoSpaceDN/>
        <w:adjustRightInd/>
        <w:rPr>
          <w:rFonts w:cs="Calibri"/>
          <w:i/>
        </w:rPr>
      </w:pPr>
    </w:p>
    <w:p w14:paraId="0E5C5EDA" w14:textId="08AF8280" w:rsidR="00800403" w:rsidRDefault="00800403" w:rsidP="007A71AC">
      <w:pPr>
        <w:widowControl/>
        <w:autoSpaceDE/>
        <w:autoSpaceDN/>
        <w:adjustRightInd/>
        <w:rPr>
          <w:rFonts w:cs="Calibri"/>
          <w:i/>
        </w:rPr>
      </w:pPr>
    </w:p>
    <w:p w14:paraId="502E2FE8" w14:textId="16F0B518" w:rsidR="00800403" w:rsidRDefault="00800403" w:rsidP="007A71AC">
      <w:pPr>
        <w:widowControl/>
        <w:autoSpaceDE/>
        <w:autoSpaceDN/>
        <w:adjustRightInd/>
        <w:rPr>
          <w:rFonts w:cs="Calibri"/>
          <w:i/>
        </w:rPr>
      </w:pPr>
    </w:p>
    <w:p w14:paraId="2B601D15" w14:textId="21486D6C" w:rsidR="00800403" w:rsidRDefault="00800403" w:rsidP="007A71AC">
      <w:pPr>
        <w:widowControl/>
        <w:autoSpaceDE/>
        <w:autoSpaceDN/>
        <w:adjustRightInd/>
        <w:rPr>
          <w:rFonts w:cs="Calibri"/>
          <w:i/>
        </w:rPr>
      </w:pPr>
    </w:p>
    <w:p w14:paraId="729A83F3" w14:textId="2CC4F891" w:rsidR="00800403" w:rsidRDefault="00800403" w:rsidP="007A71AC">
      <w:pPr>
        <w:widowControl/>
        <w:autoSpaceDE/>
        <w:autoSpaceDN/>
        <w:adjustRightInd/>
        <w:rPr>
          <w:rFonts w:cs="Calibri"/>
          <w:i/>
        </w:rPr>
      </w:pPr>
    </w:p>
    <w:p w14:paraId="1B808CBF" w14:textId="2DA44C76" w:rsidR="00800403" w:rsidRDefault="00800403" w:rsidP="007A71AC">
      <w:pPr>
        <w:widowControl/>
        <w:autoSpaceDE/>
        <w:autoSpaceDN/>
        <w:adjustRightInd/>
        <w:rPr>
          <w:rFonts w:cs="Calibri"/>
          <w:i/>
        </w:rPr>
      </w:pPr>
    </w:p>
    <w:p w14:paraId="131612E0" w14:textId="50DEE434" w:rsidR="00800403" w:rsidRDefault="00800403" w:rsidP="007A71AC">
      <w:pPr>
        <w:widowControl/>
        <w:autoSpaceDE/>
        <w:autoSpaceDN/>
        <w:adjustRightInd/>
        <w:rPr>
          <w:rFonts w:cs="Calibri"/>
          <w:i/>
        </w:rPr>
      </w:pPr>
    </w:p>
    <w:p w14:paraId="11E58E03" w14:textId="2E85CAE1" w:rsidR="00800403" w:rsidRDefault="00800403" w:rsidP="007A71AC">
      <w:pPr>
        <w:widowControl/>
        <w:autoSpaceDE/>
        <w:autoSpaceDN/>
        <w:adjustRightInd/>
        <w:rPr>
          <w:rFonts w:cs="Calibri"/>
          <w:i/>
        </w:rPr>
      </w:pPr>
    </w:p>
    <w:p w14:paraId="5DC4DFA5" w14:textId="64C4A8D6" w:rsidR="00800403" w:rsidRDefault="00800403" w:rsidP="007A71AC">
      <w:pPr>
        <w:widowControl/>
        <w:autoSpaceDE/>
        <w:autoSpaceDN/>
        <w:adjustRightInd/>
        <w:rPr>
          <w:rFonts w:cs="Calibri"/>
          <w:i/>
        </w:rPr>
      </w:pPr>
    </w:p>
    <w:p w14:paraId="678E0929" w14:textId="4F02478E" w:rsidR="00800403" w:rsidRDefault="00800403" w:rsidP="007A71AC">
      <w:pPr>
        <w:widowControl/>
        <w:autoSpaceDE/>
        <w:autoSpaceDN/>
        <w:adjustRightInd/>
        <w:rPr>
          <w:rFonts w:cs="Calibri"/>
          <w:i/>
        </w:rPr>
      </w:pPr>
    </w:p>
    <w:p w14:paraId="257FEE60" w14:textId="37E89FE8" w:rsidR="00800403" w:rsidRDefault="00800403" w:rsidP="007A71AC">
      <w:pPr>
        <w:widowControl/>
        <w:autoSpaceDE/>
        <w:autoSpaceDN/>
        <w:adjustRightInd/>
        <w:rPr>
          <w:rFonts w:cs="Calibri"/>
          <w:i/>
        </w:rPr>
      </w:pPr>
    </w:p>
    <w:p w14:paraId="724B689C" w14:textId="51F92700" w:rsidR="00800403" w:rsidRDefault="00800403" w:rsidP="007A71AC">
      <w:pPr>
        <w:widowControl/>
        <w:autoSpaceDE/>
        <w:autoSpaceDN/>
        <w:adjustRightInd/>
        <w:rPr>
          <w:rFonts w:cs="Calibri"/>
          <w:i/>
        </w:rPr>
      </w:pPr>
    </w:p>
    <w:p w14:paraId="5E5A0E6E" w14:textId="3FE86D39" w:rsidR="00800403" w:rsidRDefault="00800403" w:rsidP="007A71AC">
      <w:pPr>
        <w:widowControl/>
        <w:autoSpaceDE/>
        <w:autoSpaceDN/>
        <w:adjustRightInd/>
        <w:rPr>
          <w:rFonts w:cs="Calibri"/>
          <w:i/>
        </w:rPr>
      </w:pPr>
    </w:p>
    <w:p w14:paraId="52B306B0" w14:textId="391465C1" w:rsidR="00800403" w:rsidRDefault="00800403" w:rsidP="007A71AC">
      <w:pPr>
        <w:widowControl/>
        <w:autoSpaceDE/>
        <w:autoSpaceDN/>
        <w:adjustRightInd/>
        <w:rPr>
          <w:rFonts w:cs="Calibri"/>
          <w:i/>
        </w:rPr>
      </w:pPr>
    </w:p>
    <w:p w14:paraId="5E907274" w14:textId="6683C812" w:rsidR="00800403" w:rsidRDefault="00800403" w:rsidP="007A71AC">
      <w:pPr>
        <w:widowControl/>
        <w:autoSpaceDE/>
        <w:autoSpaceDN/>
        <w:adjustRightInd/>
        <w:rPr>
          <w:rFonts w:cs="Calibri"/>
          <w:i/>
        </w:rPr>
      </w:pPr>
    </w:p>
    <w:p w14:paraId="689F4503" w14:textId="41276233" w:rsidR="00800403" w:rsidRDefault="00800403" w:rsidP="007A71AC">
      <w:pPr>
        <w:widowControl/>
        <w:autoSpaceDE/>
        <w:autoSpaceDN/>
        <w:adjustRightInd/>
        <w:rPr>
          <w:rFonts w:cs="Calibri"/>
          <w:i/>
        </w:rPr>
      </w:pPr>
    </w:p>
    <w:p w14:paraId="2C7BDCCF" w14:textId="77777777" w:rsidR="00800403" w:rsidRPr="001C1E47" w:rsidRDefault="00800403" w:rsidP="007A71AC">
      <w:pPr>
        <w:widowControl/>
        <w:autoSpaceDE/>
        <w:autoSpaceDN/>
        <w:adjustRightInd/>
        <w:rPr>
          <w:rFonts w:cs="Calibri"/>
          <w:i/>
        </w:rPr>
      </w:pPr>
    </w:p>
    <w:p w14:paraId="039B49D1" w14:textId="77777777" w:rsidR="00D86879" w:rsidRPr="001C1E47" w:rsidRDefault="00D86879" w:rsidP="007A71AC">
      <w:pPr>
        <w:widowControl/>
        <w:autoSpaceDE/>
        <w:autoSpaceDN/>
        <w:adjustRightInd/>
        <w:rPr>
          <w:rFonts w:cs="Calibri"/>
          <w:i/>
        </w:rPr>
      </w:pPr>
    </w:p>
    <w:p w14:paraId="776B7B1D" w14:textId="77777777" w:rsidR="00D86879" w:rsidRPr="001C1E47" w:rsidRDefault="00D86879" w:rsidP="007A71AC">
      <w:pPr>
        <w:widowControl/>
        <w:autoSpaceDE/>
        <w:autoSpaceDN/>
        <w:adjustRightInd/>
        <w:rPr>
          <w:rFonts w:cs="Calibri"/>
          <w:i/>
        </w:rPr>
      </w:pPr>
    </w:p>
    <w:p w14:paraId="715EFD78" w14:textId="77777777" w:rsidR="00D86879" w:rsidRPr="001C1E47" w:rsidRDefault="00D86879" w:rsidP="007A71AC">
      <w:pPr>
        <w:widowControl/>
        <w:autoSpaceDE/>
        <w:autoSpaceDN/>
        <w:adjustRightInd/>
        <w:rPr>
          <w:rFonts w:cs="Calibri"/>
          <w:i/>
        </w:rPr>
      </w:pPr>
    </w:p>
    <w:p w14:paraId="72DA695E" w14:textId="77777777" w:rsidR="00B6741C" w:rsidRPr="0002572C" w:rsidRDefault="00B6741C" w:rsidP="00C50A0E">
      <w:pPr>
        <w:pStyle w:val="Heading3"/>
      </w:pPr>
      <w:bookmarkStart w:id="25" w:name="_Toc118905018"/>
      <w:bookmarkStart w:id="26" w:name="_Toc119418670"/>
      <w:r w:rsidRPr="0002572C">
        <w:lastRenderedPageBreak/>
        <w:t>Appendix B – Observations Subject to Continued Monitoring</w:t>
      </w:r>
      <w:bookmarkEnd w:id="25"/>
      <w:bookmarkEnd w:id="26"/>
    </w:p>
    <w:p w14:paraId="73014EBD" w14:textId="3BF38E66" w:rsidR="00B6741C" w:rsidRPr="00F0678A" w:rsidRDefault="00B6741C" w:rsidP="00363407">
      <w:r>
        <w:t xml:space="preserve">FY </w:t>
      </w:r>
      <w:r w:rsidR="00800403">
        <w:t>2022 Virginia Occupational Safety and Health</w:t>
      </w:r>
      <w:r w:rsidRPr="00476C08">
        <w:rPr>
          <w:color w:val="0070C0"/>
        </w:rPr>
        <w:t xml:space="preserve"> </w:t>
      </w:r>
      <w:r>
        <w:t>Follow-up FAME Report</w:t>
      </w:r>
    </w:p>
    <w:p w14:paraId="75823E10" w14:textId="77777777" w:rsidR="00D86879" w:rsidRPr="001C1E47" w:rsidRDefault="00D86879" w:rsidP="007A71AC">
      <w:pPr>
        <w:widowControl/>
        <w:autoSpaceDE/>
        <w:autoSpaceDN/>
        <w:adjustRightInd/>
        <w:rPr>
          <w:rFonts w:cs="Calibri"/>
          <w:i/>
        </w:rPr>
      </w:pPr>
    </w:p>
    <w:p w14:paraId="61F273E4" w14:textId="4BA1F7A9" w:rsidR="00492379" w:rsidRPr="000353C0" w:rsidRDefault="00492379" w:rsidP="007A71AC">
      <w:pPr>
        <w:widowControl/>
        <w:autoSpaceDE/>
        <w:autoSpaceDN/>
        <w:adjustRightInd/>
        <w:rPr>
          <w:rFonts w:cs="Calibri"/>
          <w:iCs/>
        </w:rPr>
        <w:sectPr w:rsidR="00492379" w:rsidRPr="000353C0" w:rsidSect="00DD7206">
          <w:headerReference w:type="default" r:id="rId12"/>
          <w:footerReference w:type="default" r:id="rId13"/>
          <w:headerReference w:type="first" r:id="rId14"/>
          <w:footerReference w:type="first" r:id="rId15"/>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657"/>
        <w:gridCol w:w="2690"/>
        <w:gridCol w:w="2657"/>
        <w:gridCol w:w="2630"/>
        <w:gridCol w:w="2316"/>
      </w:tblGrid>
      <w:tr w:rsidR="00B6741C" w:rsidRPr="00C50A0E" w14:paraId="266E8016" w14:textId="4E26EFF8" w:rsidTr="00B6741C">
        <w:trPr>
          <w:cantSplit/>
          <w:tblHeader/>
        </w:trPr>
        <w:tc>
          <w:tcPr>
            <w:tcW w:w="2657" w:type="dxa"/>
          </w:tcPr>
          <w:p w14:paraId="5950BEA4" w14:textId="77777777" w:rsidR="00B6741C" w:rsidRPr="00C50A0E" w:rsidRDefault="00B6741C" w:rsidP="00B6741C">
            <w:pPr>
              <w:widowControl/>
              <w:autoSpaceDE/>
              <w:autoSpaceDN/>
              <w:adjustRightInd/>
              <w:rPr>
                <w:rFonts w:cs="Calibri"/>
                <w:b/>
              </w:rPr>
            </w:pPr>
            <w:r w:rsidRPr="00C50A0E">
              <w:rPr>
                <w:rFonts w:cs="Calibri"/>
                <w:b/>
              </w:rPr>
              <w:t>Observation #</w:t>
            </w:r>
          </w:p>
          <w:p w14:paraId="09AE72D2" w14:textId="4C0B2D8B" w:rsidR="00B6741C" w:rsidRPr="00C50A0E" w:rsidRDefault="00B6741C" w:rsidP="00B6741C">
            <w:pPr>
              <w:widowControl/>
              <w:autoSpaceDE/>
              <w:autoSpaceDN/>
              <w:adjustRightInd/>
              <w:rPr>
                <w:rFonts w:cs="Calibri"/>
                <w:b/>
              </w:rPr>
            </w:pPr>
            <w:r w:rsidRPr="00C50A0E">
              <w:rPr>
                <w:rFonts w:cs="Calibri"/>
                <w:b/>
              </w:rPr>
              <w:t>FY 20</w:t>
            </w:r>
            <w:r w:rsidR="001D765B" w:rsidRPr="00C50A0E">
              <w:rPr>
                <w:rFonts w:cs="Calibri"/>
                <w:b/>
              </w:rPr>
              <w:t>22</w:t>
            </w:r>
            <w:r w:rsidRPr="00C50A0E">
              <w:rPr>
                <w:rFonts w:cs="Calibri"/>
                <w:b/>
              </w:rPr>
              <w:t>-OB-#</w:t>
            </w:r>
          </w:p>
          <w:p w14:paraId="07702D17" w14:textId="77777777" w:rsidR="00B6741C" w:rsidRPr="00C50A0E" w:rsidRDefault="00B6741C" w:rsidP="00B6741C">
            <w:pPr>
              <w:widowControl/>
              <w:autoSpaceDE/>
              <w:autoSpaceDN/>
              <w:adjustRightInd/>
              <w:rPr>
                <w:rFonts w:cs="Calibri"/>
                <w:i/>
              </w:rPr>
            </w:pPr>
          </w:p>
        </w:tc>
        <w:tc>
          <w:tcPr>
            <w:tcW w:w="2690" w:type="dxa"/>
          </w:tcPr>
          <w:p w14:paraId="5B8F9311" w14:textId="63DF0BD4" w:rsidR="00B6741C" w:rsidRPr="00C50A0E" w:rsidRDefault="00B6741C" w:rsidP="00B6741C">
            <w:pPr>
              <w:widowControl/>
              <w:autoSpaceDE/>
              <w:autoSpaceDN/>
              <w:adjustRightInd/>
              <w:rPr>
                <w:rFonts w:cs="Calibri"/>
                <w:b/>
              </w:rPr>
            </w:pPr>
            <w:r w:rsidRPr="00C50A0E">
              <w:rPr>
                <w:rFonts w:cs="Calibri"/>
                <w:b/>
              </w:rPr>
              <w:t>Observation</w:t>
            </w:r>
            <w:r w:rsidR="001D765B" w:rsidRPr="00C50A0E">
              <w:rPr>
                <w:rFonts w:cs="Calibri"/>
                <w:b/>
              </w:rPr>
              <w:t xml:space="preserve"> </w:t>
            </w:r>
            <w:r w:rsidRPr="00C50A0E">
              <w:rPr>
                <w:rFonts w:cs="Calibri"/>
                <w:b/>
              </w:rPr>
              <w:t>#</w:t>
            </w:r>
          </w:p>
          <w:p w14:paraId="757E85A6" w14:textId="18D23FEC" w:rsidR="00B6741C" w:rsidRPr="00C50A0E" w:rsidRDefault="00B6741C" w:rsidP="00B6741C">
            <w:pPr>
              <w:widowControl/>
              <w:autoSpaceDE/>
              <w:autoSpaceDN/>
              <w:adjustRightInd/>
              <w:rPr>
                <w:rFonts w:cs="Calibri"/>
                <w:i/>
              </w:rPr>
            </w:pPr>
            <w:r w:rsidRPr="00C50A0E">
              <w:rPr>
                <w:rFonts w:cs="Calibri"/>
                <w:b/>
              </w:rPr>
              <w:t>FY 20</w:t>
            </w:r>
            <w:r w:rsidR="001D765B" w:rsidRPr="00C50A0E">
              <w:rPr>
                <w:rFonts w:cs="Calibri"/>
                <w:b/>
              </w:rPr>
              <w:t>21</w:t>
            </w:r>
            <w:r w:rsidRPr="00C50A0E">
              <w:rPr>
                <w:rFonts w:cs="Calibri"/>
                <w:b/>
              </w:rPr>
              <w:t xml:space="preserve">-OB-# </w:t>
            </w:r>
            <w:r w:rsidRPr="00363407">
              <w:rPr>
                <w:rFonts w:cs="Calibri"/>
                <w:b/>
                <w:iCs/>
              </w:rPr>
              <w:t>or</w:t>
            </w:r>
            <w:r w:rsidRPr="00C50A0E">
              <w:rPr>
                <w:rFonts w:cs="Calibri"/>
                <w:b/>
                <w:iCs/>
              </w:rPr>
              <w:t xml:space="preserve"> </w:t>
            </w:r>
            <w:r w:rsidRPr="00C50A0E">
              <w:rPr>
                <w:rFonts w:cs="Calibri"/>
                <w:b/>
              </w:rPr>
              <w:t>FY 20XX-#</w:t>
            </w:r>
          </w:p>
        </w:tc>
        <w:tc>
          <w:tcPr>
            <w:tcW w:w="2657" w:type="dxa"/>
          </w:tcPr>
          <w:p w14:paraId="11DA1749" w14:textId="7AE042CC" w:rsidR="00B6741C" w:rsidRPr="00C50A0E" w:rsidRDefault="00B6741C" w:rsidP="00B6741C">
            <w:pPr>
              <w:widowControl/>
              <w:autoSpaceDE/>
              <w:autoSpaceDN/>
              <w:adjustRightInd/>
              <w:rPr>
                <w:rFonts w:cs="Calibri"/>
                <w:i/>
              </w:rPr>
            </w:pPr>
            <w:r w:rsidRPr="00C50A0E">
              <w:rPr>
                <w:rFonts w:cs="Calibri"/>
                <w:b/>
              </w:rPr>
              <w:t>Observation</w:t>
            </w:r>
          </w:p>
        </w:tc>
        <w:tc>
          <w:tcPr>
            <w:tcW w:w="2630" w:type="dxa"/>
          </w:tcPr>
          <w:p w14:paraId="76BC073C" w14:textId="70BBC1B0" w:rsidR="00B6741C" w:rsidRPr="00C50A0E" w:rsidRDefault="00B6741C" w:rsidP="00B6741C">
            <w:pPr>
              <w:widowControl/>
              <w:autoSpaceDE/>
              <w:autoSpaceDN/>
              <w:adjustRightInd/>
              <w:rPr>
                <w:rFonts w:cs="Calibri"/>
                <w:i/>
              </w:rPr>
            </w:pPr>
            <w:r w:rsidRPr="00C50A0E">
              <w:rPr>
                <w:rFonts w:cs="Calibri"/>
                <w:b/>
              </w:rPr>
              <w:t>Federal Monitoring Plan</w:t>
            </w:r>
          </w:p>
        </w:tc>
        <w:tc>
          <w:tcPr>
            <w:tcW w:w="2316" w:type="dxa"/>
          </w:tcPr>
          <w:p w14:paraId="46D0EE63" w14:textId="4A2BA825" w:rsidR="00B6741C" w:rsidRPr="00C50A0E" w:rsidRDefault="00B6741C" w:rsidP="00B6741C">
            <w:pPr>
              <w:widowControl/>
              <w:autoSpaceDE/>
              <w:autoSpaceDN/>
              <w:adjustRightInd/>
              <w:rPr>
                <w:rFonts w:cs="Calibri"/>
                <w:b/>
              </w:rPr>
            </w:pPr>
            <w:r w:rsidRPr="00C50A0E">
              <w:rPr>
                <w:rFonts w:cs="Calibri"/>
                <w:b/>
              </w:rPr>
              <w:t>Current Status</w:t>
            </w:r>
          </w:p>
        </w:tc>
      </w:tr>
      <w:tr w:rsidR="00B6741C" w:rsidRPr="00C50A0E" w14:paraId="715083EB" w14:textId="58561804" w:rsidTr="00B6741C">
        <w:trPr>
          <w:cantSplit/>
        </w:trPr>
        <w:tc>
          <w:tcPr>
            <w:tcW w:w="2657" w:type="dxa"/>
          </w:tcPr>
          <w:p w14:paraId="7834860F" w14:textId="5A676849" w:rsidR="00B6741C" w:rsidRPr="00C50A0E" w:rsidRDefault="001D765B" w:rsidP="001D765B">
            <w:pPr>
              <w:widowControl/>
              <w:autoSpaceDE/>
              <w:autoSpaceDN/>
              <w:adjustRightInd/>
              <w:rPr>
                <w:rFonts w:cs="Calibri"/>
                <w:iCs/>
              </w:rPr>
            </w:pPr>
            <w:r w:rsidRPr="00C50A0E">
              <w:rPr>
                <w:rFonts w:cs="Calibri"/>
                <w:iCs/>
              </w:rPr>
              <w:t>FY 2022-OB-01</w:t>
            </w:r>
          </w:p>
        </w:tc>
        <w:tc>
          <w:tcPr>
            <w:tcW w:w="2690" w:type="dxa"/>
          </w:tcPr>
          <w:p w14:paraId="0E657848" w14:textId="573C7867" w:rsidR="00B6741C" w:rsidRPr="00C50A0E" w:rsidRDefault="00B6741C" w:rsidP="00B6741C">
            <w:pPr>
              <w:widowControl/>
              <w:autoSpaceDE/>
              <w:autoSpaceDN/>
              <w:adjustRightInd/>
              <w:rPr>
                <w:rFonts w:cs="Calibri"/>
                <w:iCs/>
              </w:rPr>
            </w:pPr>
            <w:r w:rsidRPr="00C50A0E">
              <w:rPr>
                <w:rFonts w:cs="Calibri"/>
                <w:iCs/>
              </w:rPr>
              <w:t>FY 20</w:t>
            </w:r>
            <w:r w:rsidR="001D765B" w:rsidRPr="00C50A0E">
              <w:rPr>
                <w:rFonts w:cs="Calibri"/>
                <w:iCs/>
              </w:rPr>
              <w:t>21</w:t>
            </w:r>
            <w:r w:rsidRPr="00C50A0E">
              <w:rPr>
                <w:rFonts w:cs="Calibri"/>
                <w:iCs/>
              </w:rPr>
              <w:t>-OB-01</w:t>
            </w:r>
          </w:p>
          <w:p w14:paraId="1207E4E3" w14:textId="77777777" w:rsidR="00B6741C" w:rsidRPr="00C50A0E" w:rsidRDefault="00B6741C" w:rsidP="00B6741C">
            <w:pPr>
              <w:widowControl/>
              <w:autoSpaceDE/>
              <w:autoSpaceDN/>
              <w:adjustRightInd/>
              <w:rPr>
                <w:rFonts w:cs="Calibri"/>
                <w:iCs/>
              </w:rPr>
            </w:pPr>
          </w:p>
        </w:tc>
        <w:tc>
          <w:tcPr>
            <w:tcW w:w="2657" w:type="dxa"/>
          </w:tcPr>
          <w:p w14:paraId="53E4A09F" w14:textId="16D76741" w:rsidR="00B6741C" w:rsidRPr="00C50A0E" w:rsidRDefault="00990C58" w:rsidP="00B6741C">
            <w:pPr>
              <w:widowControl/>
              <w:autoSpaceDE/>
              <w:autoSpaceDN/>
              <w:adjustRightInd/>
              <w:rPr>
                <w:rFonts w:cs="Calibri"/>
                <w:iCs/>
              </w:rPr>
            </w:pPr>
            <w:r w:rsidRPr="00C50A0E">
              <w:rPr>
                <w:rFonts w:cs="Calibri"/>
              </w:rPr>
              <w:t>In seven of 16 (44%) of work-related fatality case files reviewed, the case file did not contain documentation that the final NOK letter identifying how to obtain the inspection file and results was sent.</w:t>
            </w:r>
          </w:p>
        </w:tc>
        <w:tc>
          <w:tcPr>
            <w:tcW w:w="2630" w:type="dxa"/>
          </w:tcPr>
          <w:p w14:paraId="31E38E8D" w14:textId="2195610C" w:rsidR="00B6741C" w:rsidRPr="00C50A0E" w:rsidRDefault="00B6741C" w:rsidP="00B6741C">
            <w:pPr>
              <w:widowControl/>
              <w:autoSpaceDE/>
              <w:autoSpaceDN/>
              <w:adjustRightInd/>
              <w:rPr>
                <w:rFonts w:cs="Calibri"/>
                <w:iCs/>
              </w:rPr>
            </w:pPr>
            <w:r w:rsidRPr="00C50A0E">
              <w:rPr>
                <w:rFonts w:cs="Calibri"/>
                <w:iCs/>
              </w:rPr>
              <w:t xml:space="preserve">During next year’s FAME, </w:t>
            </w:r>
            <w:r w:rsidR="005B1237" w:rsidRPr="00C50A0E">
              <w:rPr>
                <w:rFonts w:cs="Calibri"/>
                <w:iCs/>
              </w:rPr>
              <w:t xml:space="preserve">work-related fatality case files </w:t>
            </w:r>
            <w:r w:rsidRPr="00C50A0E">
              <w:rPr>
                <w:rFonts w:cs="Calibri"/>
                <w:iCs/>
              </w:rPr>
              <w:t xml:space="preserve">will be reviewed to determine if this </w:t>
            </w:r>
            <w:r w:rsidR="005B1237" w:rsidRPr="00C50A0E">
              <w:rPr>
                <w:rFonts w:cs="Calibri"/>
                <w:iCs/>
              </w:rPr>
              <w:t xml:space="preserve">continues to reflect a data trend. </w:t>
            </w:r>
          </w:p>
          <w:p w14:paraId="04F2CA88" w14:textId="77777777" w:rsidR="00B6741C" w:rsidRPr="00C50A0E" w:rsidRDefault="00B6741C" w:rsidP="00B6741C">
            <w:pPr>
              <w:widowControl/>
              <w:autoSpaceDE/>
              <w:autoSpaceDN/>
              <w:adjustRightInd/>
              <w:rPr>
                <w:rFonts w:cs="Calibri"/>
                <w:iCs/>
              </w:rPr>
            </w:pPr>
          </w:p>
        </w:tc>
        <w:tc>
          <w:tcPr>
            <w:tcW w:w="2316" w:type="dxa"/>
          </w:tcPr>
          <w:p w14:paraId="79E4394D" w14:textId="69407FCD" w:rsidR="00B6741C" w:rsidRPr="00C50A0E" w:rsidRDefault="00B6741C" w:rsidP="00B6741C">
            <w:pPr>
              <w:widowControl/>
              <w:autoSpaceDE/>
              <w:autoSpaceDN/>
              <w:adjustRightInd/>
              <w:rPr>
                <w:rFonts w:cs="Calibri"/>
                <w:iCs/>
              </w:rPr>
            </w:pPr>
            <w:r w:rsidRPr="00C50A0E">
              <w:rPr>
                <w:rFonts w:cs="Calibri"/>
                <w:iCs/>
              </w:rPr>
              <w:t>Continued</w:t>
            </w:r>
          </w:p>
        </w:tc>
      </w:tr>
      <w:tr w:rsidR="00B6741C" w:rsidRPr="00C50A0E" w14:paraId="414575F4" w14:textId="437735BC" w:rsidTr="00B6741C">
        <w:trPr>
          <w:cantSplit/>
        </w:trPr>
        <w:tc>
          <w:tcPr>
            <w:tcW w:w="2657" w:type="dxa"/>
          </w:tcPr>
          <w:p w14:paraId="6EF9BE70" w14:textId="1CC98500" w:rsidR="00B6741C" w:rsidRPr="00C50A0E" w:rsidRDefault="00B6741C" w:rsidP="00B6741C">
            <w:pPr>
              <w:widowControl/>
              <w:autoSpaceDE/>
              <w:autoSpaceDN/>
              <w:adjustRightInd/>
              <w:rPr>
                <w:rFonts w:cs="Calibri"/>
                <w:iCs/>
              </w:rPr>
            </w:pPr>
            <w:r w:rsidRPr="00C50A0E">
              <w:rPr>
                <w:rFonts w:cs="Calibri"/>
                <w:iCs/>
              </w:rPr>
              <w:t>FY 20</w:t>
            </w:r>
            <w:r w:rsidR="00990C58" w:rsidRPr="00C50A0E">
              <w:rPr>
                <w:rFonts w:cs="Calibri"/>
                <w:iCs/>
              </w:rPr>
              <w:t>22</w:t>
            </w:r>
            <w:r w:rsidRPr="00C50A0E">
              <w:rPr>
                <w:rFonts w:cs="Calibri"/>
                <w:iCs/>
              </w:rPr>
              <w:t>-OB-0</w:t>
            </w:r>
            <w:r w:rsidR="00990C58" w:rsidRPr="00C50A0E">
              <w:rPr>
                <w:rFonts w:cs="Calibri"/>
                <w:iCs/>
              </w:rPr>
              <w:t>2</w:t>
            </w:r>
          </w:p>
          <w:p w14:paraId="38E1B745" w14:textId="77777777" w:rsidR="00B6741C" w:rsidRPr="00C50A0E" w:rsidRDefault="00B6741C" w:rsidP="00B6741C">
            <w:pPr>
              <w:widowControl/>
              <w:autoSpaceDE/>
              <w:autoSpaceDN/>
              <w:adjustRightInd/>
              <w:rPr>
                <w:rFonts w:cs="Calibri"/>
                <w:iCs/>
              </w:rPr>
            </w:pPr>
          </w:p>
        </w:tc>
        <w:tc>
          <w:tcPr>
            <w:tcW w:w="2690" w:type="dxa"/>
          </w:tcPr>
          <w:p w14:paraId="4640B74B" w14:textId="7A001661" w:rsidR="00B6741C" w:rsidRPr="00C50A0E" w:rsidRDefault="00B6741C" w:rsidP="00B6741C">
            <w:pPr>
              <w:widowControl/>
              <w:autoSpaceDE/>
              <w:autoSpaceDN/>
              <w:adjustRightInd/>
              <w:rPr>
                <w:rFonts w:cs="Calibri"/>
                <w:iCs/>
              </w:rPr>
            </w:pPr>
          </w:p>
        </w:tc>
        <w:tc>
          <w:tcPr>
            <w:tcW w:w="2657" w:type="dxa"/>
          </w:tcPr>
          <w:p w14:paraId="3BC4A14C" w14:textId="7F347F60" w:rsidR="00B6741C" w:rsidRPr="00C50A0E" w:rsidRDefault="005B1237" w:rsidP="00101859">
            <w:pPr>
              <w:pStyle w:val="Default"/>
              <w:rPr>
                <w:rFonts w:ascii="Calibri" w:hAnsi="Calibri" w:cs="Calibri"/>
              </w:rPr>
            </w:pPr>
            <w:r w:rsidRPr="00C50A0E">
              <w:rPr>
                <w:rFonts w:ascii="Calibri" w:hAnsi="Calibri" w:cs="Calibri"/>
              </w:rPr>
              <w:t xml:space="preserve">VOSH did not adopt Federal Program Changes (FPCs) within the required timeframes. </w:t>
            </w:r>
          </w:p>
        </w:tc>
        <w:tc>
          <w:tcPr>
            <w:tcW w:w="2630" w:type="dxa"/>
          </w:tcPr>
          <w:p w14:paraId="016CAD6A" w14:textId="0727F234" w:rsidR="00B6741C" w:rsidRPr="00C50A0E" w:rsidRDefault="005B3C09" w:rsidP="00B6741C">
            <w:pPr>
              <w:widowControl/>
              <w:autoSpaceDE/>
              <w:autoSpaceDN/>
              <w:adjustRightInd/>
              <w:rPr>
                <w:rFonts w:cs="Calibri"/>
                <w:b/>
                <w:i/>
                <w:iCs/>
              </w:rPr>
            </w:pPr>
            <w:r w:rsidRPr="00C50A0E">
              <w:rPr>
                <w:rFonts w:eastAsia="Calibri" w:cs="Calibri"/>
              </w:rPr>
              <w:t xml:space="preserve">OSHA will continue to identify overdue FPCs and monitor adoption status.    </w:t>
            </w:r>
          </w:p>
        </w:tc>
        <w:tc>
          <w:tcPr>
            <w:tcW w:w="2316" w:type="dxa"/>
          </w:tcPr>
          <w:p w14:paraId="4F554364" w14:textId="6A73D12F" w:rsidR="00B6741C" w:rsidRPr="00C50A0E" w:rsidRDefault="00B6741C" w:rsidP="00B6741C">
            <w:pPr>
              <w:widowControl/>
              <w:autoSpaceDE/>
              <w:autoSpaceDN/>
              <w:adjustRightInd/>
              <w:rPr>
                <w:rFonts w:cs="Calibri"/>
                <w:iCs/>
              </w:rPr>
            </w:pPr>
            <w:r w:rsidRPr="00C50A0E">
              <w:rPr>
                <w:rFonts w:cs="Calibri"/>
                <w:iCs/>
              </w:rPr>
              <w:t>New</w:t>
            </w:r>
          </w:p>
        </w:tc>
      </w:tr>
    </w:tbl>
    <w:p w14:paraId="2352A70A" w14:textId="7478DFBA" w:rsidR="00E759AB" w:rsidRPr="001C1E47" w:rsidRDefault="00E759AB" w:rsidP="007A71AC">
      <w:pPr>
        <w:widowControl/>
        <w:autoSpaceDE/>
        <w:autoSpaceDN/>
        <w:adjustRightInd/>
        <w:rPr>
          <w:rFonts w:cs="Calibri"/>
          <w:i/>
          <w:sz w:val="22"/>
          <w:szCs w:val="22"/>
        </w:rPr>
      </w:pPr>
    </w:p>
    <w:p w14:paraId="5966FA9F" w14:textId="77777777" w:rsidR="000A134A" w:rsidRPr="001C1E47" w:rsidRDefault="000A134A" w:rsidP="007A71AC">
      <w:pPr>
        <w:widowControl/>
        <w:autoSpaceDE/>
        <w:autoSpaceDN/>
        <w:adjustRightInd/>
        <w:rPr>
          <w:rFonts w:cs="Calibri"/>
          <w:i/>
          <w:sz w:val="22"/>
          <w:szCs w:val="22"/>
        </w:rPr>
        <w:sectPr w:rsidR="000A134A" w:rsidRPr="001C1E47" w:rsidSect="00476C08">
          <w:headerReference w:type="first" r:id="rId16"/>
          <w:footerReference w:type="first" r:id="rId17"/>
          <w:type w:val="continuous"/>
          <w:pgSz w:w="15840" w:h="12240" w:orient="landscape"/>
          <w:pgMar w:top="1440" w:right="1440" w:bottom="1440" w:left="1440" w:header="720" w:footer="720" w:gutter="0"/>
          <w:cols w:space="720"/>
          <w:titlePg/>
          <w:docGrid w:linePitch="360"/>
        </w:sectPr>
      </w:pPr>
    </w:p>
    <w:p w14:paraId="01176981" w14:textId="14D19254" w:rsidR="00747710" w:rsidRDefault="00747710" w:rsidP="00C50A0E">
      <w:pPr>
        <w:pStyle w:val="Heading3"/>
      </w:pPr>
      <w:bookmarkStart w:id="27" w:name="_Toc118905019"/>
      <w:bookmarkStart w:id="28" w:name="_Toc119418671"/>
      <w:r w:rsidRPr="00747710">
        <w:lastRenderedPageBreak/>
        <w:t>Appendix C - Status of FY 20</w:t>
      </w:r>
      <w:r w:rsidR="006D4B4E">
        <w:t>21</w:t>
      </w:r>
      <w:r w:rsidRPr="00747710">
        <w:t xml:space="preserve"> Findings and Recommendations</w:t>
      </w:r>
      <w:bookmarkEnd w:id="27"/>
      <w:bookmarkEnd w:id="28"/>
    </w:p>
    <w:p w14:paraId="3D850E81" w14:textId="54995451" w:rsidR="00747710" w:rsidRDefault="00747710" w:rsidP="00363407">
      <w:r w:rsidRPr="00747710">
        <w:t>FY 2022</w:t>
      </w:r>
      <w:r w:rsidR="00800403">
        <w:t xml:space="preserve"> Virginia Occupational Safety and Health Program </w:t>
      </w:r>
      <w:r w:rsidRPr="00747710">
        <w:t>Follow-up FAME Report</w:t>
      </w:r>
    </w:p>
    <w:p w14:paraId="19449AAB" w14:textId="77EE5388" w:rsidR="006D4B4E" w:rsidRDefault="006D4B4E" w:rsidP="006D4B4E">
      <w:pPr>
        <w:jc w:val="center"/>
      </w:pPr>
    </w:p>
    <w:p w14:paraId="0D077834" w14:textId="10582A65" w:rsidR="006D4B4E" w:rsidRDefault="006D4B4E" w:rsidP="006D4B4E">
      <w:pPr>
        <w:jc w:val="center"/>
      </w:pPr>
    </w:p>
    <w:p w14:paraId="0A701FCF" w14:textId="14EABB42" w:rsidR="006D4B4E" w:rsidRDefault="006D4B4E" w:rsidP="00CA6E73">
      <w:r>
        <w:t xml:space="preserve">There were no new or continued findings in FY 2022. </w:t>
      </w:r>
      <w:bookmarkStart w:id="29" w:name="_Toc119418672"/>
    </w:p>
    <w:p w14:paraId="0C1E9DAF" w14:textId="0D93F9BA" w:rsidR="006D4B4E" w:rsidRDefault="006D4B4E" w:rsidP="006D4B4E">
      <w:pPr>
        <w:jc w:val="center"/>
      </w:pPr>
    </w:p>
    <w:p w14:paraId="00DFFC10" w14:textId="0308AEE6" w:rsidR="006D4B4E" w:rsidRDefault="006D4B4E" w:rsidP="006D4B4E">
      <w:pPr>
        <w:jc w:val="center"/>
      </w:pPr>
    </w:p>
    <w:p w14:paraId="7F2A5590" w14:textId="1621755F" w:rsidR="006D4B4E" w:rsidRDefault="006D4B4E" w:rsidP="006D4B4E">
      <w:pPr>
        <w:jc w:val="center"/>
      </w:pPr>
    </w:p>
    <w:p w14:paraId="1CA071E4" w14:textId="523DEA08" w:rsidR="006D4B4E" w:rsidRDefault="006D4B4E" w:rsidP="006D4B4E">
      <w:pPr>
        <w:jc w:val="center"/>
      </w:pPr>
    </w:p>
    <w:p w14:paraId="2C480335" w14:textId="61AFDAF9" w:rsidR="006D4B4E" w:rsidRDefault="006D4B4E" w:rsidP="006D4B4E">
      <w:pPr>
        <w:jc w:val="center"/>
      </w:pPr>
    </w:p>
    <w:p w14:paraId="327070AD" w14:textId="1E9F7E1B" w:rsidR="006D4B4E" w:rsidRDefault="006D4B4E" w:rsidP="006D4B4E">
      <w:pPr>
        <w:jc w:val="center"/>
      </w:pPr>
    </w:p>
    <w:p w14:paraId="67B5A2CE" w14:textId="3E33A03D" w:rsidR="006D4B4E" w:rsidRDefault="006D4B4E" w:rsidP="006D4B4E">
      <w:pPr>
        <w:jc w:val="center"/>
      </w:pPr>
    </w:p>
    <w:p w14:paraId="5D97111C" w14:textId="07784DEB" w:rsidR="006D4B4E" w:rsidRDefault="006D4B4E" w:rsidP="006D4B4E">
      <w:pPr>
        <w:jc w:val="center"/>
      </w:pPr>
    </w:p>
    <w:p w14:paraId="2D51F5AE" w14:textId="3C4AEEBA" w:rsidR="006D4B4E" w:rsidRDefault="006D4B4E" w:rsidP="006D4B4E">
      <w:pPr>
        <w:jc w:val="center"/>
      </w:pPr>
    </w:p>
    <w:p w14:paraId="21B5193C" w14:textId="3B95C719" w:rsidR="006D4B4E" w:rsidRDefault="006D4B4E" w:rsidP="006D4B4E">
      <w:pPr>
        <w:jc w:val="center"/>
      </w:pPr>
    </w:p>
    <w:p w14:paraId="7C03DBAD" w14:textId="3B0F74A2" w:rsidR="006D4B4E" w:rsidRDefault="006D4B4E" w:rsidP="006D4B4E">
      <w:pPr>
        <w:jc w:val="center"/>
      </w:pPr>
    </w:p>
    <w:p w14:paraId="5AFA3D32" w14:textId="4D0A98E8" w:rsidR="006D4B4E" w:rsidRDefault="006D4B4E" w:rsidP="006D4B4E">
      <w:pPr>
        <w:jc w:val="center"/>
      </w:pPr>
    </w:p>
    <w:p w14:paraId="2A98CBC8" w14:textId="42CE86C8" w:rsidR="006D4B4E" w:rsidRDefault="006D4B4E" w:rsidP="006D4B4E">
      <w:pPr>
        <w:jc w:val="center"/>
      </w:pPr>
    </w:p>
    <w:p w14:paraId="0815794E" w14:textId="3ADB6639" w:rsidR="006D4B4E" w:rsidRDefault="006D4B4E" w:rsidP="006D4B4E">
      <w:pPr>
        <w:jc w:val="center"/>
      </w:pPr>
    </w:p>
    <w:p w14:paraId="0DED7E17" w14:textId="6B0AE29D" w:rsidR="006D4B4E" w:rsidRDefault="006D4B4E" w:rsidP="006D4B4E">
      <w:pPr>
        <w:jc w:val="center"/>
      </w:pPr>
    </w:p>
    <w:p w14:paraId="1BA48BF6" w14:textId="129A17A3" w:rsidR="006D4B4E" w:rsidRDefault="006D4B4E" w:rsidP="006D4B4E">
      <w:pPr>
        <w:jc w:val="center"/>
      </w:pPr>
    </w:p>
    <w:p w14:paraId="3C8995B1" w14:textId="05407A1A" w:rsidR="006D4B4E" w:rsidRDefault="006D4B4E" w:rsidP="006D4B4E">
      <w:pPr>
        <w:jc w:val="center"/>
      </w:pPr>
    </w:p>
    <w:p w14:paraId="1598DFE9" w14:textId="24D2A46B" w:rsidR="006D4B4E" w:rsidRDefault="006D4B4E" w:rsidP="006D4B4E">
      <w:pPr>
        <w:jc w:val="center"/>
      </w:pPr>
    </w:p>
    <w:p w14:paraId="3FFA6E3E" w14:textId="05642468" w:rsidR="006D4B4E" w:rsidRDefault="006D4B4E" w:rsidP="006D4B4E">
      <w:pPr>
        <w:jc w:val="center"/>
      </w:pPr>
    </w:p>
    <w:p w14:paraId="6DD56220" w14:textId="2E22563E" w:rsidR="006D4B4E" w:rsidRDefault="006D4B4E" w:rsidP="006D4B4E">
      <w:pPr>
        <w:jc w:val="center"/>
      </w:pPr>
    </w:p>
    <w:p w14:paraId="765362A9" w14:textId="77FCDAF0" w:rsidR="006D4B4E" w:rsidRDefault="006D4B4E" w:rsidP="006D4B4E">
      <w:pPr>
        <w:jc w:val="center"/>
      </w:pPr>
    </w:p>
    <w:p w14:paraId="3A68189B" w14:textId="60DE69B9" w:rsidR="006D4B4E" w:rsidRDefault="006D4B4E" w:rsidP="006D4B4E">
      <w:pPr>
        <w:jc w:val="center"/>
      </w:pPr>
    </w:p>
    <w:p w14:paraId="3BB964AE" w14:textId="27D3C38A" w:rsidR="00247B94" w:rsidRDefault="00247B94" w:rsidP="00C50A0E">
      <w:pPr>
        <w:pStyle w:val="Heading3"/>
      </w:pPr>
    </w:p>
    <w:p w14:paraId="020146D9" w14:textId="77777777" w:rsidR="00247B94" w:rsidRPr="00247B94" w:rsidRDefault="00247B94" w:rsidP="00247B94"/>
    <w:p w14:paraId="13E80B65" w14:textId="77777777" w:rsidR="00083ABF" w:rsidRDefault="00083ABF" w:rsidP="00C50A0E">
      <w:pPr>
        <w:pStyle w:val="Heading3"/>
        <w:sectPr w:rsidR="00083ABF" w:rsidSect="00AA5CE7">
          <w:headerReference w:type="default" r:id="rId18"/>
          <w:footerReference w:type="default" r:id="rId19"/>
          <w:pgSz w:w="15840" w:h="12240" w:orient="landscape" w:code="1"/>
          <w:pgMar w:top="1440" w:right="1440" w:bottom="1440" w:left="1440" w:header="720" w:footer="720" w:gutter="0"/>
          <w:cols w:space="720"/>
          <w:noEndnote/>
          <w:docGrid w:linePitch="326"/>
        </w:sectPr>
      </w:pPr>
    </w:p>
    <w:p w14:paraId="7E5B1809" w14:textId="77777777" w:rsidR="00083ABF" w:rsidRDefault="00083ABF" w:rsidP="00C50A0E">
      <w:pPr>
        <w:pStyle w:val="Heading3"/>
        <w:sectPr w:rsidR="00083ABF" w:rsidSect="00083ABF">
          <w:type w:val="continuous"/>
          <w:pgSz w:w="15840" w:h="12240" w:orient="landscape" w:code="1"/>
          <w:pgMar w:top="1440" w:right="1440" w:bottom="1440" w:left="1440" w:header="720" w:footer="720" w:gutter="0"/>
          <w:cols w:space="720"/>
          <w:noEndnote/>
          <w:docGrid w:linePitch="326"/>
        </w:sectPr>
      </w:pPr>
    </w:p>
    <w:p w14:paraId="1B0B407C" w14:textId="681D00ED" w:rsidR="00690C0D" w:rsidRPr="00D93CB3" w:rsidRDefault="00690C0D" w:rsidP="00C50A0E">
      <w:pPr>
        <w:pStyle w:val="Heading3"/>
        <w:rPr>
          <w:color w:val="0070C0"/>
        </w:rPr>
      </w:pPr>
      <w:r w:rsidRPr="00D93CB3">
        <w:lastRenderedPageBreak/>
        <w:t xml:space="preserve">Appendix D – </w:t>
      </w:r>
      <w:bookmarkStart w:id="30" w:name="_Hlk119349018"/>
      <w:r w:rsidRPr="00D93CB3">
        <w:t>FY 2022 State Activity Mandated Measures (SAMM) Report</w:t>
      </w:r>
      <w:bookmarkEnd w:id="29"/>
      <w:bookmarkEnd w:id="30"/>
    </w:p>
    <w:p w14:paraId="19B594E3" w14:textId="75B49607" w:rsidR="00690C0D" w:rsidRPr="000767C0" w:rsidRDefault="00690C0D" w:rsidP="00363407">
      <w:pPr>
        <w:pStyle w:val="Header"/>
      </w:pPr>
      <w:r w:rsidRPr="00042327">
        <w:t xml:space="preserve">FY </w:t>
      </w:r>
      <w:r>
        <w:t>2022</w:t>
      </w:r>
      <w:r w:rsidR="006D4B4E">
        <w:t xml:space="preserve"> Virginia Occupational Safety and Health </w:t>
      </w:r>
      <w:r>
        <w:t xml:space="preserve">Follow-up </w:t>
      </w:r>
      <w:r w:rsidRPr="00042327">
        <w:t>FAME Report</w:t>
      </w:r>
    </w:p>
    <w:p w14:paraId="221DF49F" w14:textId="77777777" w:rsidR="000A134A" w:rsidRPr="001C1E47" w:rsidRDefault="000A134A" w:rsidP="007A71AC">
      <w:pPr>
        <w:widowControl/>
        <w:autoSpaceDE/>
        <w:autoSpaceDN/>
        <w:adjustRightInd/>
        <w:rPr>
          <w:rFonts w:cs="Calibri"/>
          <w:b/>
          <w:color w:val="1F497D"/>
          <w:sz w:val="28"/>
          <w:szCs w:val="28"/>
        </w:rPr>
      </w:pPr>
    </w:p>
    <w:tbl>
      <w:tblPr>
        <w:tblStyle w:val="GridTable4"/>
        <w:tblW w:w="10350" w:type="dxa"/>
        <w:tblInd w:w="-365" w:type="dxa"/>
        <w:tblLook w:val="06A0" w:firstRow="1" w:lastRow="0" w:firstColumn="1" w:lastColumn="0" w:noHBand="1" w:noVBand="1"/>
        <w:tblCaption w:val="FY 20XX SAMM Report"/>
        <w:tblDescription w:val="Appendix D"/>
      </w:tblPr>
      <w:tblGrid>
        <w:gridCol w:w="1034"/>
        <w:gridCol w:w="2457"/>
        <w:gridCol w:w="1188"/>
        <w:gridCol w:w="1292"/>
        <w:gridCol w:w="4379"/>
      </w:tblGrid>
      <w:tr w:rsidR="00634539" w:rsidRPr="001C1E47" w14:paraId="4B607DC1" w14:textId="77777777" w:rsidTr="00D93C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3" w:type="dxa"/>
            <w:tcBorders>
              <w:right w:val="single" w:sz="4" w:space="0" w:color="000000" w:themeColor="text1"/>
            </w:tcBorders>
            <w:shd w:val="clear" w:color="auto" w:fill="auto"/>
          </w:tcPr>
          <w:p w14:paraId="57458A1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val="0"/>
                <w:color w:val="000000" w:themeColor="text1"/>
              </w:rPr>
            </w:pPr>
            <w:r w:rsidRPr="001C1E47">
              <w:rPr>
                <w:rFonts w:eastAsia="PMingLiU" w:cs="Calibri"/>
                <w:bCs w:val="0"/>
                <w:color w:val="000000" w:themeColor="text1"/>
              </w:rPr>
              <w:t>SAMM Number</w:t>
            </w:r>
          </w:p>
        </w:tc>
        <w:tc>
          <w:tcPr>
            <w:tcW w:w="2572" w:type="dxa"/>
            <w:tcBorders>
              <w:left w:val="single" w:sz="4" w:space="0" w:color="000000" w:themeColor="text1"/>
              <w:right w:val="single" w:sz="4" w:space="0" w:color="000000" w:themeColor="text1"/>
            </w:tcBorders>
            <w:shd w:val="clear" w:color="auto" w:fill="auto"/>
          </w:tcPr>
          <w:p w14:paraId="21CEF63D"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SAMM Name</w:t>
            </w:r>
          </w:p>
        </w:tc>
        <w:tc>
          <w:tcPr>
            <w:tcW w:w="979" w:type="dxa"/>
            <w:tcBorders>
              <w:left w:val="single" w:sz="4" w:space="0" w:color="000000" w:themeColor="text1"/>
              <w:right w:val="single" w:sz="4" w:space="0" w:color="000000" w:themeColor="text1"/>
            </w:tcBorders>
            <w:shd w:val="clear" w:color="auto" w:fill="auto"/>
          </w:tcPr>
          <w:p w14:paraId="1BC934E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State Plan Data</w:t>
            </w:r>
          </w:p>
        </w:tc>
        <w:tc>
          <w:tcPr>
            <w:tcW w:w="1307" w:type="dxa"/>
            <w:tcBorders>
              <w:left w:val="single" w:sz="4" w:space="0" w:color="000000" w:themeColor="text1"/>
              <w:right w:val="single" w:sz="4" w:space="0" w:color="000000" w:themeColor="text1"/>
            </w:tcBorders>
            <w:shd w:val="clear" w:color="auto" w:fill="auto"/>
          </w:tcPr>
          <w:p w14:paraId="10FEC12F"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Further Review Level</w:t>
            </w:r>
          </w:p>
        </w:tc>
        <w:tc>
          <w:tcPr>
            <w:tcW w:w="4599" w:type="dxa"/>
            <w:tcBorders>
              <w:left w:val="single" w:sz="4" w:space="0" w:color="000000" w:themeColor="text1"/>
            </w:tcBorders>
            <w:shd w:val="clear" w:color="auto" w:fill="auto"/>
          </w:tcPr>
          <w:p w14:paraId="1845DDF3"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Notes</w:t>
            </w:r>
          </w:p>
        </w:tc>
      </w:tr>
      <w:tr w:rsidR="00634539" w:rsidRPr="001C1E47" w14:paraId="23E15083"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FC54415"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1a</w:t>
            </w:r>
          </w:p>
        </w:tc>
        <w:tc>
          <w:tcPr>
            <w:tcW w:w="2572" w:type="dxa"/>
          </w:tcPr>
          <w:p w14:paraId="5DD1B3D7" w14:textId="50231A95"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inspections (state formula)</w:t>
            </w:r>
          </w:p>
        </w:tc>
        <w:tc>
          <w:tcPr>
            <w:tcW w:w="979" w:type="dxa"/>
          </w:tcPr>
          <w:p w14:paraId="50ED339E" w14:textId="444E17F9" w:rsidR="00634539" w:rsidRPr="001C1E47" w:rsidRDefault="008B31F2"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asciiTheme="minorHAnsi" w:eastAsia="PMingLiU" w:hAnsiTheme="minorHAnsi" w:cstheme="minorHAnsi"/>
              </w:rPr>
              <w:t>2.61</w:t>
            </w:r>
          </w:p>
        </w:tc>
        <w:tc>
          <w:tcPr>
            <w:tcW w:w="1307" w:type="dxa"/>
          </w:tcPr>
          <w:p w14:paraId="36E21F8C" w14:textId="31552E6F" w:rsidR="00634539" w:rsidRPr="001C1E47" w:rsidRDefault="008B31F2"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5</w:t>
            </w:r>
          </w:p>
        </w:tc>
        <w:tc>
          <w:tcPr>
            <w:tcW w:w="4599" w:type="dxa"/>
          </w:tcPr>
          <w:p w14:paraId="1BE10DF6"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negotiated by OSHA and the State Plan.</w:t>
            </w:r>
          </w:p>
        </w:tc>
      </w:tr>
      <w:tr w:rsidR="00634539" w:rsidRPr="001C1E47" w14:paraId="6E87F5F9"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5DA89A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1b</w:t>
            </w:r>
          </w:p>
        </w:tc>
        <w:tc>
          <w:tcPr>
            <w:tcW w:w="2572" w:type="dxa"/>
          </w:tcPr>
          <w:p w14:paraId="7BDECFBC" w14:textId="5A85F425"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inspections (federal formula)</w:t>
            </w:r>
          </w:p>
        </w:tc>
        <w:tc>
          <w:tcPr>
            <w:tcW w:w="979" w:type="dxa"/>
          </w:tcPr>
          <w:p w14:paraId="2DD44EDE" w14:textId="39FC7685" w:rsidR="00634539" w:rsidRPr="001C1E47" w:rsidRDefault="008B31F2"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1.18</w:t>
            </w:r>
          </w:p>
        </w:tc>
        <w:tc>
          <w:tcPr>
            <w:tcW w:w="1307" w:type="dxa"/>
          </w:tcPr>
          <w:p w14:paraId="44E25FF5"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N/A</w:t>
            </w:r>
          </w:p>
        </w:tc>
        <w:tc>
          <w:tcPr>
            <w:tcW w:w="4599" w:type="dxa"/>
          </w:tcPr>
          <w:p w14:paraId="3B881485"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This measure is for informational purposes only and is not a mandated measure.</w:t>
            </w:r>
          </w:p>
        </w:tc>
      </w:tr>
      <w:tr w:rsidR="00634539" w:rsidRPr="001C1E47" w14:paraId="7254895F"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0F4527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2a</w:t>
            </w:r>
          </w:p>
        </w:tc>
        <w:tc>
          <w:tcPr>
            <w:tcW w:w="2572" w:type="dxa"/>
          </w:tcPr>
          <w:p w14:paraId="680D30CB" w14:textId="278877F3"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investigations (state formula)</w:t>
            </w:r>
          </w:p>
        </w:tc>
        <w:tc>
          <w:tcPr>
            <w:tcW w:w="979" w:type="dxa"/>
          </w:tcPr>
          <w:p w14:paraId="5D15BC2D" w14:textId="2EC26E2E" w:rsidR="00634539" w:rsidRPr="001C1E47" w:rsidRDefault="008B31F2"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1.24</w:t>
            </w:r>
          </w:p>
        </w:tc>
        <w:tc>
          <w:tcPr>
            <w:tcW w:w="1307" w:type="dxa"/>
          </w:tcPr>
          <w:p w14:paraId="25E101C9" w14:textId="581CB8C5" w:rsidR="00634539" w:rsidRPr="001C1E47" w:rsidRDefault="008B31F2"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3</w:t>
            </w:r>
          </w:p>
        </w:tc>
        <w:tc>
          <w:tcPr>
            <w:tcW w:w="4599" w:type="dxa"/>
          </w:tcPr>
          <w:p w14:paraId="440E4407"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negotiated by OSHA and the State Plan.</w:t>
            </w:r>
          </w:p>
        </w:tc>
      </w:tr>
      <w:tr w:rsidR="00634539" w:rsidRPr="001C1E47" w14:paraId="43AA3020"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3026F0A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2b</w:t>
            </w:r>
          </w:p>
        </w:tc>
        <w:tc>
          <w:tcPr>
            <w:tcW w:w="2572" w:type="dxa"/>
          </w:tcPr>
          <w:p w14:paraId="60EA38B6" w14:textId="2D493F94"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proofErr w:type="gramStart"/>
            <w:r w:rsidRPr="001C1E47">
              <w:rPr>
                <w:rFonts w:cs="Calibri"/>
              </w:rPr>
              <w:t>work days</w:t>
            </w:r>
            <w:proofErr w:type="gramEnd"/>
            <w:r w:rsidRPr="001C1E47">
              <w:rPr>
                <w:rFonts w:cs="Calibri"/>
              </w:rPr>
              <w:t xml:space="preserve"> to initiate complaint investigations (federal formula)</w:t>
            </w:r>
          </w:p>
        </w:tc>
        <w:tc>
          <w:tcPr>
            <w:tcW w:w="979" w:type="dxa"/>
          </w:tcPr>
          <w:p w14:paraId="148E915C" w14:textId="196E322A" w:rsidR="00634539" w:rsidRPr="001C1E47" w:rsidRDefault="00A72E96"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0.61</w:t>
            </w:r>
          </w:p>
        </w:tc>
        <w:tc>
          <w:tcPr>
            <w:tcW w:w="1307" w:type="dxa"/>
          </w:tcPr>
          <w:p w14:paraId="3C6B37D6"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N/A</w:t>
            </w:r>
          </w:p>
        </w:tc>
        <w:tc>
          <w:tcPr>
            <w:tcW w:w="4599" w:type="dxa"/>
          </w:tcPr>
          <w:p w14:paraId="7849D62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This measure is for informational purposes only and is not a mandated measure.</w:t>
            </w:r>
          </w:p>
        </w:tc>
      </w:tr>
      <w:tr w:rsidR="00634539" w:rsidRPr="001C1E47" w14:paraId="463E07C8"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30502E1"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3</w:t>
            </w:r>
          </w:p>
        </w:tc>
        <w:tc>
          <w:tcPr>
            <w:tcW w:w="2572" w:type="dxa"/>
          </w:tcPr>
          <w:p w14:paraId="224C67F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Percent of complaints and referrals responded to within one workday (imminent danger)</w:t>
            </w:r>
          </w:p>
        </w:tc>
        <w:tc>
          <w:tcPr>
            <w:tcW w:w="979" w:type="dxa"/>
          </w:tcPr>
          <w:p w14:paraId="683DAD92" w14:textId="1E768B30" w:rsidR="00634539" w:rsidRPr="001C1E47" w:rsidRDefault="00A72E96"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100</w:t>
            </w:r>
            <w:r w:rsidR="00634539" w:rsidRPr="001C1E47">
              <w:rPr>
                <w:rFonts w:cs="Calibri"/>
              </w:rPr>
              <w:t>%</w:t>
            </w:r>
          </w:p>
        </w:tc>
        <w:tc>
          <w:tcPr>
            <w:tcW w:w="1307" w:type="dxa"/>
          </w:tcPr>
          <w:p w14:paraId="2138AC6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100%</w:t>
            </w:r>
          </w:p>
        </w:tc>
        <w:tc>
          <w:tcPr>
            <w:tcW w:w="4599" w:type="dxa"/>
          </w:tcPr>
          <w:p w14:paraId="1639E620"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634539" w:rsidRPr="001C1E47" w14:paraId="448E8EB5"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54BD594C"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4</w:t>
            </w:r>
          </w:p>
        </w:tc>
        <w:tc>
          <w:tcPr>
            <w:tcW w:w="2572" w:type="dxa"/>
          </w:tcPr>
          <w:p w14:paraId="7F17AA0C"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Number of denials where entry not obtained</w:t>
            </w:r>
          </w:p>
        </w:tc>
        <w:tc>
          <w:tcPr>
            <w:tcW w:w="979" w:type="dxa"/>
          </w:tcPr>
          <w:p w14:paraId="49E38EB6" w14:textId="44C66E8E" w:rsidR="00634539" w:rsidRPr="001C1E47" w:rsidRDefault="00A72E96"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0</w:t>
            </w:r>
          </w:p>
        </w:tc>
        <w:tc>
          <w:tcPr>
            <w:tcW w:w="1307" w:type="dxa"/>
          </w:tcPr>
          <w:p w14:paraId="39E6BBCD"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0</w:t>
            </w:r>
          </w:p>
        </w:tc>
        <w:tc>
          <w:tcPr>
            <w:tcW w:w="4599" w:type="dxa"/>
          </w:tcPr>
          <w:p w14:paraId="63BF7F96"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634539" w:rsidRPr="001C1E47" w14:paraId="391899CE" w14:textId="77777777" w:rsidTr="00D93CB3">
        <w:trPr>
          <w:trHeight w:val="854"/>
        </w:trPr>
        <w:tc>
          <w:tcPr>
            <w:cnfStyle w:val="001000000000" w:firstRow="0" w:lastRow="0" w:firstColumn="1" w:lastColumn="0" w:oddVBand="0" w:evenVBand="0" w:oddHBand="0" w:evenHBand="0" w:firstRowFirstColumn="0" w:firstRowLastColumn="0" w:lastRowFirstColumn="0" w:lastRowLastColumn="0"/>
            <w:tcW w:w="893" w:type="dxa"/>
          </w:tcPr>
          <w:p w14:paraId="2C05A134"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5a</w:t>
            </w:r>
          </w:p>
        </w:tc>
        <w:tc>
          <w:tcPr>
            <w:tcW w:w="2572" w:type="dxa"/>
          </w:tcPr>
          <w:p w14:paraId="6F060D7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violations per inspection with violations by violation type (SWRU)</w:t>
            </w:r>
          </w:p>
        </w:tc>
        <w:tc>
          <w:tcPr>
            <w:tcW w:w="979" w:type="dxa"/>
          </w:tcPr>
          <w:p w14:paraId="5640B786" w14:textId="28FE81E2" w:rsidR="00634539" w:rsidRPr="001C1E47" w:rsidRDefault="004D27F6"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1.94</w:t>
            </w:r>
          </w:p>
        </w:tc>
        <w:tc>
          <w:tcPr>
            <w:tcW w:w="1307" w:type="dxa"/>
          </w:tcPr>
          <w:p w14:paraId="0BCD6939" w14:textId="77777777" w:rsidR="00634539" w:rsidRPr="001C1E47"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+/- 20% of</w:t>
            </w:r>
          </w:p>
          <w:p w14:paraId="624A6581" w14:textId="3A44C2B0" w:rsidR="00634539" w:rsidRPr="001C1E47"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1.7</w:t>
            </w:r>
            <w:r w:rsidR="004D27F6">
              <w:rPr>
                <w:rFonts w:cs="Calibri"/>
              </w:rPr>
              <w:t>7</w:t>
            </w:r>
          </w:p>
          <w:p w14:paraId="5B24EFBC"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99" w:type="dxa"/>
          </w:tcPr>
          <w:p w14:paraId="330DF263" w14:textId="08B571E5"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The further review level is based on a three-year national average.  The range of acceptable data not requiring further review is from 1.42 to 2.1</w:t>
            </w:r>
            <w:r w:rsidR="004D27F6">
              <w:rPr>
                <w:rFonts w:eastAsia="PMingLiU" w:cs="Calibri"/>
              </w:rPr>
              <w:t>2</w:t>
            </w:r>
            <w:r w:rsidRPr="001C1E47">
              <w:rPr>
                <w:rFonts w:eastAsia="PMingLiU" w:cs="Calibri"/>
              </w:rPr>
              <w:t xml:space="preserve"> for SWRU. </w:t>
            </w:r>
          </w:p>
        </w:tc>
      </w:tr>
      <w:tr w:rsidR="00634539" w:rsidRPr="001C1E47" w14:paraId="0C0C34AD"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FD14581"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5b</w:t>
            </w:r>
          </w:p>
        </w:tc>
        <w:tc>
          <w:tcPr>
            <w:tcW w:w="2572" w:type="dxa"/>
          </w:tcPr>
          <w:p w14:paraId="1A64659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number of violations per inspection with violations by violation type (other)</w:t>
            </w:r>
          </w:p>
        </w:tc>
        <w:tc>
          <w:tcPr>
            <w:tcW w:w="979" w:type="dxa"/>
          </w:tcPr>
          <w:p w14:paraId="189B2CB4" w14:textId="56C32D99" w:rsidR="00634539" w:rsidRPr="001C1E47" w:rsidRDefault="004D27F6"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0.71</w:t>
            </w:r>
          </w:p>
        </w:tc>
        <w:tc>
          <w:tcPr>
            <w:tcW w:w="1307" w:type="dxa"/>
          </w:tcPr>
          <w:p w14:paraId="140EA1C0" w14:textId="77777777" w:rsidR="00634539" w:rsidRPr="001C1E47"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+/- 20% of</w:t>
            </w:r>
          </w:p>
          <w:p w14:paraId="10600A9C" w14:textId="136246C9"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0.9</w:t>
            </w:r>
            <w:r w:rsidR="004D27F6">
              <w:rPr>
                <w:rFonts w:cs="Calibri"/>
              </w:rPr>
              <w:t>0</w:t>
            </w:r>
          </w:p>
        </w:tc>
        <w:tc>
          <w:tcPr>
            <w:tcW w:w="4599" w:type="dxa"/>
          </w:tcPr>
          <w:p w14:paraId="4F83BD91" w14:textId="4AA7141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The further review level is based on a three-year national average.  The range of acceptable data not requiring further review is from 0.7</w:t>
            </w:r>
            <w:r w:rsidR="004D27F6">
              <w:rPr>
                <w:rFonts w:eastAsia="PMingLiU" w:cs="Calibri"/>
              </w:rPr>
              <w:t>2</w:t>
            </w:r>
            <w:r w:rsidRPr="001C1E47">
              <w:rPr>
                <w:rFonts w:eastAsia="PMingLiU" w:cs="Calibri"/>
              </w:rPr>
              <w:t xml:space="preserve"> to 1.0</w:t>
            </w:r>
            <w:r w:rsidR="004D27F6">
              <w:rPr>
                <w:rFonts w:eastAsia="PMingLiU" w:cs="Calibri"/>
              </w:rPr>
              <w:t>8</w:t>
            </w:r>
            <w:r w:rsidRPr="001C1E47">
              <w:rPr>
                <w:rFonts w:eastAsia="PMingLiU" w:cs="Calibri"/>
              </w:rPr>
              <w:t xml:space="preserve"> for OTS.</w:t>
            </w:r>
          </w:p>
        </w:tc>
      </w:tr>
      <w:tr w:rsidR="00634539" w:rsidRPr="001C1E47" w14:paraId="73051CF9"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B4D91E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6</w:t>
            </w:r>
          </w:p>
        </w:tc>
        <w:tc>
          <w:tcPr>
            <w:tcW w:w="2572" w:type="dxa"/>
          </w:tcPr>
          <w:p w14:paraId="79E27E6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Percent of total </w:t>
            </w:r>
            <w:r w:rsidRPr="001C1E47">
              <w:rPr>
                <w:rFonts w:cs="Calibri"/>
              </w:rPr>
              <w:lastRenderedPageBreak/>
              <w:t>inspections in state and local government workplaces</w:t>
            </w:r>
          </w:p>
        </w:tc>
        <w:tc>
          <w:tcPr>
            <w:tcW w:w="979" w:type="dxa"/>
          </w:tcPr>
          <w:p w14:paraId="01189742" w14:textId="38D6A172" w:rsidR="00634539" w:rsidRPr="001C1E47" w:rsidRDefault="004D27F6"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lastRenderedPageBreak/>
              <w:t>6.12</w:t>
            </w:r>
            <w:r w:rsidR="00634539" w:rsidRPr="001C1E47">
              <w:rPr>
                <w:rFonts w:cs="Calibri"/>
              </w:rPr>
              <w:t>%</w:t>
            </w:r>
          </w:p>
        </w:tc>
        <w:tc>
          <w:tcPr>
            <w:tcW w:w="1307" w:type="dxa"/>
          </w:tcPr>
          <w:p w14:paraId="276F5E13" w14:textId="77777777" w:rsidR="00634539" w:rsidRPr="001C1E47"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+/- 5% of</w:t>
            </w:r>
          </w:p>
          <w:p w14:paraId="7678C0FD" w14:textId="0B212F05" w:rsidR="00634539" w:rsidRPr="001C1E47" w:rsidRDefault="004D27F6"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lastRenderedPageBreak/>
              <w:t>6.53</w:t>
            </w:r>
            <w:r w:rsidR="00634539" w:rsidRPr="001C1E47">
              <w:rPr>
                <w:rFonts w:cs="Calibri"/>
              </w:rPr>
              <w:t>%</w:t>
            </w:r>
          </w:p>
        </w:tc>
        <w:tc>
          <w:tcPr>
            <w:tcW w:w="4599" w:type="dxa"/>
          </w:tcPr>
          <w:p w14:paraId="11909732" w14:textId="76F6BD80"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lastRenderedPageBreak/>
              <w:t xml:space="preserve">The further review level is based on a </w:t>
            </w:r>
            <w:r w:rsidRPr="001C1E47">
              <w:rPr>
                <w:rFonts w:eastAsia="PMingLiU" w:cs="Calibri"/>
              </w:rPr>
              <w:lastRenderedPageBreak/>
              <w:t xml:space="preserve">number negotiated by OSHA and the State Plan through the grant application.  The range of acceptable data not requiring further review is from </w:t>
            </w:r>
            <w:r w:rsidR="00131B86">
              <w:rPr>
                <w:rFonts w:eastAsia="PMingLiU" w:cs="Calibri"/>
              </w:rPr>
              <w:t>6.21</w:t>
            </w:r>
            <w:r w:rsidRPr="001C1E47">
              <w:rPr>
                <w:rFonts w:eastAsia="PMingLiU" w:cs="Calibri"/>
              </w:rPr>
              <w:t xml:space="preserve">% to </w:t>
            </w:r>
            <w:r w:rsidR="00131B86">
              <w:rPr>
                <w:rFonts w:eastAsia="PMingLiU" w:cs="Calibri"/>
              </w:rPr>
              <w:t>6.86</w:t>
            </w:r>
            <w:r w:rsidRPr="001C1E47">
              <w:rPr>
                <w:rFonts w:eastAsia="PMingLiU" w:cs="Calibri"/>
              </w:rPr>
              <w:t>%.</w:t>
            </w:r>
          </w:p>
        </w:tc>
      </w:tr>
      <w:tr w:rsidR="00634539" w:rsidRPr="001C1E47" w14:paraId="47E35DEE"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2635650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7a</w:t>
            </w:r>
          </w:p>
        </w:tc>
        <w:tc>
          <w:tcPr>
            <w:tcW w:w="2572" w:type="dxa"/>
          </w:tcPr>
          <w:p w14:paraId="6972B9CD" w14:textId="3BED009A"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Planned v. actual inspections (safety)</w:t>
            </w:r>
          </w:p>
        </w:tc>
        <w:tc>
          <w:tcPr>
            <w:tcW w:w="979" w:type="dxa"/>
          </w:tcPr>
          <w:p w14:paraId="714EE701" w14:textId="723D3933" w:rsidR="00634539" w:rsidRPr="001C1E47" w:rsidRDefault="00D743DD"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1,351</w:t>
            </w:r>
          </w:p>
        </w:tc>
        <w:tc>
          <w:tcPr>
            <w:tcW w:w="1307" w:type="dxa"/>
          </w:tcPr>
          <w:p w14:paraId="7B010307"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+/- 5% of </w:t>
            </w:r>
          </w:p>
          <w:p w14:paraId="70DE1282" w14:textId="1A9A4A0F" w:rsidR="00634539" w:rsidRPr="001C1E47" w:rsidRDefault="00D743DD"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1,574</w:t>
            </w:r>
          </w:p>
        </w:tc>
        <w:tc>
          <w:tcPr>
            <w:tcW w:w="4599" w:type="dxa"/>
          </w:tcPr>
          <w:p w14:paraId="127905E2" w14:textId="2A237504"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The further review level is based on a number negotiated by OSHA and the State Plan through the grant application.  The range of acceptable data not requiring further review is from </w:t>
            </w:r>
            <w:r w:rsidR="00D743DD">
              <w:rPr>
                <w:rFonts w:cs="Calibri"/>
              </w:rPr>
              <w:t>1,495.30</w:t>
            </w:r>
            <w:r w:rsidRPr="001C1E47">
              <w:rPr>
                <w:rFonts w:cs="Calibri"/>
              </w:rPr>
              <w:t xml:space="preserve"> to </w:t>
            </w:r>
            <w:r w:rsidR="00D743DD">
              <w:rPr>
                <w:rFonts w:cs="Calibri"/>
              </w:rPr>
              <w:t>1,</w:t>
            </w:r>
            <w:r w:rsidR="004442CB">
              <w:rPr>
                <w:rFonts w:cs="Calibri"/>
              </w:rPr>
              <w:t>652.70</w:t>
            </w:r>
            <w:r w:rsidRPr="001C1E47">
              <w:rPr>
                <w:rFonts w:cs="Calibri"/>
              </w:rPr>
              <w:t xml:space="preserve"> for safety.</w:t>
            </w:r>
          </w:p>
        </w:tc>
      </w:tr>
      <w:tr w:rsidR="00634539" w:rsidRPr="001C1E47" w14:paraId="41D7E5AF"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8976174"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sidRPr="001C1E47">
              <w:rPr>
                <w:rFonts w:eastAsia="PMingLiU" w:cs="Calibri"/>
              </w:rPr>
              <w:t>7b</w:t>
            </w:r>
          </w:p>
        </w:tc>
        <w:tc>
          <w:tcPr>
            <w:tcW w:w="2572" w:type="dxa"/>
          </w:tcPr>
          <w:p w14:paraId="628291DB" w14:textId="4C38D916"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Planned v. actual inspections (health)</w:t>
            </w:r>
          </w:p>
        </w:tc>
        <w:tc>
          <w:tcPr>
            <w:tcW w:w="979" w:type="dxa"/>
          </w:tcPr>
          <w:p w14:paraId="46225BFE" w14:textId="655F9B6B" w:rsidR="00634539" w:rsidRPr="001C1E47" w:rsidRDefault="004442C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496</w:t>
            </w:r>
          </w:p>
        </w:tc>
        <w:tc>
          <w:tcPr>
            <w:tcW w:w="1307" w:type="dxa"/>
          </w:tcPr>
          <w:p w14:paraId="2F300C85"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+/- 5% of </w:t>
            </w:r>
          </w:p>
          <w:p w14:paraId="615D1DB6" w14:textId="6518E29B" w:rsidR="00634539" w:rsidRPr="001C1E47" w:rsidRDefault="004442C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554</w:t>
            </w:r>
          </w:p>
        </w:tc>
        <w:tc>
          <w:tcPr>
            <w:tcW w:w="4599" w:type="dxa"/>
          </w:tcPr>
          <w:p w14:paraId="4C49AF53" w14:textId="35549132" w:rsidR="00634539" w:rsidRPr="004442CB"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The further review level is based on a number negotiated by OSHA and the State Plan through the grant application.  The range of acceptable data not requiring further review is from </w:t>
            </w:r>
            <w:r w:rsidR="004442CB">
              <w:rPr>
                <w:rFonts w:cs="Calibri"/>
              </w:rPr>
              <w:t xml:space="preserve">526.30 </w:t>
            </w:r>
            <w:r w:rsidRPr="001C1E47">
              <w:rPr>
                <w:rFonts w:cs="Calibri"/>
              </w:rPr>
              <w:t xml:space="preserve">to </w:t>
            </w:r>
            <w:r w:rsidR="00BF3E5D">
              <w:rPr>
                <w:rFonts w:cs="Calibri"/>
              </w:rPr>
              <w:t>581.70</w:t>
            </w:r>
            <w:r w:rsidRPr="001C1E47">
              <w:rPr>
                <w:rFonts w:cs="Calibri"/>
              </w:rPr>
              <w:t xml:space="preserve"> for health.</w:t>
            </w:r>
          </w:p>
        </w:tc>
      </w:tr>
      <w:tr w:rsidR="00634539" w:rsidRPr="001C1E47" w14:paraId="19A930B8"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2933EF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8</w:t>
            </w:r>
          </w:p>
        </w:tc>
        <w:tc>
          <w:tcPr>
            <w:tcW w:w="2572" w:type="dxa"/>
          </w:tcPr>
          <w:p w14:paraId="35E2919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current serious penalty in private sector - total (1 to greater than 250 workers)</w:t>
            </w:r>
          </w:p>
        </w:tc>
        <w:tc>
          <w:tcPr>
            <w:tcW w:w="979" w:type="dxa"/>
          </w:tcPr>
          <w:p w14:paraId="4FF95415" w14:textId="6892499A"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w:t>
            </w:r>
            <w:r w:rsidR="00AE2F99">
              <w:rPr>
                <w:rFonts w:eastAsia="PMingLiU" w:cs="Calibri"/>
              </w:rPr>
              <w:t>3,156</w:t>
            </w:r>
            <w:r w:rsidR="00041E26">
              <w:rPr>
                <w:rFonts w:eastAsia="PMingLiU" w:cs="Calibri"/>
              </w:rPr>
              <w:t>.72</w:t>
            </w:r>
          </w:p>
        </w:tc>
        <w:tc>
          <w:tcPr>
            <w:tcW w:w="1307" w:type="dxa"/>
          </w:tcPr>
          <w:p w14:paraId="2B1B82DF"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+/- 25% of </w:t>
            </w:r>
          </w:p>
          <w:p w14:paraId="1D9405E9" w14:textId="77777777" w:rsidR="00C97D6D" w:rsidRPr="00EE16A8" w:rsidRDefault="00634539" w:rsidP="00C97D6D">
            <w:pPr>
              <w:jc w:val="cente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1C1E47">
              <w:rPr>
                <w:rFonts w:eastAsia="PMingLiU" w:cs="Calibri"/>
              </w:rPr>
              <w:t>$</w:t>
            </w:r>
            <w:r w:rsidR="00C97D6D" w:rsidRPr="00EE16A8">
              <w:rPr>
                <w:rFonts w:asciiTheme="minorHAnsi" w:eastAsia="PMingLiU" w:hAnsiTheme="minorHAnsi" w:cstheme="minorHAnsi"/>
              </w:rPr>
              <w:t>3,259.35</w:t>
            </w:r>
          </w:p>
          <w:p w14:paraId="7AD30EF7" w14:textId="52B38E84"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99" w:type="dxa"/>
          </w:tcPr>
          <w:p w14:paraId="0DF20B53" w14:textId="61C17E14" w:rsidR="00634539" w:rsidRPr="001C1E47" w:rsidRDefault="00634539" w:rsidP="00634539">
            <w:pPr>
              <w:ind w:right="1331"/>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The further review level is based on a three-year national average.  The range of acceptable data not requiring further review is from $</w:t>
            </w:r>
            <w:r w:rsidR="00E75A20" w:rsidRPr="00EE16A8">
              <w:rPr>
                <w:rFonts w:asciiTheme="minorHAnsi" w:hAnsiTheme="minorHAnsi" w:cstheme="minorHAnsi"/>
              </w:rPr>
              <w:t>2,444.51 to $4,074.19.</w:t>
            </w:r>
          </w:p>
        </w:tc>
      </w:tr>
      <w:tr w:rsidR="00634539" w:rsidRPr="001C1E47" w14:paraId="4CF9D609"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0ABEB3D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72" w:type="dxa"/>
          </w:tcPr>
          <w:p w14:paraId="51065DBA" w14:textId="77777777" w:rsidR="00634539" w:rsidRPr="001C1E47" w:rsidRDefault="00634539" w:rsidP="00814412">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a</w:t>
            </w:r>
            <w:r w:rsidRPr="001C1E47">
              <w:rPr>
                <w:rFonts w:cs="Calibri"/>
              </w:rPr>
              <w:t>.  Average current serious penalty in private sector</w:t>
            </w:r>
          </w:p>
          <w:p w14:paraId="7C4696DD"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(1-25 workers)</w:t>
            </w:r>
          </w:p>
        </w:tc>
        <w:tc>
          <w:tcPr>
            <w:tcW w:w="979" w:type="dxa"/>
          </w:tcPr>
          <w:p w14:paraId="3B168483" w14:textId="78E378F4"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w:t>
            </w:r>
            <w:r w:rsidR="005269C2" w:rsidRPr="00BF49FF">
              <w:rPr>
                <w:rFonts w:asciiTheme="minorHAnsi" w:eastAsia="PMingLiU" w:hAnsiTheme="minorHAnsi" w:cstheme="minorHAnsi"/>
              </w:rPr>
              <w:t>1,497.00</w:t>
            </w:r>
          </w:p>
        </w:tc>
        <w:tc>
          <w:tcPr>
            <w:tcW w:w="1307" w:type="dxa"/>
          </w:tcPr>
          <w:p w14:paraId="69E6628A"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+/- 25% of </w:t>
            </w:r>
          </w:p>
          <w:p w14:paraId="0C748711" w14:textId="77777777" w:rsidR="003F665E" w:rsidRPr="00EE16A8" w:rsidRDefault="003F665E" w:rsidP="003F66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$2,145.46</w:t>
            </w:r>
          </w:p>
          <w:p w14:paraId="4DC91B0C"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99" w:type="dxa"/>
          </w:tcPr>
          <w:p w14:paraId="371F75E0" w14:textId="278C5655"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w:t>
            </w:r>
            <w:r w:rsidR="00FC7985" w:rsidRPr="00EE16A8">
              <w:rPr>
                <w:rFonts w:asciiTheme="minorHAnsi" w:hAnsiTheme="minorHAnsi" w:cstheme="minorHAnsi"/>
              </w:rPr>
              <w:t>1,609.10 to $2,681.83.</w:t>
            </w:r>
          </w:p>
        </w:tc>
      </w:tr>
      <w:tr w:rsidR="00634539" w:rsidRPr="001C1E47" w14:paraId="2F293093"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2794F1E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72" w:type="dxa"/>
          </w:tcPr>
          <w:p w14:paraId="18122F6D" w14:textId="77777777" w:rsidR="00634539" w:rsidRPr="001C1E47" w:rsidRDefault="00634539" w:rsidP="00814412">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b</w:t>
            </w:r>
            <w:r w:rsidRPr="001C1E47">
              <w:rPr>
                <w:rFonts w:cs="Calibri"/>
              </w:rPr>
              <w:t xml:space="preserve">. Average current serious penalty in private sector </w:t>
            </w:r>
          </w:p>
          <w:p w14:paraId="0CB214A9"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(26-100 workers</w:t>
            </w:r>
            <w:r w:rsidRPr="001C1E47">
              <w:rPr>
                <w:rFonts w:cs="Calibri"/>
                <w:b/>
              </w:rPr>
              <w:t>)</w:t>
            </w:r>
          </w:p>
        </w:tc>
        <w:tc>
          <w:tcPr>
            <w:tcW w:w="979" w:type="dxa"/>
          </w:tcPr>
          <w:p w14:paraId="26CF4361" w14:textId="279A09E6"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w:t>
            </w:r>
            <w:r w:rsidR="00D2274B" w:rsidRPr="00BF49FF">
              <w:rPr>
                <w:rFonts w:asciiTheme="minorHAnsi" w:eastAsia="PMingLiU" w:hAnsiTheme="minorHAnsi" w:cstheme="minorHAnsi"/>
              </w:rPr>
              <w:t>3,552.37</w:t>
            </w:r>
          </w:p>
        </w:tc>
        <w:tc>
          <w:tcPr>
            <w:tcW w:w="1307" w:type="dxa"/>
          </w:tcPr>
          <w:p w14:paraId="7858AB9D"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+/- 25% of </w:t>
            </w:r>
          </w:p>
          <w:p w14:paraId="3A88A03C" w14:textId="77777777" w:rsidR="007E2EDC" w:rsidRPr="00EE16A8" w:rsidRDefault="007E2EDC" w:rsidP="007E2ED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16A8">
              <w:rPr>
                <w:rFonts w:asciiTheme="minorHAnsi" w:hAnsiTheme="minorHAnsi" w:cstheme="minorHAnsi"/>
              </w:rPr>
              <w:t>$3,818.56</w:t>
            </w:r>
          </w:p>
          <w:p w14:paraId="6AB595C0"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99" w:type="dxa"/>
          </w:tcPr>
          <w:p w14:paraId="533EE6CD" w14:textId="3D352F70"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w:t>
            </w:r>
            <w:r w:rsidR="00145F5E" w:rsidRPr="00EE16A8">
              <w:rPr>
                <w:rFonts w:asciiTheme="minorHAnsi" w:hAnsiTheme="minorHAnsi" w:cstheme="minorHAnsi"/>
              </w:rPr>
              <w:t>2,863.92 to $4,773.20.</w:t>
            </w:r>
          </w:p>
        </w:tc>
      </w:tr>
      <w:tr w:rsidR="00634539" w:rsidRPr="001C1E47" w14:paraId="786F3F1A"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5A3932A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72" w:type="dxa"/>
          </w:tcPr>
          <w:p w14:paraId="5F59BDF5" w14:textId="77777777" w:rsidR="00634539" w:rsidRPr="001C1E47" w:rsidRDefault="00634539" w:rsidP="00814412">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c</w:t>
            </w:r>
            <w:r w:rsidRPr="001C1E47">
              <w:rPr>
                <w:rFonts w:cs="Calibri"/>
              </w:rPr>
              <w:t>. Average current serious penalty in private sector</w:t>
            </w:r>
          </w:p>
          <w:p w14:paraId="10D9592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(101-250 workers)</w:t>
            </w:r>
          </w:p>
        </w:tc>
        <w:tc>
          <w:tcPr>
            <w:tcW w:w="979" w:type="dxa"/>
          </w:tcPr>
          <w:p w14:paraId="7D3E6F14" w14:textId="32120F36"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w:t>
            </w:r>
            <w:r w:rsidR="0057447B" w:rsidRPr="00BF49FF">
              <w:rPr>
                <w:rFonts w:asciiTheme="minorHAnsi" w:eastAsia="PMingLiU" w:hAnsiTheme="minorHAnsi" w:cstheme="minorHAnsi"/>
              </w:rPr>
              <w:t>6,180.51</w:t>
            </w:r>
          </w:p>
        </w:tc>
        <w:tc>
          <w:tcPr>
            <w:tcW w:w="1307" w:type="dxa"/>
          </w:tcPr>
          <w:p w14:paraId="5F3855C3"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+/- 25% of </w:t>
            </w:r>
          </w:p>
          <w:p w14:paraId="0F3F11A7" w14:textId="36979015"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w:t>
            </w:r>
            <w:r w:rsidR="007278D9" w:rsidRPr="00EE16A8">
              <w:rPr>
                <w:rFonts w:asciiTheme="minorHAnsi" w:hAnsiTheme="minorHAnsi" w:cstheme="minorHAnsi"/>
              </w:rPr>
              <w:t>5,469.60</w:t>
            </w:r>
          </w:p>
          <w:p w14:paraId="0194F828"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99" w:type="dxa"/>
          </w:tcPr>
          <w:p w14:paraId="4B00CAC2" w14:textId="0C02FADC"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w:t>
            </w:r>
            <w:r w:rsidR="005B712D" w:rsidRPr="00EE16A8">
              <w:rPr>
                <w:rFonts w:asciiTheme="minorHAnsi" w:hAnsiTheme="minorHAnsi" w:cstheme="minorHAnsi"/>
              </w:rPr>
              <w:t>4,102.20 to $6,837.00.</w:t>
            </w:r>
          </w:p>
        </w:tc>
      </w:tr>
      <w:tr w:rsidR="00634539" w:rsidRPr="001C1E47" w14:paraId="44B346AD"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5ED4D0D0"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72" w:type="dxa"/>
          </w:tcPr>
          <w:p w14:paraId="255BABE2" w14:textId="77777777" w:rsidR="00634539" w:rsidRPr="001C1E47" w:rsidRDefault="00634539" w:rsidP="00814412">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d</w:t>
            </w:r>
            <w:r w:rsidRPr="001C1E47">
              <w:rPr>
                <w:rFonts w:cs="Calibri"/>
              </w:rPr>
              <w:t>. Average current serious penalty in private sector</w:t>
            </w:r>
          </w:p>
          <w:p w14:paraId="48DDBB4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(greater than 250 workers)</w:t>
            </w:r>
          </w:p>
        </w:tc>
        <w:tc>
          <w:tcPr>
            <w:tcW w:w="979" w:type="dxa"/>
          </w:tcPr>
          <w:p w14:paraId="7D66FCF1" w14:textId="16045B48"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w:t>
            </w:r>
            <w:r w:rsidR="00F02AC9" w:rsidRPr="00BF49FF">
              <w:rPr>
                <w:rFonts w:asciiTheme="minorHAnsi" w:eastAsia="PMingLiU" w:hAnsiTheme="minorHAnsi" w:cstheme="minorHAnsi"/>
              </w:rPr>
              <w:t>7,776.33</w:t>
            </w:r>
          </w:p>
        </w:tc>
        <w:tc>
          <w:tcPr>
            <w:tcW w:w="1307" w:type="dxa"/>
          </w:tcPr>
          <w:p w14:paraId="73029B70"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+/- 25% of </w:t>
            </w:r>
          </w:p>
          <w:p w14:paraId="081CDA18" w14:textId="77777777" w:rsidR="00C27546" w:rsidRPr="00EE16A8" w:rsidRDefault="00634539" w:rsidP="00C275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C1E47">
              <w:rPr>
                <w:rFonts w:cs="Calibri"/>
              </w:rPr>
              <w:t>$</w:t>
            </w:r>
            <w:r w:rsidR="00C27546" w:rsidRPr="00EE16A8">
              <w:rPr>
                <w:rFonts w:asciiTheme="minorHAnsi" w:hAnsiTheme="minorHAnsi" w:cstheme="minorHAnsi"/>
              </w:rPr>
              <w:t>6,725.78</w:t>
            </w:r>
          </w:p>
          <w:p w14:paraId="46121B7C" w14:textId="55E77A39"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p>
          <w:p w14:paraId="3FB5515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99" w:type="dxa"/>
          </w:tcPr>
          <w:p w14:paraId="29FF5D83" w14:textId="4BECD002"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w:t>
            </w:r>
            <w:r w:rsidR="00FC1671" w:rsidRPr="00EE16A8">
              <w:rPr>
                <w:rFonts w:asciiTheme="minorHAnsi" w:hAnsiTheme="minorHAnsi" w:cstheme="minorHAnsi"/>
              </w:rPr>
              <w:t>5,044.34 to $8,407.23.</w:t>
            </w:r>
          </w:p>
        </w:tc>
      </w:tr>
      <w:tr w:rsidR="00634539" w:rsidRPr="001C1E47" w14:paraId="6F99001F"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2CAB3DC1"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9a</w:t>
            </w:r>
          </w:p>
        </w:tc>
        <w:tc>
          <w:tcPr>
            <w:tcW w:w="2572" w:type="dxa"/>
          </w:tcPr>
          <w:p w14:paraId="406CE5F6"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in compliance (safety)</w:t>
            </w:r>
          </w:p>
        </w:tc>
        <w:tc>
          <w:tcPr>
            <w:tcW w:w="979" w:type="dxa"/>
          </w:tcPr>
          <w:p w14:paraId="2CBEE7D5" w14:textId="0E4A34C8" w:rsidR="00634539" w:rsidRPr="001C1E47" w:rsidRDefault="00FC167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44.30</w:t>
            </w:r>
            <w:r w:rsidR="00634539" w:rsidRPr="001C1E47">
              <w:rPr>
                <w:rFonts w:eastAsia="PMingLiU" w:cs="Calibri"/>
              </w:rPr>
              <w:t>%</w:t>
            </w:r>
          </w:p>
        </w:tc>
        <w:tc>
          <w:tcPr>
            <w:tcW w:w="1307" w:type="dxa"/>
          </w:tcPr>
          <w:p w14:paraId="32D0AB93"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+/- 20% of</w:t>
            </w:r>
          </w:p>
          <w:p w14:paraId="0A52EE0A" w14:textId="1AA6718C" w:rsidR="00634539" w:rsidRPr="001C1E47" w:rsidRDefault="00FC167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32.25</w:t>
            </w:r>
            <w:r w:rsidR="00634539" w:rsidRPr="001C1E47">
              <w:rPr>
                <w:rFonts w:cs="Calibri"/>
              </w:rPr>
              <w:t>%</w:t>
            </w:r>
          </w:p>
        </w:tc>
        <w:tc>
          <w:tcPr>
            <w:tcW w:w="4599" w:type="dxa"/>
          </w:tcPr>
          <w:p w14:paraId="2A829BA0" w14:textId="7D922740"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25.</w:t>
            </w:r>
            <w:r w:rsidR="004804C5">
              <w:rPr>
                <w:rFonts w:cs="Calibri"/>
              </w:rPr>
              <w:t>80</w:t>
            </w:r>
            <w:r w:rsidRPr="001C1E47">
              <w:rPr>
                <w:rFonts w:cs="Calibri"/>
              </w:rPr>
              <w:t xml:space="preserve">% to </w:t>
            </w:r>
            <w:r w:rsidR="004804C5">
              <w:rPr>
                <w:rFonts w:cs="Calibri"/>
              </w:rPr>
              <w:t>38.70</w:t>
            </w:r>
            <w:r w:rsidRPr="001C1E47">
              <w:rPr>
                <w:rFonts w:cs="Calibri"/>
              </w:rPr>
              <w:t>% for safety.</w:t>
            </w:r>
          </w:p>
        </w:tc>
      </w:tr>
      <w:tr w:rsidR="00634539" w:rsidRPr="001C1E47" w14:paraId="3EB76E55"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5BA68B8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9b</w:t>
            </w:r>
          </w:p>
        </w:tc>
        <w:tc>
          <w:tcPr>
            <w:tcW w:w="2572" w:type="dxa"/>
          </w:tcPr>
          <w:p w14:paraId="1F4404B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in compliance (health)</w:t>
            </w:r>
          </w:p>
        </w:tc>
        <w:tc>
          <w:tcPr>
            <w:tcW w:w="979" w:type="dxa"/>
          </w:tcPr>
          <w:p w14:paraId="0F761403" w14:textId="0190352E" w:rsidR="00634539" w:rsidRPr="001C1E47" w:rsidRDefault="004804C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52.83</w:t>
            </w:r>
            <w:r w:rsidR="00634539" w:rsidRPr="001C1E47">
              <w:rPr>
                <w:rFonts w:eastAsia="PMingLiU" w:cs="Calibri"/>
              </w:rPr>
              <w:t>%</w:t>
            </w:r>
          </w:p>
        </w:tc>
        <w:tc>
          <w:tcPr>
            <w:tcW w:w="1307" w:type="dxa"/>
          </w:tcPr>
          <w:p w14:paraId="3FEA72A8"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+/- 20% of</w:t>
            </w:r>
          </w:p>
          <w:p w14:paraId="203D8062" w14:textId="430172E1" w:rsidR="00634539" w:rsidRPr="001C1E47" w:rsidRDefault="004804C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44.42</w:t>
            </w:r>
            <w:r w:rsidR="00634539" w:rsidRPr="001C1E47">
              <w:rPr>
                <w:rFonts w:cs="Calibri"/>
              </w:rPr>
              <w:t>%</w:t>
            </w:r>
          </w:p>
        </w:tc>
        <w:tc>
          <w:tcPr>
            <w:tcW w:w="4599" w:type="dxa"/>
          </w:tcPr>
          <w:p w14:paraId="7272F1E9" w14:textId="201E0FD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The further review level is based on a three-year national average.  The range of acceptable data not requiring further review is from </w:t>
            </w:r>
            <w:r w:rsidR="004804C5">
              <w:rPr>
                <w:rFonts w:cs="Calibri"/>
              </w:rPr>
              <w:t>35.54</w:t>
            </w:r>
            <w:r w:rsidRPr="001C1E47">
              <w:rPr>
                <w:rFonts w:cs="Calibri"/>
              </w:rPr>
              <w:t xml:space="preserve">% to </w:t>
            </w:r>
            <w:r w:rsidR="004804C5">
              <w:rPr>
                <w:rFonts w:cs="Calibri"/>
              </w:rPr>
              <w:t>53.30</w:t>
            </w:r>
            <w:r w:rsidRPr="001C1E47">
              <w:rPr>
                <w:rFonts w:cs="Calibri"/>
              </w:rPr>
              <w:t>% for health.</w:t>
            </w:r>
          </w:p>
        </w:tc>
      </w:tr>
      <w:tr w:rsidR="00634539" w:rsidRPr="001C1E47" w14:paraId="6BD622B6"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E1081E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10</w:t>
            </w:r>
          </w:p>
        </w:tc>
        <w:tc>
          <w:tcPr>
            <w:tcW w:w="2572" w:type="dxa"/>
          </w:tcPr>
          <w:p w14:paraId="7A55532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work-related fatalities responded to in one workday</w:t>
            </w:r>
          </w:p>
        </w:tc>
        <w:tc>
          <w:tcPr>
            <w:tcW w:w="979" w:type="dxa"/>
          </w:tcPr>
          <w:p w14:paraId="36635117" w14:textId="64B4373D" w:rsidR="00634539" w:rsidRPr="001C1E47" w:rsidRDefault="004804C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100</w:t>
            </w:r>
            <w:r w:rsidR="00634539" w:rsidRPr="001C1E47">
              <w:rPr>
                <w:rFonts w:eastAsia="PMingLiU" w:cs="Calibri"/>
              </w:rPr>
              <w:t>%</w:t>
            </w:r>
          </w:p>
        </w:tc>
        <w:tc>
          <w:tcPr>
            <w:tcW w:w="1307" w:type="dxa"/>
          </w:tcPr>
          <w:p w14:paraId="1B2A9E1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100%</w:t>
            </w:r>
          </w:p>
        </w:tc>
        <w:tc>
          <w:tcPr>
            <w:tcW w:w="4599" w:type="dxa"/>
          </w:tcPr>
          <w:p w14:paraId="4CFEF3A7"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634539" w:rsidRPr="001C1E47" w14:paraId="2893D3CE"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0FE802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11a</w:t>
            </w:r>
          </w:p>
        </w:tc>
        <w:tc>
          <w:tcPr>
            <w:tcW w:w="2572" w:type="dxa"/>
          </w:tcPr>
          <w:p w14:paraId="0E881318"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lapse time (safety)</w:t>
            </w:r>
          </w:p>
        </w:tc>
        <w:tc>
          <w:tcPr>
            <w:tcW w:w="979" w:type="dxa"/>
          </w:tcPr>
          <w:p w14:paraId="155143E8" w14:textId="3756F1F6" w:rsidR="00634539" w:rsidRPr="001C1E47" w:rsidRDefault="004804C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49.73</w:t>
            </w:r>
          </w:p>
        </w:tc>
        <w:tc>
          <w:tcPr>
            <w:tcW w:w="1307" w:type="dxa"/>
          </w:tcPr>
          <w:p w14:paraId="69A6D9FE"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+/- 20% of </w:t>
            </w:r>
          </w:p>
          <w:p w14:paraId="4105E6C0" w14:textId="563CEF16" w:rsidR="00634539" w:rsidRPr="001C1E47" w:rsidRDefault="00A02E3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54.58</w:t>
            </w:r>
          </w:p>
        </w:tc>
        <w:tc>
          <w:tcPr>
            <w:tcW w:w="4599" w:type="dxa"/>
          </w:tcPr>
          <w:p w14:paraId="1A7228CC" w14:textId="7B8A4A70" w:rsidR="00634539" w:rsidRPr="001C1E47" w:rsidRDefault="00634539" w:rsidP="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1608"/>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The further review level is based on a three-year national average.  The range of acceptable data not requiring further review is from </w:t>
            </w:r>
            <w:r w:rsidR="00A02E31">
              <w:rPr>
                <w:rFonts w:cs="Calibri"/>
              </w:rPr>
              <w:t xml:space="preserve">43.66 </w:t>
            </w:r>
            <w:r w:rsidRPr="001C1E47">
              <w:rPr>
                <w:rFonts w:cs="Calibri"/>
              </w:rPr>
              <w:t xml:space="preserve">to </w:t>
            </w:r>
            <w:r w:rsidR="004804C5">
              <w:rPr>
                <w:rFonts w:cs="Calibri"/>
              </w:rPr>
              <w:t>65.50</w:t>
            </w:r>
            <w:r w:rsidRPr="001C1E47">
              <w:rPr>
                <w:rFonts w:cs="Calibri"/>
              </w:rPr>
              <w:t xml:space="preserve"> for safety.</w:t>
            </w:r>
          </w:p>
        </w:tc>
      </w:tr>
      <w:tr w:rsidR="00634539" w:rsidRPr="001C1E47" w14:paraId="71994532"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A315A6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11b</w:t>
            </w:r>
          </w:p>
        </w:tc>
        <w:tc>
          <w:tcPr>
            <w:tcW w:w="2572" w:type="dxa"/>
          </w:tcPr>
          <w:p w14:paraId="62670A9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lapse time (health)</w:t>
            </w:r>
          </w:p>
        </w:tc>
        <w:tc>
          <w:tcPr>
            <w:tcW w:w="979" w:type="dxa"/>
          </w:tcPr>
          <w:p w14:paraId="260D705D" w14:textId="263A6395" w:rsidR="00634539" w:rsidRPr="001C1E47" w:rsidRDefault="00C02B06"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51.47</w:t>
            </w:r>
          </w:p>
        </w:tc>
        <w:tc>
          <w:tcPr>
            <w:tcW w:w="1307" w:type="dxa"/>
          </w:tcPr>
          <w:p w14:paraId="6C9C53C8"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+/- 20% of </w:t>
            </w:r>
          </w:p>
          <w:p w14:paraId="4447221B" w14:textId="42999FD9" w:rsidR="00634539" w:rsidRPr="001C1E47" w:rsidRDefault="00A02E3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69.03</w:t>
            </w:r>
          </w:p>
        </w:tc>
        <w:tc>
          <w:tcPr>
            <w:tcW w:w="4599" w:type="dxa"/>
          </w:tcPr>
          <w:p w14:paraId="77F448C9" w14:textId="2467E7A3"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The further review level is based on a three-year national average.  The range of acceptable data not requiring further review is from </w:t>
            </w:r>
            <w:r w:rsidR="005C47F7">
              <w:rPr>
                <w:rFonts w:cs="Calibri"/>
              </w:rPr>
              <w:t>55.22</w:t>
            </w:r>
            <w:r w:rsidRPr="001C1E47">
              <w:rPr>
                <w:rFonts w:cs="Calibri"/>
              </w:rPr>
              <w:t xml:space="preserve"> to </w:t>
            </w:r>
            <w:r w:rsidR="00645B1B">
              <w:rPr>
                <w:rFonts w:cs="Calibri"/>
              </w:rPr>
              <w:t>82.84</w:t>
            </w:r>
            <w:r w:rsidRPr="001C1E47">
              <w:rPr>
                <w:rFonts w:cs="Calibri"/>
              </w:rPr>
              <w:t xml:space="preserve"> for health.</w:t>
            </w:r>
          </w:p>
        </w:tc>
      </w:tr>
      <w:tr w:rsidR="00634539" w:rsidRPr="001C1E47" w14:paraId="13BCA211"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20008AD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12</w:t>
            </w:r>
          </w:p>
        </w:tc>
        <w:tc>
          <w:tcPr>
            <w:tcW w:w="2572" w:type="dxa"/>
          </w:tcPr>
          <w:p w14:paraId="4FDC62A7"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penalty retained</w:t>
            </w:r>
          </w:p>
        </w:tc>
        <w:tc>
          <w:tcPr>
            <w:tcW w:w="979" w:type="dxa"/>
          </w:tcPr>
          <w:p w14:paraId="54C1921C" w14:textId="2C5AA185" w:rsidR="00634539" w:rsidRPr="001C1E47" w:rsidRDefault="00645B1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81.48</w:t>
            </w:r>
            <w:r w:rsidR="00634539" w:rsidRPr="001C1E47">
              <w:rPr>
                <w:rFonts w:cs="Calibri"/>
              </w:rPr>
              <w:t>%</w:t>
            </w:r>
          </w:p>
        </w:tc>
        <w:tc>
          <w:tcPr>
            <w:tcW w:w="1307" w:type="dxa"/>
          </w:tcPr>
          <w:p w14:paraId="210F162A"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+/- 15% of</w:t>
            </w:r>
          </w:p>
          <w:p w14:paraId="5AD20280" w14:textId="63EEF9D2"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69.</w:t>
            </w:r>
            <w:r w:rsidR="00645B1B">
              <w:rPr>
                <w:rFonts w:cs="Calibri"/>
              </w:rPr>
              <w:t>97</w:t>
            </w:r>
            <w:r w:rsidRPr="001C1E47">
              <w:rPr>
                <w:rFonts w:cs="Calibri"/>
              </w:rPr>
              <w:t>%</w:t>
            </w:r>
          </w:p>
        </w:tc>
        <w:tc>
          <w:tcPr>
            <w:tcW w:w="4599" w:type="dxa"/>
          </w:tcPr>
          <w:p w14:paraId="45B6E003" w14:textId="757D75CD"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The further review level is based on a three-year national average.  The range of acceptable data not requiring further review is from </w:t>
            </w:r>
            <w:r w:rsidR="005C47F7">
              <w:rPr>
                <w:rFonts w:cs="Calibri"/>
              </w:rPr>
              <w:t>59.</w:t>
            </w:r>
            <w:r w:rsidR="00AA284D">
              <w:rPr>
                <w:rFonts w:cs="Calibri"/>
              </w:rPr>
              <w:t>47</w:t>
            </w:r>
            <w:r w:rsidRPr="001C1E47">
              <w:rPr>
                <w:rFonts w:cs="Calibri"/>
              </w:rPr>
              <w:t xml:space="preserve">% to </w:t>
            </w:r>
            <w:r w:rsidR="00AA284D">
              <w:rPr>
                <w:rFonts w:cs="Calibri"/>
              </w:rPr>
              <w:t>80.47</w:t>
            </w:r>
            <w:r w:rsidRPr="001C1E47">
              <w:rPr>
                <w:rFonts w:cs="Calibri"/>
              </w:rPr>
              <w:t>%.</w:t>
            </w:r>
          </w:p>
        </w:tc>
      </w:tr>
      <w:tr w:rsidR="00634539" w:rsidRPr="001C1E47" w14:paraId="2EAC34D6"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6A22AE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13</w:t>
            </w:r>
          </w:p>
        </w:tc>
        <w:tc>
          <w:tcPr>
            <w:tcW w:w="2572" w:type="dxa"/>
          </w:tcPr>
          <w:p w14:paraId="56540F98"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initial inspections with worker walk-around representation or worker interview</w:t>
            </w:r>
          </w:p>
        </w:tc>
        <w:tc>
          <w:tcPr>
            <w:tcW w:w="979" w:type="dxa"/>
          </w:tcPr>
          <w:p w14:paraId="71E71ED8" w14:textId="760AD053" w:rsidR="00634539" w:rsidRPr="001C1E47" w:rsidRDefault="00AA284D"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100</w:t>
            </w:r>
            <w:r w:rsidR="00634539" w:rsidRPr="001C1E47">
              <w:rPr>
                <w:rFonts w:cs="Calibri"/>
              </w:rPr>
              <w:t>%</w:t>
            </w:r>
          </w:p>
        </w:tc>
        <w:tc>
          <w:tcPr>
            <w:tcW w:w="1307" w:type="dxa"/>
          </w:tcPr>
          <w:p w14:paraId="4A97427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100%</w:t>
            </w:r>
          </w:p>
        </w:tc>
        <w:tc>
          <w:tcPr>
            <w:tcW w:w="4599" w:type="dxa"/>
          </w:tcPr>
          <w:p w14:paraId="27DEF00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634539" w:rsidRPr="001C1E47" w14:paraId="0083664F"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F73B0DD"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14</w:t>
            </w:r>
          </w:p>
        </w:tc>
        <w:tc>
          <w:tcPr>
            <w:tcW w:w="2572" w:type="dxa"/>
          </w:tcPr>
          <w:p w14:paraId="3454CDD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11(c) investigations completed within 90 days</w:t>
            </w:r>
          </w:p>
        </w:tc>
        <w:tc>
          <w:tcPr>
            <w:tcW w:w="979" w:type="dxa"/>
          </w:tcPr>
          <w:p w14:paraId="3468F2B1" w14:textId="3FD7973F" w:rsidR="00634539" w:rsidRPr="001C1E47" w:rsidRDefault="00AA284D"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N/A*</w:t>
            </w:r>
          </w:p>
        </w:tc>
        <w:tc>
          <w:tcPr>
            <w:tcW w:w="1307" w:type="dxa"/>
          </w:tcPr>
          <w:p w14:paraId="39333E60" w14:textId="6E71C9DA" w:rsidR="00634539" w:rsidRPr="001C1E47" w:rsidRDefault="00AA284D"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N/A*</w:t>
            </w:r>
          </w:p>
        </w:tc>
        <w:tc>
          <w:tcPr>
            <w:tcW w:w="4599" w:type="dxa"/>
          </w:tcPr>
          <w:p w14:paraId="7DECCD0D" w14:textId="5276CD08" w:rsidR="00634539" w:rsidRPr="001C1E47" w:rsidRDefault="00AA128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B50BA9">
              <w:rPr>
                <w:rFonts w:asciiTheme="minorHAnsi" w:eastAsia="PMingLiU" w:hAnsiTheme="minorHAnsi" w:cstheme="minorHAnsi"/>
              </w:rPr>
              <w:t>This measure is not being reported for FY 2022. Please see note below.</w:t>
            </w:r>
          </w:p>
        </w:tc>
      </w:tr>
      <w:tr w:rsidR="00634539" w:rsidRPr="001C1E47" w14:paraId="570F3912"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BF89E78"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15</w:t>
            </w:r>
          </w:p>
        </w:tc>
        <w:tc>
          <w:tcPr>
            <w:tcW w:w="2572" w:type="dxa"/>
          </w:tcPr>
          <w:p w14:paraId="1BE43D29"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Percent of 11(c) complaints that are </w:t>
            </w:r>
            <w:r w:rsidRPr="001C1E47">
              <w:rPr>
                <w:rFonts w:cs="Calibri"/>
              </w:rPr>
              <w:lastRenderedPageBreak/>
              <w:t>meritorious</w:t>
            </w:r>
          </w:p>
        </w:tc>
        <w:tc>
          <w:tcPr>
            <w:tcW w:w="979" w:type="dxa"/>
          </w:tcPr>
          <w:p w14:paraId="1E0B0B7D" w14:textId="713B9186" w:rsidR="00634539" w:rsidRPr="001C1E47" w:rsidRDefault="00AA284D"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lastRenderedPageBreak/>
              <w:t>N/A*</w:t>
            </w:r>
          </w:p>
        </w:tc>
        <w:tc>
          <w:tcPr>
            <w:tcW w:w="1307" w:type="dxa"/>
          </w:tcPr>
          <w:p w14:paraId="147E9AB5" w14:textId="4DAB3F99" w:rsidR="00634539" w:rsidRPr="001C1E47" w:rsidRDefault="00AA284D"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N/A*</w:t>
            </w:r>
          </w:p>
        </w:tc>
        <w:tc>
          <w:tcPr>
            <w:tcW w:w="4599" w:type="dxa"/>
          </w:tcPr>
          <w:p w14:paraId="5801C5D4" w14:textId="4575EE95" w:rsidR="00634539" w:rsidRPr="001C1E47" w:rsidRDefault="00AA128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B50BA9">
              <w:rPr>
                <w:rFonts w:asciiTheme="minorHAnsi" w:eastAsia="PMingLiU" w:hAnsiTheme="minorHAnsi" w:cstheme="minorHAnsi"/>
              </w:rPr>
              <w:t>This measure is not being reported for FY 2022. Please see note below.</w:t>
            </w:r>
          </w:p>
        </w:tc>
      </w:tr>
      <w:tr w:rsidR="00634539" w:rsidRPr="001C1E47" w14:paraId="06EFF7B6"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E0D465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16</w:t>
            </w:r>
          </w:p>
        </w:tc>
        <w:tc>
          <w:tcPr>
            <w:tcW w:w="2572" w:type="dxa"/>
          </w:tcPr>
          <w:p w14:paraId="5E4FAF60"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number of calendar days to complete an 11(c) investigation</w:t>
            </w:r>
          </w:p>
        </w:tc>
        <w:tc>
          <w:tcPr>
            <w:tcW w:w="979" w:type="dxa"/>
          </w:tcPr>
          <w:p w14:paraId="3207CBD2" w14:textId="3DB3BD4E" w:rsidR="00634539" w:rsidRPr="001C1E47" w:rsidRDefault="00AA284D"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N/A*</w:t>
            </w:r>
          </w:p>
        </w:tc>
        <w:tc>
          <w:tcPr>
            <w:tcW w:w="1307" w:type="dxa"/>
            <w:shd w:val="clear" w:color="auto" w:fill="auto"/>
          </w:tcPr>
          <w:p w14:paraId="7022F7E0" w14:textId="3C9B541E" w:rsidR="00634539" w:rsidRPr="001C1E47" w:rsidRDefault="00AA284D"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N/A*</w:t>
            </w:r>
          </w:p>
        </w:tc>
        <w:tc>
          <w:tcPr>
            <w:tcW w:w="4599" w:type="dxa"/>
          </w:tcPr>
          <w:p w14:paraId="088C3C3F" w14:textId="2977ABCE" w:rsidR="00634539" w:rsidRPr="001C1E47" w:rsidRDefault="00AA128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B50BA9">
              <w:rPr>
                <w:rFonts w:asciiTheme="minorHAnsi" w:eastAsia="PMingLiU" w:hAnsiTheme="minorHAnsi" w:cstheme="minorHAnsi"/>
              </w:rPr>
              <w:t>This measure is not being reported for FY 2022. Please see note below.</w:t>
            </w:r>
          </w:p>
        </w:tc>
      </w:tr>
      <w:tr w:rsidR="00634539" w:rsidRPr="001C1E47" w14:paraId="464BCA80"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3EFEA4C9"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17</w:t>
            </w:r>
          </w:p>
        </w:tc>
        <w:tc>
          <w:tcPr>
            <w:tcW w:w="2572" w:type="dxa"/>
          </w:tcPr>
          <w:p w14:paraId="4A04782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enforcement presence</w:t>
            </w:r>
          </w:p>
        </w:tc>
        <w:tc>
          <w:tcPr>
            <w:tcW w:w="979" w:type="dxa"/>
          </w:tcPr>
          <w:p w14:paraId="2883494A" w14:textId="2597F4DA" w:rsidR="00634539" w:rsidRPr="001C1E47" w:rsidRDefault="00AA128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1.21</w:t>
            </w:r>
            <w:r w:rsidR="00634539" w:rsidRPr="001C1E47">
              <w:rPr>
                <w:rFonts w:cs="Calibri"/>
              </w:rPr>
              <w:t>%</w:t>
            </w:r>
          </w:p>
        </w:tc>
        <w:tc>
          <w:tcPr>
            <w:tcW w:w="1307" w:type="dxa"/>
          </w:tcPr>
          <w:p w14:paraId="4F9F67C9"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+/- 25% of</w:t>
            </w:r>
          </w:p>
          <w:p w14:paraId="315D63EF" w14:textId="6DBC21A9" w:rsidR="00634539" w:rsidRPr="001C1E47" w:rsidRDefault="00AA1281"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1.64</w:t>
            </w:r>
            <w:r w:rsidR="00634539" w:rsidRPr="001C1E47">
              <w:rPr>
                <w:rFonts w:cs="Calibri"/>
              </w:rPr>
              <w:t>%</w:t>
            </w:r>
          </w:p>
        </w:tc>
        <w:tc>
          <w:tcPr>
            <w:tcW w:w="4599" w:type="dxa"/>
          </w:tcPr>
          <w:p w14:paraId="66CFA076" w14:textId="488784F8"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The further review level is based on a three-year national average.  The range of acceptable data not requiring further review is from </w:t>
            </w:r>
            <w:r w:rsidR="00771056">
              <w:rPr>
                <w:rFonts w:cs="Calibri"/>
              </w:rPr>
              <w:t>1.23</w:t>
            </w:r>
            <w:r w:rsidRPr="001C1E47">
              <w:rPr>
                <w:rFonts w:cs="Calibri"/>
              </w:rPr>
              <w:t xml:space="preserve">% to </w:t>
            </w:r>
            <w:r w:rsidR="00771056">
              <w:rPr>
                <w:rFonts w:cs="Calibri"/>
              </w:rPr>
              <w:t>2.05</w:t>
            </w:r>
            <w:r w:rsidRPr="001C1E47">
              <w:rPr>
                <w:rFonts w:cs="Calibri"/>
              </w:rPr>
              <w:t>%.</w:t>
            </w:r>
          </w:p>
        </w:tc>
      </w:tr>
    </w:tbl>
    <w:p w14:paraId="575825F5" w14:textId="77777777" w:rsidR="005128CD" w:rsidRPr="001C1E47" w:rsidRDefault="005128CD" w:rsidP="007A71AC">
      <w:pPr>
        <w:widowControl/>
        <w:autoSpaceDE/>
        <w:autoSpaceDN/>
        <w:adjustRightInd/>
        <w:rPr>
          <w:rFonts w:cs="Calibri"/>
          <w:b/>
          <w:color w:val="1F497D"/>
          <w:sz w:val="28"/>
          <w:szCs w:val="28"/>
        </w:rPr>
      </w:pPr>
    </w:p>
    <w:p w14:paraId="406CB4E9" w14:textId="57E15F11" w:rsidR="00950AFC" w:rsidRDefault="00950AFC" w:rsidP="00950AFC">
      <w:r w:rsidRPr="004E492F">
        <w:t>NOTE:  The national averages in this report are three-year rolling averages.  Unless otherwise noted, the data contained in this Appendix D is pulled from the State Activity Mandated Measures (SAMM) Report in OIS run on November 14, 2022, as part of OSHA’s official end-of-year data run.</w:t>
      </w:r>
    </w:p>
    <w:p w14:paraId="7C090496" w14:textId="77777777" w:rsidR="00950AFC" w:rsidRDefault="00950AFC" w:rsidP="00950AFC"/>
    <w:p w14:paraId="25652B55" w14:textId="77777777" w:rsidR="00950AFC" w:rsidRDefault="00950AFC" w:rsidP="00950AFC">
      <w:r>
        <w:t>*</w:t>
      </w:r>
      <w:r w:rsidRPr="003746E9">
        <w:t xml:space="preserve">Due to the transition of 11(c) </w:t>
      </w:r>
      <w:r>
        <w:t xml:space="preserve">data </w:t>
      </w:r>
      <w:r w:rsidRPr="003746E9">
        <w:t>from IMIS to OIS, SAMMs 14, 15, and 16 are not being reported for FY 2022.</w:t>
      </w:r>
    </w:p>
    <w:p w14:paraId="6573BAF6" w14:textId="3FAD77B0" w:rsidR="00634539" w:rsidRPr="001C1E47" w:rsidRDefault="00634539" w:rsidP="00C50A0E">
      <w:pPr>
        <w:tabs>
          <w:tab w:val="left" w:pos="3405"/>
        </w:tabs>
        <w:rPr>
          <w:rFonts w:cs="Calibri"/>
        </w:rPr>
      </w:pPr>
    </w:p>
    <w:sectPr w:rsidR="00634539" w:rsidRPr="001C1E47" w:rsidSect="00363407">
      <w:headerReference w:type="default" r:id="rId20"/>
      <w:footerReference w:type="default" r:id="rId21"/>
      <w:pgSz w:w="12240" w:h="15840" w:code="1"/>
      <w:pgMar w:top="1440" w:right="1440" w:bottom="1440" w:left="1440" w:header="720" w:footer="720" w:gutter="0"/>
      <w:pgNumType w:start="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021BA" w14:textId="77777777" w:rsidR="00D12735" w:rsidRDefault="00D12735" w:rsidP="00C872A0">
      <w:r>
        <w:separator/>
      </w:r>
    </w:p>
  </w:endnote>
  <w:endnote w:type="continuationSeparator" w:id="0">
    <w:p w14:paraId="03975187" w14:textId="77777777" w:rsidR="00D12735" w:rsidRDefault="00D12735"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046971"/>
      <w:docPartObj>
        <w:docPartGallery w:val="Page Numbers (Bottom of Page)"/>
        <w:docPartUnique/>
      </w:docPartObj>
    </w:sdtPr>
    <w:sdtEndPr>
      <w:rPr>
        <w:noProof/>
      </w:rPr>
    </w:sdtEndPr>
    <w:sdtContent>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6D71E" w14:textId="77777777" w:rsidR="00780E29" w:rsidRDefault="00780E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0D64" w14:textId="77777777" w:rsidR="00780E29" w:rsidRDefault="00780E29">
    <w:pPr>
      <w:pStyle w:val="Footer"/>
      <w:jc w:val="center"/>
    </w:pPr>
    <w:r>
      <w:t>B-1</w:t>
    </w:r>
  </w:p>
  <w:p w14:paraId="1056AAF8"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475891"/>
      <w:docPartObj>
        <w:docPartGallery w:val="Page Numbers (Bottom of Page)"/>
        <w:docPartUnique/>
      </w:docPartObj>
    </w:sdtPr>
    <w:sdtEndPr>
      <w:rPr>
        <w:noProof/>
      </w:rPr>
    </w:sdtEndPr>
    <w:sdtContent>
      <w:p w14:paraId="2EB48E40" w14:textId="55C41B5C"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3659E" w14:textId="1668AEAF" w:rsidR="00780E29" w:rsidRPr="00E20610" w:rsidRDefault="00780E29" w:rsidP="00E2061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517216"/>
      <w:docPartObj>
        <w:docPartGallery w:val="Page Numbers (Bottom of Page)"/>
        <w:docPartUnique/>
      </w:docPartObj>
    </w:sdtPr>
    <w:sdtEndPr>
      <w:rPr>
        <w:noProof/>
      </w:rPr>
    </w:sdtEndPr>
    <w:sdtContent>
      <w:p w14:paraId="20A30013" w14:textId="1759192B" w:rsidR="00C50A0E" w:rsidRDefault="00C50A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A5034" w14:textId="77777777" w:rsidR="00D12735" w:rsidRDefault="00D12735" w:rsidP="00C872A0">
      <w:r>
        <w:separator/>
      </w:r>
    </w:p>
  </w:footnote>
  <w:footnote w:type="continuationSeparator" w:id="0">
    <w:p w14:paraId="4F7221AF" w14:textId="77777777" w:rsidR="00D12735" w:rsidRDefault="00D12735"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59F0" w14:textId="574F2C4F" w:rsidR="00780E29" w:rsidRPr="00B6741C" w:rsidRDefault="00780E29"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A15F" w14:textId="0461E266" w:rsidR="00780E29" w:rsidRPr="00B6741C" w:rsidRDefault="00780E29"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CA39" w14:textId="77777777" w:rsidR="00780E29" w:rsidRPr="00283FF9" w:rsidRDefault="00780E29" w:rsidP="00476C08">
    <w:pPr>
      <w:pStyle w:val="Heading2"/>
    </w:pPr>
    <w:r w:rsidRPr="00283FF9">
      <w:t>Appendix B – Observations and Federal Monitoring Plans</w:t>
    </w:r>
  </w:p>
  <w:p w14:paraId="5EEDD947" w14:textId="7B32B4C1" w:rsidR="00780E29" w:rsidRDefault="00780E29" w:rsidP="000A134A">
    <w:pPr>
      <w:jc w:val="center"/>
    </w:pPr>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A0A7" w14:textId="11A2137F" w:rsidR="00780E29" w:rsidRPr="00D2585B" w:rsidRDefault="00780E29" w:rsidP="00D258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0886B52"/>
    <w:multiLevelType w:val="hybridMultilevel"/>
    <w:tmpl w:val="CA9A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8935DA"/>
    <w:multiLevelType w:val="hybridMultilevel"/>
    <w:tmpl w:val="78248694"/>
    <w:lvl w:ilvl="0" w:tplc="26E6AB7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7"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B855A7"/>
    <w:multiLevelType w:val="hybridMultilevel"/>
    <w:tmpl w:val="639E2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3650D6"/>
    <w:multiLevelType w:val="hybridMultilevel"/>
    <w:tmpl w:val="E636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BB477B"/>
    <w:multiLevelType w:val="hybridMultilevel"/>
    <w:tmpl w:val="AEE28388"/>
    <w:lvl w:ilvl="0" w:tplc="97CE5A9C">
      <w:start w:val="1"/>
      <w:numFmt w:val="upperLetter"/>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3"/>
  </w:num>
  <w:num w:numId="5" w16cid:durableId="437339714">
    <w:abstractNumId w:val="31"/>
  </w:num>
  <w:num w:numId="6" w16cid:durableId="1373268660">
    <w:abstractNumId w:val="26"/>
  </w:num>
  <w:num w:numId="7" w16cid:durableId="1614284284">
    <w:abstractNumId w:val="27"/>
  </w:num>
  <w:num w:numId="8" w16cid:durableId="1901401974">
    <w:abstractNumId w:val="32"/>
  </w:num>
  <w:num w:numId="9" w16cid:durableId="340623116">
    <w:abstractNumId w:val="30"/>
  </w:num>
  <w:num w:numId="10" w16cid:durableId="1713532647">
    <w:abstractNumId w:val="34"/>
  </w:num>
  <w:num w:numId="11" w16cid:durableId="247546233">
    <w:abstractNumId w:val="23"/>
  </w:num>
  <w:num w:numId="12" w16cid:durableId="1587691524">
    <w:abstractNumId w:val="25"/>
  </w:num>
  <w:num w:numId="13" w16cid:durableId="176425050">
    <w:abstractNumId w:val="24"/>
  </w:num>
  <w:num w:numId="14" w16cid:durableId="1222404947">
    <w:abstractNumId w:val="29"/>
  </w:num>
  <w:num w:numId="15" w16cid:durableId="876503140">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revisionView w:insDel="0" w:formatting="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201A"/>
    <w:rsid w:val="00002B73"/>
    <w:rsid w:val="000036AB"/>
    <w:rsid w:val="00004200"/>
    <w:rsid w:val="0000553D"/>
    <w:rsid w:val="00007781"/>
    <w:rsid w:val="000116C0"/>
    <w:rsid w:val="00014C7A"/>
    <w:rsid w:val="00015AAF"/>
    <w:rsid w:val="00016214"/>
    <w:rsid w:val="00016803"/>
    <w:rsid w:val="0001706D"/>
    <w:rsid w:val="00017349"/>
    <w:rsid w:val="0002125F"/>
    <w:rsid w:val="00021274"/>
    <w:rsid w:val="000217D1"/>
    <w:rsid w:val="00021FE0"/>
    <w:rsid w:val="000220FF"/>
    <w:rsid w:val="00022BEE"/>
    <w:rsid w:val="00023E67"/>
    <w:rsid w:val="000248F0"/>
    <w:rsid w:val="0002572C"/>
    <w:rsid w:val="00025F57"/>
    <w:rsid w:val="00026D63"/>
    <w:rsid w:val="00027093"/>
    <w:rsid w:val="00030AD1"/>
    <w:rsid w:val="0003442F"/>
    <w:rsid w:val="00034A4E"/>
    <w:rsid w:val="00035083"/>
    <w:rsid w:val="000353C0"/>
    <w:rsid w:val="0003567C"/>
    <w:rsid w:val="00036865"/>
    <w:rsid w:val="00036BF8"/>
    <w:rsid w:val="00036EB4"/>
    <w:rsid w:val="00036F0D"/>
    <w:rsid w:val="00037F48"/>
    <w:rsid w:val="000404ED"/>
    <w:rsid w:val="00040EC6"/>
    <w:rsid w:val="00041E26"/>
    <w:rsid w:val="00042327"/>
    <w:rsid w:val="00042C95"/>
    <w:rsid w:val="00043515"/>
    <w:rsid w:val="00044436"/>
    <w:rsid w:val="000447C9"/>
    <w:rsid w:val="000449F8"/>
    <w:rsid w:val="00045479"/>
    <w:rsid w:val="00045BD6"/>
    <w:rsid w:val="00045C51"/>
    <w:rsid w:val="00046151"/>
    <w:rsid w:val="000468C6"/>
    <w:rsid w:val="00046BEE"/>
    <w:rsid w:val="00046E13"/>
    <w:rsid w:val="000470EE"/>
    <w:rsid w:val="0005007B"/>
    <w:rsid w:val="000508EF"/>
    <w:rsid w:val="00050FEB"/>
    <w:rsid w:val="000517FA"/>
    <w:rsid w:val="00052B36"/>
    <w:rsid w:val="00053A2C"/>
    <w:rsid w:val="00054416"/>
    <w:rsid w:val="00054900"/>
    <w:rsid w:val="00055243"/>
    <w:rsid w:val="00055B40"/>
    <w:rsid w:val="00055F2C"/>
    <w:rsid w:val="00057650"/>
    <w:rsid w:val="00057693"/>
    <w:rsid w:val="00057840"/>
    <w:rsid w:val="00060D39"/>
    <w:rsid w:val="00061393"/>
    <w:rsid w:val="00061875"/>
    <w:rsid w:val="000625FB"/>
    <w:rsid w:val="0006398D"/>
    <w:rsid w:val="00065AB2"/>
    <w:rsid w:val="0006611A"/>
    <w:rsid w:val="00066A7B"/>
    <w:rsid w:val="00066C52"/>
    <w:rsid w:val="000701E4"/>
    <w:rsid w:val="0007073F"/>
    <w:rsid w:val="0007157F"/>
    <w:rsid w:val="00071E71"/>
    <w:rsid w:val="000724F1"/>
    <w:rsid w:val="0007306B"/>
    <w:rsid w:val="000743D1"/>
    <w:rsid w:val="00074876"/>
    <w:rsid w:val="000760CB"/>
    <w:rsid w:val="00076601"/>
    <w:rsid w:val="000767C0"/>
    <w:rsid w:val="00077410"/>
    <w:rsid w:val="00083A76"/>
    <w:rsid w:val="00083ABF"/>
    <w:rsid w:val="00085230"/>
    <w:rsid w:val="00086F2F"/>
    <w:rsid w:val="000871DF"/>
    <w:rsid w:val="0008759E"/>
    <w:rsid w:val="0008793F"/>
    <w:rsid w:val="00087E20"/>
    <w:rsid w:val="00087EE9"/>
    <w:rsid w:val="00090155"/>
    <w:rsid w:val="000902ED"/>
    <w:rsid w:val="0009134A"/>
    <w:rsid w:val="00091ABD"/>
    <w:rsid w:val="00091AE2"/>
    <w:rsid w:val="00091B54"/>
    <w:rsid w:val="000923E0"/>
    <w:rsid w:val="00092555"/>
    <w:rsid w:val="000929B5"/>
    <w:rsid w:val="00092F1B"/>
    <w:rsid w:val="00093239"/>
    <w:rsid w:val="000950A5"/>
    <w:rsid w:val="0009535D"/>
    <w:rsid w:val="0009583F"/>
    <w:rsid w:val="000969E2"/>
    <w:rsid w:val="000A134A"/>
    <w:rsid w:val="000A1CE9"/>
    <w:rsid w:val="000A2DE7"/>
    <w:rsid w:val="000A3392"/>
    <w:rsid w:val="000A3878"/>
    <w:rsid w:val="000A40EC"/>
    <w:rsid w:val="000A55DB"/>
    <w:rsid w:val="000A59AA"/>
    <w:rsid w:val="000A59CF"/>
    <w:rsid w:val="000A658C"/>
    <w:rsid w:val="000A7279"/>
    <w:rsid w:val="000A74F3"/>
    <w:rsid w:val="000A7A05"/>
    <w:rsid w:val="000B07D7"/>
    <w:rsid w:val="000B1A5B"/>
    <w:rsid w:val="000B1ECC"/>
    <w:rsid w:val="000B22E4"/>
    <w:rsid w:val="000B3A37"/>
    <w:rsid w:val="000B440B"/>
    <w:rsid w:val="000B4852"/>
    <w:rsid w:val="000B4E7D"/>
    <w:rsid w:val="000B6A8A"/>
    <w:rsid w:val="000C04C6"/>
    <w:rsid w:val="000C0E15"/>
    <w:rsid w:val="000C12C6"/>
    <w:rsid w:val="000C1882"/>
    <w:rsid w:val="000C1ED8"/>
    <w:rsid w:val="000C295F"/>
    <w:rsid w:val="000C2E74"/>
    <w:rsid w:val="000C368E"/>
    <w:rsid w:val="000C38BD"/>
    <w:rsid w:val="000C4141"/>
    <w:rsid w:val="000C43DE"/>
    <w:rsid w:val="000C46E4"/>
    <w:rsid w:val="000C5C82"/>
    <w:rsid w:val="000C7C9A"/>
    <w:rsid w:val="000D008A"/>
    <w:rsid w:val="000D08F5"/>
    <w:rsid w:val="000D343F"/>
    <w:rsid w:val="000D4560"/>
    <w:rsid w:val="000D4A64"/>
    <w:rsid w:val="000D71A3"/>
    <w:rsid w:val="000D750A"/>
    <w:rsid w:val="000D7AAD"/>
    <w:rsid w:val="000E0408"/>
    <w:rsid w:val="000E07E7"/>
    <w:rsid w:val="000E0DD1"/>
    <w:rsid w:val="000E1534"/>
    <w:rsid w:val="000E1AA2"/>
    <w:rsid w:val="000E1D95"/>
    <w:rsid w:val="000E20A2"/>
    <w:rsid w:val="000E46F3"/>
    <w:rsid w:val="000E5C64"/>
    <w:rsid w:val="000E6466"/>
    <w:rsid w:val="000E7F42"/>
    <w:rsid w:val="000F1D68"/>
    <w:rsid w:val="000F1E49"/>
    <w:rsid w:val="000F46ED"/>
    <w:rsid w:val="000F4DA3"/>
    <w:rsid w:val="000F552B"/>
    <w:rsid w:val="000F5631"/>
    <w:rsid w:val="000F5A36"/>
    <w:rsid w:val="000F63C1"/>
    <w:rsid w:val="000F6A5C"/>
    <w:rsid w:val="000F7ECC"/>
    <w:rsid w:val="00100F79"/>
    <w:rsid w:val="00101859"/>
    <w:rsid w:val="001024C8"/>
    <w:rsid w:val="001039FA"/>
    <w:rsid w:val="00103FE6"/>
    <w:rsid w:val="001056A7"/>
    <w:rsid w:val="00106F50"/>
    <w:rsid w:val="00106FE7"/>
    <w:rsid w:val="0011011A"/>
    <w:rsid w:val="00110CB0"/>
    <w:rsid w:val="001113A1"/>
    <w:rsid w:val="00112C81"/>
    <w:rsid w:val="0011326F"/>
    <w:rsid w:val="0011522A"/>
    <w:rsid w:val="00115B48"/>
    <w:rsid w:val="00115DF5"/>
    <w:rsid w:val="00116055"/>
    <w:rsid w:val="001170E4"/>
    <w:rsid w:val="00117115"/>
    <w:rsid w:val="001174A0"/>
    <w:rsid w:val="001206B1"/>
    <w:rsid w:val="0012164B"/>
    <w:rsid w:val="00122228"/>
    <w:rsid w:val="0012279E"/>
    <w:rsid w:val="00122839"/>
    <w:rsid w:val="00122BD3"/>
    <w:rsid w:val="00123AC4"/>
    <w:rsid w:val="00125065"/>
    <w:rsid w:val="00125345"/>
    <w:rsid w:val="00125C8A"/>
    <w:rsid w:val="00126880"/>
    <w:rsid w:val="00127AF6"/>
    <w:rsid w:val="00131B86"/>
    <w:rsid w:val="00132862"/>
    <w:rsid w:val="00132F71"/>
    <w:rsid w:val="001330E6"/>
    <w:rsid w:val="001341FE"/>
    <w:rsid w:val="00134F5C"/>
    <w:rsid w:val="00134F5D"/>
    <w:rsid w:val="001358F0"/>
    <w:rsid w:val="00136DA3"/>
    <w:rsid w:val="001376D1"/>
    <w:rsid w:val="00140C21"/>
    <w:rsid w:val="00141758"/>
    <w:rsid w:val="0014199D"/>
    <w:rsid w:val="00141F37"/>
    <w:rsid w:val="00142198"/>
    <w:rsid w:val="00143ACD"/>
    <w:rsid w:val="0014420A"/>
    <w:rsid w:val="00144A53"/>
    <w:rsid w:val="00145BC1"/>
    <w:rsid w:val="00145F5E"/>
    <w:rsid w:val="001469F6"/>
    <w:rsid w:val="001471B8"/>
    <w:rsid w:val="00147B01"/>
    <w:rsid w:val="00147F8B"/>
    <w:rsid w:val="00150F03"/>
    <w:rsid w:val="001515BB"/>
    <w:rsid w:val="00151CFD"/>
    <w:rsid w:val="00152207"/>
    <w:rsid w:val="00155591"/>
    <w:rsid w:val="00156CD6"/>
    <w:rsid w:val="00156E0C"/>
    <w:rsid w:val="00157520"/>
    <w:rsid w:val="00161740"/>
    <w:rsid w:val="00162678"/>
    <w:rsid w:val="0016336D"/>
    <w:rsid w:val="00163694"/>
    <w:rsid w:val="00163E90"/>
    <w:rsid w:val="00165E71"/>
    <w:rsid w:val="00170A62"/>
    <w:rsid w:val="00172085"/>
    <w:rsid w:val="001721BB"/>
    <w:rsid w:val="00173853"/>
    <w:rsid w:val="0017552C"/>
    <w:rsid w:val="00176DF8"/>
    <w:rsid w:val="00177A1E"/>
    <w:rsid w:val="00177D70"/>
    <w:rsid w:val="00182B5C"/>
    <w:rsid w:val="00182CE0"/>
    <w:rsid w:val="001843E2"/>
    <w:rsid w:val="00184E43"/>
    <w:rsid w:val="00185C7D"/>
    <w:rsid w:val="001861B8"/>
    <w:rsid w:val="00187065"/>
    <w:rsid w:val="00187182"/>
    <w:rsid w:val="001902FE"/>
    <w:rsid w:val="001927A4"/>
    <w:rsid w:val="00192881"/>
    <w:rsid w:val="00192C14"/>
    <w:rsid w:val="00193E53"/>
    <w:rsid w:val="001941DE"/>
    <w:rsid w:val="00195153"/>
    <w:rsid w:val="001958C8"/>
    <w:rsid w:val="001A2967"/>
    <w:rsid w:val="001A335E"/>
    <w:rsid w:val="001A3671"/>
    <w:rsid w:val="001A6B79"/>
    <w:rsid w:val="001A7BB9"/>
    <w:rsid w:val="001A7F60"/>
    <w:rsid w:val="001B0219"/>
    <w:rsid w:val="001B02D7"/>
    <w:rsid w:val="001B0632"/>
    <w:rsid w:val="001B0AF1"/>
    <w:rsid w:val="001B13F8"/>
    <w:rsid w:val="001B160F"/>
    <w:rsid w:val="001B22CA"/>
    <w:rsid w:val="001B284A"/>
    <w:rsid w:val="001B346B"/>
    <w:rsid w:val="001B6DA7"/>
    <w:rsid w:val="001B77A2"/>
    <w:rsid w:val="001C0D2D"/>
    <w:rsid w:val="001C154D"/>
    <w:rsid w:val="001C1E47"/>
    <w:rsid w:val="001C2934"/>
    <w:rsid w:val="001C2B11"/>
    <w:rsid w:val="001C3276"/>
    <w:rsid w:val="001C44E8"/>
    <w:rsid w:val="001C54A0"/>
    <w:rsid w:val="001C560E"/>
    <w:rsid w:val="001C58C2"/>
    <w:rsid w:val="001C5CA7"/>
    <w:rsid w:val="001C620B"/>
    <w:rsid w:val="001D1819"/>
    <w:rsid w:val="001D1A16"/>
    <w:rsid w:val="001D6530"/>
    <w:rsid w:val="001D681F"/>
    <w:rsid w:val="001D6D59"/>
    <w:rsid w:val="001D7428"/>
    <w:rsid w:val="001D7613"/>
    <w:rsid w:val="001D765B"/>
    <w:rsid w:val="001E0EFF"/>
    <w:rsid w:val="001E1935"/>
    <w:rsid w:val="001E1B35"/>
    <w:rsid w:val="001E1C5D"/>
    <w:rsid w:val="001E1FD1"/>
    <w:rsid w:val="001E240A"/>
    <w:rsid w:val="001E2467"/>
    <w:rsid w:val="001E2D62"/>
    <w:rsid w:val="001E2FBB"/>
    <w:rsid w:val="001E330D"/>
    <w:rsid w:val="001E4F8A"/>
    <w:rsid w:val="001E4FA2"/>
    <w:rsid w:val="001E5ABD"/>
    <w:rsid w:val="001E5C43"/>
    <w:rsid w:val="001E5FE4"/>
    <w:rsid w:val="001E713D"/>
    <w:rsid w:val="001E71BA"/>
    <w:rsid w:val="001F0B51"/>
    <w:rsid w:val="001F1D8A"/>
    <w:rsid w:val="001F359C"/>
    <w:rsid w:val="001F3750"/>
    <w:rsid w:val="001F40E1"/>
    <w:rsid w:val="001F58B8"/>
    <w:rsid w:val="00200D27"/>
    <w:rsid w:val="002011AC"/>
    <w:rsid w:val="00201BD2"/>
    <w:rsid w:val="00201EB9"/>
    <w:rsid w:val="00202313"/>
    <w:rsid w:val="00202BD7"/>
    <w:rsid w:val="00204202"/>
    <w:rsid w:val="002048CC"/>
    <w:rsid w:val="00204AE6"/>
    <w:rsid w:val="0020506D"/>
    <w:rsid w:val="00205391"/>
    <w:rsid w:val="00205A99"/>
    <w:rsid w:val="00205B95"/>
    <w:rsid w:val="0020733F"/>
    <w:rsid w:val="00207B94"/>
    <w:rsid w:val="00210E15"/>
    <w:rsid w:val="00211626"/>
    <w:rsid w:val="0021277A"/>
    <w:rsid w:val="00212BC7"/>
    <w:rsid w:val="0021380C"/>
    <w:rsid w:val="00213FCA"/>
    <w:rsid w:val="0021440F"/>
    <w:rsid w:val="00216621"/>
    <w:rsid w:val="00216B0E"/>
    <w:rsid w:val="00217433"/>
    <w:rsid w:val="00217437"/>
    <w:rsid w:val="00222350"/>
    <w:rsid w:val="0022250B"/>
    <w:rsid w:val="00222F0E"/>
    <w:rsid w:val="002231D3"/>
    <w:rsid w:val="002235F3"/>
    <w:rsid w:val="002247E7"/>
    <w:rsid w:val="0022537C"/>
    <w:rsid w:val="00225D1B"/>
    <w:rsid w:val="0022685E"/>
    <w:rsid w:val="00227868"/>
    <w:rsid w:val="00227C3F"/>
    <w:rsid w:val="00230915"/>
    <w:rsid w:val="00230D53"/>
    <w:rsid w:val="0023191B"/>
    <w:rsid w:val="002337B2"/>
    <w:rsid w:val="00233C64"/>
    <w:rsid w:val="002404BA"/>
    <w:rsid w:val="002427F7"/>
    <w:rsid w:val="00242C8E"/>
    <w:rsid w:val="00243015"/>
    <w:rsid w:val="0024338F"/>
    <w:rsid w:val="002446D2"/>
    <w:rsid w:val="00247403"/>
    <w:rsid w:val="00247B94"/>
    <w:rsid w:val="002511A8"/>
    <w:rsid w:val="002511E9"/>
    <w:rsid w:val="002512E8"/>
    <w:rsid w:val="00251FA2"/>
    <w:rsid w:val="002523FB"/>
    <w:rsid w:val="002529E8"/>
    <w:rsid w:val="00253249"/>
    <w:rsid w:val="002536CB"/>
    <w:rsid w:val="0025526A"/>
    <w:rsid w:val="00255EA4"/>
    <w:rsid w:val="00260A89"/>
    <w:rsid w:val="00260C9F"/>
    <w:rsid w:val="00261A11"/>
    <w:rsid w:val="00262A51"/>
    <w:rsid w:val="00262DDC"/>
    <w:rsid w:val="00263F28"/>
    <w:rsid w:val="002648FC"/>
    <w:rsid w:val="00264FCD"/>
    <w:rsid w:val="00265778"/>
    <w:rsid w:val="002658D0"/>
    <w:rsid w:val="00266AAD"/>
    <w:rsid w:val="002679E5"/>
    <w:rsid w:val="00270695"/>
    <w:rsid w:val="002707B8"/>
    <w:rsid w:val="0027084D"/>
    <w:rsid w:val="00270E40"/>
    <w:rsid w:val="00271A9D"/>
    <w:rsid w:val="0027246D"/>
    <w:rsid w:val="002725BC"/>
    <w:rsid w:val="002731DE"/>
    <w:rsid w:val="002735F9"/>
    <w:rsid w:val="00273AC1"/>
    <w:rsid w:val="00273CD1"/>
    <w:rsid w:val="00274463"/>
    <w:rsid w:val="0027502F"/>
    <w:rsid w:val="00276292"/>
    <w:rsid w:val="00277C24"/>
    <w:rsid w:val="0028166F"/>
    <w:rsid w:val="00281733"/>
    <w:rsid w:val="0028174D"/>
    <w:rsid w:val="00281A30"/>
    <w:rsid w:val="002823D9"/>
    <w:rsid w:val="002831C6"/>
    <w:rsid w:val="00283FF9"/>
    <w:rsid w:val="00290B29"/>
    <w:rsid w:val="00291DCF"/>
    <w:rsid w:val="00292313"/>
    <w:rsid w:val="00294168"/>
    <w:rsid w:val="00294245"/>
    <w:rsid w:val="002948AE"/>
    <w:rsid w:val="00294FD0"/>
    <w:rsid w:val="002954DC"/>
    <w:rsid w:val="0029647F"/>
    <w:rsid w:val="00296B1E"/>
    <w:rsid w:val="00297ABC"/>
    <w:rsid w:val="002A063F"/>
    <w:rsid w:val="002A1884"/>
    <w:rsid w:val="002A2421"/>
    <w:rsid w:val="002A40A1"/>
    <w:rsid w:val="002A4594"/>
    <w:rsid w:val="002A4934"/>
    <w:rsid w:val="002A50A7"/>
    <w:rsid w:val="002A53B5"/>
    <w:rsid w:val="002A53F6"/>
    <w:rsid w:val="002A65C4"/>
    <w:rsid w:val="002A6CAA"/>
    <w:rsid w:val="002A6E13"/>
    <w:rsid w:val="002A6EA8"/>
    <w:rsid w:val="002B020A"/>
    <w:rsid w:val="002B334F"/>
    <w:rsid w:val="002B3E37"/>
    <w:rsid w:val="002B4100"/>
    <w:rsid w:val="002B4250"/>
    <w:rsid w:val="002B429D"/>
    <w:rsid w:val="002B43F3"/>
    <w:rsid w:val="002B462A"/>
    <w:rsid w:val="002B4830"/>
    <w:rsid w:val="002B4CAA"/>
    <w:rsid w:val="002B4F49"/>
    <w:rsid w:val="002B50AF"/>
    <w:rsid w:val="002B63FA"/>
    <w:rsid w:val="002B6AF0"/>
    <w:rsid w:val="002B73EC"/>
    <w:rsid w:val="002B7D36"/>
    <w:rsid w:val="002C1E78"/>
    <w:rsid w:val="002C21A1"/>
    <w:rsid w:val="002C4E8C"/>
    <w:rsid w:val="002C65D1"/>
    <w:rsid w:val="002D0261"/>
    <w:rsid w:val="002D1D1E"/>
    <w:rsid w:val="002D473A"/>
    <w:rsid w:val="002D4F37"/>
    <w:rsid w:val="002D54B7"/>
    <w:rsid w:val="002D61CE"/>
    <w:rsid w:val="002D6E03"/>
    <w:rsid w:val="002E030B"/>
    <w:rsid w:val="002E211F"/>
    <w:rsid w:val="002E397D"/>
    <w:rsid w:val="002E43B7"/>
    <w:rsid w:val="002E4405"/>
    <w:rsid w:val="002E4FDC"/>
    <w:rsid w:val="002E50F9"/>
    <w:rsid w:val="002E516E"/>
    <w:rsid w:val="002E5F0C"/>
    <w:rsid w:val="002E6386"/>
    <w:rsid w:val="002E6E73"/>
    <w:rsid w:val="002E773C"/>
    <w:rsid w:val="002E799C"/>
    <w:rsid w:val="002F140C"/>
    <w:rsid w:val="002F313C"/>
    <w:rsid w:val="002F4FA0"/>
    <w:rsid w:val="002F5F07"/>
    <w:rsid w:val="002F78C9"/>
    <w:rsid w:val="002F7F47"/>
    <w:rsid w:val="0030105C"/>
    <w:rsid w:val="003016D4"/>
    <w:rsid w:val="00301ACA"/>
    <w:rsid w:val="003042EB"/>
    <w:rsid w:val="00304846"/>
    <w:rsid w:val="00304930"/>
    <w:rsid w:val="0030523E"/>
    <w:rsid w:val="00306137"/>
    <w:rsid w:val="00306DCA"/>
    <w:rsid w:val="00312BC5"/>
    <w:rsid w:val="00312D97"/>
    <w:rsid w:val="00312FDE"/>
    <w:rsid w:val="0031493F"/>
    <w:rsid w:val="00315E58"/>
    <w:rsid w:val="00320A32"/>
    <w:rsid w:val="003219DB"/>
    <w:rsid w:val="00321B8B"/>
    <w:rsid w:val="00322518"/>
    <w:rsid w:val="00322C51"/>
    <w:rsid w:val="00322CBB"/>
    <w:rsid w:val="00322E38"/>
    <w:rsid w:val="003235C8"/>
    <w:rsid w:val="003249AC"/>
    <w:rsid w:val="0032597C"/>
    <w:rsid w:val="00327926"/>
    <w:rsid w:val="00327E12"/>
    <w:rsid w:val="003306BF"/>
    <w:rsid w:val="00331F49"/>
    <w:rsid w:val="00334155"/>
    <w:rsid w:val="00336613"/>
    <w:rsid w:val="00336FF6"/>
    <w:rsid w:val="0033715B"/>
    <w:rsid w:val="003400CE"/>
    <w:rsid w:val="00340ED2"/>
    <w:rsid w:val="00341DD1"/>
    <w:rsid w:val="00343604"/>
    <w:rsid w:val="00344186"/>
    <w:rsid w:val="00344D3F"/>
    <w:rsid w:val="0034504D"/>
    <w:rsid w:val="00345174"/>
    <w:rsid w:val="0034562A"/>
    <w:rsid w:val="00346AB1"/>
    <w:rsid w:val="003478A8"/>
    <w:rsid w:val="00351ABE"/>
    <w:rsid w:val="00351DAD"/>
    <w:rsid w:val="0035483B"/>
    <w:rsid w:val="0035620E"/>
    <w:rsid w:val="0035765D"/>
    <w:rsid w:val="00360CDE"/>
    <w:rsid w:val="003625AF"/>
    <w:rsid w:val="00363176"/>
    <w:rsid w:val="00363183"/>
    <w:rsid w:val="00363407"/>
    <w:rsid w:val="00363AF6"/>
    <w:rsid w:val="0036420B"/>
    <w:rsid w:val="00365954"/>
    <w:rsid w:val="0036673B"/>
    <w:rsid w:val="00366FCA"/>
    <w:rsid w:val="003675BA"/>
    <w:rsid w:val="00371330"/>
    <w:rsid w:val="00373067"/>
    <w:rsid w:val="00373624"/>
    <w:rsid w:val="00373ADE"/>
    <w:rsid w:val="00374643"/>
    <w:rsid w:val="003747CB"/>
    <w:rsid w:val="00374E61"/>
    <w:rsid w:val="0037554E"/>
    <w:rsid w:val="003759CE"/>
    <w:rsid w:val="00375AFE"/>
    <w:rsid w:val="00376E07"/>
    <w:rsid w:val="00380246"/>
    <w:rsid w:val="0038038C"/>
    <w:rsid w:val="00380DBE"/>
    <w:rsid w:val="003810F0"/>
    <w:rsid w:val="00381162"/>
    <w:rsid w:val="003822A8"/>
    <w:rsid w:val="00382632"/>
    <w:rsid w:val="00383151"/>
    <w:rsid w:val="00383223"/>
    <w:rsid w:val="003835FE"/>
    <w:rsid w:val="00384D3F"/>
    <w:rsid w:val="00386086"/>
    <w:rsid w:val="003860B5"/>
    <w:rsid w:val="003861AB"/>
    <w:rsid w:val="0038622A"/>
    <w:rsid w:val="00386A92"/>
    <w:rsid w:val="003879AC"/>
    <w:rsid w:val="00387B03"/>
    <w:rsid w:val="00387C8A"/>
    <w:rsid w:val="0039036E"/>
    <w:rsid w:val="00391D6F"/>
    <w:rsid w:val="00392C0A"/>
    <w:rsid w:val="0039497C"/>
    <w:rsid w:val="00395A18"/>
    <w:rsid w:val="0039632A"/>
    <w:rsid w:val="00396CFB"/>
    <w:rsid w:val="00397D39"/>
    <w:rsid w:val="003A15AE"/>
    <w:rsid w:val="003A1E5E"/>
    <w:rsid w:val="003A1F58"/>
    <w:rsid w:val="003A20DA"/>
    <w:rsid w:val="003A2119"/>
    <w:rsid w:val="003A2516"/>
    <w:rsid w:val="003A4F3E"/>
    <w:rsid w:val="003A53CD"/>
    <w:rsid w:val="003A6DB0"/>
    <w:rsid w:val="003A739B"/>
    <w:rsid w:val="003A79DB"/>
    <w:rsid w:val="003B2977"/>
    <w:rsid w:val="003B3314"/>
    <w:rsid w:val="003B3D85"/>
    <w:rsid w:val="003B3DD0"/>
    <w:rsid w:val="003B47DD"/>
    <w:rsid w:val="003B572B"/>
    <w:rsid w:val="003B5B99"/>
    <w:rsid w:val="003B7931"/>
    <w:rsid w:val="003C13A2"/>
    <w:rsid w:val="003C24E4"/>
    <w:rsid w:val="003C25AC"/>
    <w:rsid w:val="003C314D"/>
    <w:rsid w:val="003C45C1"/>
    <w:rsid w:val="003C4867"/>
    <w:rsid w:val="003C4B7D"/>
    <w:rsid w:val="003C51E1"/>
    <w:rsid w:val="003C553A"/>
    <w:rsid w:val="003C5C8B"/>
    <w:rsid w:val="003C664A"/>
    <w:rsid w:val="003C70C3"/>
    <w:rsid w:val="003D0298"/>
    <w:rsid w:val="003D0C21"/>
    <w:rsid w:val="003D168D"/>
    <w:rsid w:val="003D248B"/>
    <w:rsid w:val="003D2BC9"/>
    <w:rsid w:val="003D2F9B"/>
    <w:rsid w:val="003D4271"/>
    <w:rsid w:val="003D4CE3"/>
    <w:rsid w:val="003D4ED4"/>
    <w:rsid w:val="003D53B8"/>
    <w:rsid w:val="003D5D7B"/>
    <w:rsid w:val="003D6A43"/>
    <w:rsid w:val="003D6D33"/>
    <w:rsid w:val="003D750D"/>
    <w:rsid w:val="003E01A1"/>
    <w:rsid w:val="003E1251"/>
    <w:rsid w:val="003E2170"/>
    <w:rsid w:val="003E33C3"/>
    <w:rsid w:val="003E375A"/>
    <w:rsid w:val="003E4294"/>
    <w:rsid w:val="003E4B5E"/>
    <w:rsid w:val="003E5F30"/>
    <w:rsid w:val="003E6165"/>
    <w:rsid w:val="003E65E7"/>
    <w:rsid w:val="003E6A8F"/>
    <w:rsid w:val="003E6E8B"/>
    <w:rsid w:val="003E7A6E"/>
    <w:rsid w:val="003E7AEA"/>
    <w:rsid w:val="003F0994"/>
    <w:rsid w:val="003F0FB1"/>
    <w:rsid w:val="003F1381"/>
    <w:rsid w:val="003F1663"/>
    <w:rsid w:val="003F180A"/>
    <w:rsid w:val="003F2C9D"/>
    <w:rsid w:val="003F2E2D"/>
    <w:rsid w:val="003F3194"/>
    <w:rsid w:val="003F333E"/>
    <w:rsid w:val="003F3D93"/>
    <w:rsid w:val="003F46FA"/>
    <w:rsid w:val="003F6424"/>
    <w:rsid w:val="003F665E"/>
    <w:rsid w:val="003F6C61"/>
    <w:rsid w:val="003F7844"/>
    <w:rsid w:val="003F78C1"/>
    <w:rsid w:val="003F7A1E"/>
    <w:rsid w:val="004007AC"/>
    <w:rsid w:val="004017B6"/>
    <w:rsid w:val="00401DF0"/>
    <w:rsid w:val="0040227E"/>
    <w:rsid w:val="004023B5"/>
    <w:rsid w:val="00403973"/>
    <w:rsid w:val="00403ADC"/>
    <w:rsid w:val="0040424A"/>
    <w:rsid w:val="0040693B"/>
    <w:rsid w:val="004103CD"/>
    <w:rsid w:val="00410A18"/>
    <w:rsid w:val="00410CBE"/>
    <w:rsid w:val="00411600"/>
    <w:rsid w:val="004119E8"/>
    <w:rsid w:val="00411E44"/>
    <w:rsid w:val="004134D7"/>
    <w:rsid w:val="004138A5"/>
    <w:rsid w:val="00414885"/>
    <w:rsid w:val="004148C0"/>
    <w:rsid w:val="00414F98"/>
    <w:rsid w:val="004151E1"/>
    <w:rsid w:val="0041560D"/>
    <w:rsid w:val="00416112"/>
    <w:rsid w:val="00422070"/>
    <w:rsid w:val="0042395F"/>
    <w:rsid w:val="0042568D"/>
    <w:rsid w:val="00425EE1"/>
    <w:rsid w:val="00426918"/>
    <w:rsid w:val="0042694A"/>
    <w:rsid w:val="0042707B"/>
    <w:rsid w:val="00427933"/>
    <w:rsid w:val="00430741"/>
    <w:rsid w:val="00431115"/>
    <w:rsid w:val="00431F6C"/>
    <w:rsid w:val="00435253"/>
    <w:rsid w:val="004359BB"/>
    <w:rsid w:val="00440DF1"/>
    <w:rsid w:val="004419F6"/>
    <w:rsid w:val="00441D72"/>
    <w:rsid w:val="00441DF5"/>
    <w:rsid w:val="00443054"/>
    <w:rsid w:val="00443D46"/>
    <w:rsid w:val="004442CB"/>
    <w:rsid w:val="00446455"/>
    <w:rsid w:val="0045049B"/>
    <w:rsid w:val="00451D3D"/>
    <w:rsid w:val="00451D41"/>
    <w:rsid w:val="00451DA6"/>
    <w:rsid w:val="00454277"/>
    <w:rsid w:val="00454FE1"/>
    <w:rsid w:val="00456A58"/>
    <w:rsid w:val="00456AB3"/>
    <w:rsid w:val="00456C45"/>
    <w:rsid w:val="00457149"/>
    <w:rsid w:val="0046047E"/>
    <w:rsid w:val="00464590"/>
    <w:rsid w:val="00464C75"/>
    <w:rsid w:val="004658D1"/>
    <w:rsid w:val="00466053"/>
    <w:rsid w:val="00466B8D"/>
    <w:rsid w:val="00470794"/>
    <w:rsid w:val="00471C65"/>
    <w:rsid w:val="00471DCC"/>
    <w:rsid w:val="004729E0"/>
    <w:rsid w:val="004736F8"/>
    <w:rsid w:val="00473850"/>
    <w:rsid w:val="00473A4D"/>
    <w:rsid w:val="00473DD7"/>
    <w:rsid w:val="00473E98"/>
    <w:rsid w:val="004740E8"/>
    <w:rsid w:val="004745DA"/>
    <w:rsid w:val="00474896"/>
    <w:rsid w:val="00475E79"/>
    <w:rsid w:val="00476C08"/>
    <w:rsid w:val="0047789A"/>
    <w:rsid w:val="004800AE"/>
    <w:rsid w:val="004804C5"/>
    <w:rsid w:val="00480BEA"/>
    <w:rsid w:val="004811CE"/>
    <w:rsid w:val="0048145E"/>
    <w:rsid w:val="00483334"/>
    <w:rsid w:val="004834B7"/>
    <w:rsid w:val="00483779"/>
    <w:rsid w:val="0048380E"/>
    <w:rsid w:val="00484E80"/>
    <w:rsid w:val="00486367"/>
    <w:rsid w:val="00486665"/>
    <w:rsid w:val="0048668C"/>
    <w:rsid w:val="00486957"/>
    <w:rsid w:val="00486971"/>
    <w:rsid w:val="00486BE3"/>
    <w:rsid w:val="00487D91"/>
    <w:rsid w:val="00490395"/>
    <w:rsid w:val="0049137F"/>
    <w:rsid w:val="00491ECF"/>
    <w:rsid w:val="00492379"/>
    <w:rsid w:val="004923EB"/>
    <w:rsid w:val="0049240B"/>
    <w:rsid w:val="004926C8"/>
    <w:rsid w:val="0049342D"/>
    <w:rsid w:val="0049420B"/>
    <w:rsid w:val="0049474F"/>
    <w:rsid w:val="00494B26"/>
    <w:rsid w:val="004954D4"/>
    <w:rsid w:val="00495856"/>
    <w:rsid w:val="00497316"/>
    <w:rsid w:val="00497C0D"/>
    <w:rsid w:val="00497CF7"/>
    <w:rsid w:val="004A17E0"/>
    <w:rsid w:val="004A57F6"/>
    <w:rsid w:val="004A5A2F"/>
    <w:rsid w:val="004A613F"/>
    <w:rsid w:val="004B0D97"/>
    <w:rsid w:val="004B106A"/>
    <w:rsid w:val="004B2560"/>
    <w:rsid w:val="004B31ED"/>
    <w:rsid w:val="004B394F"/>
    <w:rsid w:val="004B3D81"/>
    <w:rsid w:val="004B4A35"/>
    <w:rsid w:val="004B4FD3"/>
    <w:rsid w:val="004C1432"/>
    <w:rsid w:val="004C25B5"/>
    <w:rsid w:val="004C2898"/>
    <w:rsid w:val="004C31A0"/>
    <w:rsid w:val="004C3ECD"/>
    <w:rsid w:val="004C4576"/>
    <w:rsid w:val="004C5C3B"/>
    <w:rsid w:val="004C5E86"/>
    <w:rsid w:val="004C641B"/>
    <w:rsid w:val="004C7EFC"/>
    <w:rsid w:val="004D0505"/>
    <w:rsid w:val="004D05C8"/>
    <w:rsid w:val="004D0B18"/>
    <w:rsid w:val="004D0DD0"/>
    <w:rsid w:val="004D194A"/>
    <w:rsid w:val="004D27F6"/>
    <w:rsid w:val="004D4A2C"/>
    <w:rsid w:val="004D7611"/>
    <w:rsid w:val="004E11D8"/>
    <w:rsid w:val="004E22AA"/>
    <w:rsid w:val="004E2B43"/>
    <w:rsid w:val="004E2BB0"/>
    <w:rsid w:val="004E3225"/>
    <w:rsid w:val="004E38D7"/>
    <w:rsid w:val="004E40FD"/>
    <w:rsid w:val="004E4C79"/>
    <w:rsid w:val="004E505A"/>
    <w:rsid w:val="004E58BC"/>
    <w:rsid w:val="004E6043"/>
    <w:rsid w:val="004E72DE"/>
    <w:rsid w:val="004E7417"/>
    <w:rsid w:val="004E7689"/>
    <w:rsid w:val="004F1C9C"/>
    <w:rsid w:val="004F33BF"/>
    <w:rsid w:val="004F461A"/>
    <w:rsid w:val="004F4B9A"/>
    <w:rsid w:val="004F4D6A"/>
    <w:rsid w:val="004F5900"/>
    <w:rsid w:val="004F5FF4"/>
    <w:rsid w:val="004F706D"/>
    <w:rsid w:val="004F7483"/>
    <w:rsid w:val="004F7758"/>
    <w:rsid w:val="0050077F"/>
    <w:rsid w:val="00500AAC"/>
    <w:rsid w:val="00500DEF"/>
    <w:rsid w:val="00501CB0"/>
    <w:rsid w:val="0050235E"/>
    <w:rsid w:val="00502D50"/>
    <w:rsid w:val="00510E54"/>
    <w:rsid w:val="0051107A"/>
    <w:rsid w:val="00511BBB"/>
    <w:rsid w:val="00512339"/>
    <w:rsid w:val="005128CD"/>
    <w:rsid w:val="005129C3"/>
    <w:rsid w:val="005133E4"/>
    <w:rsid w:val="00513906"/>
    <w:rsid w:val="00513BB6"/>
    <w:rsid w:val="00513BF3"/>
    <w:rsid w:val="00514119"/>
    <w:rsid w:val="0051489E"/>
    <w:rsid w:val="00514AFF"/>
    <w:rsid w:val="00515879"/>
    <w:rsid w:val="00516517"/>
    <w:rsid w:val="005175EF"/>
    <w:rsid w:val="005179A1"/>
    <w:rsid w:val="00521191"/>
    <w:rsid w:val="005218C3"/>
    <w:rsid w:val="00522159"/>
    <w:rsid w:val="0052483D"/>
    <w:rsid w:val="00525623"/>
    <w:rsid w:val="0052604A"/>
    <w:rsid w:val="005269C2"/>
    <w:rsid w:val="00527D76"/>
    <w:rsid w:val="00531978"/>
    <w:rsid w:val="005353EA"/>
    <w:rsid w:val="00535619"/>
    <w:rsid w:val="005367D5"/>
    <w:rsid w:val="005369AA"/>
    <w:rsid w:val="00536FF5"/>
    <w:rsid w:val="00537E35"/>
    <w:rsid w:val="00540A1E"/>
    <w:rsid w:val="00540D4C"/>
    <w:rsid w:val="00541BE6"/>
    <w:rsid w:val="00542FFC"/>
    <w:rsid w:val="00543D20"/>
    <w:rsid w:val="00543F37"/>
    <w:rsid w:val="00545AD4"/>
    <w:rsid w:val="005461C0"/>
    <w:rsid w:val="00547B1C"/>
    <w:rsid w:val="005504BC"/>
    <w:rsid w:val="00551791"/>
    <w:rsid w:val="00552EB3"/>
    <w:rsid w:val="005531E8"/>
    <w:rsid w:val="00553AA5"/>
    <w:rsid w:val="005543E0"/>
    <w:rsid w:val="00555259"/>
    <w:rsid w:val="005556B2"/>
    <w:rsid w:val="00556BD7"/>
    <w:rsid w:val="005576A6"/>
    <w:rsid w:val="00561459"/>
    <w:rsid w:val="00561B12"/>
    <w:rsid w:val="0056204C"/>
    <w:rsid w:val="00562433"/>
    <w:rsid w:val="00562F0E"/>
    <w:rsid w:val="005647C8"/>
    <w:rsid w:val="00565D72"/>
    <w:rsid w:val="00565F80"/>
    <w:rsid w:val="005660FD"/>
    <w:rsid w:val="005672B5"/>
    <w:rsid w:val="005700FC"/>
    <w:rsid w:val="00571660"/>
    <w:rsid w:val="0057283B"/>
    <w:rsid w:val="0057447B"/>
    <w:rsid w:val="00575B51"/>
    <w:rsid w:val="00576178"/>
    <w:rsid w:val="0057789C"/>
    <w:rsid w:val="005819C5"/>
    <w:rsid w:val="005824E9"/>
    <w:rsid w:val="005837BD"/>
    <w:rsid w:val="005843E2"/>
    <w:rsid w:val="0058464C"/>
    <w:rsid w:val="00584756"/>
    <w:rsid w:val="005860FD"/>
    <w:rsid w:val="00587EE4"/>
    <w:rsid w:val="00590091"/>
    <w:rsid w:val="0059072C"/>
    <w:rsid w:val="005915D6"/>
    <w:rsid w:val="005919F3"/>
    <w:rsid w:val="00591A40"/>
    <w:rsid w:val="00591F96"/>
    <w:rsid w:val="00593163"/>
    <w:rsid w:val="00594F37"/>
    <w:rsid w:val="00597441"/>
    <w:rsid w:val="005A0888"/>
    <w:rsid w:val="005A1AFE"/>
    <w:rsid w:val="005A1E5F"/>
    <w:rsid w:val="005A2F63"/>
    <w:rsid w:val="005A2F6F"/>
    <w:rsid w:val="005A573D"/>
    <w:rsid w:val="005A59F4"/>
    <w:rsid w:val="005A5B9A"/>
    <w:rsid w:val="005A5C27"/>
    <w:rsid w:val="005A5EEE"/>
    <w:rsid w:val="005A6B9B"/>
    <w:rsid w:val="005A7708"/>
    <w:rsid w:val="005B0F17"/>
    <w:rsid w:val="005B1237"/>
    <w:rsid w:val="005B368D"/>
    <w:rsid w:val="005B3C09"/>
    <w:rsid w:val="005B3E85"/>
    <w:rsid w:val="005B50B8"/>
    <w:rsid w:val="005B5B2D"/>
    <w:rsid w:val="005B5BFC"/>
    <w:rsid w:val="005B712D"/>
    <w:rsid w:val="005B7C09"/>
    <w:rsid w:val="005B7C8A"/>
    <w:rsid w:val="005C138B"/>
    <w:rsid w:val="005C1B8F"/>
    <w:rsid w:val="005C1BFC"/>
    <w:rsid w:val="005C3F96"/>
    <w:rsid w:val="005C47F7"/>
    <w:rsid w:val="005C489D"/>
    <w:rsid w:val="005C59CE"/>
    <w:rsid w:val="005C5F99"/>
    <w:rsid w:val="005C6529"/>
    <w:rsid w:val="005D027D"/>
    <w:rsid w:val="005D1B1B"/>
    <w:rsid w:val="005D1F76"/>
    <w:rsid w:val="005D1FFE"/>
    <w:rsid w:val="005D25EC"/>
    <w:rsid w:val="005D2ABC"/>
    <w:rsid w:val="005D2D13"/>
    <w:rsid w:val="005D5383"/>
    <w:rsid w:val="005D54CA"/>
    <w:rsid w:val="005D5717"/>
    <w:rsid w:val="005D5879"/>
    <w:rsid w:val="005D5CD7"/>
    <w:rsid w:val="005D6827"/>
    <w:rsid w:val="005D69B9"/>
    <w:rsid w:val="005D7D4E"/>
    <w:rsid w:val="005D7FB3"/>
    <w:rsid w:val="005E038B"/>
    <w:rsid w:val="005E1543"/>
    <w:rsid w:val="005E18EB"/>
    <w:rsid w:val="005E1D1F"/>
    <w:rsid w:val="005E20BF"/>
    <w:rsid w:val="005E2179"/>
    <w:rsid w:val="005E2647"/>
    <w:rsid w:val="005E28CB"/>
    <w:rsid w:val="005E29EA"/>
    <w:rsid w:val="005E3D7F"/>
    <w:rsid w:val="005E3EFB"/>
    <w:rsid w:val="005E56E6"/>
    <w:rsid w:val="005E61ED"/>
    <w:rsid w:val="005F128A"/>
    <w:rsid w:val="005F1373"/>
    <w:rsid w:val="005F2246"/>
    <w:rsid w:val="005F4085"/>
    <w:rsid w:val="005F505E"/>
    <w:rsid w:val="005F70AA"/>
    <w:rsid w:val="00600B02"/>
    <w:rsid w:val="00600D22"/>
    <w:rsid w:val="00601444"/>
    <w:rsid w:val="006025A4"/>
    <w:rsid w:val="00602EF3"/>
    <w:rsid w:val="006036FD"/>
    <w:rsid w:val="006049B0"/>
    <w:rsid w:val="00604DF0"/>
    <w:rsid w:val="006055A2"/>
    <w:rsid w:val="00605B93"/>
    <w:rsid w:val="006109F6"/>
    <w:rsid w:val="0061177B"/>
    <w:rsid w:val="006124DB"/>
    <w:rsid w:val="006125FB"/>
    <w:rsid w:val="0061276B"/>
    <w:rsid w:val="00613183"/>
    <w:rsid w:val="0061362E"/>
    <w:rsid w:val="0061448F"/>
    <w:rsid w:val="0061461A"/>
    <w:rsid w:val="00615341"/>
    <w:rsid w:val="0061616D"/>
    <w:rsid w:val="006162EB"/>
    <w:rsid w:val="006163AE"/>
    <w:rsid w:val="00616ADA"/>
    <w:rsid w:val="006175A7"/>
    <w:rsid w:val="006220FA"/>
    <w:rsid w:val="006222BF"/>
    <w:rsid w:val="006239C7"/>
    <w:rsid w:val="00623BE6"/>
    <w:rsid w:val="0062454B"/>
    <w:rsid w:val="006252C6"/>
    <w:rsid w:val="0062576C"/>
    <w:rsid w:val="00626033"/>
    <w:rsid w:val="006304A1"/>
    <w:rsid w:val="00630505"/>
    <w:rsid w:val="00630922"/>
    <w:rsid w:val="00630E11"/>
    <w:rsid w:val="00631143"/>
    <w:rsid w:val="00631459"/>
    <w:rsid w:val="00631C17"/>
    <w:rsid w:val="0063248E"/>
    <w:rsid w:val="006324CB"/>
    <w:rsid w:val="00632CF0"/>
    <w:rsid w:val="00632E7D"/>
    <w:rsid w:val="006331B0"/>
    <w:rsid w:val="006336F5"/>
    <w:rsid w:val="0063415D"/>
    <w:rsid w:val="00634539"/>
    <w:rsid w:val="006345B2"/>
    <w:rsid w:val="006360DB"/>
    <w:rsid w:val="00636B85"/>
    <w:rsid w:val="006375CA"/>
    <w:rsid w:val="00643DC9"/>
    <w:rsid w:val="00644015"/>
    <w:rsid w:val="00645B1B"/>
    <w:rsid w:val="00646043"/>
    <w:rsid w:val="006460B8"/>
    <w:rsid w:val="0064646B"/>
    <w:rsid w:val="00647078"/>
    <w:rsid w:val="006479EF"/>
    <w:rsid w:val="00650092"/>
    <w:rsid w:val="006514A3"/>
    <w:rsid w:val="006529AA"/>
    <w:rsid w:val="00654707"/>
    <w:rsid w:val="00656C31"/>
    <w:rsid w:val="0066010E"/>
    <w:rsid w:val="00660D00"/>
    <w:rsid w:val="00664D23"/>
    <w:rsid w:val="0066605E"/>
    <w:rsid w:val="0066658E"/>
    <w:rsid w:val="006668D8"/>
    <w:rsid w:val="00666D5A"/>
    <w:rsid w:val="006672E3"/>
    <w:rsid w:val="00667656"/>
    <w:rsid w:val="00670051"/>
    <w:rsid w:val="00670523"/>
    <w:rsid w:val="00670587"/>
    <w:rsid w:val="00670753"/>
    <w:rsid w:val="00672D7A"/>
    <w:rsid w:val="0067419C"/>
    <w:rsid w:val="00675794"/>
    <w:rsid w:val="006765F9"/>
    <w:rsid w:val="00680333"/>
    <w:rsid w:val="00680E08"/>
    <w:rsid w:val="00681DA9"/>
    <w:rsid w:val="00682ADF"/>
    <w:rsid w:val="00683C7D"/>
    <w:rsid w:val="00684D1B"/>
    <w:rsid w:val="006856D8"/>
    <w:rsid w:val="00685C4F"/>
    <w:rsid w:val="00686D1E"/>
    <w:rsid w:val="00686E4E"/>
    <w:rsid w:val="00687774"/>
    <w:rsid w:val="00687F36"/>
    <w:rsid w:val="00690C0D"/>
    <w:rsid w:val="006915C5"/>
    <w:rsid w:val="00692151"/>
    <w:rsid w:val="00692678"/>
    <w:rsid w:val="00692B5D"/>
    <w:rsid w:val="00693E90"/>
    <w:rsid w:val="00694221"/>
    <w:rsid w:val="00694365"/>
    <w:rsid w:val="0069437A"/>
    <w:rsid w:val="00695011"/>
    <w:rsid w:val="00695F9C"/>
    <w:rsid w:val="00696E76"/>
    <w:rsid w:val="00697198"/>
    <w:rsid w:val="00697AE2"/>
    <w:rsid w:val="00697B1F"/>
    <w:rsid w:val="006A01D7"/>
    <w:rsid w:val="006A424B"/>
    <w:rsid w:val="006A6EF2"/>
    <w:rsid w:val="006A7B6C"/>
    <w:rsid w:val="006B0C01"/>
    <w:rsid w:val="006B16CD"/>
    <w:rsid w:val="006B22CB"/>
    <w:rsid w:val="006B2C36"/>
    <w:rsid w:val="006B4C20"/>
    <w:rsid w:val="006B5FC7"/>
    <w:rsid w:val="006B664F"/>
    <w:rsid w:val="006B72DC"/>
    <w:rsid w:val="006C0489"/>
    <w:rsid w:val="006C0DF1"/>
    <w:rsid w:val="006C171D"/>
    <w:rsid w:val="006C19FF"/>
    <w:rsid w:val="006C23C1"/>
    <w:rsid w:val="006C3144"/>
    <w:rsid w:val="006C343B"/>
    <w:rsid w:val="006C4152"/>
    <w:rsid w:val="006C4B0D"/>
    <w:rsid w:val="006C4C83"/>
    <w:rsid w:val="006C50E1"/>
    <w:rsid w:val="006C5C95"/>
    <w:rsid w:val="006C674D"/>
    <w:rsid w:val="006C70ED"/>
    <w:rsid w:val="006D045D"/>
    <w:rsid w:val="006D05F8"/>
    <w:rsid w:val="006D176D"/>
    <w:rsid w:val="006D219A"/>
    <w:rsid w:val="006D2FCF"/>
    <w:rsid w:val="006D3126"/>
    <w:rsid w:val="006D3407"/>
    <w:rsid w:val="006D34ED"/>
    <w:rsid w:val="006D44D3"/>
    <w:rsid w:val="006D49F8"/>
    <w:rsid w:val="006D4B4E"/>
    <w:rsid w:val="006D526E"/>
    <w:rsid w:val="006D52C6"/>
    <w:rsid w:val="006D64A8"/>
    <w:rsid w:val="006D65A1"/>
    <w:rsid w:val="006D68FE"/>
    <w:rsid w:val="006D6F0C"/>
    <w:rsid w:val="006E02C8"/>
    <w:rsid w:val="006E0832"/>
    <w:rsid w:val="006E11C5"/>
    <w:rsid w:val="006E183D"/>
    <w:rsid w:val="006E1A24"/>
    <w:rsid w:val="006E2139"/>
    <w:rsid w:val="006E2E96"/>
    <w:rsid w:val="006E31DC"/>
    <w:rsid w:val="006E4ADC"/>
    <w:rsid w:val="006E5B1C"/>
    <w:rsid w:val="006E6CC3"/>
    <w:rsid w:val="006F01DD"/>
    <w:rsid w:val="006F0C68"/>
    <w:rsid w:val="006F10FB"/>
    <w:rsid w:val="006F1799"/>
    <w:rsid w:val="006F1912"/>
    <w:rsid w:val="006F22ED"/>
    <w:rsid w:val="006F2309"/>
    <w:rsid w:val="006F40E3"/>
    <w:rsid w:val="006F4D78"/>
    <w:rsid w:val="006F511E"/>
    <w:rsid w:val="006F5CBA"/>
    <w:rsid w:val="006F5D72"/>
    <w:rsid w:val="00700807"/>
    <w:rsid w:val="00702538"/>
    <w:rsid w:val="007025D9"/>
    <w:rsid w:val="0070369D"/>
    <w:rsid w:val="00704431"/>
    <w:rsid w:val="007052B7"/>
    <w:rsid w:val="00705A09"/>
    <w:rsid w:val="00710360"/>
    <w:rsid w:val="0071320D"/>
    <w:rsid w:val="00714CC3"/>
    <w:rsid w:val="00716505"/>
    <w:rsid w:val="00716674"/>
    <w:rsid w:val="007174F3"/>
    <w:rsid w:val="0072002A"/>
    <w:rsid w:val="0072015A"/>
    <w:rsid w:val="00720230"/>
    <w:rsid w:val="00720865"/>
    <w:rsid w:val="00723121"/>
    <w:rsid w:val="007232E0"/>
    <w:rsid w:val="007249B2"/>
    <w:rsid w:val="00724A9A"/>
    <w:rsid w:val="00725BBB"/>
    <w:rsid w:val="007270F4"/>
    <w:rsid w:val="007278D9"/>
    <w:rsid w:val="007278E5"/>
    <w:rsid w:val="00731276"/>
    <w:rsid w:val="00733729"/>
    <w:rsid w:val="00733D36"/>
    <w:rsid w:val="007340FB"/>
    <w:rsid w:val="007343EB"/>
    <w:rsid w:val="00737B21"/>
    <w:rsid w:val="0074044E"/>
    <w:rsid w:val="007408CB"/>
    <w:rsid w:val="00740F2A"/>
    <w:rsid w:val="0074312B"/>
    <w:rsid w:val="007443F6"/>
    <w:rsid w:val="007453B6"/>
    <w:rsid w:val="007458FA"/>
    <w:rsid w:val="00746054"/>
    <w:rsid w:val="007467DE"/>
    <w:rsid w:val="00747710"/>
    <w:rsid w:val="00747E84"/>
    <w:rsid w:val="00750ADF"/>
    <w:rsid w:val="00751CC5"/>
    <w:rsid w:val="00753357"/>
    <w:rsid w:val="00755256"/>
    <w:rsid w:val="007552CC"/>
    <w:rsid w:val="00755907"/>
    <w:rsid w:val="007562DA"/>
    <w:rsid w:val="00756F82"/>
    <w:rsid w:val="0075756B"/>
    <w:rsid w:val="00757C70"/>
    <w:rsid w:val="0076059A"/>
    <w:rsid w:val="007627D2"/>
    <w:rsid w:val="00762C7C"/>
    <w:rsid w:val="00762FBE"/>
    <w:rsid w:val="007634A9"/>
    <w:rsid w:val="0076356B"/>
    <w:rsid w:val="007651EA"/>
    <w:rsid w:val="007664E4"/>
    <w:rsid w:val="00766A7A"/>
    <w:rsid w:val="00767C0E"/>
    <w:rsid w:val="007706BF"/>
    <w:rsid w:val="00771056"/>
    <w:rsid w:val="00771BAB"/>
    <w:rsid w:val="00771C54"/>
    <w:rsid w:val="007740BD"/>
    <w:rsid w:val="0077418B"/>
    <w:rsid w:val="00774279"/>
    <w:rsid w:val="007747BE"/>
    <w:rsid w:val="00775886"/>
    <w:rsid w:val="007768DF"/>
    <w:rsid w:val="007768FB"/>
    <w:rsid w:val="00776F99"/>
    <w:rsid w:val="00777C67"/>
    <w:rsid w:val="007802AD"/>
    <w:rsid w:val="0078047F"/>
    <w:rsid w:val="00780E29"/>
    <w:rsid w:val="00781203"/>
    <w:rsid w:val="00781312"/>
    <w:rsid w:val="00781F73"/>
    <w:rsid w:val="00782FF3"/>
    <w:rsid w:val="00783189"/>
    <w:rsid w:val="00783A33"/>
    <w:rsid w:val="007845E1"/>
    <w:rsid w:val="00784ACA"/>
    <w:rsid w:val="00784C55"/>
    <w:rsid w:val="00785927"/>
    <w:rsid w:val="00785982"/>
    <w:rsid w:val="00785B2E"/>
    <w:rsid w:val="00787686"/>
    <w:rsid w:val="00787E50"/>
    <w:rsid w:val="0079063F"/>
    <w:rsid w:val="00790C8A"/>
    <w:rsid w:val="007923A9"/>
    <w:rsid w:val="00793850"/>
    <w:rsid w:val="00793A89"/>
    <w:rsid w:val="00793D9F"/>
    <w:rsid w:val="00794E55"/>
    <w:rsid w:val="00795EF2"/>
    <w:rsid w:val="007968B8"/>
    <w:rsid w:val="00796B1B"/>
    <w:rsid w:val="007A0B2C"/>
    <w:rsid w:val="007A0FEC"/>
    <w:rsid w:val="007A12C9"/>
    <w:rsid w:val="007A1361"/>
    <w:rsid w:val="007A17BB"/>
    <w:rsid w:val="007A272C"/>
    <w:rsid w:val="007A2810"/>
    <w:rsid w:val="007A2B3E"/>
    <w:rsid w:val="007A2EE6"/>
    <w:rsid w:val="007A4CE0"/>
    <w:rsid w:val="007A584C"/>
    <w:rsid w:val="007A6EEF"/>
    <w:rsid w:val="007A71AC"/>
    <w:rsid w:val="007A7AF1"/>
    <w:rsid w:val="007B1197"/>
    <w:rsid w:val="007B18D0"/>
    <w:rsid w:val="007B1F3E"/>
    <w:rsid w:val="007B21AB"/>
    <w:rsid w:val="007B2E9D"/>
    <w:rsid w:val="007B5A32"/>
    <w:rsid w:val="007B5E8E"/>
    <w:rsid w:val="007B6843"/>
    <w:rsid w:val="007C0A36"/>
    <w:rsid w:val="007C0B6B"/>
    <w:rsid w:val="007C0D75"/>
    <w:rsid w:val="007C126B"/>
    <w:rsid w:val="007C13B8"/>
    <w:rsid w:val="007C2617"/>
    <w:rsid w:val="007C2FE3"/>
    <w:rsid w:val="007C3072"/>
    <w:rsid w:val="007C38C6"/>
    <w:rsid w:val="007C434D"/>
    <w:rsid w:val="007C4B09"/>
    <w:rsid w:val="007C4D6B"/>
    <w:rsid w:val="007C4FEE"/>
    <w:rsid w:val="007C68B5"/>
    <w:rsid w:val="007C79A2"/>
    <w:rsid w:val="007D01CA"/>
    <w:rsid w:val="007D1457"/>
    <w:rsid w:val="007D1D5D"/>
    <w:rsid w:val="007D2511"/>
    <w:rsid w:val="007D26DC"/>
    <w:rsid w:val="007D354A"/>
    <w:rsid w:val="007D38A5"/>
    <w:rsid w:val="007D41D8"/>
    <w:rsid w:val="007D4B97"/>
    <w:rsid w:val="007D4FDA"/>
    <w:rsid w:val="007D5AD8"/>
    <w:rsid w:val="007D6269"/>
    <w:rsid w:val="007D62F3"/>
    <w:rsid w:val="007D6425"/>
    <w:rsid w:val="007D7696"/>
    <w:rsid w:val="007E01D5"/>
    <w:rsid w:val="007E120E"/>
    <w:rsid w:val="007E2EDC"/>
    <w:rsid w:val="007E48CF"/>
    <w:rsid w:val="007F00FF"/>
    <w:rsid w:val="007F035B"/>
    <w:rsid w:val="007F1946"/>
    <w:rsid w:val="007F2D88"/>
    <w:rsid w:val="007F31B2"/>
    <w:rsid w:val="007F34B6"/>
    <w:rsid w:val="007F352D"/>
    <w:rsid w:val="007F446E"/>
    <w:rsid w:val="007F497E"/>
    <w:rsid w:val="007F549E"/>
    <w:rsid w:val="007F607A"/>
    <w:rsid w:val="007F6FB1"/>
    <w:rsid w:val="007F71DF"/>
    <w:rsid w:val="008000B4"/>
    <w:rsid w:val="00800403"/>
    <w:rsid w:val="0080076A"/>
    <w:rsid w:val="00801EB3"/>
    <w:rsid w:val="00803052"/>
    <w:rsid w:val="008033C2"/>
    <w:rsid w:val="0080342B"/>
    <w:rsid w:val="00803AF3"/>
    <w:rsid w:val="00803DB8"/>
    <w:rsid w:val="00804AA4"/>
    <w:rsid w:val="00805FBE"/>
    <w:rsid w:val="00806A19"/>
    <w:rsid w:val="00806A3A"/>
    <w:rsid w:val="00810570"/>
    <w:rsid w:val="00810F64"/>
    <w:rsid w:val="00812232"/>
    <w:rsid w:val="00812AA1"/>
    <w:rsid w:val="008131FA"/>
    <w:rsid w:val="008133C0"/>
    <w:rsid w:val="00814A3A"/>
    <w:rsid w:val="00814E32"/>
    <w:rsid w:val="00815A3E"/>
    <w:rsid w:val="00815B82"/>
    <w:rsid w:val="008164E8"/>
    <w:rsid w:val="008177EE"/>
    <w:rsid w:val="00820BED"/>
    <w:rsid w:val="00821692"/>
    <w:rsid w:val="00821B54"/>
    <w:rsid w:val="00821CD1"/>
    <w:rsid w:val="00822091"/>
    <w:rsid w:val="00822725"/>
    <w:rsid w:val="00822A6D"/>
    <w:rsid w:val="00822E81"/>
    <w:rsid w:val="00823311"/>
    <w:rsid w:val="00823C69"/>
    <w:rsid w:val="008246E3"/>
    <w:rsid w:val="008259CF"/>
    <w:rsid w:val="00825DC8"/>
    <w:rsid w:val="00825E35"/>
    <w:rsid w:val="00827686"/>
    <w:rsid w:val="00827EC4"/>
    <w:rsid w:val="00830CC4"/>
    <w:rsid w:val="0083168B"/>
    <w:rsid w:val="00831D33"/>
    <w:rsid w:val="00832D88"/>
    <w:rsid w:val="00832F6E"/>
    <w:rsid w:val="0083338D"/>
    <w:rsid w:val="00833420"/>
    <w:rsid w:val="00833722"/>
    <w:rsid w:val="00833FB6"/>
    <w:rsid w:val="00834BC3"/>
    <w:rsid w:val="00840994"/>
    <w:rsid w:val="00841852"/>
    <w:rsid w:val="00842FE7"/>
    <w:rsid w:val="008440E1"/>
    <w:rsid w:val="00844277"/>
    <w:rsid w:val="00844434"/>
    <w:rsid w:val="008448BD"/>
    <w:rsid w:val="00844F3B"/>
    <w:rsid w:val="008455EF"/>
    <w:rsid w:val="00845891"/>
    <w:rsid w:val="008464FF"/>
    <w:rsid w:val="0084695A"/>
    <w:rsid w:val="00850E16"/>
    <w:rsid w:val="00852018"/>
    <w:rsid w:val="00852403"/>
    <w:rsid w:val="008543E8"/>
    <w:rsid w:val="00856121"/>
    <w:rsid w:val="00860AF0"/>
    <w:rsid w:val="008618B2"/>
    <w:rsid w:val="008626CE"/>
    <w:rsid w:val="00862760"/>
    <w:rsid w:val="00863F13"/>
    <w:rsid w:val="00867A25"/>
    <w:rsid w:val="008700BA"/>
    <w:rsid w:val="00873666"/>
    <w:rsid w:val="0087426E"/>
    <w:rsid w:val="00874736"/>
    <w:rsid w:val="008748B4"/>
    <w:rsid w:val="008751F6"/>
    <w:rsid w:val="00875CD5"/>
    <w:rsid w:val="00876854"/>
    <w:rsid w:val="00876986"/>
    <w:rsid w:val="008769F5"/>
    <w:rsid w:val="008772DF"/>
    <w:rsid w:val="008804BC"/>
    <w:rsid w:val="00880D1A"/>
    <w:rsid w:val="00880D91"/>
    <w:rsid w:val="00881D81"/>
    <w:rsid w:val="00881E2C"/>
    <w:rsid w:val="008820B8"/>
    <w:rsid w:val="00882F2B"/>
    <w:rsid w:val="00883566"/>
    <w:rsid w:val="008849FF"/>
    <w:rsid w:val="00884ED9"/>
    <w:rsid w:val="008859AC"/>
    <w:rsid w:val="008869C8"/>
    <w:rsid w:val="00886AC3"/>
    <w:rsid w:val="008908A0"/>
    <w:rsid w:val="00896574"/>
    <w:rsid w:val="00897513"/>
    <w:rsid w:val="008979C1"/>
    <w:rsid w:val="008A0025"/>
    <w:rsid w:val="008A1787"/>
    <w:rsid w:val="008A2094"/>
    <w:rsid w:val="008A2249"/>
    <w:rsid w:val="008A337D"/>
    <w:rsid w:val="008A338C"/>
    <w:rsid w:val="008A37BA"/>
    <w:rsid w:val="008A4178"/>
    <w:rsid w:val="008A4E18"/>
    <w:rsid w:val="008A571F"/>
    <w:rsid w:val="008A64F4"/>
    <w:rsid w:val="008A674D"/>
    <w:rsid w:val="008A78EC"/>
    <w:rsid w:val="008A7991"/>
    <w:rsid w:val="008A7C07"/>
    <w:rsid w:val="008B05E6"/>
    <w:rsid w:val="008B0E67"/>
    <w:rsid w:val="008B11C9"/>
    <w:rsid w:val="008B155F"/>
    <w:rsid w:val="008B1863"/>
    <w:rsid w:val="008B1BC6"/>
    <w:rsid w:val="008B31F2"/>
    <w:rsid w:val="008B42CD"/>
    <w:rsid w:val="008B6B71"/>
    <w:rsid w:val="008C0158"/>
    <w:rsid w:val="008C174F"/>
    <w:rsid w:val="008C2CF7"/>
    <w:rsid w:val="008C3F3A"/>
    <w:rsid w:val="008C4902"/>
    <w:rsid w:val="008C5042"/>
    <w:rsid w:val="008C544B"/>
    <w:rsid w:val="008D120A"/>
    <w:rsid w:val="008D1581"/>
    <w:rsid w:val="008D1BAD"/>
    <w:rsid w:val="008D1C55"/>
    <w:rsid w:val="008D33E2"/>
    <w:rsid w:val="008D4019"/>
    <w:rsid w:val="008D51F3"/>
    <w:rsid w:val="008D7D43"/>
    <w:rsid w:val="008D7E50"/>
    <w:rsid w:val="008E051D"/>
    <w:rsid w:val="008E0F34"/>
    <w:rsid w:val="008E1E03"/>
    <w:rsid w:val="008E2B3B"/>
    <w:rsid w:val="008E4A0D"/>
    <w:rsid w:val="008E5402"/>
    <w:rsid w:val="008E7142"/>
    <w:rsid w:val="008F093F"/>
    <w:rsid w:val="008F1B64"/>
    <w:rsid w:val="008F1C7F"/>
    <w:rsid w:val="008F2A12"/>
    <w:rsid w:val="008F431C"/>
    <w:rsid w:val="008F43B7"/>
    <w:rsid w:val="008F4901"/>
    <w:rsid w:val="008F5289"/>
    <w:rsid w:val="008F5430"/>
    <w:rsid w:val="008F6AD8"/>
    <w:rsid w:val="008F79E8"/>
    <w:rsid w:val="0090108A"/>
    <w:rsid w:val="00901219"/>
    <w:rsid w:val="00901BA6"/>
    <w:rsid w:val="009042CC"/>
    <w:rsid w:val="00904571"/>
    <w:rsid w:val="00906134"/>
    <w:rsid w:val="00907160"/>
    <w:rsid w:val="009076A8"/>
    <w:rsid w:val="00907EF2"/>
    <w:rsid w:val="00910D95"/>
    <w:rsid w:val="0091160D"/>
    <w:rsid w:val="009127A4"/>
    <w:rsid w:val="0091299C"/>
    <w:rsid w:val="00912AE9"/>
    <w:rsid w:val="00913D5F"/>
    <w:rsid w:val="00914A3B"/>
    <w:rsid w:val="009159B2"/>
    <w:rsid w:val="00916362"/>
    <w:rsid w:val="0091695C"/>
    <w:rsid w:val="00916A3B"/>
    <w:rsid w:val="009179D3"/>
    <w:rsid w:val="00917B96"/>
    <w:rsid w:val="00920BBD"/>
    <w:rsid w:val="00920EB6"/>
    <w:rsid w:val="0092115E"/>
    <w:rsid w:val="00921D13"/>
    <w:rsid w:val="0092239B"/>
    <w:rsid w:val="00925876"/>
    <w:rsid w:val="00926415"/>
    <w:rsid w:val="0092646E"/>
    <w:rsid w:val="0092669D"/>
    <w:rsid w:val="00926B11"/>
    <w:rsid w:val="00926B9C"/>
    <w:rsid w:val="00927C5D"/>
    <w:rsid w:val="00927ED7"/>
    <w:rsid w:val="009310B5"/>
    <w:rsid w:val="00931611"/>
    <w:rsid w:val="00931626"/>
    <w:rsid w:val="009329AE"/>
    <w:rsid w:val="009331AF"/>
    <w:rsid w:val="00933C53"/>
    <w:rsid w:val="00933D07"/>
    <w:rsid w:val="00934C83"/>
    <w:rsid w:val="009369AE"/>
    <w:rsid w:val="00940019"/>
    <w:rsid w:val="0094439D"/>
    <w:rsid w:val="00944829"/>
    <w:rsid w:val="00944AFA"/>
    <w:rsid w:val="00945650"/>
    <w:rsid w:val="00945FE2"/>
    <w:rsid w:val="0094621D"/>
    <w:rsid w:val="00950727"/>
    <w:rsid w:val="009508E4"/>
    <w:rsid w:val="00950AFC"/>
    <w:rsid w:val="00950F04"/>
    <w:rsid w:val="00951B09"/>
    <w:rsid w:val="00951FDB"/>
    <w:rsid w:val="009522DA"/>
    <w:rsid w:val="00953E02"/>
    <w:rsid w:val="00954323"/>
    <w:rsid w:val="00954BC2"/>
    <w:rsid w:val="0095667B"/>
    <w:rsid w:val="009567B8"/>
    <w:rsid w:val="00956CD4"/>
    <w:rsid w:val="00957E7E"/>
    <w:rsid w:val="00960D34"/>
    <w:rsid w:val="009611D2"/>
    <w:rsid w:val="009621A0"/>
    <w:rsid w:val="00962BC2"/>
    <w:rsid w:val="00964224"/>
    <w:rsid w:val="00965280"/>
    <w:rsid w:val="0096696A"/>
    <w:rsid w:val="00967201"/>
    <w:rsid w:val="00967C74"/>
    <w:rsid w:val="00971FDA"/>
    <w:rsid w:val="009722A8"/>
    <w:rsid w:val="00972548"/>
    <w:rsid w:val="009728FF"/>
    <w:rsid w:val="00974888"/>
    <w:rsid w:val="00974B47"/>
    <w:rsid w:val="00974D53"/>
    <w:rsid w:val="00974D5D"/>
    <w:rsid w:val="009760C4"/>
    <w:rsid w:val="00976E27"/>
    <w:rsid w:val="009772A5"/>
    <w:rsid w:val="009773AD"/>
    <w:rsid w:val="00977550"/>
    <w:rsid w:val="00980B5D"/>
    <w:rsid w:val="00981173"/>
    <w:rsid w:val="00981A75"/>
    <w:rsid w:val="00981F83"/>
    <w:rsid w:val="00981F9C"/>
    <w:rsid w:val="009841A8"/>
    <w:rsid w:val="009868BE"/>
    <w:rsid w:val="00986B64"/>
    <w:rsid w:val="00986EFA"/>
    <w:rsid w:val="009876A4"/>
    <w:rsid w:val="00990C58"/>
    <w:rsid w:val="009917E9"/>
    <w:rsid w:val="00992416"/>
    <w:rsid w:val="00993789"/>
    <w:rsid w:val="00994B4C"/>
    <w:rsid w:val="00994F61"/>
    <w:rsid w:val="00995C41"/>
    <w:rsid w:val="00996057"/>
    <w:rsid w:val="00996394"/>
    <w:rsid w:val="00996C89"/>
    <w:rsid w:val="009979B9"/>
    <w:rsid w:val="009A03C7"/>
    <w:rsid w:val="009A0703"/>
    <w:rsid w:val="009A1399"/>
    <w:rsid w:val="009A22FD"/>
    <w:rsid w:val="009A2ED6"/>
    <w:rsid w:val="009A31E7"/>
    <w:rsid w:val="009A546A"/>
    <w:rsid w:val="009A5F46"/>
    <w:rsid w:val="009A621C"/>
    <w:rsid w:val="009A6677"/>
    <w:rsid w:val="009A6C66"/>
    <w:rsid w:val="009A6EF9"/>
    <w:rsid w:val="009A7BBC"/>
    <w:rsid w:val="009B2A11"/>
    <w:rsid w:val="009B5581"/>
    <w:rsid w:val="009B5940"/>
    <w:rsid w:val="009B63ED"/>
    <w:rsid w:val="009B710D"/>
    <w:rsid w:val="009C3536"/>
    <w:rsid w:val="009C3862"/>
    <w:rsid w:val="009C4171"/>
    <w:rsid w:val="009C475C"/>
    <w:rsid w:val="009C5878"/>
    <w:rsid w:val="009C60A5"/>
    <w:rsid w:val="009C6B28"/>
    <w:rsid w:val="009C75C9"/>
    <w:rsid w:val="009D10A5"/>
    <w:rsid w:val="009D1492"/>
    <w:rsid w:val="009D169E"/>
    <w:rsid w:val="009D17E7"/>
    <w:rsid w:val="009D205D"/>
    <w:rsid w:val="009D2602"/>
    <w:rsid w:val="009D3234"/>
    <w:rsid w:val="009D41B7"/>
    <w:rsid w:val="009D5CA7"/>
    <w:rsid w:val="009D6252"/>
    <w:rsid w:val="009D65CD"/>
    <w:rsid w:val="009D6E2E"/>
    <w:rsid w:val="009D7298"/>
    <w:rsid w:val="009E03C7"/>
    <w:rsid w:val="009E0A44"/>
    <w:rsid w:val="009E12B5"/>
    <w:rsid w:val="009E3C1C"/>
    <w:rsid w:val="009E3F6F"/>
    <w:rsid w:val="009E46B7"/>
    <w:rsid w:val="009E5A94"/>
    <w:rsid w:val="009E6ACB"/>
    <w:rsid w:val="009F1043"/>
    <w:rsid w:val="009F2D78"/>
    <w:rsid w:val="009F36CA"/>
    <w:rsid w:val="009F4FE2"/>
    <w:rsid w:val="009F5654"/>
    <w:rsid w:val="009F58F9"/>
    <w:rsid w:val="009F6167"/>
    <w:rsid w:val="009F752A"/>
    <w:rsid w:val="00A003BE"/>
    <w:rsid w:val="00A00EE1"/>
    <w:rsid w:val="00A022AB"/>
    <w:rsid w:val="00A02B33"/>
    <w:rsid w:val="00A02E31"/>
    <w:rsid w:val="00A03435"/>
    <w:rsid w:val="00A03567"/>
    <w:rsid w:val="00A0385F"/>
    <w:rsid w:val="00A05567"/>
    <w:rsid w:val="00A06C2D"/>
    <w:rsid w:val="00A070E4"/>
    <w:rsid w:val="00A079D0"/>
    <w:rsid w:val="00A11132"/>
    <w:rsid w:val="00A11756"/>
    <w:rsid w:val="00A11969"/>
    <w:rsid w:val="00A1370A"/>
    <w:rsid w:val="00A13D0C"/>
    <w:rsid w:val="00A157B9"/>
    <w:rsid w:val="00A158FB"/>
    <w:rsid w:val="00A1712E"/>
    <w:rsid w:val="00A17F2D"/>
    <w:rsid w:val="00A20667"/>
    <w:rsid w:val="00A22348"/>
    <w:rsid w:val="00A243D6"/>
    <w:rsid w:val="00A24C62"/>
    <w:rsid w:val="00A254EC"/>
    <w:rsid w:val="00A25F51"/>
    <w:rsid w:val="00A26182"/>
    <w:rsid w:val="00A30382"/>
    <w:rsid w:val="00A30CEC"/>
    <w:rsid w:val="00A32604"/>
    <w:rsid w:val="00A32EF3"/>
    <w:rsid w:val="00A33959"/>
    <w:rsid w:val="00A34F0E"/>
    <w:rsid w:val="00A35312"/>
    <w:rsid w:val="00A354C8"/>
    <w:rsid w:val="00A35AD2"/>
    <w:rsid w:val="00A37A05"/>
    <w:rsid w:val="00A407E6"/>
    <w:rsid w:val="00A417AE"/>
    <w:rsid w:val="00A43345"/>
    <w:rsid w:val="00A447E6"/>
    <w:rsid w:val="00A463E3"/>
    <w:rsid w:val="00A50AD6"/>
    <w:rsid w:val="00A50D0F"/>
    <w:rsid w:val="00A50E2B"/>
    <w:rsid w:val="00A51495"/>
    <w:rsid w:val="00A54097"/>
    <w:rsid w:val="00A57661"/>
    <w:rsid w:val="00A57D81"/>
    <w:rsid w:val="00A60E34"/>
    <w:rsid w:val="00A62074"/>
    <w:rsid w:val="00A62606"/>
    <w:rsid w:val="00A62EA7"/>
    <w:rsid w:val="00A634FE"/>
    <w:rsid w:val="00A6459E"/>
    <w:rsid w:val="00A64686"/>
    <w:rsid w:val="00A64CAE"/>
    <w:rsid w:val="00A65526"/>
    <w:rsid w:val="00A6578C"/>
    <w:rsid w:val="00A70C0C"/>
    <w:rsid w:val="00A71419"/>
    <w:rsid w:val="00A71A0A"/>
    <w:rsid w:val="00A71D6F"/>
    <w:rsid w:val="00A72227"/>
    <w:rsid w:val="00A72CC1"/>
    <w:rsid w:val="00A72E96"/>
    <w:rsid w:val="00A73E12"/>
    <w:rsid w:val="00A748F2"/>
    <w:rsid w:val="00A74939"/>
    <w:rsid w:val="00A76AED"/>
    <w:rsid w:val="00A77B52"/>
    <w:rsid w:val="00A77BE7"/>
    <w:rsid w:val="00A80044"/>
    <w:rsid w:val="00A81845"/>
    <w:rsid w:val="00A8271D"/>
    <w:rsid w:val="00A82B34"/>
    <w:rsid w:val="00A82BE4"/>
    <w:rsid w:val="00A83611"/>
    <w:rsid w:val="00A83B87"/>
    <w:rsid w:val="00A84B21"/>
    <w:rsid w:val="00A8580C"/>
    <w:rsid w:val="00A85A45"/>
    <w:rsid w:val="00A85F3E"/>
    <w:rsid w:val="00A86A92"/>
    <w:rsid w:val="00A86CEB"/>
    <w:rsid w:val="00A90AA5"/>
    <w:rsid w:val="00A912BA"/>
    <w:rsid w:val="00A924F3"/>
    <w:rsid w:val="00A92AF0"/>
    <w:rsid w:val="00A92EE5"/>
    <w:rsid w:val="00A94369"/>
    <w:rsid w:val="00A950F3"/>
    <w:rsid w:val="00A97923"/>
    <w:rsid w:val="00AA00E2"/>
    <w:rsid w:val="00AA0E31"/>
    <w:rsid w:val="00AA1281"/>
    <w:rsid w:val="00AA1803"/>
    <w:rsid w:val="00AA20EA"/>
    <w:rsid w:val="00AA284D"/>
    <w:rsid w:val="00AA3AF2"/>
    <w:rsid w:val="00AA446F"/>
    <w:rsid w:val="00AA59A6"/>
    <w:rsid w:val="00AA5CE7"/>
    <w:rsid w:val="00AA739B"/>
    <w:rsid w:val="00AB0D80"/>
    <w:rsid w:val="00AB16D9"/>
    <w:rsid w:val="00AB1C49"/>
    <w:rsid w:val="00AB1FC8"/>
    <w:rsid w:val="00AB284D"/>
    <w:rsid w:val="00AB2F02"/>
    <w:rsid w:val="00AB304E"/>
    <w:rsid w:val="00AB6C17"/>
    <w:rsid w:val="00AC0A9D"/>
    <w:rsid w:val="00AC0C9E"/>
    <w:rsid w:val="00AC20C0"/>
    <w:rsid w:val="00AC2876"/>
    <w:rsid w:val="00AC3349"/>
    <w:rsid w:val="00AC33C8"/>
    <w:rsid w:val="00AC3A1C"/>
    <w:rsid w:val="00AC449A"/>
    <w:rsid w:val="00AC4C13"/>
    <w:rsid w:val="00AC4C74"/>
    <w:rsid w:val="00AC4CD2"/>
    <w:rsid w:val="00AC5D5B"/>
    <w:rsid w:val="00AC7BE1"/>
    <w:rsid w:val="00AD059B"/>
    <w:rsid w:val="00AD102A"/>
    <w:rsid w:val="00AD1502"/>
    <w:rsid w:val="00AD1796"/>
    <w:rsid w:val="00AD1974"/>
    <w:rsid w:val="00AD1B52"/>
    <w:rsid w:val="00AD2353"/>
    <w:rsid w:val="00AD239A"/>
    <w:rsid w:val="00AD26D4"/>
    <w:rsid w:val="00AD2898"/>
    <w:rsid w:val="00AD2E71"/>
    <w:rsid w:val="00AD3102"/>
    <w:rsid w:val="00AD3EDC"/>
    <w:rsid w:val="00AD4BF1"/>
    <w:rsid w:val="00AD505E"/>
    <w:rsid w:val="00AD5CCC"/>
    <w:rsid w:val="00AD6CC5"/>
    <w:rsid w:val="00AD713A"/>
    <w:rsid w:val="00AD7E0B"/>
    <w:rsid w:val="00AE0E58"/>
    <w:rsid w:val="00AE2F99"/>
    <w:rsid w:val="00AE594A"/>
    <w:rsid w:val="00AF0189"/>
    <w:rsid w:val="00AF061D"/>
    <w:rsid w:val="00AF12CE"/>
    <w:rsid w:val="00AF3FE0"/>
    <w:rsid w:val="00AF421B"/>
    <w:rsid w:val="00AF45EB"/>
    <w:rsid w:val="00AF4794"/>
    <w:rsid w:val="00AF52A3"/>
    <w:rsid w:val="00AF695E"/>
    <w:rsid w:val="00AF7191"/>
    <w:rsid w:val="00AF7C74"/>
    <w:rsid w:val="00B001EB"/>
    <w:rsid w:val="00B004D7"/>
    <w:rsid w:val="00B00586"/>
    <w:rsid w:val="00B00972"/>
    <w:rsid w:val="00B0098B"/>
    <w:rsid w:val="00B0271B"/>
    <w:rsid w:val="00B041BF"/>
    <w:rsid w:val="00B0685F"/>
    <w:rsid w:val="00B06B70"/>
    <w:rsid w:val="00B119D0"/>
    <w:rsid w:val="00B16A33"/>
    <w:rsid w:val="00B17AC0"/>
    <w:rsid w:val="00B17B7B"/>
    <w:rsid w:val="00B17D41"/>
    <w:rsid w:val="00B21333"/>
    <w:rsid w:val="00B22950"/>
    <w:rsid w:val="00B24AD9"/>
    <w:rsid w:val="00B25959"/>
    <w:rsid w:val="00B267CA"/>
    <w:rsid w:val="00B32A7C"/>
    <w:rsid w:val="00B3572E"/>
    <w:rsid w:val="00B40734"/>
    <w:rsid w:val="00B40C90"/>
    <w:rsid w:val="00B41FAA"/>
    <w:rsid w:val="00B44EFF"/>
    <w:rsid w:val="00B46F12"/>
    <w:rsid w:val="00B5134D"/>
    <w:rsid w:val="00B516F5"/>
    <w:rsid w:val="00B525B1"/>
    <w:rsid w:val="00B530D7"/>
    <w:rsid w:val="00B5413B"/>
    <w:rsid w:val="00B54341"/>
    <w:rsid w:val="00B556A4"/>
    <w:rsid w:val="00B559F2"/>
    <w:rsid w:val="00B57130"/>
    <w:rsid w:val="00B57816"/>
    <w:rsid w:val="00B57D82"/>
    <w:rsid w:val="00B6087C"/>
    <w:rsid w:val="00B60E4E"/>
    <w:rsid w:val="00B61973"/>
    <w:rsid w:val="00B61ED6"/>
    <w:rsid w:val="00B62E41"/>
    <w:rsid w:val="00B6403E"/>
    <w:rsid w:val="00B65E5A"/>
    <w:rsid w:val="00B66638"/>
    <w:rsid w:val="00B66C2A"/>
    <w:rsid w:val="00B6741C"/>
    <w:rsid w:val="00B70AD6"/>
    <w:rsid w:val="00B710C6"/>
    <w:rsid w:val="00B71940"/>
    <w:rsid w:val="00B72D36"/>
    <w:rsid w:val="00B735E5"/>
    <w:rsid w:val="00B743E8"/>
    <w:rsid w:val="00B74937"/>
    <w:rsid w:val="00B7540F"/>
    <w:rsid w:val="00B75FEC"/>
    <w:rsid w:val="00B76239"/>
    <w:rsid w:val="00B775F5"/>
    <w:rsid w:val="00B808E4"/>
    <w:rsid w:val="00B810C9"/>
    <w:rsid w:val="00B81A7D"/>
    <w:rsid w:val="00B81B9E"/>
    <w:rsid w:val="00B823A3"/>
    <w:rsid w:val="00B83729"/>
    <w:rsid w:val="00B839FB"/>
    <w:rsid w:val="00B83C70"/>
    <w:rsid w:val="00B83DFF"/>
    <w:rsid w:val="00B8457F"/>
    <w:rsid w:val="00B84A9F"/>
    <w:rsid w:val="00B85C12"/>
    <w:rsid w:val="00B8620B"/>
    <w:rsid w:val="00B86679"/>
    <w:rsid w:val="00B909F2"/>
    <w:rsid w:val="00B928DE"/>
    <w:rsid w:val="00B92912"/>
    <w:rsid w:val="00B92BEA"/>
    <w:rsid w:val="00B95605"/>
    <w:rsid w:val="00B968AA"/>
    <w:rsid w:val="00B96B6A"/>
    <w:rsid w:val="00BA0943"/>
    <w:rsid w:val="00BA0C81"/>
    <w:rsid w:val="00BA1F04"/>
    <w:rsid w:val="00BA21E1"/>
    <w:rsid w:val="00BA23ED"/>
    <w:rsid w:val="00BA423F"/>
    <w:rsid w:val="00BA64E8"/>
    <w:rsid w:val="00BA6512"/>
    <w:rsid w:val="00BA680C"/>
    <w:rsid w:val="00BA75BB"/>
    <w:rsid w:val="00BA7CD8"/>
    <w:rsid w:val="00BB0343"/>
    <w:rsid w:val="00BB09F8"/>
    <w:rsid w:val="00BB0BF0"/>
    <w:rsid w:val="00BB0D43"/>
    <w:rsid w:val="00BB0DDB"/>
    <w:rsid w:val="00BB235B"/>
    <w:rsid w:val="00BB27EB"/>
    <w:rsid w:val="00BB344E"/>
    <w:rsid w:val="00BB3936"/>
    <w:rsid w:val="00BB3CBD"/>
    <w:rsid w:val="00BB458D"/>
    <w:rsid w:val="00BB5CDE"/>
    <w:rsid w:val="00BB6000"/>
    <w:rsid w:val="00BB600D"/>
    <w:rsid w:val="00BB6DF9"/>
    <w:rsid w:val="00BB72F4"/>
    <w:rsid w:val="00BB7573"/>
    <w:rsid w:val="00BB7D5B"/>
    <w:rsid w:val="00BC0BB3"/>
    <w:rsid w:val="00BC0CA6"/>
    <w:rsid w:val="00BC0E8D"/>
    <w:rsid w:val="00BC10BC"/>
    <w:rsid w:val="00BC17C3"/>
    <w:rsid w:val="00BC2079"/>
    <w:rsid w:val="00BC23FB"/>
    <w:rsid w:val="00BC2458"/>
    <w:rsid w:val="00BC4177"/>
    <w:rsid w:val="00BC6254"/>
    <w:rsid w:val="00BD05FC"/>
    <w:rsid w:val="00BD195F"/>
    <w:rsid w:val="00BD1C15"/>
    <w:rsid w:val="00BD251A"/>
    <w:rsid w:val="00BD2B8D"/>
    <w:rsid w:val="00BD3834"/>
    <w:rsid w:val="00BD5923"/>
    <w:rsid w:val="00BD6750"/>
    <w:rsid w:val="00BD7018"/>
    <w:rsid w:val="00BD7A6B"/>
    <w:rsid w:val="00BD7D58"/>
    <w:rsid w:val="00BD7DD0"/>
    <w:rsid w:val="00BE0493"/>
    <w:rsid w:val="00BE0C07"/>
    <w:rsid w:val="00BE1604"/>
    <w:rsid w:val="00BE51A1"/>
    <w:rsid w:val="00BE5E73"/>
    <w:rsid w:val="00BE6341"/>
    <w:rsid w:val="00BF3E5D"/>
    <w:rsid w:val="00BF4442"/>
    <w:rsid w:val="00BF487A"/>
    <w:rsid w:val="00BF5642"/>
    <w:rsid w:val="00BF640F"/>
    <w:rsid w:val="00BF7129"/>
    <w:rsid w:val="00C02B06"/>
    <w:rsid w:val="00C033E7"/>
    <w:rsid w:val="00C04166"/>
    <w:rsid w:val="00C07DF4"/>
    <w:rsid w:val="00C10836"/>
    <w:rsid w:val="00C11454"/>
    <w:rsid w:val="00C11D66"/>
    <w:rsid w:val="00C11FD0"/>
    <w:rsid w:val="00C122BA"/>
    <w:rsid w:val="00C12D78"/>
    <w:rsid w:val="00C14885"/>
    <w:rsid w:val="00C15234"/>
    <w:rsid w:val="00C15A52"/>
    <w:rsid w:val="00C15E83"/>
    <w:rsid w:val="00C1632D"/>
    <w:rsid w:val="00C170C0"/>
    <w:rsid w:val="00C17DE9"/>
    <w:rsid w:val="00C204A6"/>
    <w:rsid w:val="00C2197D"/>
    <w:rsid w:val="00C22DAC"/>
    <w:rsid w:val="00C2352A"/>
    <w:rsid w:val="00C23BD1"/>
    <w:rsid w:val="00C23E8F"/>
    <w:rsid w:val="00C258F8"/>
    <w:rsid w:val="00C27546"/>
    <w:rsid w:val="00C27768"/>
    <w:rsid w:val="00C300E4"/>
    <w:rsid w:val="00C303A9"/>
    <w:rsid w:val="00C303F0"/>
    <w:rsid w:val="00C306A7"/>
    <w:rsid w:val="00C30CD3"/>
    <w:rsid w:val="00C310C0"/>
    <w:rsid w:val="00C31569"/>
    <w:rsid w:val="00C31905"/>
    <w:rsid w:val="00C31AF7"/>
    <w:rsid w:val="00C3244B"/>
    <w:rsid w:val="00C33CFA"/>
    <w:rsid w:val="00C344E9"/>
    <w:rsid w:val="00C35F90"/>
    <w:rsid w:val="00C36BFD"/>
    <w:rsid w:val="00C37A75"/>
    <w:rsid w:val="00C37C60"/>
    <w:rsid w:val="00C40B35"/>
    <w:rsid w:val="00C42588"/>
    <w:rsid w:val="00C44398"/>
    <w:rsid w:val="00C443EA"/>
    <w:rsid w:val="00C449C8"/>
    <w:rsid w:val="00C451D8"/>
    <w:rsid w:val="00C4636A"/>
    <w:rsid w:val="00C4663F"/>
    <w:rsid w:val="00C468C7"/>
    <w:rsid w:val="00C50A0E"/>
    <w:rsid w:val="00C51EEC"/>
    <w:rsid w:val="00C5303D"/>
    <w:rsid w:val="00C53328"/>
    <w:rsid w:val="00C53BC4"/>
    <w:rsid w:val="00C55A51"/>
    <w:rsid w:val="00C55A71"/>
    <w:rsid w:val="00C55F33"/>
    <w:rsid w:val="00C56048"/>
    <w:rsid w:val="00C608B8"/>
    <w:rsid w:val="00C610FD"/>
    <w:rsid w:val="00C61F39"/>
    <w:rsid w:val="00C62AC7"/>
    <w:rsid w:val="00C632AD"/>
    <w:rsid w:val="00C6348B"/>
    <w:rsid w:val="00C63620"/>
    <w:rsid w:val="00C66BC5"/>
    <w:rsid w:val="00C67434"/>
    <w:rsid w:val="00C70077"/>
    <w:rsid w:val="00C704AA"/>
    <w:rsid w:val="00C71652"/>
    <w:rsid w:val="00C7184D"/>
    <w:rsid w:val="00C72DC0"/>
    <w:rsid w:val="00C76AC4"/>
    <w:rsid w:val="00C77309"/>
    <w:rsid w:val="00C779B2"/>
    <w:rsid w:val="00C77F54"/>
    <w:rsid w:val="00C80798"/>
    <w:rsid w:val="00C818BD"/>
    <w:rsid w:val="00C81B55"/>
    <w:rsid w:val="00C822E1"/>
    <w:rsid w:val="00C82687"/>
    <w:rsid w:val="00C82A5B"/>
    <w:rsid w:val="00C84DE1"/>
    <w:rsid w:val="00C8517B"/>
    <w:rsid w:val="00C85CAB"/>
    <w:rsid w:val="00C85F05"/>
    <w:rsid w:val="00C865A9"/>
    <w:rsid w:val="00C872A0"/>
    <w:rsid w:val="00C90EE5"/>
    <w:rsid w:val="00C93677"/>
    <w:rsid w:val="00C94B7C"/>
    <w:rsid w:val="00C94FA3"/>
    <w:rsid w:val="00C9589E"/>
    <w:rsid w:val="00C95F1F"/>
    <w:rsid w:val="00C95FC8"/>
    <w:rsid w:val="00C97544"/>
    <w:rsid w:val="00C97809"/>
    <w:rsid w:val="00C97D6D"/>
    <w:rsid w:val="00C97DDC"/>
    <w:rsid w:val="00CA168A"/>
    <w:rsid w:val="00CA1905"/>
    <w:rsid w:val="00CA2BDC"/>
    <w:rsid w:val="00CA2E36"/>
    <w:rsid w:val="00CA396C"/>
    <w:rsid w:val="00CA3D17"/>
    <w:rsid w:val="00CA5380"/>
    <w:rsid w:val="00CA6E73"/>
    <w:rsid w:val="00CB04A3"/>
    <w:rsid w:val="00CB0B25"/>
    <w:rsid w:val="00CB1B3B"/>
    <w:rsid w:val="00CB28CD"/>
    <w:rsid w:val="00CB2A4C"/>
    <w:rsid w:val="00CB4BF0"/>
    <w:rsid w:val="00CB5257"/>
    <w:rsid w:val="00CB52E3"/>
    <w:rsid w:val="00CB540B"/>
    <w:rsid w:val="00CC014E"/>
    <w:rsid w:val="00CC1054"/>
    <w:rsid w:val="00CC22A8"/>
    <w:rsid w:val="00CC3C33"/>
    <w:rsid w:val="00CC4104"/>
    <w:rsid w:val="00CC665E"/>
    <w:rsid w:val="00CC6E87"/>
    <w:rsid w:val="00CC79E0"/>
    <w:rsid w:val="00CD059B"/>
    <w:rsid w:val="00CD1748"/>
    <w:rsid w:val="00CD251B"/>
    <w:rsid w:val="00CD25B8"/>
    <w:rsid w:val="00CD3D15"/>
    <w:rsid w:val="00CD5E06"/>
    <w:rsid w:val="00CD670F"/>
    <w:rsid w:val="00CE0290"/>
    <w:rsid w:val="00CE0BF0"/>
    <w:rsid w:val="00CE0EF4"/>
    <w:rsid w:val="00CE0FA9"/>
    <w:rsid w:val="00CE1258"/>
    <w:rsid w:val="00CE2BEB"/>
    <w:rsid w:val="00CE3842"/>
    <w:rsid w:val="00CE4800"/>
    <w:rsid w:val="00CE51EE"/>
    <w:rsid w:val="00CE57AA"/>
    <w:rsid w:val="00CE7F54"/>
    <w:rsid w:val="00CF0BB6"/>
    <w:rsid w:val="00CF2BA3"/>
    <w:rsid w:val="00CF340B"/>
    <w:rsid w:val="00CF3423"/>
    <w:rsid w:val="00CF3C9C"/>
    <w:rsid w:val="00CF4C38"/>
    <w:rsid w:val="00CF50FB"/>
    <w:rsid w:val="00CF533C"/>
    <w:rsid w:val="00D00330"/>
    <w:rsid w:val="00D0089D"/>
    <w:rsid w:val="00D00FD6"/>
    <w:rsid w:val="00D012B0"/>
    <w:rsid w:val="00D027E6"/>
    <w:rsid w:val="00D02E83"/>
    <w:rsid w:val="00D03079"/>
    <w:rsid w:val="00D03329"/>
    <w:rsid w:val="00D03616"/>
    <w:rsid w:val="00D03F7E"/>
    <w:rsid w:val="00D05321"/>
    <w:rsid w:val="00D05841"/>
    <w:rsid w:val="00D05C27"/>
    <w:rsid w:val="00D05D30"/>
    <w:rsid w:val="00D05F8E"/>
    <w:rsid w:val="00D07BB7"/>
    <w:rsid w:val="00D07C87"/>
    <w:rsid w:val="00D10109"/>
    <w:rsid w:val="00D10BDF"/>
    <w:rsid w:val="00D110CF"/>
    <w:rsid w:val="00D1186B"/>
    <w:rsid w:val="00D11C10"/>
    <w:rsid w:val="00D12735"/>
    <w:rsid w:val="00D12DCB"/>
    <w:rsid w:val="00D132FA"/>
    <w:rsid w:val="00D144D9"/>
    <w:rsid w:val="00D1582D"/>
    <w:rsid w:val="00D15D33"/>
    <w:rsid w:val="00D1749C"/>
    <w:rsid w:val="00D202A1"/>
    <w:rsid w:val="00D20CE3"/>
    <w:rsid w:val="00D214C1"/>
    <w:rsid w:val="00D21D73"/>
    <w:rsid w:val="00D2274B"/>
    <w:rsid w:val="00D228CE"/>
    <w:rsid w:val="00D23477"/>
    <w:rsid w:val="00D23754"/>
    <w:rsid w:val="00D24728"/>
    <w:rsid w:val="00D25027"/>
    <w:rsid w:val="00D254BA"/>
    <w:rsid w:val="00D256CC"/>
    <w:rsid w:val="00D2585B"/>
    <w:rsid w:val="00D305E7"/>
    <w:rsid w:val="00D31519"/>
    <w:rsid w:val="00D31E7C"/>
    <w:rsid w:val="00D32C28"/>
    <w:rsid w:val="00D3428F"/>
    <w:rsid w:val="00D3493F"/>
    <w:rsid w:val="00D34D18"/>
    <w:rsid w:val="00D35071"/>
    <w:rsid w:val="00D36220"/>
    <w:rsid w:val="00D37B8F"/>
    <w:rsid w:val="00D37D8A"/>
    <w:rsid w:val="00D40574"/>
    <w:rsid w:val="00D41A52"/>
    <w:rsid w:val="00D42A00"/>
    <w:rsid w:val="00D44789"/>
    <w:rsid w:val="00D46800"/>
    <w:rsid w:val="00D46C7E"/>
    <w:rsid w:val="00D46D6E"/>
    <w:rsid w:val="00D4786B"/>
    <w:rsid w:val="00D50B41"/>
    <w:rsid w:val="00D50E0E"/>
    <w:rsid w:val="00D514D2"/>
    <w:rsid w:val="00D51662"/>
    <w:rsid w:val="00D519B7"/>
    <w:rsid w:val="00D51D7E"/>
    <w:rsid w:val="00D523C8"/>
    <w:rsid w:val="00D54C49"/>
    <w:rsid w:val="00D55598"/>
    <w:rsid w:val="00D557BF"/>
    <w:rsid w:val="00D56517"/>
    <w:rsid w:val="00D571B4"/>
    <w:rsid w:val="00D605DE"/>
    <w:rsid w:val="00D60C9C"/>
    <w:rsid w:val="00D6289E"/>
    <w:rsid w:val="00D6337A"/>
    <w:rsid w:val="00D63C8B"/>
    <w:rsid w:val="00D63CFD"/>
    <w:rsid w:val="00D641D6"/>
    <w:rsid w:val="00D651A6"/>
    <w:rsid w:val="00D6562B"/>
    <w:rsid w:val="00D65888"/>
    <w:rsid w:val="00D66301"/>
    <w:rsid w:val="00D701DD"/>
    <w:rsid w:val="00D70B1F"/>
    <w:rsid w:val="00D70C6D"/>
    <w:rsid w:val="00D717AD"/>
    <w:rsid w:val="00D722FD"/>
    <w:rsid w:val="00D72659"/>
    <w:rsid w:val="00D72C6E"/>
    <w:rsid w:val="00D72DDD"/>
    <w:rsid w:val="00D7419B"/>
    <w:rsid w:val="00D742B5"/>
    <w:rsid w:val="00D743DD"/>
    <w:rsid w:val="00D7654E"/>
    <w:rsid w:val="00D80209"/>
    <w:rsid w:val="00D8047B"/>
    <w:rsid w:val="00D81445"/>
    <w:rsid w:val="00D82509"/>
    <w:rsid w:val="00D825EA"/>
    <w:rsid w:val="00D82745"/>
    <w:rsid w:val="00D82A17"/>
    <w:rsid w:val="00D82A7B"/>
    <w:rsid w:val="00D83995"/>
    <w:rsid w:val="00D83CC0"/>
    <w:rsid w:val="00D83D8F"/>
    <w:rsid w:val="00D843F0"/>
    <w:rsid w:val="00D84607"/>
    <w:rsid w:val="00D84901"/>
    <w:rsid w:val="00D86250"/>
    <w:rsid w:val="00D8651C"/>
    <w:rsid w:val="00D86879"/>
    <w:rsid w:val="00D87212"/>
    <w:rsid w:val="00D87EFC"/>
    <w:rsid w:val="00D91654"/>
    <w:rsid w:val="00D926C3"/>
    <w:rsid w:val="00D93CB3"/>
    <w:rsid w:val="00D95665"/>
    <w:rsid w:val="00D96D6A"/>
    <w:rsid w:val="00D96F97"/>
    <w:rsid w:val="00D97421"/>
    <w:rsid w:val="00D97481"/>
    <w:rsid w:val="00D97C66"/>
    <w:rsid w:val="00DA10A4"/>
    <w:rsid w:val="00DA1B90"/>
    <w:rsid w:val="00DA42B5"/>
    <w:rsid w:val="00DA5B20"/>
    <w:rsid w:val="00DA70B4"/>
    <w:rsid w:val="00DA78F5"/>
    <w:rsid w:val="00DB0CC6"/>
    <w:rsid w:val="00DB3088"/>
    <w:rsid w:val="00DB32BF"/>
    <w:rsid w:val="00DB3ABE"/>
    <w:rsid w:val="00DB49C4"/>
    <w:rsid w:val="00DB5B03"/>
    <w:rsid w:val="00DB5B38"/>
    <w:rsid w:val="00DB6078"/>
    <w:rsid w:val="00DB63A4"/>
    <w:rsid w:val="00DB73D0"/>
    <w:rsid w:val="00DB76D9"/>
    <w:rsid w:val="00DB7A60"/>
    <w:rsid w:val="00DB7C32"/>
    <w:rsid w:val="00DC0E99"/>
    <w:rsid w:val="00DC162F"/>
    <w:rsid w:val="00DC2E09"/>
    <w:rsid w:val="00DC330A"/>
    <w:rsid w:val="00DC4A62"/>
    <w:rsid w:val="00DC6559"/>
    <w:rsid w:val="00DC6563"/>
    <w:rsid w:val="00DC6A5E"/>
    <w:rsid w:val="00DC7221"/>
    <w:rsid w:val="00DD0F62"/>
    <w:rsid w:val="00DD20B7"/>
    <w:rsid w:val="00DD233A"/>
    <w:rsid w:val="00DD254F"/>
    <w:rsid w:val="00DD2820"/>
    <w:rsid w:val="00DD2E45"/>
    <w:rsid w:val="00DD54CA"/>
    <w:rsid w:val="00DD57EB"/>
    <w:rsid w:val="00DD5DE3"/>
    <w:rsid w:val="00DD5F50"/>
    <w:rsid w:val="00DD7206"/>
    <w:rsid w:val="00DD7B56"/>
    <w:rsid w:val="00DD7D54"/>
    <w:rsid w:val="00DE04F8"/>
    <w:rsid w:val="00DE069B"/>
    <w:rsid w:val="00DE096C"/>
    <w:rsid w:val="00DE1FFC"/>
    <w:rsid w:val="00DE24EE"/>
    <w:rsid w:val="00DE2D03"/>
    <w:rsid w:val="00DE368D"/>
    <w:rsid w:val="00DE38DF"/>
    <w:rsid w:val="00DE3B47"/>
    <w:rsid w:val="00DE3D20"/>
    <w:rsid w:val="00DE4028"/>
    <w:rsid w:val="00DE43D9"/>
    <w:rsid w:val="00DE4EB5"/>
    <w:rsid w:val="00DE6CFB"/>
    <w:rsid w:val="00DE6E54"/>
    <w:rsid w:val="00DE7017"/>
    <w:rsid w:val="00DE76B9"/>
    <w:rsid w:val="00DF0540"/>
    <w:rsid w:val="00DF1356"/>
    <w:rsid w:val="00DF2797"/>
    <w:rsid w:val="00DF505B"/>
    <w:rsid w:val="00DF631B"/>
    <w:rsid w:val="00DF6C20"/>
    <w:rsid w:val="00DF78FB"/>
    <w:rsid w:val="00E005BB"/>
    <w:rsid w:val="00E006CC"/>
    <w:rsid w:val="00E00849"/>
    <w:rsid w:val="00E01789"/>
    <w:rsid w:val="00E019D5"/>
    <w:rsid w:val="00E02095"/>
    <w:rsid w:val="00E05350"/>
    <w:rsid w:val="00E05851"/>
    <w:rsid w:val="00E05929"/>
    <w:rsid w:val="00E05AD0"/>
    <w:rsid w:val="00E11F9C"/>
    <w:rsid w:val="00E125C6"/>
    <w:rsid w:val="00E14184"/>
    <w:rsid w:val="00E162B6"/>
    <w:rsid w:val="00E1739F"/>
    <w:rsid w:val="00E1762B"/>
    <w:rsid w:val="00E179DC"/>
    <w:rsid w:val="00E17BA4"/>
    <w:rsid w:val="00E20610"/>
    <w:rsid w:val="00E212E8"/>
    <w:rsid w:val="00E23F08"/>
    <w:rsid w:val="00E24AAC"/>
    <w:rsid w:val="00E258BC"/>
    <w:rsid w:val="00E25EE0"/>
    <w:rsid w:val="00E25FA3"/>
    <w:rsid w:val="00E27FCE"/>
    <w:rsid w:val="00E30C19"/>
    <w:rsid w:val="00E3116D"/>
    <w:rsid w:val="00E33389"/>
    <w:rsid w:val="00E37663"/>
    <w:rsid w:val="00E3787C"/>
    <w:rsid w:val="00E37E61"/>
    <w:rsid w:val="00E427CD"/>
    <w:rsid w:val="00E43E68"/>
    <w:rsid w:val="00E44556"/>
    <w:rsid w:val="00E44AA1"/>
    <w:rsid w:val="00E44D46"/>
    <w:rsid w:val="00E454E2"/>
    <w:rsid w:val="00E458FF"/>
    <w:rsid w:val="00E46472"/>
    <w:rsid w:val="00E46890"/>
    <w:rsid w:val="00E46E66"/>
    <w:rsid w:val="00E4787F"/>
    <w:rsid w:val="00E50592"/>
    <w:rsid w:val="00E50A96"/>
    <w:rsid w:val="00E50ECC"/>
    <w:rsid w:val="00E523AE"/>
    <w:rsid w:val="00E52E82"/>
    <w:rsid w:val="00E52EDE"/>
    <w:rsid w:val="00E52F76"/>
    <w:rsid w:val="00E537C1"/>
    <w:rsid w:val="00E537FF"/>
    <w:rsid w:val="00E556FA"/>
    <w:rsid w:val="00E557C1"/>
    <w:rsid w:val="00E55995"/>
    <w:rsid w:val="00E565FB"/>
    <w:rsid w:val="00E56885"/>
    <w:rsid w:val="00E56AC9"/>
    <w:rsid w:val="00E577BF"/>
    <w:rsid w:val="00E60DC6"/>
    <w:rsid w:val="00E61319"/>
    <w:rsid w:val="00E65DDE"/>
    <w:rsid w:val="00E666AC"/>
    <w:rsid w:val="00E669C4"/>
    <w:rsid w:val="00E66EAD"/>
    <w:rsid w:val="00E6740C"/>
    <w:rsid w:val="00E7030A"/>
    <w:rsid w:val="00E70DF0"/>
    <w:rsid w:val="00E70E21"/>
    <w:rsid w:val="00E70FCB"/>
    <w:rsid w:val="00E71027"/>
    <w:rsid w:val="00E71691"/>
    <w:rsid w:val="00E71D99"/>
    <w:rsid w:val="00E71FB7"/>
    <w:rsid w:val="00E72466"/>
    <w:rsid w:val="00E725B6"/>
    <w:rsid w:val="00E72615"/>
    <w:rsid w:val="00E72ED0"/>
    <w:rsid w:val="00E7427E"/>
    <w:rsid w:val="00E759AB"/>
    <w:rsid w:val="00E75A20"/>
    <w:rsid w:val="00E75ACD"/>
    <w:rsid w:val="00E76ABF"/>
    <w:rsid w:val="00E76ADF"/>
    <w:rsid w:val="00E81AA1"/>
    <w:rsid w:val="00E821BF"/>
    <w:rsid w:val="00E835E9"/>
    <w:rsid w:val="00E840AA"/>
    <w:rsid w:val="00E85252"/>
    <w:rsid w:val="00E85665"/>
    <w:rsid w:val="00E858C0"/>
    <w:rsid w:val="00E8692D"/>
    <w:rsid w:val="00E86E3A"/>
    <w:rsid w:val="00E87299"/>
    <w:rsid w:val="00E909DF"/>
    <w:rsid w:val="00E90EE0"/>
    <w:rsid w:val="00E92280"/>
    <w:rsid w:val="00E92647"/>
    <w:rsid w:val="00E92A78"/>
    <w:rsid w:val="00E940B0"/>
    <w:rsid w:val="00E942D5"/>
    <w:rsid w:val="00E9472F"/>
    <w:rsid w:val="00E950BC"/>
    <w:rsid w:val="00E95510"/>
    <w:rsid w:val="00E95FC7"/>
    <w:rsid w:val="00E97562"/>
    <w:rsid w:val="00EA120A"/>
    <w:rsid w:val="00EA1480"/>
    <w:rsid w:val="00EA2ABA"/>
    <w:rsid w:val="00EA2E7A"/>
    <w:rsid w:val="00EA3BAC"/>
    <w:rsid w:val="00EA4B05"/>
    <w:rsid w:val="00EA5046"/>
    <w:rsid w:val="00EA546C"/>
    <w:rsid w:val="00EA5653"/>
    <w:rsid w:val="00EA5B26"/>
    <w:rsid w:val="00EA5B42"/>
    <w:rsid w:val="00EA69A4"/>
    <w:rsid w:val="00EA70FF"/>
    <w:rsid w:val="00EA7911"/>
    <w:rsid w:val="00EA7C36"/>
    <w:rsid w:val="00EB1EB7"/>
    <w:rsid w:val="00EB264B"/>
    <w:rsid w:val="00EB30C9"/>
    <w:rsid w:val="00EB31F4"/>
    <w:rsid w:val="00EB37BB"/>
    <w:rsid w:val="00EB4370"/>
    <w:rsid w:val="00EB5A71"/>
    <w:rsid w:val="00EB63B8"/>
    <w:rsid w:val="00EB6D36"/>
    <w:rsid w:val="00EC26B0"/>
    <w:rsid w:val="00EC3897"/>
    <w:rsid w:val="00EC3E42"/>
    <w:rsid w:val="00EC3E4C"/>
    <w:rsid w:val="00EC4745"/>
    <w:rsid w:val="00EC4FED"/>
    <w:rsid w:val="00EC5A36"/>
    <w:rsid w:val="00EC6B24"/>
    <w:rsid w:val="00EC7073"/>
    <w:rsid w:val="00EC7600"/>
    <w:rsid w:val="00ED3388"/>
    <w:rsid w:val="00ED43D3"/>
    <w:rsid w:val="00ED440C"/>
    <w:rsid w:val="00EE15CE"/>
    <w:rsid w:val="00EE1C69"/>
    <w:rsid w:val="00EE2BC4"/>
    <w:rsid w:val="00EE3379"/>
    <w:rsid w:val="00EE3DF0"/>
    <w:rsid w:val="00EE52D6"/>
    <w:rsid w:val="00EE6C9E"/>
    <w:rsid w:val="00EE77F7"/>
    <w:rsid w:val="00EE7D5D"/>
    <w:rsid w:val="00EE7DB4"/>
    <w:rsid w:val="00EF0435"/>
    <w:rsid w:val="00EF11AE"/>
    <w:rsid w:val="00EF1969"/>
    <w:rsid w:val="00EF2589"/>
    <w:rsid w:val="00EF25EC"/>
    <w:rsid w:val="00EF34B9"/>
    <w:rsid w:val="00EF383F"/>
    <w:rsid w:val="00EF47F3"/>
    <w:rsid w:val="00EF4B7F"/>
    <w:rsid w:val="00EF5378"/>
    <w:rsid w:val="00EF573C"/>
    <w:rsid w:val="00EF57BA"/>
    <w:rsid w:val="00EF6541"/>
    <w:rsid w:val="00EF6550"/>
    <w:rsid w:val="00F02AC9"/>
    <w:rsid w:val="00F02B7B"/>
    <w:rsid w:val="00F05E28"/>
    <w:rsid w:val="00F0678A"/>
    <w:rsid w:val="00F074BF"/>
    <w:rsid w:val="00F077A8"/>
    <w:rsid w:val="00F07B5E"/>
    <w:rsid w:val="00F102CD"/>
    <w:rsid w:val="00F1048B"/>
    <w:rsid w:val="00F10951"/>
    <w:rsid w:val="00F10B61"/>
    <w:rsid w:val="00F125D8"/>
    <w:rsid w:val="00F12BBF"/>
    <w:rsid w:val="00F132A8"/>
    <w:rsid w:val="00F1394D"/>
    <w:rsid w:val="00F142FD"/>
    <w:rsid w:val="00F15947"/>
    <w:rsid w:val="00F163F6"/>
    <w:rsid w:val="00F177C2"/>
    <w:rsid w:val="00F17D83"/>
    <w:rsid w:val="00F201B9"/>
    <w:rsid w:val="00F218B7"/>
    <w:rsid w:val="00F21A48"/>
    <w:rsid w:val="00F24E6F"/>
    <w:rsid w:val="00F25BBC"/>
    <w:rsid w:val="00F26294"/>
    <w:rsid w:val="00F31BDD"/>
    <w:rsid w:val="00F31FDB"/>
    <w:rsid w:val="00F32A13"/>
    <w:rsid w:val="00F33190"/>
    <w:rsid w:val="00F33550"/>
    <w:rsid w:val="00F338E7"/>
    <w:rsid w:val="00F33973"/>
    <w:rsid w:val="00F35F68"/>
    <w:rsid w:val="00F3765A"/>
    <w:rsid w:val="00F40413"/>
    <w:rsid w:val="00F40E31"/>
    <w:rsid w:val="00F41F53"/>
    <w:rsid w:val="00F42E3D"/>
    <w:rsid w:val="00F43102"/>
    <w:rsid w:val="00F43B23"/>
    <w:rsid w:val="00F5030C"/>
    <w:rsid w:val="00F52C95"/>
    <w:rsid w:val="00F5367B"/>
    <w:rsid w:val="00F5387B"/>
    <w:rsid w:val="00F5467E"/>
    <w:rsid w:val="00F54BA5"/>
    <w:rsid w:val="00F54BE0"/>
    <w:rsid w:val="00F54FF0"/>
    <w:rsid w:val="00F57CFE"/>
    <w:rsid w:val="00F60A49"/>
    <w:rsid w:val="00F60F45"/>
    <w:rsid w:val="00F63864"/>
    <w:rsid w:val="00F6407E"/>
    <w:rsid w:val="00F66D2D"/>
    <w:rsid w:val="00F70F27"/>
    <w:rsid w:val="00F71596"/>
    <w:rsid w:val="00F7399D"/>
    <w:rsid w:val="00F73E5E"/>
    <w:rsid w:val="00F74C40"/>
    <w:rsid w:val="00F74C4E"/>
    <w:rsid w:val="00F76033"/>
    <w:rsid w:val="00F76070"/>
    <w:rsid w:val="00F7618B"/>
    <w:rsid w:val="00F7699A"/>
    <w:rsid w:val="00F8252F"/>
    <w:rsid w:val="00F8391F"/>
    <w:rsid w:val="00F83B13"/>
    <w:rsid w:val="00F84339"/>
    <w:rsid w:val="00F846A9"/>
    <w:rsid w:val="00F8554C"/>
    <w:rsid w:val="00F856E9"/>
    <w:rsid w:val="00F85F2D"/>
    <w:rsid w:val="00F862D0"/>
    <w:rsid w:val="00F86355"/>
    <w:rsid w:val="00F869A4"/>
    <w:rsid w:val="00F86D4B"/>
    <w:rsid w:val="00F90909"/>
    <w:rsid w:val="00F912D7"/>
    <w:rsid w:val="00F93AD2"/>
    <w:rsid w:val="00F93B5C"/>
    <w:rsid w:val="00F94116"/>
    <w:rsid w:val="00F95126"/>
    <w:rsid w:val="00F9597F"/>
    <w:rsid w:val="00F95B7B"/>
    <w:rsid w:val="00F95D6A"/>
    <w:rsid w:val="00F962F3"/>
    <w:rsid w:val="00F96371"/>
    <w:rsid w:val="00F96718"/>
    <w:rsid w:val="00FA04AD"/>
    <w:rsid w:val="00FA19CC"/>
    <w:rsid w:val="00FA1DC6"/>
    <w:rsid w:val="00FA2035"/>
    <w:rsid w:val="00FA296B"/>
    <w:rsid w:val="00FA2C37"/>
    <w:rsid w:val="00FA3E5D"/>
    <w:rsid w:val="00FA41CF"/>
    <w:rsid w:val="00FA467D"/>
    <w:rsid w:val="00FA69A5"/>
    <w:rsid w:val="00FA6B86"/>
    <w:rsid w:val="00FA759D"/>
    <w:rsid w:val="00FB2C32"/>
    <w:rsid w:val="00FB37FF"/>
    <w:rsid w:val="00FB5436"/>
    <w:rsid w:val="00FB57A6"/>
    <w:rsid w:val="00FB5905"/>
    <w:rsid w:val="00FC0D89"/>
    <w:rsid w:val="00FC0FA3"/>
    <w:rsid w:val="00FC1671"/>
    <w:rsid w:val="00FC1E77"/>
    <w:rsid w:val="00FC41C1"/>
    <w:rsid w:val="00FC4360"/>
    <w:rsid w:val="00FC6328"/>
    <w:rsid w:val="00FC6FB3"/>
    <w:rsid w:val="00FC7985"/>
    <w:rsid w:val="00FD0B7B"/>
    <w:rsid w:val="00FD1787"/>
    <w:rsid w:val="00FD1A61"/>
    <w:rsid w:val="00FD20F9"/>
    <w:rsid w:val="00FD2772"/>
    <w:rsid w:val="00FD31FF"/>
    <w:rsid w:val="00FD6466"/>
    <w:rsid w:val="00FD664F"/>
    <w:rsid w:val="00FE00B5"/>
    <w:rsid w:val="00FE027F"/>
    <w:rsid w:val="00FE277C"/>
    <w:rsid w:val="00FE2EE5"/>
    <w:rsid w:val="00FE32C0"/>
    <w:rsid w:val="00FE41EC"/>
    <w:rsid w:val="00FE6F63"/>
    <w:rsid w:val="00FE71B9"/>
    <w:rsid w:val="00FE76F1"/>
    <w:rsid w:val="00FF01BC"/>
    <w:rsid w:val="00FF0C9A"/>
    <w:rsid w:val="00FF0D26"/>
    <w:rsid w:val="00FF15AD"/>
    <w:rsid w:val="00FF1BB7"/>
    <w:rsid w:val="00FF2778"/>
    <w:rsid w:val="00FF2BC5"/>
    <w:rsid w:val="00FF3188"/>
    <w:rsid w:val="00FF4AE2"/>
    <w:rsid w:val="00FF50FC"/>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A92907F9-3C28-471A-9C73-7A757ADC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9F5654"/>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C50A0E"/>
    <w:pPr>
      <w:keepNext/>
      <w:keepLines/>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5654"/>
    <w:rPr>
      <w:b/>
      <w:bCs/>
      <w:sz w:val="28"/>
      <w:szCs w:val="2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C50A0E"/>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CA6E73"/>
    <w:pPr>
      <w:tabs>
        <w:tab w:val="left" w:pos="720"/>
        <w:tab w:val="right" w:leader="dot" w:pos="9530"/>
      </w:tabs>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4724</Words>
  <Characters>26784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dgibbs</dc:creator>
  <cp:lastModifiedBy>Gibbs, Danielle - OSHA</cp:lastModifiedBy>
  <cp:revision>4</cp:revision>
  <cp:lastPrinted>2017-07-11T15:59:00Z</cp:lastPrinted>
  <dcterms:created xsi:type="dcterms:W3CDTF">2023-05-05T05:53:00Z</dcterms:created>
  <dcterms:modified xsi:type="dcterms:W3CDTF">2023-05-05T15:02:00Z</dcterms:modified>
</cp:coreProperties>
</file>