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D7AB" w14:textId="2543D727" w:rsidR="000A134A" w:rsidRPr="001C1E47" w:rsidRDefault="002511E9" w:rsidP="00A41F72">
      <w:pPr>
        <w:pStyle w:val="Heading1"/>
      </w:pPr>
      <w:bookmarkStart w:id="0" w:name="_Toc118900169"/>
      <w:bookmarkStart w:id="1" w:name="_Toc118905008"/>
      <w:r w:rsidRPr="001C1E47">
        <w:rPr>
          <w:iCs/>
        </w:rPr>
        <w:t>FY 20</w:t>
      </w:r>
      <w:r w:rsidR="00185C7D" w:rsidRPr="001C1E47">
        <w:rPr>
          <w:iCs/>
        </w:rPr>
        <w:t>22</w:t>
      </w:r>
      <w:r w:rsidR="001C1E47" w:rsidRPr="001C1E47">
        <w:rPr>
          <w:iCs/>
        </w:rPr>
        <w:t xml:space="preserve"> </w:t>
      </w:r>
      <w:r w:rsidR="000A134A" w:rsidRPr="001C1E47">
        <w:rPr>
          <w:iCs/>
        </w:rPr>
        <w:t xml:space="preserve">Follow-up </w:t>
      </w:r>
      <w:r w:rsidR="00626033" w:rsidRPr="001C1E47">
        <w:t>Federal Annual Monitoring</w:t>
      </w:r>
      <w:r w:rsidR="000A134A" w:rsidRPr="001C1E47">
        <w:t xml:space="preserve"> Evaluation (FAME) Report</w:t>
      </w:r>
      <w:bookmarkEnd w:id="0"/>
      <w:bookmarkEnd w:id="1"/>
    </w:p>
    <w:p w14:paraId="5D01BB79" w14:textId="77777777" w:rsidR="000A134A" w:rsidRPr="001C1E47" w:rsidRDefault="000A134A" w:rsidP="008B3A85">
      <w:pPr>
        <w:widowControl/>
        <w:autoSpaceDE/>
        <w:autoSpaceDN/>
        <w:adjustRightInd/>
        <w:rPr>
          <w:rFonts w:cs="Calibri"/>
          <w:bCs/>
          <w:iCs/>
        </w:rPr>
      </w:pPr>
    </w:p>
    <w:p w14:paraId="2681F091" w14:textId="77777777" w:rsidR="000A134A" w:rsidRPr="001C1E47" w:rsidRDefault="000A134A" w:rsidP="008B3A85">
      <w:pPr>
        <w:widowControl/>
        <w:autoSpaceDE/>
        <w:autoSpaceDN/>
        <w:adjustRightInd/>
        <w:rPr>
          <w:rFonts w:cs="Calibri"/>
        </w:rPr>
      </w:pPr>
      <w:r w:rsidRPr="001C1E47">
        <w:rPr>
          <w:rFonts w:cs="Calibri"/>
        </w:rPr>
        <w:t xml:space="preserve"> </w:t>
      </w:r>
    </w:p>
    <w:p w14:paraId="61F6BBD2" w14:textId="77777777" w:rsidR="000A134A" w:rsidRPr="001C1E47" w:rsidRDefault="000A134A" w:rsidP="008B3A85">
      <w:pPr>
        <w:widowControl/>
        <w:autoSpaceDE/>
        <w:autoSpaceDN/>
        <w:adjustRightInd/>
        <w:rPr>
          <w:rFonts w:cs="Calibri"/>
          <w:b/>
        </w:rPr>
      </w:pPr>
    </w:p>
    <w:p w14:paraId="08CCEADA" w14:textId="77777777" w:rsidR="000D1B9D" w:rsidRPr="000D1B9D" w:rsidRDefault="000D1B9D" w:rsidP="008B3A85">
      <w:pPr>
        <w:rPr>
          <w:rFonts w:asciiTheme="minorHAnsi" w:hAnsiTheme="minorHAnsi" w:cstheme="minorHAnsi"/>
          <w:bCs/>
          <w:sz w:val="28"/>
          <w:szCs w:val="28"/>
        </w:rPr>
      </w:pPr>
      <w:r w:rsidRPr="000D1B9D">
        <w:rPr>
          <w:rFonts w:asciiTheme="minorHAnsi" w:hAnsiTheme="minorHAnsi" w:cstheme="minorHAnsi"/>
          <w:bCs/>
          <w:sz w:val="28"/>
          <w:szCs w:val="28"/>
        </w:rPr>
        <w:t xml:space="preserve">Wyoming Occupational Safety and Health Administration </w:t>
      </w:r>
    </w:p>
    <w:p w14:paraId="385A5A3A" w14:textId="77777777" w:rsidR="000D1B9D" w:rsidRPr="000D1B9D" w:rsidRDefault="000D1B9D" w:rsidP="008B3A85">
      <w:pPr>
        <w:rPr>
          <w:rFonts w:asciiTheme="minorHAnsi" w:hAnsiTheme="minorHAnsi" w:cstheme="minorHAnsi"/>
          <w:bCs/>
          <w:sz w:val="28"/>
          <w:szCs w:val="28"/>
        </w:rPr>
      </w:pPr>
      <w:r w:rsidRPr="000D1B9D">
        <w:rPr>
          <w:rFonts w:asciiTheme="minorHAnsi" w:hAnsiTheme="minorHAnsi" w:cstheme="minorHAnsi"/>
          <w:bCs/>
          <w:sz w:val="28"/>
          <w:szCs w:val="28"/>
        </w:rPr>
        <w:t>(Wyoming OSHA)</w:t>
      </w:r>
    </w:p>
    <w:p w14:paraId="2A3E5133" w14:textId="77777777" w:rsidR="000A134A" w:rsidRPr="001C1E47" w:rsidRDefault="000A134A" w:rsidP="008B3A85">
      <w:pPr>
        <w:widowControl/>
        <w:autoSpaceDE/>
        <w:autoSpaceDN/>
        <w:adjustRightInd/>
        <w:rPr>
          <w:rFonts w:cs="Calibri"/>
          <w:bCs/>
        </w:rPr>
      </w:pPr>
    </w:p>
    <w:p w14:paraId="33BDDAA9" w14:textId="77777777" w:rsidR="000A134A" w:rsidRPr="001C1E47" w:rsidRDefault="000A134A" w:rsidP="008B3A85">
      <w:pPr>
        <w:widowControl/>
        <w:autoSpaceDE/>
        <w:autoSpaceDN/>
        <w:adjustRightInd/>
        <w:rPr>
          <w:rFonts w:cs="Calibri"/>
          <w:bCs/>
        </w:rPr>
      </w:pPr>
    </w:p>
    <w:p w14:paraId="0E828210" w14:textId="4784B5A8" w:rsidR="000A134A" w:rsidRDefault="000D1B9D" w:rsidP="008B3A85">
      <w:pPr>
        <w:widowControl/>
        <w:autoSpaceDE/>
        <w:autoSpaceDN/>
        <w:adjustRightInd/>
        <w:rPr>
          <w:rFonts w:cs="Calibri"/>
          <w:bCs/>
        </w:rPr>
      </w:pPr>
      <w:r w:rsidRPr="00C904CA">
        <w:rPr>
          <w:noProof/>
        </w:rPr>
        <w:drawing>
          <wp:inline distT="0" distB="0" distL="0" distR="0" wp14:anchorId="6231CD21" wp14:editId="6F2F2B5C">
            <wp:extent cx="1852295" cy="1358265"/>
            <wp:effectExtent l="0" t="0" r="0" b="0"/>
            <wp:docPr id="1" name="Picture 1" descr="Wyoming OSHA logo (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yoming OSHA logo (brow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2295" cy="1358265"/>
                    </a:xfrm>
                    <a:prstGeom prst="rect">
                      <a:avLst/>
                    </a:prstGeom>
                    <a:noFill/>
                    <a:ln>
                      <a:noFill/>
                    </a:ln>
                  </pic:spPr>
                </pic:pic>
              </a:graphicData>
            </a:graphic>
          </wp:inline>
        </w:drawing>
      </w:r>
    </w:p>
    <w:p w14:paraId="4939CF96" w14:textId="77777777" w:rsidR="000D1B9D" w:rsidRPr="001C1E47" w:rsidRDefault="000D1B9D" w:rsidP="008B3A85">
      <w:pPr>
        <w:widowControl/>
        <w:autoSpaceDE/>
        <w:autoSpaceDN/>
        <w:adjustRightInd/>
        <w:rPr>
          <w:rFonts w:cs="Calibri"/>
          <w:bCs/>
        </w:rPr>
      </w:pPr>
    </w:p>
    <w:p w14:paraId="3FC46738" w14:textId="77777777" w:rsidR="000A134A" w:rsidRPr="001C1E47" w:rsidRDefault="000A134A" w:rsidP="008B3A85">
      <w:pPr>
        <w:widowControl/>
        <w:autoSpaceDE/>
        <w:autoSpaceDN/>
        <w:adjustRightInd/>
        <w:rPr>
          <w:rFonts w:cs="Calibri"/>
          <w:b/>
        </w:rPr>
      </w:pPr>
    </w:p>
    <w:p w14:paraId="6CB8AD27" w14:textId="7356AD48" w:rsidR="000A134A" w:rsidRPr="001C1E47" w:rsidRDefault="000A134A" w:rsidP="008B3A85">
      <w:pPr>
        <w:widowControl/>
        <w:tabs>
          <w:tab w:val="left" w:pos="720"/>
          <w:tab w:val="left" w:pos="1440"/>
          <w:tab w:val="left" w:pos="2160"/>
        </w:tabs>
        <w:autoSpaceDE/>
        <w:autoSpaceDN/>
        <w:adjustRightInd/>
        <w:rPr>
          <w:rFonts w:eastAsia="Batang" w:cs="Calibri"/>
          <w:b/>
          <w:sz w:val="28"/>
          <w:szCs w:val="28"/>
        </w:rPr>
      </w:pPr>
      <w:r w:rsidRPr="001C1E47">
        <w:rPr>
          <w:rFonts w:eastAsia="Batang" w:cs="Calibri"/>
          <w:b/>
          <w:sz w:val="28"/>
          <w:szCs w:val="28"/>
        </w:rPr>
        <w:t>Ev</w:t>
      </w:r>
      <w:r w:rsidR="00882F2B" w:rsidRPr="001C1E47">
        <w:rPr>
          <w:rFonts w:eastAsia="Batang" w:cs="Calibri"/>
          <w:b/>
          <w:sz w:val="28"/>
          <w:szCs w:val="28"/>
        </w:rPr>
        <w:t>aluation Period: October 1, 20</w:t>
      </w:r>
      <w:r w:rsidR="00F54BE0" w:rsidRPr="001C1E47">
        <w:rPr>
          <w:rFonts w:eastAsia="Batang" w:cs="Calibri"/>
          <w:b/>
          <w:sz w:val="28"/>
          <w:szCs w:val="28"/>
        </w:rPr>
        <w:t>21</w:t>
      </w:r>
      <w:r w:rsidRPr="001C1E47">
        <w:rPr>
          <w:rFonts w:eastAsia="Batang" w:cs="Calibri"/>
          <w:b/>
          <w:sz w:val="28"/>
          <w:szCs w:val="28"/>
        </w:rPr>
        <w:t xml:space="preserve"> –</w:t>
      </w:r>
      <w:r w:rsidR="00882F2B" w:rsidRPr="001C1E47">
        <w:rPr>
          <w:rFonts w:eastAsia="Batang" w:cs="Calibri"/>
          <w:b/>
          <w:sz w:val="28"/>
          <w:szCs w:val="28"/>
        </w:rPr>
        <w:t xml:space="preserve"> September 30, 20</w:t>
      </w:r>
      <w:r w:rsidR="00F54BE0" w:rsidRPr="001C1E47">
        <w:rPr>
          <w:rFonts w:eastAsia="Batang" w:cs="Calibri"/>
          <w:b/>
          <w:sz w:val="28"/>
          <w:szCs w:val="28"/>
        </w:rPr>
        <w:t>22</w:t>
      </w:r>
    </w:p>
    <w:p w14:paraId="03D79AE5" w14:textId="77777777" w:rsidR="000A134A" w:rsidRPr="001C1E47" w:rsidRDefault="000A134A" w:rsidP="008B3A85">
      <w:pPr>
        <w:widowControl/>
        <w:autoSpaceDE/>
        <w:autoSpaceDN/>
        <w:adjustRightInd/>
        <w:rPr>
          <w:rFonts w:cs="Calibri"/>
        </w:rPr>
      </w:pPr>
    </w:p>
    <w:p w14:paraId="0E81BC24" w14:textId="77777777" w:rsidR="000A134A" w:rsidRPr="001C1E47" w:rsidRDefault="000A134A" w:rsidP="008B3A85">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221B5785" w14:textId="77777777" w:rsidR="000A134A" w:rsidRPr="001C1E47" w:rsidRDefault="000A134A" w:rsidP="008B3A85">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p>
    <w:p w14:paraId="0DF94F44" w14:textId="552D94AE" w:rsidR="000A134A" w:rsidRPr="001C1E47" w:rsidRDefault="000A134A" w:rsidP="008B3A85">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 xml:space="preserve">Initial Approval Date:  </w:t>
      </w:r>
      <w:r w:rsidR="000D1B9D">
        <w:rPr>
          <w:rFonts w:eastAsia="Batang" w:cs="Calibri"/>
          <w:b/>
        </w:rPr>
        <w:t>May 3, 1973</w:t>
      </w:r>
    </w:p>
    <w:p w14:paraId="3062998A" w14:textId="672C7C35" w:rsidR="000A134A" w:rsidRPr="000D1B9D" w:rsidRDefault="000A134A" w:rsidP="008B3A85">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 xml:space="preserve">Program Certification Date: </w:t>
      </w:r>
      <w:r w:rsidR="000D1B9D" w:rsidRPr="000D1B9D">
        <w:rPr>
          <w:rFonts w:eastAsia="Batang" w:cs="Calibri"/>
          <w:b/>
        </w:rPr>
        <w:t>December 18, 1980</w:t>
      </w:r>
    </w:p>
    <w:p w14:paraId="51A91D4F" w14:textId="500C5304" w:rsidR="000A134A" w:rsidRPr="000D1B9D" w:rsidRDefault="000A134A" w:rsidP="008B3A85">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r w:rsidRPr="000D1B9D">
        <w:rPr>
          <w:rFonts w:eastAsia="Batang" w:cs="Calibri"/>
          <w:b/>
        </w:rPr>
        <w:t xml:space="preserve">Final Approval Date: </w:t>
      </w:r>
      <w:r w:rsidR="000D1B9D" w:rsidRPr="000D1B9D">
        <w:rPr>
          <w:rFonts w:eastAsia="Batang" w:cs="Calibri"/>
          <w:b/>
        </w:rPr>
        <w:t>June 27, 1985</w:t>
      </w:r>
    </w:p>
    <w:p w14:paraId="5FD63D8C" w14:textId="77777777" w:rsidR="000A134A" w:rsidRPr="001C1E47" w:rsidRDefault="000A134A" w:rsidP="008B3A85">
      <w:pPr>
        <w:widowControl/>
        <w:autoSpaceDE/>
        <w:autoSpaceDN/>
        <w:adjustRightInd/>
        <w:rPr>
          <w:rFonts w:cs="Calibri"/>
          <w:b/>
          <w:bCs/>
        </w:rPr>
      </w:pPr>
    </w:p>
    <w:p w14:paraId="3903FDED" w14:textId="77777777" w:rsidR="000A134A" w:rsidRPr="001C1E47" w:rsidRDefault="000A134A" w:rsidP="008B3A85">
      <w:pPr>
        <w:widowControl/>
        <w:autoSpaceDE/>
        <w:autoSpaceDN/>
        <w:adjustRightInd/>
        <w:rPr>
          <w:rFonts w:cs="Calibri"/>
          <w:b/>
        </w:rPr>
      </w:pPr>
    </w:p>
    <w:p w14:paraId="1EA42317" w14:textId="77777777" w:rsidR="000A134A" w:rsidRPr="001C1E47" w:rsidRDefault="000A134A" w:rsidP="008B3A85">
      <w:pPr>
        <w:widowControl/>
        <w:tabs>
          <w:tab w:val="right" w:pos="9720"/>
        </w:tabs>
        <w:autoSpaceDE/>
        <w:autoSpaceDN/>
        <w:adjustRightInd/>
        <w:rPr>
          <w:rFonts w:cs="Calibri"/>
          <w:b/>
          <w:bCs/>
        </w:rPr>
      </w:pPr>
    </w:p>
    <w:p w14:paraId="19E2F8B5" w14:textId="77777777" w:rsidR="000A134A" w:rsidRPr="0061177B" w:rsidRDefault="000A134A" w:rsidP="008B3A85">
      <w:pPr>
        <w:widowControl/>
        <w:autoSpaceDE/>
        <w:autoSpaceDN/>
        <w:adjustRightInd/>
        <w:rPr>
          <w:rFonts w:cs="Calibri"/>
          <w:bCs/>
          <w:iCs/>
        </w:rPr>
      </w:pPr>
    </w:p>
    <w:p w14:paraId="336BF8F1" w14:textId="77777777" w:rsidR="000A134A" w:rsidRPr="001C1E47" w:rsidRDefault="000A134A" w:rsidP="008B3A85">
      <w:pPr>
        <w:widowControl/>
        <w:autoSpaceDE/>
        <w:autoSpaceDN/>
        <w:adjustRightInd/>
        <w:rPr>
          <w:rFonts w:cs="Calibri"/>
          <w:b/>
        </w:rPr>
      </w:pPr>
      <w:r w:rsidRPr="001C1E47">
        <w:rPr>
          <w:rFonts w:cs="Calibri"/>
          <w:b/>
        </w:rPr>
        <w:t>Prepared by:</w:t>
      </w:r>
    </w:p>
    <w:p w14:paraId="503A1070" w14:textId="53EA165A" w:rsidR="000A134A" w:rsidRPr="001C1E47" w:rsidRDefault="000A134A" w:rsidP="008B3A85">
      <w:pPr>
        <w:widowControl/>
        <w:autoSpaceDE/>
        <w:autoSpaceDN/>
        <w:adjustRightInd/>
        <w:rPr>
          <w:rFonts w:cs="Calibri"/>
          <w:b/>
        </w:rPr>
      </w:pPr>
      <w:r w:rsidRPr="001C1E47">
        <w:rPr>
          <w:rFonts w:cs="Calibri"/>
          <w:b/>
        </w:rPr>
        <w:t>U. S. Department of Labor</w:t>
      </w:r>
    </w:p>
    <w:p w14:paraId="5E957F30" w14:textId="77777777" w:rsidR="000A134A" w:rsidRPr="001C1E47" w:rsidRDefault="000A134A" w:rsidP="008B3A85">
      <w:pPr>
        <w:widowControl/>
        <w:autoSpaceDE/>
        <w:autoSpaceDN/>
        <w:adjustRightInd/>
        <w:rPr>
          <w:rFonts w:cs="Calibri"/>
          <w:b/>
        </w:rPr>
      </w:pPr>
      <w:r w:rsidRPr="001C1E47">
        <w:rPr>
          <w:rFonts w:cs="Calibri"/>
          <w:b/>
        </w:rPr>
        <w:t>Occupational Safety and Health Administration</w:t>
      </w:r>
    </w:p>
    <w:p w14:paraId="283D40DC" w14:textId="4E1429D3" w:rsidR="000A134A" w:rsidRPr="001C1E47" w:rsidRDefault="000A134A" w:rsidP="008B3A85">
      <w:pPr>
        <w:widowControl/>
        <w:autoSpaceDE/>
        <w:autoSpaceDN/>
        <w:adjustRightInd/>
        <w:rPr>
          <w:rFonts w:cs="Calibri"/>
          <w:b/>
        </w:rPr>
      </w:pPr>
      <w:r w:rsidRPr="001C1E47">
        <w:rPr>
          <w:rFonts w:cs="Calibri"/>
          <w:b/>
        </w:rPr>
        <w:t xml:space="preserve">Region </w:t>
      </w:r>
      <w:r w:rsidR="007017C2">
        <w:rPr>
          <w:rFonts w:cs="Calibri"/>
          <w:b/>
        </w:rPr>
        <w:t>VIII</w:t>
      </w:r>
    </w:p>
    <w:p w14:paraId="50EE0B64" w14:textId="532D75F3" w:rsidR="000A134A" w:rsidRPr="007017C2" w:rsidRDefault="007017C2" w:rsidP="008B3A85">
      <w:pPr>
        <w:widowControl/>
        <w:autoSpaceDE/>
        <w:autoSpaceDN/>
        <w:adjustRightInd/>
        <w:rPr>
          <w:rFonts w:cs="Calibri"/>
          <w:b/>
        </w:rPr>
      </w:pPr>
      <w:r w:rsidRPr="007017C2">
        <w:rPr>
          <w:rFonts w:cs="Calibri"/>
          <w:b/>
        </w:rPr>
        <w:t>Denver, CO</w:t>
      </w:r>
    </w:p>
    <w:p w14:paraId="5737E281" w14:textId="49DD9A5D" w:rsidR="000A134A" w:rsidRDefault="000A134A" w:rsidP="008B3A85">
      <w:pPr>
        <w:widowControl/>
        <w:autoSpaceDE/>
        <w:autoSpaceDN/>
        <w:adjustRightInd/>
        <w:rPr>
          <w:rFonts w:cs="Calibri"/>
          <w:b/>
        </w:rPr>
      </w:pPr>
    </w:p>
    <w:p w14:paraId="5577B8B3" w14:textId="77777777" w:rsidR="000D1B9D" w:rsidRPr="001C1E47" w:rsidRDefault="000D1B9D" w:rsidP="008B3A85">
      <w:pPr>
        <w:widowControl/>
        <w:autoSpaceDE/>
        <w:autoSpaceDN/>
        <w:adjustRightInd/>
        <w:rPr>
          <w:rFonts w:cs="Calibri"/>
          <w:b/>
        </w:rPr>
      </w:pPr>
    </w:p>
    <w:p w14:paraId="2A63637C" w14:textId="77777777" w:rsidR="000A134A" w:rsidRPr="001C1E47" w:rsidRDefault="000A134A" w:rsidP="008B3A85">
      <w:pPr>
        <w:widowControl/>
        <w:autoSpaceDE/>
        <w:autoSpaceDN/>
        <w:adjustRightInd/>
        <w:rPr>
          <w:rFonts w:cs="Calibri"/>
          <w:b/>
        </w:rPr>
      </w:pPr>
    </w:p>
    <w:p w14:paraId="41EC6729" w14:textId="77777777" w:rsidR="000A134A" w:rsidRPr="001C1E47" w:rsidRDefault="000A134A" w:rsidP="007A71AC">
      <w:pPr>
        <w:widowControl/>
        <w:autoSpaceDE/>
        <w:autoSpaceDN/>
        <w:adjustRightInd/>
        <w:jc w:val="center"/>
        <w:rPr>
          <w:rFonts w:cs="Calibri"/>
          <w:b/>
          <w:sz w:val="40"/>
          <w:szCs w:val="40"/>
        </w:rPr>
      </w:pPr>
      <w:r w:rsidRPr="001C1E47">
        <w:rPr>
          <w:rFonts w:cs="Calibri"/>
          <w:noProof/>
        </w:rPr>
        <w:drawing>
          <wp:inline distT="0" distB="0" distL="0" distR="0" wp14:anchorId="1D849888" wp14:editId="45B53DEE">
            <wp:extent cx="1600200" cy="1009650"/>
            <wp:effectExtent l="0" t="0" r="0" b="0"/>
            <wp:docPr id="4" name="Picture 4" descr="OS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SH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26D1C94C" w14:textId="03D9A6CF" w:rsidR="00F43B23" w:rsidRDefault="00F43B23">
      <w:pPr>
        <w:widowControl/>
        <w:autoSpaceDE/>
        <w:autoSpaceDN/>
        <w:adjustRightInd/>
        <w:rPr>
          <w:rFonts w:cs="Calibri"/>
          <w:b/>
          <w:sz w:val="40"/>
          <w:szCs w:val="40"/>
        </w:rPr>
      </w:pPr>
    </w:p>
    <w:p w14:paraId="253E64F1" w14:textId="2FAB4601" w:rsidR="002A6CAA" w:rsidRPr="00F43B23" w:rsidRDefault="00F43B23">
      <w:pPr>
        <w:widowControl/>
        <w:autoSpaceDE/>
        <w:autoSpaceDN/>
        <w:adjustRightInd/>
        <w:rPr>
          <w:rFonts w:cs="Calibri"/>
          <w:b/>
          <w:sz w:val="28"/>
          <w:szCs w:val="28"/>
        </w:rPr>
      </w:pPr>
      <w:r w:rsidRPr="00F43B23">
        <w:rPr>
          <w:rFonts w:cs="Calibri"/>
          <w:b/>
          <w:sz w:val="28"/>
          <w:szCs w:val="28"/>
        </w:rPr>
        <w:t>Table of Contents</w:t>
      </w:r>
    </w:p>
    <w:p w14:paraId="161B9969" w14:textId="35F1BB15" w:rsidR="000F63C1" w:rsidRDefault="000F63C1" w:rsidP="00A41F72">
      <w:pPr>
        <w:pStyle w:val="TOC2"/>
        <w:rPr>
          <w:rFonts w:eastAsiaTheme="minorEastAsia" w:cstheme="minorBidi"/>
          <w:b/>
          <w:noProof/>
          <w:sz w:val="22"/>
          <w:szCs w:val="22"/>
        </w:rPr>
      </w:pPr>
      <w:r>
        <w:fldChar w:fldCharType="begin"/>
      </w:r>
      <w:r>
        <w:instrText xml:space="preserve"> TOC \o "2-3" \h \z \u \t "Level 1,1" </w:instrText>
      </w:r>
      <w:r>
        <w:fldChar w:fldCharType="separate"/>
      </w:r>
      <w:hyperlink w:anchor="_Toc119418663" w:history="1">
        <w:r w:rsidRPr="00B5463F">
          <w:rPr>
            <w:rStyle w:val="Hyperlink"/>
            <w:noProof/>
          </w:rPr>
          <w:t>I.</w:t>
        </w:r>
        <w:r>
          <w:rPr>
            <w:rFonts w:eastAsiaTheme="minorEastAsia" w:cstheme="minorBidi"/>
            <w:b/>
            <w:noProof/>
            <w:sz w:val="22"/>
            <w:szCs w:val="22"/>
          </w:rPr>
          <w:tab/>
        </w:r>
        <w:r w:rsidRPr="00B5463F">
          <w:rPr>
            <w:rStyle w:val="Hyperlink"/>
            <w:noProof/>
          </w:rPr>
          <w:t>Executive Summary</w:t>
        </w:r>
        <w:r>
          <w:rPr>
            <w:noProof/>
            <w:webHidden/>
          </w:rPr>
          <w:tab/>
        </w:r>
        <w:r>
          <w:rPr>
            <w:noProof/>
            <w:webHidden/>
          </w:rPr>
          <w:fldChar w:fldCharType="begin"/>
        </w:r>
        <w:r>
          <w:rPr>
            <w:noProof/>
            <w:webHidden/>
          </w:rPr>
          <w:instrText xml:space="preserve"> PAGEREF _Toc119418663 \h </w:instrText>
        </w:r>
        <w:r>
          <w:rPr>
            <w:noProof/>
            <w:webHidden/>
          </w:rPr>
        </w:r>
        <w:r>
          <w:rPr>
            <w:noProof/>
            <w:webHidden/>
          </w:rPr>
          <w:fldChar w:fldCharType="separate"/>
        </w:r>
        <w:r>
          <w:rPr>
            <w:noProof/>
            <w:webHidden/>
          </w:rPr>
          <w:t>3</w:t>
        </w:r>
        <w:r>
          <w:rPr>
            <w:noProof/>
            <w:webHidden/>
          </w:rPr>
          <w:fldChar w:fldCharType="end"/>
        </w:r>
      </w:hyperlink>
    </w:p>
    <w:p w14:paraId="3BD91ACD" w14:textId="6ADA5A8E" w:rsidR="000F63C1" w:rsidRDefault="00516EB0" w:rsidP="00A41F72">
      <w:pPr>
        <w:pStyle w:val="TOC2"/>
        <w:rPr>
          <w:rFonts w:eastAsiaTheme="minorEastAsia" w:cstheme="minorBidi"/>
          <w:b/>
          <w:noProof/>
          <w:sz w:val="22"/>
          <w:szCs w:val="22"/>
        </w:rPr>
      </w:pPr>
      <w:hyperlink w:anchor="_Toc119418664" w:history="1">
        <w:r w:rsidR="00C01AD4" w:rsidRPr="00B5463F">
          <w:rPr>
            <w:rStyle w:val="Hyperlink"/>
            <w:noProof/>
          </w:rPr>
          <w:t>II.</w:t>
        </w:r>
        <w:r w:rsidR="00C01AD4">
          <w:rPr>
            <w:rFonts w:eastAsiaTheme="minorEastAsia" w:cstheme="minorBidi"/>
            <w:b/>
            <w:noProof/>
            <w:sz w:val="22"/>
            <w:szCs w:val="22"/>
          </w:rPr>
          <w:tab/>
        </w:r>
        <w:r w:rsidR="00C01AD4" w:rsidRPr="00B5463F">
          <w:rPr>
            <w:rStyle w:val="Hyperlink"/>
            <w:noProof/>
          </w:rPr>
          <w:t>State Plan Background</w:t>
        </w:r>
        <w:r w:rsidR="00C01AD4">
          <w:rPr>
            <w:noProof/>
            <w:webHidden/>
          </w:rPr>
          <w:tab/>
        </w:r>
      </w:hyperlink>
      <w:r w:rsidR="006A61AE">
        <w:rPr>
          <w:noProof/>
        </w:rPr>
        <w:t>3</w:t>
      </w:r>
    </w:p>
    <w:p w14:paraId="12E60A29" w14:textId="2040091B" w:rsidR="000F63C1" w:rsidRDefault="00516EB0" w:rsidP="00A41F72">
      <w:pPr>
        <w:pStyle w:val="TOC2"/>
        <w:rPr>
          <w:rFonts w:eastAsiaTheme="minorEastAsia" w:cstheme="minorBidi"/>
          <w:b/>
          <w:noProof/>
          <w:sz w:val="22"/>
          <w:szCs w:val="22"/>
        </w:rPr>
      </w:pPr>
      <w:hyperlink w:anchor="_Toc119418665" w:history="1">
        <w:r w:rsidR="000F63C1" w:rsidRPr="00B5463F">
          <w:rPr>
            <w:rStyle w:val="Hyperlink"/>
            <w:noProof/>
          </w:rPr>
          <w:t>III.</w:t>
        </w:r>
        <w:r w:rsidR="000F63C1">
          <w:rPr>
            <w:rFonts w:eastAsiaTheme="minorEastAsia" w:cstheme="minorBidi"/>
            <w:b/>
            <w:noProof/>
            <w:sz w:val="22"/>
            <w:szCs w:val="22"/>
          </w:rPr>
          <w:tab/>
        </w:r>
        <w:r w:rsidR="000F63C1" w:rsidRPr="00B5463F">
          <w:rPr>
            <w:rStyle w:val="Hyperlink"/>
            <w:noProof/>
          </w:rPr>
          <w:t>Assessment of State Plan Progress and Performance</w:t>
        </w:r>
        <w:r w:rsidR="000F63C1">
          <w:rPr>
            <w:noProof/>
            <w:webHidden/>
          </w:rPr>
          <w:tab/>
        </w:r>
        <w:r w:rsidR="009C6114">
          <w:rPr>
            <w:noProof/>
            <w:webHidden/>
          </w:rPr>
          <w:t>5</w:t>
        </w:r>
      </w:hyperlink>
    </w:p>
    <w:p w14:paraId="1E2078A6" w14:textId="40D163E2" w:rsidR="000F63C1" w:rsidRDefault="00516EB0" w:rsidP="00E469BE">
      <w:pPr>
        <w:pStyle w:val="TOC3"/>
        <w:rPr>
          <w:rFonts w:eastAsiaTheme="minorEastAsia" w:cstheme="minorBidi"/>
          <w:noProof/>
          <w:sz w:val="22"/>
          <w:szCs w:val="22"/>
        </w:rPr>
      </w:pPr>
      <w:hyperlink w:anchor="_Toc119418666" w:history="1">
        <w:r w:rsidR="000F63C1" w:rsidRPr="00B5463F">
          <w:rPr>
            <w:rStyle w:val="Hyperlink"/>
            <w:rFonts w:ascii="Calibri" w:hAnsi="Calibri"/>
            <w:noProof/>
          </w:rPr>
          <w:t>A.</w:t>
        </w:r>
        <w:r w:rsidR="000F63C1">
          <w:rPr>
            <w:rFonts w:eastAsiaTheme="minorEastAsia" w:cstheme="minorBidi"/>
            <w:noProof/>
            <w:sz w:val="22"/>
            <w:szCs w:val="22"/>
          </w:rPr>
          <w:tab/>
        </w:r>
        <w:r w:rsidR="000F63C1" w:rsidRPr="00B5463F">
          <w:rPr>
            <w:rStyle w:val="Hyperlink"/>
            <w:noProof/>
          </w:rPr>
          <w:t>Data and Methodology</w:t>
        </w:r>
        <w:r w:rsidR="000F63C1">
          <w:rPr>
            <w:noProof/>
            <w:webHidden/>
          </w:rPr>
          <w:tab/>
        </w:r>
        <w:r w:rsidR="009C6114">
          <w:rPr>
            <w:noProof/>
            <w:webHidden/>
          </w:rPr>
          <w:t>5</w:t>
        </w:r>
      </w:hyperlink>
    </w:p>
    <w:p w14:paraId="5EC14328" w14:textId="42F937E7" w:rsidR="000F63C1" w:rsidRDefault="00516EB0" w:rsidP="00E469BE">
      <w:pPr>
        <w:pStyle w:val="TOC3"/>
        <w:rPr>
          <w:rFonts w:eastAsiaTheme="minorEastAsia" w:cstheme="minorBidi"/>
          <w:noProof/>
          <w:sz w:val="22"/>
          <w:szCs w:val="22"/>
        </w:rPr>
      </w:pPr>
      <w:hyperlink w:anchor="_Toc119418667" w:history="1">
        <w:r w:rsidR="000F63C1" w:rsidRPr="00B5463F">
          <w:rPr>
            <w:rStyle w:val="Hyperlink"/>
            <w:rFonts w:ascii="Calibri" w:hAnsi="Calibri"/>
            <w:noProof/>
          </w:rPr>
          <w:t>B.</w:t>
        </w:r>
        <w:r w:rsidR="000F63C1">
          <w:rPr>
            <w:rFonts w:eastAsiaTheme="minorEastAsia" w:cstheme="minorBidi"/>
            <w:noProof/>
            <w:sz w:val="22"/>
            <w:szCs w:val="22"/>
          </w:rPr>
          <w:tab/>
        </w:r>
        <w:r w:rsidR="000F63C1" w:rsidRPr="00B5463F">
          <w:rPr>
            <w:rStyle w:val="Hyperlink"/>
            <w:noProof/>
          </w:rPr>
          <w:t>Findings and Observations</w:t>
        </w:r>
        <w:r w:rsidR="000F63C1">
          <w:rPr>
            <w:noProof/>
            <w:webHidden/>
          </w:rPr>
          <w:tab/>
        </w:r>
        <w:r w:rsidR="009C6114">
          <w:rPr>
            <w:noProof/>
            <w:webHidden/>
          </w:rPr>
          <w:t>5</w:t>
        </w:r>
      </w:hyperlink>
    </w:p>
    <w:p w14:paraId="373A40FB" w14:textId="39B60A48" w:rsidR="000F63C1" w:rsidRDefault="00516EB0" w:rsidP="00E469BE">
      <w:pPr>
        <w:pStyle w:val="TOC3"/>
        <w:rPr>
          <w:rFonts w:eastAsiaTheme="minorEastAsia" w:cstheme="minorBidi"/>
          <w:noProof/>
          <w:sz w:val="22"/>
          <w:szCs w:val="22"/>
        </w:rPr>
      </w:pPr>
      <w:hyperlink w:anchor="_Toc119418668" w:history="1">
        <w:r w:rsidR="00062531" w:rsidRPr="00B5463F">
          <w:rPr>
            <w:rStyle w:val="Hyperlink"/>
            <w:rFonts w:ascii="Calibri" w:hAnsi="Calibri"/>
            <w:noProof/>
          </w:rPr>
          <w:t>C.</w:t>
        </w:r>
        <w:r w:rsidR="00062531">
          <w:rPr>
            <w:rFonts w:eastAsiaTheme="minorEastAsia" w:cstheme="minorBidi"/>
            <w:noProof/>
            <w:sz w:val="22"/>
            <w:szCs w:val="22"/>
          </w:rPr>
          <w:tab/>
        </w:r>
        <w:r w:rsidR="00062531" w:rsidRPr="00B5463F">
          <w:rPr>
            <w:rStyle w:val="Hyperlink"/>
            <w:noProof/>
          </w:rPr>
          <w:t>State Activity Mandated Measures (SAMM) Highlights</w:t>
        </w:r>
        <w:r w:rsidR="00062531">
          <w:rPr>
            <w:noProof/>
            <w:webHidden/>
          </w:rPr>
          <w:tab/>
          <w:t>8</w:t>
        </w:r>
      </w:hyperlink>
    </w:p>
    <w:p w14:paraId="50DBA2CB" w14:textId="04EA2224" w:rsidR="000F63C1" w:rsidRDefault="00516EB0" w:rsidP="00E469BE">
      <w:pPr>
        <w:pStyle w:val="TOC3"/>
        <w:rPr>
          <w:rFonts w:eastAsiaTheme="minorEastAsia" w:cstheme="minorBidi"/>
          <w:noProof/>
          <w:sz w:val="22"/>
          <w:szCs w:val="22"/>
        </w:rPr>
      </w:pPr>
      <w:hyperlink w:anchor="_Toc119418669" w:history="1">
        <w:r w:rsidR="000F63C1" w:rsidRPr="00B5463F">
          <w:rPr>
            <w:rStyle w:val="Hyperlink"/>
            <w:noProof/>
          </w:rPr>
          <w:t>Appendix A – New and Continued Findings and Recommendations</w:t>
        </w:r>
        <w:r w:rsidR="000F63C1">
          <w:rPr>
            <w:noProof/>
            <w:webHidden/>
          </w:rPr>
          <w:tab/>
        </w:r>
        <w:r w:rsidR="000F63C1">
          <w:rPr>
            <w:noProof/>
            <w:webHidden/>
          </w:rPr>
          <w:fldChar w:fldCharType="begin"/>
        </w:r>
        <w:r w:rsidR="000F63C1">
          <w:rPr>
            <w:noProof/>
            <w:webHidden/>
          </w:rPr>
          <w:instrText xml:space="preserve"> PAGEREF _Toc119418669 \h </w:instrText>
        </w:r>
        <w:r w:rsidR="000F63C1">
          <w:rPr>
            <w:noProof/>
            <w:webHidden/>
          </w:rPr>
        </w:r>
        <w:r w:rsidR="000F63C1">
          <w:rPr>
            <w:noProof/>
            <w:webHidden/>
          </w:rPr>
          <w:fldChar w:fldCharType="separate"/>
        </w:r>
        <w:r w:rsidR="000F63C1">
          <w:rPr>
            <w:noProof/>
            <w:webHidden/>
          </w:rPr>
          <w:t>1</w:t>
        </w:r>
        <w:r w:rsidR="000F63C1">
          <w:rPr>
            <w:noProof/>
            <w:webHidden/>
          </w:rPr>
          <w:fldChar w:fldCharType="end"/>
        </w:r>
      </w:hyperlink>
      <w:hyperlink w:anchor="_Toc119418669" w:history="1">
        <w:r w:rsidR="00696B12">
          <w:rPr>
            <w:rStyle w:val="Hyperlink"/>
            <w:noProof/>
          </w:rPr>
          <w:t>2</w:t>
        </w:r>
      </w:hyperlink>
    </w:p>
    <w:p w14:paraId="150115C6" w14:textId="34676C71" w:rsidR="000F63C1" w:rsidRDefault="00516EB0" w:rsidP="00E469BE">
      <w:pPr>
        <w:pStyle w:val="TOC3"/>
        <w:rPr>
          <w:rFonts w:eastAsiaTheme="minorEastAsia" w:cstheme="minorBidi"/>
          <w:noProof/>
          <w:sz w:val="22"/>
          <w:szCs w:val="22"/>
        </w:rPr>
      </w:pPr>
      <w:hyperlink w:anchor="_Toc119418670" w:history="1">
        <w:r w:rsidR="00E469BE" w:rsidRPr="00B5463F">
          <w:rPr>
            <w:rStyle w:val="Hyperlink"/>
            <w:noProof/>
          </w:rPr>
          <w:t>Appendix B – Observations Subject to Continued Monitoring</w:t>
        </w:r>
        <w:r w:rsidR="00E469BE">
          <w:rPr>
            <w:noProof/>
            <w:webHidden/>
          </w:rPr>
          <w:tab/>
        </w:r>
        <w:r w:rsidR="00E469BE">
          <w:rPr>
            <w:noProof/>
            <w:webHidden/>
          </w:rPr>
          <w:fldChar w:fldCharType="begin"/>
        </w:r>
        <w:r w:rsidR="00E469BE">
          <w:rPr>
            <w:noProof/>
            <w:webHidden/>
          </w:rPr>
          <w:instrText xml:space="preserve"> PAGEREF _Toc119418670 \h </w:instrText>
        </w:r>
        <w:r w:rsidR="00E469BE">
          <w:rPr>
            <w:noProof/>
            <w:webHidden/>
          </w:rPr>
        </w:r>
        <w:r w:rsidR="00E469BE">
          <w:rPr>
            <w:noProof/>
            <w:webHidden/>
          </w:rPr>
          <w:fldChar w:fldCharType="separate"/>
        </w:r>
        <w:r w:rsidR="00E469BE">
          <w:rPr>
            <w:noProof/>
            <w:webHidden/>
          </w:rPr>
          <w:t>1</w:t>
        </w:r>
        <w:r w:rsidR="00696B12">
          <w:rPr>
            <w:noProof/>
            <w:webHidden/>
          </w:rPr>
          <w:t>3</w:t>
        </w:r>
        <w:r w:rsidR="00E469BE">
          <w:rPr>
            <w:noProof/>
            <w:webHidden/>
          </w:rPr>
          <w:fldChar w:fldCharType="end"/>
        </w:r>
      </w:hyperlink>
    </w:p>
    <w:p w14:paraId="65AD001B" w14:textId="7C8C6EF6" w:rsidR="000F63C1" w:rsidRDefault="00516EB0" w:rsidP="00E469BE">
      <w:pPr>
        <w:pStyle w:val="TOC3"/>
        <w:rPr>
          <w:rFonts w:eastAsiaTheme="minorEastAsia" w:cstheme="minorBidi"/>
          <w:noProof/>
          <w:sz w:val="22"/>
          <w:szCs w:val="22"/>
        </w:rPr>
      </w:pPr>
      <w:hyperlink w:anchor="_Toc119418671" w:history="1">
        <w:r w:rsidR="000C2118" w:rsidRPr="00B5463F">
          <w:rPr>
            <w:rStyle w:val="Hyperlink"/>
            <w:noProof/>
          </w:rPr>
          <w:t>Appendix C - Status of FY 20</w:t>
        </w:r>
        <w:r w:rsidR="000C2118">
          <w:rPr>
            <w:rStyle w:val="Hyperlink"/>
            <w:noProof/>
          </w:rPr>
          <w:t>21</w:t>
        </w:r>
        <w:r w:rsidR="000C2118" w:rsidRPr="00B5463F">
          <w:rPr>
            <w:rStyle w:val="Hyperlink"/>
            <w:noProof/>
          </w:rPr>
          <w:t xml:space="preserve"> Findings and Recommendations</w:t>
        </w:r>
        <w:r w:rsidR="000C2118">
          <w:rPr>
            <w:noProof/>
            <w:webHidden/>
          </w:rPr>
          <w:tab/>
        </w:r>
        <w:r w:rsidR="000C2118">
          <w:rPr>
            <w:noProof/>
            <w:webHidden/>
          </w:rPr>
          <w:fldChar w:fldCharType="begin"/>
        </w:r>
        <w:r w:rsidR="000C2118">
          <w:rPr>
            <w:noProof/>
            <w:webHidden/>
          </w:rPr>
          <w:instrText xml:space="preserve"> PAGEREF _Toc119418671 \h </w:instrText>
        </w:r>
        <w:r w:rsidR="000C2118">
          <w:rPr>
            <w:noProof/>
            <w:webHidden/>
          </w:rPr>
        </w:r>
        <w:r w:rsidR="000C2118">
          <w:rPr>
            <w:noProof/>
            <w:webHidden/>
          </w:rPr>
          <w:fldChar w:fldCharType="separate"/>
        </w:r>
        <w:r w:rsidR="000C2118">
          <w:rPr>
            <w:noProof/>
            <w:webHidden/>
          </w:rPr>
          <w:t>15</w:t>
        </w:r>
        <w:r w:rsidR="000C2118">
          <w:rPr>
            <w:noProof/>
            <w:webHidden/>
          </w:rPr>
          <w:fldChar w:fldCharType="end"/>
        </w:r>
      </w:hyperlink>
    </w:p>
    <w:p w14:paraId="38E9E7F9" w14:textId="0FE37D93" w:rsidR="000F63C1" w:rsidRDefault="00516EB0" w:rsidP="00E469BE">
      <w:pPr>
        <w:pStyle w:val="TOC3"/>
        <w:rPr>
          <w:rFonts w:eastAsiaTheme="minorEastAsia" w:cstheme="minorBidi"/>
          <w:noProof/>
          <w:sz w:val="22"/>
          <w:szCs w:val="22"/>
        </w:rPr>
      </w:pPr>
      <w:hyperlink w:anchor="_Toc119418672" w:history="1">
        <w:r w:rsidR="000C2118" w:rsidRPr="00B5463F">
          <w:rPr>
            <w:rStyle w:val="Hyperlink"/>
            <w:noProof/>
          </w:rPr>
          <w:t>Appendix D – FY 2022 State Activity Mandated Measures (SAMM) Report</w:t>
        </w:r>
        <w:r w:rsidR="000C2118">
          <w:rPr>
            <w:noProof/>
            <w:webHidden/>
          </w:rPr>
          <w:tab/>
        </w:r>
        <w:r w:rsidR="000C2118">
          <w:rPr>
            <w:noProof/>
            <w:webHidden/>
          </w:rPr>
          <w:fldChar w:fldCharType="begin"/>
        </w:r>
        <w:r w:rsidR="000C2118">
          <w:rPr>
            <w:noProof/>
            <w:webHidden/>
          </w:rPr>
          <w:instrText xml:space="preserve"> PAGEREF _Toc119418672 \h </w:instrText>
        </w:r>
        <w:r w:rsidR="000C2118">
          <w:rPr>
            <w:noProof/>
            <w:webHidden/>
          </w:rPr>
        </w:r>
        <w:r w:rsidR="000C2118">
          <w:rPr>
            <w:noProof/>
            <w:webHidden/>
          </w:rPr>
          <w:fldChar w:fldCharType="separate"/>
        </w:r>
        <w:r w:rsidR="000C2118">
          <w:rPr>
            <w:noProof/>
            <w:webHidden/>
          </w:rPr>
          <w:t>16</w:t>
        </w:r>
        <w:r w:rsidR="000C2118">
          <w:rPr>
            <w:noProof/>
            <w:webHidden/>
          </w:rPr>
          <w:fldChar w:fldCharType="end"/>
        </w:r>
      </w:hyperlink>
    </w:p>
    <w:p w14:paraId="5025DE29" w14:textId="680FBDD8" w:rsidR="000A134A" w:rsidRPr="006973DE" w:rsidRDefault="000F63C1" w:rsidP="006973DE">
      <w:r>
        <w:fldChar w:fldCharType="end"/>
      </w:r>
      <w:r w:rsidR="00B823A3">
        <w:br w:type="page"/>
      </w:r>
    </w:p>
    <w:p w14:paraId="57C8B837" w14:textId="77777777" w:rsidR="000A134A" w:rsidRPr="001C1E47" w:rsidRDefault="000A134A" w:rsidP="00476C08">
      <w:pPr>
        <w:pStyle w:val="Heading2"/>
      </w:pPr>
      <w:bookmarkStart w:id="2" w:name="_Toc338764303"/>
      <w:bookmarkStart w:id="3" w:name="_Toc118900170"/>
      <w:bookmarkStart w:id="4" w:name="_Toc118905009"/>
      <w:bookmarkStart w:id="5" w:name="_Toc119418663"/>
      <w:r w:rsidRPr="001C1E47">
        <w:lastRenderedPageBreak/>
        <w:t>Executive Summary</w:t>
      </w:r>
      <w:bookmarkEnd w:id="2"/>
      <w:bookmarkEnd w:id="3"/>
      <w:bookmarkEnd w:id="4"/>
      <w:bookmarkEnd w:id="5"/>
    </w:p>
    <w:p w14:paraId="2E2754D6" w14:textId="77777777" w:rsidR="00A76AED" w:rsidRPr="001C1E47" w:rsidRDefault="00A76AED" w:rsidP="00783189">
      <w:pPr>
        <w:rPr>
          <w:rFonts w:cs="Calibri"/>
          <w:i/>
        </w:rPr>
      </w:pPr>
    </w:p>
    <w:p w14:paraId="5613B58B" w14:textId="3F07A4CD" w:rsidR="00050FEB" w:rsidRPr="00C53328" w:rsidRDefault="00050FEB" w:rsidP="00301321">
      <w:pPr>
        <w:rPr>
          <w:iCs/>
          <w:color w:val="0070C0"/>
        </w:rPr>
      </w:pPr>
      <w:r w:rsidRPr="001C1E47">
        <w:t xml:space="preserve">The </w:t>
      </w:r>
      <w:r w:rsidR="00F85F2D" w:rsidRPr="001C1E47">
        <w:t xml:space="preserve">primary </w:t>
      </w:r>
      <w:r w:rsidRPr="001C1E47">
        <w:t xml:space="preserve">purpose of this report is to assess the </w:t>
      </w:r>
      <w:r w:rsidR="00211BC6">
        <w:t xml:space="preserve">Wyoming </w:t>
      </w:r>
      <w:r w:rsidRPr="001C1E47">
        <w:t xml:space="preserve">State Plan’s </w:t>
      </w:r>
      <w:r w:rsidR="0010494E">
        <w:t>(W</w:t>
      </w:r>
      <w:r w:rsidR="00402B12">
        <w:t>yoming</w:t>
      </w:r>
      <w:r w:rsidR="0010494E">
        <w:t xml:space="preserve"> OSHA</w:t>
      </w:r>
      <w:r w:rsidR="009D7A35" w:rsidRPr="00AE11C8">
        <w:t>’s</w:t>
      </w:r>
      <w:r w:rsidR="0010494E">
        <w:t xml:space="preserve">) </w:t>
      </w:r>
      <w:r w:rsidR="00F85F2D" w:rsidRPr="001C1E47">
        <w:t>progress in</w:t>
      </w:r>
      <w:r w:rsidRPr="001C1E47">
        <w:t xml:space="preserve"> Fiscal Year (FY) 20</w:t>
      </w:r>
      <w:r w:rsidR="00185C7D" w:rsidRPr="001C1E47">
        <w:t>22</w:t>
      </w:r>
      <w:r w:rsidRPr="001C1E47">
        <w:t xml:space="preserve"> in resolving outstanding findings from </w:t>
      </w:r>
      <w:r w:rsidR="005837BD" w:rsidRPr="001C1E47">
        <w:t xml:space="preserve">the </w:t>
      </w:r>
      <w:r w:rsidRPr="001C1E47">
        <w:t>previous FY 20</w:t>
      </w:r>
      <w:r w:rsidR="00185C7D" w:rsidRPr="001C1E47">
        <w:t>21</w:t>
      </w:r>
      <w:r w:rsidRPr="001C1E47">
        <w:t xml:space="preserve"> Comprehensive F</w:t>
      </w:r>
      <w:r w:rsidR="00626033" w:rsidRPr="001C1E47">
        <w:t>ederal Annual Monitoring Evaluation (F</w:t>
      </w:r>
      <w:r w:rsidRPr="001C1E47">
        <w:t>AME</w:t>
      </w:r>
      <w:r w:rsidR="00626033" w:rsidRPr="001C1E47">
        <w:t>)</w:t>
      </w:r>
      <w:r w:rsidRPr="001C1E47">
        <w:t xml:space="preserve"> Report.  </w:t>
      </w:r>
    </w:p>
    <w:p w14:paraId="2969A2CA" w14:textId="56342745" w:rsidR="00781312" w:rsidRPr="00D30974" w:rsidRDefault="000A134A" w:rsidP="00301321">
      <w:pPr>
        <w:rPr>
          <w:iCs/>
          <w:color w:val="0070C0"/>
        </w:rPr>
      </w:pPr>
      <w:r w:rsidRPr="00C53328">
        <w:rPr>
          <w:iCs/>
          <w:color w:val="0070C0"/>
        </w:rPr>
        <w:t xml:space="preserve"> </w:t>
      </w:r>
    </w:p>
    <w:p w14:paraId="5496E1FE" w14:textId="5CE24B2E" w:rsidR="0087426E" w:rsidRPr="00D30974" w:rsidRDefault="00D30974" w:rsidP="00301321">
      <w:pPr>
        <w:rPr>
          <w:iCs/>
        </w:rPr>
      </w:pPr>
      <w:r w:rsidRPr="00D30974">
        <w:rPr>
          <w:iCs/>
        </w:rPr>
        <w:t xml:space="preserve">Among the State Plan’s accomplishments during FY 2022 was addressing outstanding abatement of open inspections and phone/fax investigations.  A significant amount of effort reduced the numbers of open inspections and phone/fax investigations by over </w:t>
      </w:r>
      <w:r w:rsidR="00E240A8">
        <w:rPr>
          <w:iCs/>
        </w:rPr>
        <w:t>50%</w:t>
      </w:r>
      <w:r w:rsidRPr="00D30974">
        <w:rPr>
          <w:iCs/>
        </w:rPr>
        <w:t xml:space="preserve"> at the end of FY 2022 </w:t>
      </w:r>
      <w:r w:rsidR="00E240A8">
        <w:rPr>
          <w:iCs/>
        </w:rPr>
        <w:t>compared to</w:t>
      </w:r>
      <w:r w:rsidR="00E240A8" w:rsidRPr="00D30974">
        <w:rPr>
          <w:iCs/>
        </w:rPr>
        <w:t xml:space="preserve"> </w:t>
      </w:r>
      <w:r w:rsidRPr="00D30974">
        <w:rPr>
          <w:iCs/>
        </w:rPr>
        <w:t>the numbers at the end of FY 2021.</w:t>
      </w:r>
      <w:r w:rsidR="00E913F8">
        <w:rPr>
          <w:iCs/>
        </w:rPr>
        <w:t xml:space="preserve">  </w:t>
      </w:r>
      <w:r w:rsidR="0010494E">
        <w:rPr>
          <w:iCs/>
        </w:rPr>
        <w:t>W</w:t>
      </w:r>
      <w:r w:rsidR="00402B12">
        <w:rPr>
          <w:iCs/>
        </w:rPr>
        <w:t>yoming</w:t>
      </w:r>
      <w:r w:rsidR="0010494E">
        <w:rPr>
          <w:iCs/>
        </w:rPr>
        <w:t xml:space="preserve"> OSHA</w:t>
      </w:r>
      <w:r w:rsidR="00E913F8">
        <w:rPr>
          <w:iCs/>
        </w:rPr>
        <w:t xml:space="preserve"> also increased the number of inspections performed during FY 2022 by 18.4%</w:t>
      </w:r>
      <w:r w:rsidR="006A4204">
        <w:rPr>
          <w:iCs/>
        </w:rPr>
        <w:t xml:space="preserve"> from the previous fiscal year</w:t>
      </w:r>
      <w:r w:rsidR="00E913F8">
        <w:rPr>
          <w:iCs/>
        </w:rPr>
        <w:t>.</w:t>
      </w:r>
    </w:p>
    <w:p w14:paraId="3B68B978" w14:textId="77777777" w:rsidR="00781312" w:rsidRPr="00C53328" w:rsidRDefault="00781312" w:rsidP="00301321">
      <w:pPr>
        <w:rPr>
          <w:rFonts w:cs="Calibri"/>
          <w:iCs/>
          <w:color w:val="0070C0"/>
        </w:rPr>
      </w:pPr>
    </w:p>
    <w:p w14:paraId="3BA01586" w14:textId="7FCCB6E0" w:rsidR="0087426E" w:rsidRPr="00AB5F18" w:rsidRDefault="001D5AF4" w:rsidP="00301321">
      <w:pPr>
        <w:rPr>
          <w:iCs/>
          <w:color w:val="0070C0"/>
        </w:rPr>
      </w:pPr>
      <w:r w:rsidRPr="001D5AF4">
        <w:rPr>
          <w:iCs/>
        </w:rPr>
        <w:t xml:space="preserve">While the State Plan </w:t>
      </w:r>
      <w:r w:rsidR="00BD5B0A">
        <w:rPr>
          <w:iCs/>
        </w:rPr>
        <w:t>developed a plan for</w:t>
      </w:r>
      <w:r w:rsidRPr="001D5AF4">
        <w:rPr>
          <w:iCs/>
        </w:rPr>
        <w:t xml:space="preserve"> </w:t>
      </w:r>
      <w:r w:rsidR="00414227">
        <w:rPr>
          <w:iCs/>
        </w:rPr>
        <w:t xml:space="preserve">the </w:t>
      </w:r>
      <w:r w:rsidR="00BD5B0A">
        <w:rPr>
          <w:iCs/>
        </w:rPr>
        <w:t xml:space="preserve">resolution of </w:t>
      </w:r>
      <w:r w:rsidRPr="001D5AF4">
        <w:rPr>
          <w:iCs/>
        </w:rPr>
        <w:t xml:space="preserve">abatement and </w:t>
      </w:r>
      <w:r w:rsidR="006D0909" w:rsidRPr="00AE11C8">
        <w:rPr>
          <w:iCs/>
        </w:rPr>
        <w:t>the</w:t>
      </w:r>
      <w:r w:rsidR="006D0909">
        <w:rPr>
          <w:iCs/>
        </w:rPr>
        <w:t xml:space="preserve"> </w:t>
      </w:r>
      <w:r w:rsidRPr="001D5AF4">
        <w:rPr>
          <w:iCs/>
        </w:rPr>
        <w:t>closure of cases,</w:t>
      </w:r>
      <w:r w:rsidR="00836DA8" w:rsidRPr="001D5AF4">
        <w:rPr>
          <w:iCs/>
        </w:rPr>
        <w:t xml:space="preserve"> </w:t>
      </w:r>
      <w:r w:rsidRPr="001D5AF4">
        <w:rPr>
          <w:iCs/>
        </w:rPr>
        <w:t>c</w:t>
      </w:r>
      <w:r w:rsidR="00836DA8" w:rsidRPr="001D5AF4">
        <w:rPr>
          <w:iCs/>
        </w:rPr>
        <w:t xml:space="preserve">hallenges </w:t>
      </w:r>
      <w:r w:rsidRPr="001D5AF4">
        <w:rPr>
          <w:iCs/>
        </w:rPr>
        <w:t xml:space="preserve">remained, </w:t>
      </w:r>
      <w:r w:rsidR="00836DA8" w:rsidRPr="001D5AF4">
        <w:rPr>
          <w:iCs/>
        </w:rPr>
        <w:t>includ</w:t>
      </w:r>
      <w:r w:rsidRPr="001D5AF4">
        <w:rPr>
          <w:iCs/>
        </w:rPr>
        <w:t>ing</w:t>
      </w:r>
      <w:r w:rsidR="00836DA8" w:rsidRPr="001D5AF4">
        <w:rPr>
          <w:iCs/>
        </w:rPr>
        <w:t xml:space="preserve"> </w:t>
      </w:r>
      <w:r w:rsidR="00892A7A">
        <w:rPr>
          <w:iCs/>
        </w:rPr>
        <w:t>limited opportunities</w:t>
      </w:r>
      <w:r>
        <w:rPr>
          <w:iCs/>
        </w:rPr>
        <w:t xml:space="preserve"> to </w:t>
      </w:r>
      <w:r w:rsidRPr="001D5AF4">
        <w:rPr>
          <w:iCs/>
        </w:rPr>
        <w:t xml:space="preserve">perform </w:t>
      </w:r>
      <w:r w:rsidR="00836DA8" w:rsidRPr="001D5AF4">
        <w:rPr>
          <w:iCs/>
        </w:rPr>
        <w:t xml:space="preserve">health inspections.  </w:t>
      </w:r>
      <w:r w:rsidR="00BD5B0A">
        <w:rPr>
          <w:iCs/>
        </w:rPr>
        <w:t xml:space="preserve">The number of health inspections was down from previous fiscal years, principally because the State Plan’s </w:t>
      </w:r>
      <w:r w:rsidR="00BD5B0A" w:rsidRPr="00BD5B0A">
        <w:rPr>
          <w:iCs/>
        </w:rPr>
        <w:t>h</w:t>
      </w:r>
      <w:r w:rsidR="00836DA8" w:rsidRPr="00BD5B0A">
        <w:rPr>
          <w:iCs/>
        </w:rPr>
        <w:t>ealth inspection</w:t>
      </w:r>
      <w:r w:rsidR="00414227">
        <w:rPr>
          <w:iCs/>
        </w:rPr>
        <w:t>s</w:t>
      </w:r>
      <w:r w:rsidR="00BD5B0A" w:rsidRPr="00BD5B0A">
        <w:rPr>
          <w:iCs/>
        </w:rPr>
        <w:t xml:space="preserve"> </w:t>
      </w:r>
      <w:r w:rsidR="00414227">
        <w:rPr>
          <w:iCs/>
        </w:rPr>
        <w:t>were</w:t>
      </w:r>
      <w:r w:rsidR="00836DA8" w:rsidRPr="00BD5B0A">
        <w:rPr>
          <w:iCs/>
        </w:rPr>
        <w:t xml:space="preserve"> driven by </w:t>
      </w:r>
      <w:r w:rsidR="00BD5B0A" w:rsidRPr="00BD5B0A">
        <w:rPr>
          <w:iCs/>
        </w:rPr>
        <w:t>unprogrammed activity</w:t>
      </w:r>
      <w:r w:rsidR="00E240A8">
        <w:rPr>
          <w:iCs/>
        </w:rPr>
        <w:t>.</w:t>
      </w:r>
      <w:r w:rsidR="00836DA8" w:rsidRPr="00BD5B0A">
        <w:rPr>
          <w:iCs/>
        </w:rPr>
        <w:t xml:space="preserve"> </w:t>
      </w:r>
      <w:r w:rsidR="00E240A8">
        <w:rPr>
          <w:iCs/>
        </w:rPr>
        <w:t xml:space="preserve"> Also, Wyoming OSHA lacked </w:t>
      </w:r>
      <w:r w:rsidR="00BD5B0A">
        <w:rPr>
          <w:iCs/>
        </w:rPr>
        <w:t>health</w:t>
      </w:r>
      <w:r w:rsidR="00624C7E">
        <w:rPr>
          <w:iCs/>
        </w:rPr>
        <w:t>-related</w:t>
      </w:r>
      <w:r w:rsidR="00BD5B0A">
        <w:rPr>
          <w:iCs/>
        </w:rPr>
        <w:t xml:space="preserve"> local emphasis programs</w:t>
      </w:r>
      <w:r w:rsidR="00624C7E">
        <w:rPr>
          <w:iCs/>
        </w:rPr>
        <w:t xml:space="preserve"> (LEPs)</w:t>
      </w:r>
      <w:r w:rsidR="00BD5B0A">
        <w:rPr>
          <w:iCs/>
        </w:rPr>
        <w:t xml:space="preserve">, which </w:t>
      </w:r>
      <w:r w:rsidR="00836DA8" w:rsidRPr="00BD5B0A">
        <w:rPr>
          <w:iCs/>
        </w:rPr>
        <w:t>limit</w:t>
      </w:r>
      <w:r w:rsidR="00E913F8">
        <w:rPr>
          <w:iCs/>
        </w:rPr>
        <w:t>ed</w:t>
      </w:r>
      <w:r w:rsidR="00836DA8" w:rsidRPr="00BD5B0A">
        <w:rPr>
          <w:iCs/>
        </w:rPr>
        <w:t xml:space="preserve"> opportunities for traditional health inspections, </w:t>
      </w:r>
      <w:r w:rsidR="00E913F8">
        <w:rPr>
          <w:iCs/>
        </w:rPr>
        <w:t>such as</w:t>
      </w:r>
      <w:r w:rsidR="00836DA8" w:rsidRPr="00BD5B0A">
        <w:rPr>
          <w:iCs/>
        </w:rPr>
        <w:t xml:space="preserve"> </w:t>
      </w:r>
      <w:r w:rsidR="00E913F8">
        <w:rPr>
          <w:iCs/>
        </w:rPr>
        <w:t xml:space="preserve">those addressing </w:t>
      </w:r>
      <w:r w:rsidR="00836DA8" w:rsidRPr="00BD5B0A">
        <w:rPr>
          <w:iCs/>
        </w:rPr>
        <w:t>airborne contaminants or noise</w:t>
      </w:r>
      <w:r w:rsidR="00836DA8" w:rsidRPr="00E27466">
        <w:rPr>
          <w:iCs/>
        </w:rPr>
        <w:t>.</w:t>
      </w:r>
      <w:r w:rsidR="00502FA2" w:rsidRPr="00E27466">
        <w:rPr>
          <w:iCs/>
        </w:rPr>
        <w:t xml:space="preserve">  </w:t>
      </w:r>
      <w:r w:rsidR="00502FA2" w:rsidRPr="00E27466">
        <w:rPr>
          <w:rFonts w:asciiTheme="minorHAnsi" w:hAnsiTheme="minorHAnsi" w:cstheme="minorHAnsi"/>
          <w:iCs/>
        </w:rPr>
        <w:t>While the State Plan attempted to address the</w:t>
      </w:r>
      <w:r w:rsidR="00ED05DF">
        <w:rPr>
          <w:rFonts w:asciiTheme="minorHAnsi" w:hAnsiTheme="minorHAnsi" w:cstheme="minorHAnsi"/>
          <w:iCs/>
        </w:rPr>
        <w:t xml:space="preserve"> OSHA</w:t>
      </w:r>
      <w:r w:rsidR="00502FA2" w:rsidRPr="00E27466">
        <w:rPr>
          <w:rFonts w:asciiTheme="minorHAnsi" w:hAnsiTheme="minorHAnsi" w:cstheme="minorHAnsi"/>
          <w:iCs/>
        </w:rPr>
        <w:t xml:space="preserve"> Region</w:t>
      </w:r>
      <w:r w:rsidR="00ED05DF">
        <w:rPr>
          <w:rFonts w:asciiTheme="minorHAnsi" w:hAnsiTheme="minorHAnsi" w:cstheme="minorHAnsi"/>
          <w:iCs/>
        </w:rPr>
        <w:t>al Office</w:t>
      </w:r>
      <w:r w:rsidR="00502FA2" w:rsidRPr="00E27466">
        <w:rPr>
          <w:rFonts w:asciiTheme="minorHAnsi" w:hAnsiTheme="minorHAnsi" w:cstheme="minorHAnsi"/>
          <w:iCs/>
        </w:rPr>
        <w:t>’s concern regarding health inspection activity, unfortunately</w:t>
      </w:r>
      <w:r w:rsidR="00051B8D">
        <w:rPr>
          <w:rFonts w:asciiTheme="minorHAnsi" w:hAnsiTheme="minorHAnsi" w:cstheme="minorHAnsi"/>
          <w:iCs/>
        </w:rPr>
        <w:t>,</w:t>
      </w:r>
      <w:r w:rsidR="00502FA2" w:rsidRPr="00E27466">
        <w:rPr>
          <w:rFonts w:asciiTheme="minorHAnsi" w:hAnsiTheme="minorHAnsi" w:cstheme="minorHAnsi"/>
          <w:iCs/>
        </w:rPr>
        <w:t xml:space="preserve"> the </w:t>
      </w:r>
      <w:r w:rsidR="00502FA2" w:rsidRPr="00E27466">
        <w:rPr>
          <w:rFonts w:asciiTheme="minorHAnsi" w:hAnsiTheme="minorHAnsi" w:cstheme="minorHAnsi"/>
        </w:rPr>
        <w:t>COVID-19 pandemic continued to impact the State Plan’s ability to conduct general industry inspections.</w:t>
      </w:r>
    </w:p>
    <w:p w14:paraId="076682DC" w14:textId="77777777" w:rsidR="00781312" w:rsidRPr="00C53328" w:rsidRDefault="00781312" w:rsidP="00301321">
      <w:pPr>
        <w:rPr>
          <w:rFonts w:cs="Calibri"/>
          <w:iCs/>
          <w:color w:val="0070C0"/>
        </w:rPr>
      </w:pPr>
    </w:p>
    <w:p w14:paraId="434D1E6F" w14:textId="533EC0A5" w:rsidR="00147B01" w:rsidRPr="00E27466" w:rsidRDefault="00A41F72" w:rsidP="00301321">
      <w:pPr>
        <w:rPr>
          <w:iCs/>
        </w:rPr>
      </w:pPr>
      <w:r>
        <w:rPr>
          <w:iCs/>
        </w:rPr>
        <w:t xml:space="preserve">In FY 2022, </w:t>
      </w:r>
      <w:r w:rsidR="0077237E">
        <w:rPr>
          <w:iCs/>
        </w:rPr>
        <w:t>Wyoming OSHA</w:t>
      </w:r>
      <w:r w:rsidR="00502FA2" w:rsidRPr="00E27466">
        <w:rPr>
          <w:iCs/>
        </w:rPr>
        <w:t xml:space="preserve"> and the </w:t>
      </w:r>
      <w:r w:rsidR="00414227">
        <w:rPr>
          <w:iCs/>
        </w:rPr>
        <w:t xml:space="preserve">OSHA </w:t>
      </w:r>
      <w:r w:rsidR="00502FA2" w:rsidRPr="00E27466">
        <w:rPr>
          <w:iCs/>
        </w:rPr>
        <w:t>Region</w:t>
      </w:r>
      <w:r w:rsidR="00414227">
        <w:rPr>
          <w:iCs/>
        </w:rPr>
        <w:t>al Office</w:t>
      </w:r>
      <w:r w:rsidR="00502FA2" w:rsidRPr="00E27466">
        <w:rPr>
          <w:iCs/>
        </w:rPr>
        <w:t xml:space="preserve"> facilitated a partnership </w:t>
      </w:r>
      <w:r>
        <w:rPr>
          <w:iCs/>
        </w:rPr>
        <w:t>in which State Plan compliance safety and health officers (CSHOs) shadowed</w:t>
      </w:r>
      <w:r w:rsidRPr="00E27466">
        <w:rPr>
          <w:iCs/>
        </w:rPr>
        <w:t xml:space="preserve"> OSHA health </w:t>
      </w:r>
      <w:r>
        <w:rPr>
          <w:iCs/>
        </w:rPr>
        <w:t>compliance officers</w:t>
      </w:r>
      <w:r w:rsidRPr="00E27466">
        <w:rPr>
          <w:iCs/>
        </w:rPr>
        <w:t xml:space="preserve"> in Colorado during industrial hygiene monitoring or sampling.</w:t>
      </w:r>
      <w:r>
        <w:rPr>
          <w:iCs/>
        </w:rPr>
        <w:t xml:space="preserve">  This partnership was in addition to a</w:t>
      </w:r>
      <w:r w:rsidR="00221761">
        <w:rPr>
          <w:iCs/>
        </w:rPr>
        <w:t xml:space="preserve"> similar,</w:t>
      </w:r>
      <w:r>
        <w:rPr>
          <w:iCs/>
        </w:rPr>
        <w:t xml:space="preserve"> ongoing arrangement in which health compliance officers from Wyoming OSHA shadowed Utah State Plan (UOSH) health com</w:t>
      </w:r>
      <w:r w:rsidR="00221761">
        <w:rPr>
          <w:iCs/>
        </w:rPr>
        <w:t xml:space="preserve">pliance officers.  </w:t>
      </w:r>
      <w:r w:rsidR="00502FA2" w:rsidRPr="00E27466">
        <w:rPr>
          <w:iCs/>
        </w:rPr>
        <w:t xml:space="preserve">  </w:t>
      </w:r>
    </w:p>
    <w:p w14:paraId="25A3EE40" w14:textId="77777777" w:rsidR="00E27466" w:rsidRPr="00301321" w:rsidRDefault="00E27466" w:rsidP="00301321">
      <w:pPr>
        <w:rPr>
          <w:rFonts w:cs="Calibri"/>
          <w:iCs/>
        </w:rPr>
      </w:pPr>
    </w:p>
    <w:p w14:paraId="76CA1434" w14:textId="2DB262A0" w:rsidR="00481596" w:rsidRPr="002A55EB" w:rsidRDefault="00481596" w:rsidP="00301321">
      <w:pPr>
        <w:rPr>
          <w:rFonts w:cs="Calibri"/>
        </w:rPr>
      </w:pPr>
      <w:r w:rsidRPr="002A55EB">
        <w:rPr>
          <w:rFonts w:cs="Calibri"/>
        </w:rPr>
        <w:t xml:space="preserve">The State Plan </w:t>
      </w:r>
      <w:r>
        <w:rPr>
          <w:rFonts w:cs="Calibri"/>
        </w:rPr>
        <w:t>responded quickly</w:t>
      </w:r>
      <w:r w:rsidRPr="002A55EB">
        <w:rPr>
          <w:rFonts w:cs="Calibri"/>
        </w:rPr>
        <w:t xml:space="preserve"> </w:t>
      </w:r>
      <w:r w:rsidR="00FA49C3" w:rsidRPr="000153D5">
        <w:rPr>
          <w:rFonts w:cs="Calibri"/>
        </w:rPr>
        <w:t>after receiving the FY 2021 Comprehensive FAME Report</w:t>
      </w:r>
      <w:r w:rsidR="00FA49C3">
        <w:rPr>
          <w:rFonts w:cs="Calibri"/>
        </w:rPr>
        <w:t xml:space="preserve"> </w:t>
      </w:r>
      <w:r w:rsidRPr="002A55EB">
        <w:rPr>
          <w:rFonts w:cs="Calibri"/>
        </w:rPr>
        <w:t xml:space="preserve">to address the </w:t>
      </w:r>
      <w:r>
        <w:rPr>
          <w:rFonts w:cs="Calibri"/>
        </w:rPr>
        <w:t xml:space="preserve">two findings and </w:t>
      </w:r>
      <w:r w:rsidRPr="002A55EB">
        <w:rPr>
          <w:rFonts w:cs="Calibri"/>
        </w:rPr>
        <w:t>three observations</w:t>
      </w:r>
      <w:r w:rsidR="00FA49C3">
        <w:rPr>
          <w:rFonts w:cs="Calibri"/>
        </w:rPr>
        <w:t>.</w:t>
      </w:r>
      <w:r w:rsidRPr="002A55EB">
        <w:rPr>
          <w:rFonts w:cs="Calibri"/>
        </w:rPr>
        <w:t xml:space="preserve">  </w:t>
      </w:r>
      <w:r>
        <w:t>W</w:t>
      </w:r>
      <w:r w:rsidR="00402B12">
        <w:t>yoming</w:t>
      </w:r>
      <w:r>
        <w:t xml:space="preserve"> </w:t>
      </w:r>
      <w:r w:rsidRPr="00E27466">
        <w:t xml:space="preserve">OSHA </w:t>
      </w:r>
      <w:r w:rsidR="00502FA2" w:rsidRPr="00E27466">
        <w:t xml:space="preserve">was able to </w:t>
      </w:r>
      <w:r w:rsidR="00811C25">
        <w:t>beg</w:t>
      </w:r>
      <w:r w:rsidR="005B331D">
        <w:t>i</w:t>
      </w:r>
      <w:r w:rsidR="00811C25">
        <w:t>n</w:t>
      </w:r>
      <w:r w:rsidR="005F1941">
        <w:t xml:space="preserve"> </w:t>
      </w:r>
      <w:r w:rsidRPr="002A55EB">
        <w:t xml:space="preserve">corrective action on </w:t>
      </w:r>
      <w:r>
        <w:t xml:space="preserve">the two findings and </w:t>
      </w:r>
      <w:r w:rsidR="00811C25">
        <w:t>three</w:t>
      </w:r>
      <w:r w:rsidRPr="002A55EB">
        <w:t xml:space="preserve"> </w:t>
      </w:r>
      <w:r w:rsidRPr="00E27466">
        <w:t>observations</w:t>
      </w:r>
      <w:r w:rsidR="00502FA2" w:rsidRPr="00E27466">
        <w:t xml:space="preserve"> by December 2022</w:t>
      </w:r>
      <w:r w:rsidRPr="00E27466">
        <w:t xml:space="preserve">.  </w:t>
      </w:r>
      <w:r>
        <w:rPr>
          <w:rFonts w:cs="Calibri"/>
        </w:rPr>
        <w:t>W</w:t>
      </w:r>
      <w:r w:rsidR="00402B12">
        <w:rPr>
          <w:rFonts w:cs="Calibri"/>
        </w:rPr>
        <w:t>yoming</w:t>
      </w:r>
      <w:r>
        <w:rPr>
          <w:rFonts w:cs="Calibri"/>
        </w:rPr>
        <w:t xml:space="preserve"> OSHA</w:t>
      </w:r>
      <w:r w:rsidRPr="002A55EB">
        <w:rPr>
          <w:rFonts w:cs="Calibri"/>
        </w:rPr>
        <w:t xml:space="preserve"> provided training to staff and managers and </w:t>
      </w:r>
      <w:r>
        <w:rPr>
          <w:rFonts w:cs="Calibri"/>
        </w:rPr>
        <w:t>ensured that policies were implemented appropriately,</w:t>
      </w:r>
      <w:r w:rsidRPr="002A55EB">
        <w:rPr>
          <w:rFonts w:cs="Calibri"/>
        </w:rPr>
        <w:t xml:space="preserve"> enabling closure </w:t>
      </w:r>
      <w:r w:rsidRPr="00C476A6">
        <w:rPr>
          <w:rFonts w:cs="Calibri"/>
        </w:rPr>
        <w:t xml:space="preserve">of </w:t>
      </w:r>
      <w:r w:rsidR="005D111C" w:rsidRPr="00C476A6">
        <w:rPr>
          <w:rFonts w:cs="Calibri"/>
        </w:rPr>
        <w:t>two</w:t>
      </w:r>
      <w:r w:rsidRPr="00C476A6">
        <w:rPr>
          <w:rFonts w:cs="Calibri"/>
        </w:rPr>
        <w:t xml:space="preserve"> observation</w:t>
      </w:r>
      <w:r w:rsidR="005D111C" w:rsidRPr="00C476A6">
        <w:rPr>
          <w:rFonts w:cs="Calibri"/>
        </w:rPr>
        <w:t>s</w:t>
      </w:r>
      <w:r w:rsidRPr="002A55EB">
        <w:rPr>
          <w:rFonts w:cs="Calibri"/>
        </w:rPr>
        <w:t xml:space="preserve">.  </w:t>
      </w:r>
      <w:r w:rsidR="00A2620B">
        <w:rPr>
          <w:rFonts w:cs="Calibri"/>
        </w:rPr>
        <w:t>The remaining two findings and one observation underwent process improvement</w:t>
      </w:r>
      <w:r w:rsidR="002A70D4">
        <w:rPr>
          <w:rFonts w:cs="Calibri"/>
        </w:rPr>
        <w:t>,</w:t>
      </w:r>
      <w:r w:rsidR="00A2620B">
        <w:rPr>
          <w:rFonts w:cs="Calibri"/>
        </w:rPr>
        <w:t xml:space="preserve"> and </w:t>
      </w:r>
      <w:r w:rsidR="002A70D4">
        <w:rPr>
          <w:rFonts w:cs="Calibri"/>
        </w:rPr>
        <w:t xml:space="preserve">the State Plan trained </w:t>
      </w:r>
      <w:r w:rsidR="004A3D2C">
        <w:rPr>
          <w:rFonts w:cs="Calibri"/>
        </w:rPr>
        <w:t>its</w:t>
      </w:r>
      <w:r w:rsidR="002A70D4">
        <w:rPr>
          <w:rFonts w:cs="Calibri"/>
        </w:rPr>
        <w:t xml:space="preserve"> </w:t>
      </w:r>
      <w:r w:rsidR="00A2620B">
        <w:rPr>
          <w:rFonts w:cs="Calibri"/>
        </w:rPr>
        <w:t xml:space="preserve">staff.  </w:t>
      </w:r>
      <w:r w:rsidRPr="00481596">
        <w:rPr>
          <w:rFonts w:cs="Calibri"/>
        </w:rPr>
        <w:t>The</w:t>
      </w:r>
      <w:r w:rsidR="00A2620B">
        <w:rPr>
          <w:rFonts w:cs="Calibri"/>
        </w:rPr>
        <w:t>se</w:t>
      </w:r>
      <w:r w:rsidRPr="00481596">
        <w:rPr>
          <w:rFonts w:cs="Calibri"/>
        </w:rPr>
        <w:t xml:space="preserve"> two </w:t>
      </w:r>
      <w:r w:rsidRPr="00C476A6">
        <w:rPr>
          <w:rFonts w:cs="Calibri"/>
        </w:rPr>
        <w:t xml:space="preserve">findings and one observation </w:t>
      </w:r>
      <w:r w:rsidRPr="002A55EB">
        <w:rPr>
          <w:rFonts w:cs="Calibri"/>
        </w:rPr>
        <w:t xml:space="preserve">from last year’s FAME </w:t>
      </w:r>
      <w:r w:rsidR="002A70D4">
        <w:rPr>
          <w:rFonts w:cs="Calibri"/>
        </w:rPr>
        <w:t xml:space="preserve">Report </w:t>
      </w:r>
      <w:r>
        <w:rPr>
          <w:rFonts w:cs="Calibri"/>
        </w:rPr>
        <w:t>are</w:t>
      </w:r>
      <w:r w:rsidRPr="002A55EB">
        <w:rPr>
          <w:rFonts w:cs="Calibri"/>
        </w:rPr>
        <w:t xml:space="preserve"> continued </w:t>
      </w:r>
      <w:r w:rsidRPr="002A55EB">
        <w:t xml:space="preserve">until OSHA </w:t>
      </w:r>
      <w:r>
        <w:t>may</w:t>
      </w:r>
      <w:r w:rsidRPr="002A55EB">
        <w:t xml:space="preserve"> conduct </w:t>
      </w:r>
      <w:r>
        <w:t>a review of case</w:t>
      </w:r>
      <w:r w:rsidR="002A70D4">
        <w:t xml:space="preserve"> </w:t>
      </w:r>
      <w:r>
        <w:t>files</w:t>
      </w:r>
      <w:r w:rsidRPr="002A55EB">
        <w:t xml:space="preserve"> in the FY 2023 Comprehensive FAME process.  No additional findings or observations were noted.</w:t>
      </w:r>
    </w:p>
    <w:p w14:paraId="6A7D671B" w14:textId="6D5F0453" w:rsidR="00783189" w:rsidRDefault="00783189" w:rsidP="00783189">
      <w:pPr>
        <w:widowControl/>
        <w:autoSpaceDE/>
        <w:autoSpaceDN/>
        <w:adjustRightInd/>
        <w:rPr>
          <w:rFonts w:cs="Calibri"/>
        </w:rPr>
      </w:pPr>
    </w:p>
    <w:p w14:paraId="7DC4D0B1" w14:textId="77777777" w:rsidR="00C01AD4" w:rsidRPr="001C1E47" w:rsidRDefault="00C01AD4" w:rsidP="00783189">
      <w:pPr>
        <w:widowControl/>
        <w:autoSpaceDE/>
        <w:autoSpaceDN/>
        <w:adjustRightInd/>
        <w:rPr>
          <w:rFonts w:cs="Calibri"/>
        </w:rPr>
      </w:pPr>
    </w:p>
    <w:p w14:paraId="67E95E6F" w14:textId="6755D6C3" w:rsidR="000A134A" w:rsidRPr="001C1E47" w:rsidRDefault="001E71BA" w:rsidP="00476C08">
      <w:pPr>
        <w:pStyle w:val="Heading2"/>
      </w:pPr>
      <w:bookmarkStart w:id="6" w:name="_Toc118900171"/>
      <w:bookmarkStart w:id="7" w:name="_Toc118905010"/>
      <w:bookmarkStart w:id="8" w:name="_Toc119418664"/>
      <w:r w:rsidRPr="001C1E47">
        <w:t>State Plan Background</w:t>
      </w:r>
      <w:bookmarkEnd w:id="6"/>
      <w:bookmarkEnd w:id="7"/>
      <w:bookmarkEnd w:id="8"/>
    </w:p>
    <w:p w14:paraId="7ED8AA2D" w14:textId="77777777" w:rsidR="000A134A" w:rsidRPr="00C01AD4" w:rsidRDefault="000A134A" w:rsidP="00783189">
      <w:pPr>
        <w:widowControl/>
        <w:autoSpaceDE/>
        <w:autoSpaceDN/>
        <w:adjustRightInd/>
        <w:rPr>
          <w:rFonts w:cs="Calibri"/>
          <w:iCs/>
        </w:rPr>
      </w:pPr>
    </w:p>
    <w:p w14:paraId="630BB2E0" w14:textId="7E1F4186" w:rsidR="004D45BA" w:rsidRPr="004D45BA" w:rsidRDefault="004D45BA" w:rsidP="004D45BA">
      <w:pPr>
        <w:widowControl/>
        <w:autoSpaceDE/>
        <w:autoSpaceDN/>
        <w:adjustRightInd/>
        <w:contextualSpacing/>
        <w:rPr>
          <w:rFonts w:cs="Calibri"/>
          <w:iCs/>
        </w:rPr>
      </w:pPr>
      <w:r w:rsidRPr="004D45BA">
        <w:rPr>
          <w:rFonts w:cs="Calibri"/>
          <w:iCs/>
        </w:rPr>
        <w:t>W</w:t>
      </w:r>
      <w:r w:rsidR="00402B12">
        <w:rPr>
          <w:rFonts w:cs="Calibri"/>
          <w:iCs/>
        </w:rPr>
        <w:t>yoming</w:t>
      </w:r>
      <w:r w:rsidRPr="004D45BA">
        <w:rPr>
          <w:rFonts w:cs="Calibri"/>
          <w:iCs/>
        </w:rPr>
        <w:t xml:space="preserve"> OSHA is housed within the Wyoming Department of Workforce Services. </w:t>
      </w:r>
      <w:r w:rsidR="00C92834">
        <w:rPr>
          <w:rFonts w:cs="Calibri"/>
          <w:iCs/>
        </w:rPr>
        <w:t xml:space="preserve"> </w:t>
      </w:r>
      <w:r w:rsidRPr="004D45BA">
        <w:rPr>
          <w:rFonts w:cs="Calibri"/>
          <w:iCs/>
        </w:rPr>
        <w:t xml:space="preserve">The State Plan designee is Jason Wolfe, who also serves as the Workforce Standards Administrator of the </w:t>
      </w:r>
      <w:r w:rsidRPr="004D45BA">
        <w:rPr>
          <w:rFonts w:cs="Calibri"/>
          <w:iCs/>
        </w:rPr>
        <w:lastRenderedPageBreak/>
        <w:t xml:space="preserve">Office of Standards and Compliance. </w:t>
      </w:r>
      <w:r w:rsidR="00C92834">
        <w:rPr>
          <w:rFonts w:cs="Calibri"/>
          <w:iCs/>
        </w:rPr>
        <w:t xml:space="preserve"> </w:t>
      </w:r>
      <w:r w:rsidRPr="004D45BA">
        <w:rPr>
          <w:rFonts w:cs="Calibri"/>
          <w:iCs/>
        </w:rPr>
        <w:t xml:space="preserve">Karen </w:t>
      </w:r>
      <w:r w:rsidR="002C0115">
        <w:rPr>
          <w:rFonts w:cs="Calibri"/>
          <w:iCs/>
        </w:rPr>
        <w:t xml:space="preserve">J. </w:t>
      </w:r>
      <w:r w:rsidR="00F86190">
        <w:rPr>
          <w:rFonts w:cs="Calibri"/>
          <w:iCs/>
        </w:rPr>
        <w:t>Bebensee</w:t>
      </w:r>
      <w:r w:rsidRPr="004D45BA">
        <w:rPr>
          <w:rFonts w:cs="Calibri"/>
          <w:iCs/>
        </w:rPr>
        <w:t xml:space="preserve"> is the Deputy Administrator of W</w:t>
      </w:r>
      <w:r w:rsidR="00402B12">
        <w:rPr>
          <w:rFonts w:cs="Calibri"/>
          <w:iCs/>
        </w:rPr>
        <w:t>yoming</w:t>
      </w:r>
      <w:r w:rsidRPr="004D45BA">
        <w:rPr>
          <w:rFonts w:cs="Calibri"/>
          <w:iCs/>
        </w:rPr>
        <w:t xml:space="preserve"> OSHA. </w:t>
      </w:r>
      <w:r w:rsidR="00C92834">
        <w:rPr>
          <w:rFonts w:cs="Calibri"/>
          <w:iCs/>
        </w:rPr>
        <w:t xml:space="preserve"> </w:t>
      </w:r>
      <w:r w:rsidRPr="004D45BA">
        <w:rPr>
          <w:rFonts w:cs="Calibri"/>
          <w:iCs/>
        </w:rPr>
        <w:t xml:space="preserve">The main office </w:t>
      </w:r>
      <w:r w:rsidR="00EF69DD" w:rsidRPr="004D45BA">
        <w:rPr>
          <w:rFonts w:cs="Calibri"/>
          <w:iCs/>
        </w:rPr>
        <w:t>is in</w:t>
      </w:r>
      <w:r w:rsidRPr="004D45BA">
        <w:rPr>
          <w:rFonts w:cs="Calibri"/>
          <w:iCs/>
        </w:rPr>
        <w:t xml:space="preserve"> Cheyenne, with field offices in Casper, Gillette, Sheridan, and Rock Springs.</w:t>
      </w:r>
    </w:p>
    <w:p w14:paraId="2FC6DDFF" w14:textId="77777777" w:rsidR="004D45BA" w:rsidRPr="004D45BA" w:rsidRDefault="004D45BA" w:rsidP="004D45BA">
      <w:pPr>
        <w:widowControl/>
        <w:autoSpaceDE/>
        <w:autoSpaceDN/>
        <w:adjustRightInd/>
        <w:contextualSpacing/>
        <w:rPr>
          <w:rFonts w:cs="Calibri"/>
          <w:iCs/>
          <w:color w:val="0070C0"/>
        </w:rPr>
      </w:pPr>
    </w:p>
    <w:p w14:paraId="52DA25B3" w14:textId="1021B09D" w:rsidR="004D45BA" w:rsidRPr="004D45BA" w:rsidRDefault="004D45BA" w:rsidP="004D45BA">
      <w:pPr>
        <w:widowControl/>
        <w:autoSpaceDE/>
        <w:autoSpaceDN/>
        <w:adjustRightInd/>
        <w:contextualSpacing/>
        <w:rPr>
          <w:rFonts w:cs="Calibri"/>
          <w:iCs/>
        </w:rPr>
      </w:pPr>
      <w:r w:rsidRPr="004D45BA">
        <w:rPr>
          <w:rFonts w:cs="Calibri"/>
          <w:iCs/>
        </w:rPr>
        <w:t xml:space="preserve">The program, funded through the 23(g) grant, consists of the enforcement, whistleblower, and cooperative programs (including the Voluntary Protection Program and Partnerships), as well as state and local government consultation. </w:t>
      </w:r>
      <w:r w:rsidR="00C92834">
        <w:rPr>
          <w:rFonts w:cs="Calibri"/>
          <w:iCs/>
        </w:rPr>
        <w:t xml:space="preserve"> </w:t>
      </w:r>
      <w:r w:rsidRPr="004D45BA">
        <w:rPr>
          <w:rFonts w:cs="Calibri"/>
          <w:iCs/>
        </w:rPr>
        <w:t xml:space="preserve">A separate 21(d) cooperative agreement funds private sector consultation. </w:t>
      </w:r>
      <w:r w:rsidR="00C92834">
        <w:rPr>
          <w:rFonts w:cs="Calibri"/>
          <w:iCs/>
        </w:rPr>
        <w:t xml:space="preserve"> </w:t>
      </w:r>
      <w:r w:rsidRPr="004D45BA">
        <w:rPr>
          <w:rFonts w:cs="Calibri"/>
          <w:iCs/>
        </w:rPr>
        <w:t xml:space="preserve">The State Plan closely mirrors the federal program with some differences that allow for the accommodation of unique state demands and issues. </w:t>
      </w:r>
      <w:r w:rsidR="00C92834">
        <w:rPr>
          <w:rFonts w:cs="Calibri"/>
          <w:iCs/>
        </w:rPr>
        <w:t xml:space="preserve"> </w:t>
      </w:r>
      <w:r w:rsidRPr="004D45BA">
        <w:rPr>
          <w:rFonts w:cs="Calibri"/>
          <w:iCs/>
        </w:rPr>
        <w:t xml:space="preserve">The enforcement program maintains jurisdiction over safety and health issues for workers in the private sector, as well as for those in state and local government workplaces. </w:t>
      </w:r>
      <w:r w:rsidR="00C92834">
        <w:rPr>
          <w:rFonts w:cs="Calibri"/>
          <w:iCs/>
        </w:rPr>
        <w:t xml:space="preserve"> </w:t>
      </w:r>
      <w:r w:rsidRPr="004D45BA">
        <w:rPr>
          <w:rFonts w:cs="Calibri"/>
          <w:iCs/>
        </w:rPr>
        <w:t>W</w:t>
      </w:r>
      <w:r w:rsidR="00402B12">
        <w:rPr>
          <w:rFonts w:cs="Calibri"/>
          <w:iCs/>
        </w:rPr>
        <w:t>yoming</w:t>
      </w:r>
      <w:r w:rsidRPr="004D45BA">
        <w:rPr>
          <w:rFonts w:cs="Calibri"/>
          <w:iCs/>
        </w:rPr>
        <w:t xml:space="preserve"> OSHA enforces unique regulatory standards for oil and gas well drilling and servicing, including anchor testing, drill-stem testing, wireline operations, hydraulic fracturing, and mobile pumping.</w:t>
      </w:r>
    </w:p>
    <w:p w14:paraId="6EEA9233" w14:textId="77777777" w:rsidR="004D45BA" w:rsidRDefault="004D45BA" w:rsidP="004D45BA">
      <w:pPr>
        <w:widowControl/>
        <w:autoSpaceDE/>
        <w:autoSpaceDN/>
        <w:adjustRightInd/>
        <w:contextualSpacing/>
        <w:rPr>
          <w:rFonts w:cs="Calibri"/>
          <w:iCs/>
          <w:color w:val="0070C0"/>
        </w:rPr>
      </w:pPr>
    </w:p>
    <w:p w14:paraId="15E51434" w14:textId="0C75913B" w:rsidR="004D45BA" w:rsidRDefault="004D45BA" w:rsidP="004D45BA">
      <w:pPr>
        <w:widowControl/>
        <w:autoSpaceDE/>
        <w:autoSpaceDN/>
        <w:adjustRightInd/>
        <w:contextualSpacing/>
        <w:rPr>
          <w:rFonts w:cs="Calibri"/>
          <w:iCs/>
          <w:color w:val="0070C0"/>
        </w:rPr>
      </w:pPr>
      <w:r w:rsidRPr="004D45BA">
        <w:rPr>
          <w:rFonts w:cs="Calibri"/>
          <w:iCs/>
        </w:rPr>
        <w:t xml:space="preserve">The State Plan was benchmarked for </w:t>
      </w:r>
      <w:r w:rsidRPr="00055275">
        <w:rPr>
          <w:rFonts w:cs="Calibri"/>
          <w:iCs/>
        </w:rPr>
        <w:t xml:space="preserve">six </w:t>
      </w:r>
      <w:r w:rsidRPr="004D45BA">
        <w:rPr>
          <w:rFonts w:cs="Calibri"/>
          <w:iCs/>
        </w:rPr>
        <w:t xml:space="preserve">safety compliance officers and </w:t>
      </w:r>
      <w:r w:rsidRPr="00055275">
        <w:rPr>
          <w:rFonts w:cs="Calibri"/>
          <w:iCs/>
        </w:rPr>
        <w:t xml:space="preserve">two </w:t>
      </w:r>
      <w:r w:rsidRPr="004D45BA">
        <w:rPr>
          <w:rFonts w:cs="Calibri"/>
          <w:iCs/>
        </w:rPr>
        <w:t xml:space="preserve">health compliance officers. </w:t>
      </w:r>
      <w:r w:rsidR="00055275">
        <w:rPr>
          <w:rFonts w:cs="Calibri"/>
          <w:iCs/>
        </w:rPr>
        <w:t xml:space="preserve"> At the end of FY 2022, t</w:t>
      </w:r>
      <w:r w:rsidRPr="004D45BA">
        <w:rPr>
          <w:rFonts w:cs="Calibri"/>
          <w:iCs/>
        </w:rPr>
        <w:t xml:space="preserve">here was a total of </w:t>
      </w:r>
      <w:r w:rsidRPr="00055275">
        <w:rPr>
          <w:rFonts w:cs="Calibri"/>
          <w:iCs/>
        </w:rPr>
        <w:t>seven</w:t>
      </w:r>
      <w:r w:rsidRPr="004D45BA">
        <w:rPr>
          <w:rFonts w:cs="Calibri"/>
          <w:iCs/>
          <w:color w:val="0070C0"/>
        </w:rPr>
        <w:t xml:space="preserve"> </w:t>
      </w:r>
      <w:r w:rsidRPr="004D45BA">
        <w:rPr>
          <w:rFonts w:cs="Calibri"/>
          <w:iCs/>
        </w:rPr>
        <w:t>CSHOs on board</w:t>
      </w:r>
      <w:r w:rsidRPr="00055275">
        <w:rPr>
          <w:rFonts w:cs="Calibri"/>
          <w:iCs/>
        </w:rPr>
        <w:t xml:space="preserve">; one of the </w:t>
      </w:r>
      <w:r w:rsidR="00055275">
        <w:rPr>
          <w:rFonts w:cs="Calibri"/>
          <w:iCs/>
        </w:rPr>
        <w:t xml:space="preserve">safety </w:t>
      </w:r>
      <w:r w:rsidR="000175EB">
        <w:rPr>
          <w:rFonts w:cs="Calibri"/>
          <w:iCs/>
        </w:rPr>
        <w:t>compliance officer</w:t>
      </w:r>
      <w:r w:rsidR="000175EB" w:rsidRPr="00055275">
        <w:rPr>
          <w:rFonts w:cs="Calibri"/>
          <w:iCs/>
        </w:rPr>
        <w:t xml:space="preserve"> </w:t>
      </w:r>
      <w:r w:rsidRPr="00055275">
        <w:rPr>
          <w:rFonts w:cs="Calibri"/>
          <w:iCs/>
        </w:rPr>
        <w:t xml:space="preserve">positions was filled by the whistleblower investigator. </w:t>
      </w:r>
      <w:r w:rsidR="00B6420A">
        <w:rPr>
          <w:rFonts w:cs="Calibri"/>
          <w:iCs/>
        </w:rPr>
        <w:t xml:space="preserve"> </w:t>
      </w:r>
      <w:r w:rsidRPr="00055275">
        <w:rPr>
          <w:rFonts w:cs="Calibri"/>
          <w:iCs/>
        </w:rPr>
        <w:t xml:space="preserve">In addition to the seven CSHOs, </w:t>
      </w:r>
      <w:r w:rsidRPr="004D45BA">
        <w:rPr>
          <w:rFonts w:cs="Calibri"/>
          <w:iCs/>
        </w:rPr>
        <w:t xml:space="preserve">management and staff consisted of a deputy administrator, compliance program supervisor, consultation program area director, program operations manager, one compliance assistance specialist, one whistleblower investigator, two administrative personnel, and an accountant. </w:t>
      </w:r>
      <w:r w:rsidR="00C92834">
        <w:rPr>
          <w:rFonts w:cs="Calibri"/>
          <w:iCs/>
        </w:rPr>
        <w:t xml:space="preserve"> </w:t>
      </w:r>
      <w:r w:rsidRPr="004D45BA">
        <w:rPr>
          <w:rFonts w:cs="Calibri"/>
          <w:iCs/>
        </w:rPr>
        <w:t>W</w:t>
      </w:r>
      <w:r w:rsidR="00402B12">
        <w:rPr>
          <w:rFonts w:cs="Calibri"/>
          <w:iCs/>
        </w:rPr>
        <w:t>yoming</w:t>
      </w:r>
      <w:r w:rsidRPr="004D45BA">
        <w:rPr>
          <w:rFonts w:cs="Calibri"/>
          <w:iCs/>
        </w:rPr>
        <w:t xml:space="preserve"> OSHA had </w:t>
      </w:r>
      <w:r w:rsidRPr="00055275">
        <w:rPr>
          <w:rFonts w:cs="Calibri"/>
          <w:iCs/>
        </w:rPr>
        <w:t>1</w:t>
      </w:r>
      <w:r w:rsidR="00055275">
        <w:rPr>
          <w:rFonts w:cs="Calibri"/>
          <w:iCs/>
        </w:rPr>
        <w:t>6</w:t>
      </w:r>
      <w:r w:rsidRPr="004D45BA">
        <w:rPr>
          <w:rFonts w:cs="Calibri"/>
          <w:iCs/>
          <w:color w:val="0070C0"/>
        </w:rPr>
        <w:t xml:space="preserve"> </w:t>
      </w:r>
      <w:r w:rsidRPr="004D45BA">
        <w:rPr>
          <w:rFonts w:cs="Calibri"/>
          <w:iCs/>
        </w:rPr>
        <w:t xml:space="preserve">workers providing </w:t>
      </w:r>
      <w:r w:rsidRPr="00055275">
        <w:rPr>
          <w:rFonts w:cs="Calibri"/>
          <w:iCs/>
        </w:rPr>
        <w:t>13.</w:t>
      </w:r>
      <w:r w:rsidR="00055275">
        <w:rPr>
          <w:rFonts w:cs="Calibri"/>
          <w:iCs/>
        </w:rPr>
        <w:t>10</w:t>
      </w:r>
      <w:r w:rsidRPr="00055275">
        <w:rPr>
          <w:rFonts w:cs="Calibri"/>
          <w:iCs/>
        </w:rPr>
        <w:t xml:space="preserve"> </w:t>
      </w:r>
      <w:r w:rsidRPr="004D45BA">
        <w:rPr>
          <w:rFonts w:cs="Calibri"/>
          <w:iCs/>
        </w:rPr>
        <w:t>full-time equivalents to the program.</w:t>
      </w:r>
    </w:p>
    <w:p w14:paraId="7112613D" w14:textId="77777777" w:rsidR="004D45BA" w:rsidRPr="004D45BA" w:rsidRDefault="004D45BA" w:rsidP="004D45BA">
      <w:pPr>
        <w:widowControl/>
        <w:autoSpaceDE/>
        <w:autoSpaceDN/>
        <w:adjustRightInd/>
        <w:contextualSpacing/>
        <w:rPr>
          <w:rFonts w:cs="Calibri"/>
          <w:iCs/>
          <w:color w:val="0070C0"/>
        </w:rPr>
      </w:pPr>
    </w:p>
    <w:p w14:paraId="1044D002" w14:textId="57458378" w:rsidR="004D45BA" w:rsidRPr="004D45BA" w:rsidRDefault="004D45BA" w:rsidP="004D45BA">
      <w:pPr>
        <w:widowControl/>
        <w:autoSpaceDE/>
        <w:autoSpaceDN/>
        <w:adjustRightInd/>
        <w:contextualSpacing/>
        <w:rPr>
          <w:rFonts w:cs="Calibri"/>
          <w:iCs/>
          <w:color w:val="0070C0"/>
        </w:rPr>
      </w:pPr>
      <w:r w:rsidRPr="00B85794">
        <w:rPr>
          <w:rFonts w:cs="Calibri"/>
          <w:iCs/>
        </w:rPr>
        <w:t>W</w:t>
      </w:r>
      <w:r w:rsidR="00402B12">
        <w:rPr>
          <w:rFonts w:cs="Calibri"/>
          <w:iCs/>
        </w:rPr>
        <w:t xml:space="preserve">yoming </w:t>
      </w:r>
      <w:r w:rsidRPr="00B85794">
        <w:rPr>
          <w:rFonts w:cs="Calibri"/>
          <w:iCs/>
        </w:rPr>
        <w:t xml:space="preserve">OSHA’s federal </w:t>
      </w:r>
      <w:r w:rsidR="00D90ECD">
        <w:rPr>
          <w:rFonts w:cs="Calibri"/>
          <w:iCs/>
        </w:rPr>
        <w:t xml:space="preserve">final </w:t>
      </w:r>
      <w:r w:rsidR="005A01FB">
        <w:rPr>
          <w:rFonts w:cs="Calibri"/>
          <w:iCs/>
        </w:rPr>
        <w:t xml:space="preserve">base </w:t>
      </w:r>
      <w:r w:rsidRPr="00B85794">
        <w:rPr>
          <w:rFonts w:cs="Calibri"/>
          <w:iCs/>
        </w:rPr>
        <w:t xml:space="preserve">funding award in FY 2022 </w:t>
      </w:r>
      <w:r w:rsidRPr="005A01FB">
        <w:rPr>
          <w:rFonts w:cs="Calibri"/>
          <w:iCs/>
        </w:rPr>
        <w:t>was $</w:t>
      </w:r>
      <w:r w:rsidR="00D90ECD">
        <w:rPr>
          <w:rFonts w:cs="Calibri"/>
          <w:iCs/>
        </w:rPr>
        <w:t>677,000</w:t>
      </w:r>
      <w:r w:rsidRPr="005A01FB">
        <w:rPr>
          <w:rFonts w:cs="Calibri"/>
          <w:iCs/>
        </w:rPr>
        <w:t xml:space="preserve">, </w:t>
      </w:r>
      <w:r w:rsidRPr="00B85794">
        <w:rPr>
          <w:rFonts w:cs="Calibri"/>
          <w:iCs/>
        </w:rPr>
        <w:t>which the State Plan matched</w:t>
      </w:r>
      <w:r w:rsidR="005A01FB">
        <w:rPr>
          <w:rFonts w:cs="Calibri"/>
          <w:iCs/>
        </w:rPr>
        <w:t xml:space="preserve"> and additionally contributed $</w:t>
      </w:r>
      <w:r w:rsidR="001D38A5">
        <w:rPr>
          <w:rFonts w:cs="Calibri"/>
          <w:iCs/>
        </w:rPr>
        <w:t>611,177</w:t>
      </w:r>
      <w:r w:rsidRPr="00B85794">
        <w:rPr>
          <w:rFonts w:cs="Calibri"/>
          <w:iCs/>
        </w:rPr>
        <w:t>.</w:t>
      </w:r>
      <w:r w:rsidR="001D38A5">
        <w:rPr>
          <w:rFonts w:cs="Calibri"/>
          <w:iCs/>
        </w:rPr>
        <w:t xml:space="preserve">  </w:t>
      </w:r>
      <w:r w:rsidR="00D90ECD">
        <w:rPr>
          <w:rFonts w:cs="Calibri"/>
          <w:iCs/>
        </w:rPr>
        <w:t>One</w:t>
      </w:r>
      <w:r w:rsidR="000175EB">
        <w:rPr>
          <w:rFonts w:cs="Calibri"/>
          <w:iCs/>
        </w:rPr>
        <w:t>-</w:t>
      </w:r>
      <w:r w:rsidR="00D90ECD">
        <w:rPr>
          <w:rFonts w:cs="Calibri"/>
          <w:iCs/>
        </w:rPr>
        <w:t>time only funding of $</w:t>
      </w:r>
      <w:r w:rsidR="00231A4A">
        <w:rPr>
          <w:rFonts w:cs="Calibri"/>
          <w:iCs/>
        </w:rPr>
        <w:t>24,780</w:t>
      </w:r>
      <w:r w:rsidR="00D90ECD">
        <w:rPr>
          <w:rFonts w:cs="Calibri"/>
          <w:iCs/>
        </w:rPr>
        <w:t xml:space="preserve"> was provided by OSHA and matched by </w:t>
      </w:r>
      <w:r w:rsidR="00A823B9">
        <w:rPr>
          <w:rFonts w:cs="Calibri"/>
          <w:iCs/>
        </w:rPr>
        <w:t>the State Plan</w:t>
      </w:r>
      <w:r w:rsidR="00D90ECD">
        <w:rPr>
          <w:rFonts w:cs="Calibri"/>
          <w:iCs/>
        </w:rPr>
        <w:t xml:space="preserve"> in late FY 2022</w:t>
      </w:r>
      <w:r w:rsidR="001D38A5">
        <w:rPr>
          <w:rFonts w:cs="Calibri"/>
          <w:iCs/>
        </w:rPr>
        <w:t xml:space="preserve">, </w:t>
      </w:r>
      <w:r w:rsidR="001D38A5" w:rsidRPr="00B85794">
        <w:rPr>
          <w:rFonts w:cs="Calibri"/>
          <w:iCs/>
        </w:rPr>
        <w:t xml:space="preserve">bringing the total funding amount to </w:t>
      </w:r>
      <w:r w:rsidR="001D38A5">
        <w:rPr>
          <w:rFonts w:cs="Calibri"/>
          <w:iCs/>
        </w:rPr>
        <w:t>$2,014,737.</w:t>
      </w:r>
      <w:r w:rsidR="001D38A5" w:rsidRPr="001D38A5">
        <w:rPr>
          <w:rFonts w:cs="Calibri"/>
          <w:iCs/>
        </w:rPr>
        <w:t xml:space="preserve"> </w:t>
      </w:r>
      <w:r w:rsidR="001D38A5">
        <w:rPr>
          <w:rFonts w:cs="Calibri"/>
          <w:iCs/>
        </w:rPr>
        <w:t xml:space="preserve"> </w:t>
      </w:r>
      <w:r w:rsidR="001D38A5" w:rsidRPr="00B85794">
        <w:rPr>
          <w:rFonts w:cs="Calibri"/>
          <w:iCs/>
        </w:rPr>
        <w:t>W</w:t>
      </w:r>
      <w:r w:rsidR="00402B12">
        <w:rPr>
          <w:rFonts w:cs="Calibri"/>
          <w:iCs/>
        </w:rPr>
        <w:t>yoming</w:t>
      </w:r>
      <w:r w:rsidR="001D38A5" w:rsidRPr="00B85794">
        <w:rPr>
          <w:rFonts w:cs="Calibri"/>
          <w:iCs/>
        </w:rPr>
        <w:t xml:space="preserve"> OSHA’s total contribution of </w:t>
      </w:r>
      <w:r w:rsidR="001D38A5">
        <w:rPr>
          <w:rFonts w:cs="Calibri"/>
          <w:iCs/>
        </w:rPr>
        <w:t>65.2</w:t>
      </w:r>
      <w:r w:rsidR="00B6420A">
        <w:rPr>
          <w:rFonts w:cs="Calibri"/>
          <w:iCs/>
        </w:rPr>
        <w:t>%</w:t>
      </w:r>
      <w:r w:rsidR="001D38A5" w:rsidRPr="00B85794">
        <w:rPr>
          <w:rFonts w:cs="Calibri"/>
          <w:iCs/>
        </w:rPr>
        <w:t xml:space="preserve"> </w:t>
      </w:r>
      <w:r w:rsidR="001D38A5" w:rsidRPr="005A01FB">
        <w:rPr>
          <w:rFonts w:cs="Calibri"/>
          <w:iCs/>
        </w:rPr>
        <w:t xml:space="preserve">was slightly less </w:t>
      </w:r>
      <w:r w:rsidR="001D38A5" w:rsidRPr="00B85794">
        <w:rPr>
          <w:rFonts w:cs="Calibri"/>
          <w:iCs/>
        </w:rPr>
        <w:t xml:space="preserve">than that of FY 2021, when </w:t>
      </w:r>
      <w:r w:rsidR="001D38A5" w:rsidRPr="004D45BA">
        <w:rPr>
          <w:rFonts w:cs="Calibri"/>
          <w:iCs/>
        </w:rPr>
        <w:t xml:space="preserve">the State Plan’s contribution was </w:t>
      </w:r>
      <w:r w:rsidR="00717A7E">
        <w:rPr>
          <w:rFonts w:cs="Calibri"/>
          <w:iCs/>
        </w:rPr>
        <w:t>67.4</w:t>
      </w:r>
      <w:r w:rsidR="00B6420A">
        <w:rPr>
          <w:rFonts w:cs="Calibri"/>
          <w:iCs/>
        </w:rPr>
        <w:t>%</w:t>
      </w:r>
      <w:r w:rsidR="001D38A5" w:rsidRPr="004D45BA">
        <w:rPr>
          <w:rFonts w:cs="Calibri"/>
          <w:iCs/>
        </w:rPr>
        <w:t>.</w:t>
      </w:r>
    </w:p>
    <w:p w14:paraId="73BF9C26" w14:textId="77777777" w:rsidR="004D45BA" w:rsidRDefault="004D45BA" w:rsidP="004D45BA">
      <w:pPr>
        <w:widowControl/>
        <w:autoSpaceDE/>
        <w:autoSpaceDN/>
        <w:adjustRightInd/>
        <w:contextualSpacing/>
        <w:rPr>
          <w:rFonts w:cs="Calibri"/>
          <w:iCs/>
          <w:color w:val="0070C0"/>
        </w:rPr>
      </w:pPr>
    </w:p>
    <w:p w14:paraId="07E4A0DB" w14:textId="20D16C0F" w:rsidR="00783189" w:rsidRDefault="004D45BA" w:rsidP="004D45BA">
      <w:pPr>
        <w:widowControl/>
        <w:autoSpaceDE/>
        <w:autoSpaceDN/>
        <w:adjustRightInd/>
        <w:contextualSpacing/>
        <w:rPr>
          <w:rFonts w:cs="Calibri"/>
          <w:iCs/>
        </w:rPr>
      </w:pPr>
      <w:r w:rsidRPr="00D069F7">
        <w:rPr>
          <w:rFonts w:cs="Calibri"/>
          <w:iCs/>
        </w:rPr>
        <w:t xml:space="preserve">The State Plan </w:t>
      </w:r>
      <w:r w:rsidR="00B85794" w:rsidRPr="00D069F7">
        <w:rPr>
          <w:rFonts w:cs="Calibri"/>
          <w:iCs/>
        </w:rPr>
        <w:t xml:space="preserve">achieved </w:t>
      </w:r>
      <w:r w:rsidR="00D069F7" w:rsidRPr="00D069F7">
        <w:rPr>
          <w:rFonts w:cs="Calibri"/>
          <w:iCs/>
        </w:rPr>
        <w:t>92.</w:t>
      </w:r>
      <w:r w:rsidR="0019388F">
        <w:rPr>
          <w:rFonts w:cs="Calibri"/>
          <w:iCs/>
        </w:rPr>
        <w:t>6</w:t>
      </w:r>
      <w:r w:rsidR="00B85794" w:rsidRPr="00D069F7">
        <w:rPr>
          <w:rFonts w:cs="Calibri"/>
          <w:iCs/>
        </w:rPr>
        <w:t>% of its inspection goal of</w:t>
      </w:r>
      <w:r w:rsidR="00D069F7" w:rsidRPr="00D069F7">
        <w:rPr>
          <w:rFonts w:cs="Calibri"/>
          <w:iCs/>
        </w:rPr>
        <w:t xml:space="preserve"> 188 </w:t>
      </w:r>
      <w:r w:rsidR="00B85794" w:rsidRPr="00D069F7">
        <w:rPr>
          <w:rFonts w:cs="Calibri"/>
          <w:iCs/>
        </w:rPr>
        <w:t>inspections</w:t>
      </w:r>
      <w:r w:rsidRPr="00D069F7">
        <w:rPr>
          <w:rFonts w:cs="Calibri"/>
          <w:iCs/>
        </w:rPr>
        <w:t xml:space="preserve">. </w:t>
      </w:r>
      <w:r w:rsidR="008B30A9">
        <w:rPr>
          <w:rFonts w:cs="Calibri"/>
          <w:iCs/>
        </w:rPr>
        <w:t xml:space="preserve"> </w:t>
      </w:r>
      <w:r w:rsidR="00B85794" w:rsidRPr="00D069F7">
        <w:rPr>
          <w:rFonts w:cs="Calibri"/>
          <w:iCs/>
        </w:rPr>
        <w:t xml:space="preserve">The </w:t>
      </w:r>
      <w:r w:rsidR="00B85794" w:rsidRPr="004C484F">
        <w:rPr>
          <w:rFonts w:cs="Calibri"/>
          <w:iCs/>
        </w:rPr>
        <w:t xml:space="preserve">inspection total, </w:t>
      </w:r>
      <w:r w:rsidR="00B85794">
        <w:rPr>
          <w:rFonts w:cs="Calibri"/>
          <w:iCs/>
        </w:rPr>
        <w:t>174</w:t>
      </w:r>
      <w:r w:rsidR="00B85794" w:rsidRPr="004C484F">
        <w:rPr>
          <w:rFonts w:cs="Calibri"/>
          <w:iCs/>
        </w:rPr>
        <w:t xml:space="preserve"> inspections, consisted of </w:t>
      </w:r>
      <w:r w:rsidR="00B85794">
        <w:rPr>
          <w:rFonts w:cs="Calibri"/>
          <w:iCs/>
        </w:rPr>
        <w:t>163</w:t>
      </w:r>
      <w:r w:rsidR="00B85794" w:rsidRPr="004C484F">
        <w:rPr>
          <w:rFonts w:cs="Calibri"/>
          <w:iCs/>
        </w:rPr>
        <w:t xml:space="preserve"> safety inspections and</w:t>
      </w:r>
      <w:r w:rsidR="00B85794">
        <w:rPr>
          <w:rFonts w:cs="Calibri"/>
          <w:iCs/>
        </w:rPr>
        <w:t xml:space="preserve"> 11</w:t>
      </w:r>
      <w:r w:rsidR="00B85794" w:rsidRPr="004C484F">
        <w:rPr>
          <w:rFonts w:cs="Calibri"/>
          <w:iCs/>
          <w:color w:val="0070C0"/>
        </w:rPr>
        <w:t xml:space="preserve"> </w:t>
      </w:r>
      <w:r w:rsidR="00B85794" w:rsidRPr="004C484F">
        <w:rPr>
          <w:rFonts w:cs="Calibri"/>
          <w:iCs/>
          <w:color w:val="000000" w:themeColor="text1"/>
        </w:rPr>
        <w:t xml:space="preserve">health inspections. </w:t>
      </w:r>
      <w:r w:rsidR="00B85794" w:rsidRPr="00EE387C">
        <w:rPr>
          <w:rFonts w:cs="Calibri"/>
          <w:iCs/>
        </w:rPr>
        <w:t xml:space="preserve"> </w:t>
      </w:r>
      <w:r w:rsidR="00EE387C">
        <w:rPr>
          <w:rFonts w:cs="Calibri"/>
          <w:iCs/>
        </w:rPr>
        <w:t>In total,</w:t>
      </w:r>
      <w:r w:rsidRPr="00EE387C">
        <w:rPr>
          <w:rFonts w:cs="Calibri"/>
          <w:iCs/>
        </w:rPr>
        <w:t xml:space="preserve"> </w:t>
      </w:r>
      <w:r w:rsidR="00EE387C" w:rsidRPr="00EE387C">
        <w:rPr>
          <w:rFonts w:cs="Calibri"/>
          <w:iCs/>
        </w:rPr>
        <w:t>213</w:t>
      </w:r>
      <w:r w:rsidRPr="00EE387C">
        <w:rPr>
          <w:rFonts w:cs="Calibri"/>
          <w:iCs/>
        </w:rPr>
        <w:t xml:space="preserve"> compliance interventions, including </w:t>
      </w:r>
      <w:r w:rsidR="007013C1" w:rsidRPr="00EE387C">
        <w:rPr>
          <w:rFonts w:cs="Calibri"/>
          <w:iCs/>
        </w:rPr>
        <w:t>174</w:t>
      </w:r>
      <w:r w:rsidRPr="00EE387C">
        <w:rPr>
          <w:rFonts w:cs="Calibri"/>
          <w:iCs/>
        </w:rPr>
        <w:t xml:space="preserve"> inspections, </w:t>
      </w:r>
      <w:r w:rsidR="007013C1" w:rsidRPr="00EE387C">
        <w:rPr>
          <w:rFonts w:cs="Calibri"/>
          <w:iCs/>
        </w:rPr>
        <w:t>13</w:t>
      </w:r>
      <w:r w:rsidRPr="00EE387C">
        <w:rPr>
          <w:rFonts w:cs="Calibri"/>
          <w:iCs/>
        </w:rPr>
        <w:t xml:space="preserve"> </w:t>
      </w:r>
      <w:r w:rsidR="00EE387C">
        <w:rPr>
          <w:rFonts w:cs="Calibri"/>
          <w:iCs/>
        </w:rPr>
        <w:t>state and local government</w:t>
      </w:r>
      <w:r w:rsidR="007013C1" w:rsidRPr="00EE387C">
        <w:rPr>
          <w:rFonts w:cs="Calibri"/>
          <w:iCs/>
        </w:rPr>
        <w:t xml:space="preserve"> </w:t>
      </w:r>
      <w:r w:rsidRPr="00EE387C">
        <w:rPr>
          <w:rFonts w:cs="Calibri"/>
          <w:iCs/>
        </w:rPr>
        <w:t xml:space="preserve">consultation visits, and </w:t>
      </w:r>
      <w:r w:rsidR="007013C1" w:rsidRPr="00EE387C">
        <w:rPr>
          <w:rFonts w:cs="Calibri"/>
          <w:iCs/>
        </w:rPr>
        <w:t>26</w:t>
      </w:r>
      <w:r w:rsidRPr="00EE387C">
        <w:rPr>
          <w:rFonts w:cs="Calibri"/>
          <w:iCs/>
        </w:rPr>
        <w:t xml:space="preserve"> compliance assistance activities, took place during FY 202</w:t>
      </w:r>
      <w:r w:rsidR="007013C1" w:rsidRPr="00EE387C">
        <w:rPr>
          <w:rFonts w:cs="Calibri"/>
          <w:iCs/>
        </w:rPr>
        <w:t>2</w:t>
      </w:r>
      <w:r w:rsidRPr="00EE387C">
        <w:rPr>
          <w:rFonts w:cs="Calibri"/>
          <w:iCs/>
        </w:rPr>
        <w:t xml:space="preserve">. </w:t>
      </w:r>
      <w:r w:rsidR="00C92834">
        <w:rPr>
          <w:rFonts w:cs="Calibri"/>
          <w:iCs/>
        </w:rPr>
        <w:t xml:space="preserve"> </w:t>
      </w:r>
      <w:r w:rsidRPr="00EE387C">
        <w:rPr>
          <w:rFonts w:cs="Calibri"/>
          <w:iCs/>
        </w:rPr>
        <w:t>These interventions identified and abated 2</w:t>
      </w:r>
      <w:r w:rsidR="00EE387C" w:rsidRPr="00EE387C">
        <w:rPr>
          <w:rFonts w:cs="Calibri"/>
          <w:iCs/>
        </w:rPr>
        <w:t>76</w:t>
      </w:r>
      <w:r w:rsidRPr="00EE387C">
        <w:rPr>
          <w:rFonts w:cs="Calibri"/>
          <w:iCs/>
        </w:rPr>
        <w:t xml:space="preserve"> hazards.</w:t>
      </w:r>
      <w:r w:rsidR="00B85794" w:rsidRPr="00EE387C">
        <w:rPr>
          <w:rFonts w:cs="Calibri"/>
          <w:iCs/>
          <w:color w:val="548DD4" w:themeColor="text2" w:themeTint="99"/>
        </w:rPr>
        <w:t xml:space="preserve">  </w:t>
      </w:r>
      <w:r w:rsidR="00624C7E">
        <w:rPr>
          <w:rFonts w:cs="Calibri"/>
          <w:iCs/>
        </w:rPr>
        <w:t>A</w:t>
      </w:r>
      <w:r w:rsidR="00B85794" w:rsidRPr="00EE387C">
        <w:rPr>
          <w:rFonts w:cs="Calibri"/>
          <w:iCs/>
        </w:rPr>
        <w:t>pproximate</w:t>
      </w:r>
      <w:r w:rsidR="00624C7E">
        <w:rPr>
          <w:rFonts w:cs="Calibri"/>
          <w:iCs/>
        </w:rPr>
        <w:t>ly</w:t>
      </w:r>
      <w:r w:rsidR="00B85794" w:rsidRPr="00EE387C">
        <w:rPr>
          <w:rFonts w:cs="Calibri"/>
          <w:iCs/>
        </w:rPr>
        <w:t xml:space="preserve"> </w:t>
      </w:r>
      <w:r w:rsidR="00EE387C" w:rsidRPr="00EE387C">
        <w:rPr>
          <w:rFonts w:cs="Calibri"/>
          <w:iCs/>
        </w:rPr>
        <w:t>2,873</w:t>
      </w:r>
      <w:r w:rsidR="00B85794" w:rsidRPr="00EE387C">
        <w:rPr>
          <w:rFonts w:cs="Calibri"/>
          <w:iCs/>
        </w:rPr>
        <w:t xml:space="preserve"> employees were impacted through compliance assistance activities.</w:t>
      </w:r>
    </w:p>
    <w:p w14:paraId="4638FC96" w14:textId="133EE5A7" w:rsidR="00836DA8" w:rsidRDefault="00836DA8" w:rsidP="004D45BA">
      <w:pPr>
        <w:widowControl/>
        <w:autoSpaceDE/>
        <w:autoSpaceDN/>
        <w:adjustRightInd/>
        <w:contextualSpacing/>
        <w:rPr>
          <w:rFonts w:cs="Calibri"/>
          <w:iCs/>
        </w:rPr>
      </w:pPr>
    </w:p>
    <w:p w14:paraId="7ED8FFD8" w14:textId="701299C1" w:rsidR="0072741B" w:rsidRPr="00842BDC" w:rsidRDefault="001E3088" w:rsidP="004D45BA">
      <w:pPr>
        <w:widowControl/>
        <w:autoSpaceDE/>
        <w:autoSpaceDN/>
        <w:adjustRightInd/>
        <w:contextualSpacing/>
        <w:rPr>
          <w:rFonts w:cs="Calibri"/>
          <w:iCs/>
        </w:rPr>
      </w:pPr>
      <w:r w:rsidRPr="00AE11C8">
        <w:rPr>
          <w:rFonts w:cs="Calibri"/>
          <w:iCs/>
        </w:rPr>
        <w:t>Wyoming OSHA</w:t>
      </w:r>
      <w:r w:rsidR="00D73301" w:rsidRPr="00842BDC">
        <w:rPr>
          <w:rFonts w:cs="Calibri"/>
          <w:iCs/>
        </w:rPr>
        <w:t xml:space="preserve"> historically has excelled with p</w:t>
      </w:r>
      <w:r w:rsidR="00836DA8" w:rsidRPr="00842BDC">
        <w:rPr>
          <w:rFonts w:cs="Calibri"/>
          <w:iCs/>
        </w:rPr>
        <w:t>enalty retention</w:t>
      </w:r>
      <w:r w:rsidR="00D73301" w:rsidRPr="00842BDC">
        <w:rPr>
          <w:rFonts w:cs="Calibri"/>
          <w:iCs/>
        </w:rPr>
        <w:t xml:space="preserve">.  </w:t>
      </w:r>
      <w:r w:rsidR="00D73301" w:rsidRPr="00AB40DA">
        <w:rPr>
          <w:rFonts w:cs="Calibri"/>
          <w:iCs/>
        </w:rPr>
        <w:t>For FY 2022</w:t>
      </w:r>
      <w:r w:rsidR="00624C7E">
        <w:rPr>
          <w:rFonts w:cs="Calibri"/>
          <w:iCs/>
        </w:rPr>
        <w:t>,</w:t>
      </w:r>
      <w:r w:rsidR="00D73301" w:rsidRPr="00AB40DA">
        <w:rPr>
          <w:rFonts w:cs="Calibri"/>
          <w:iCs/>
        </w:rPr>
        <w:t xml:space="preserve"> the State Plan </w:t>
      </w:r>
      <w:r w:rsidR="00D73301" w:rsidRPr="00842BDC">
        <w:rPr>
          <w:rFonts w:cs="Calibri"/>
          <w:iCs/>
        </w:rPr>
        <w:t xml:space="preserve">retained 96.8% of the penalties assessed in citations issued.  </w:t>
      </w:r>
    </w:p>
    <w:p w14:paraId="449D90C8" w14:textId="77777777" w:rsidR="0072741B" w:rsidRPr="00842BDC" w:rsidRDefault="0072741B" w:rsidP="004D45BA">
      <w:pPr>
        <w:widowControl/>
        <w:autoSpaceDE/>
        <w:autoSpaceDN/>
        <w:adjustRightInd/>
        <w:contextualSpacing/>
        <w:rPr>
          <w:rFonts w:cs="Calibri"/>
          <w:iCs/>
        </w:rPr>
      </w:pPr>
    </w:p>
    <w:p w14:paraId="6EFD055E" w14:textId="64581609" w:rsidR="00836DA8" w:rsidRPr="00842BDC" w:rsidRDefault="00D73301" w:rsidP="004D45BA">
      <w:pPr>
        <w:widowControl/>
        <w:autoSpaceDE/>
        <w:autoSpaceDN/>
        <w:adjustRightInd/>
        <w:contextualSpacing/>
        <w:rPr>
          <w:rFonts w:cs="Calibri"/>
          <w:iCs/>
        </w:rPr>
      </w:pPr>
      <w:r w:rsidRPr="00842BDC">
        <w:rPr>
          <w:rFonts w:cs="Calibri"/>
          <w:iCs/>
        </w:rPr>
        <w:t>The State Plan ha</w:t>
      </w:r>
      <w:r w:rsidR="009C6114">
        <w:rPr>
          <w:rFonts w:cs="Calibri"/>
          <w:iCs/>
        </w:rPr>
        <w:t>s</w:t>
      </w:r>
      <w:r w:rsidRPr="00842BDC">
        <w:rPr>
          <w:rFonts w:cs="Calibri"/>
          <w:iCs/>
        </w:rPr>
        <w:t xml:space="preserve"> two safety</w:t>
      </w:r>
      <w:r w:rsidR="00624C7E">
        <w:rPr>
          <w:rFonts w:cs="Calibri"/>
          <w:iCs/>
        </w:rPr>
        <w:t>-</w:t>
      </w:r>
      <w:r w:rsidRPr="00842BDC">
        <w:rPr>
          <w:rFonts w:cs="Calibri"/>
          <w:iCs/>
        </w:rPr>
        <w:t xml:space="preserve">related </w:t>
      </w:r>
      <w:r w:rsidR="00624C7E">
        <w:rPr>
          <w:rFonts w:cs="Calibri"/>
          <w:iCs/>
        </w:rPr>
        <w:t>LEPs</w:t>
      </w:r>
      <w:r w:rsidRPr="00842BDC">
        <w:rPr>
          <w:rFonts w:cs="Calibri"/>
          <w:iCs/>
        </w:rPr>
        <w:t xml:space="preserve"> </w:t>
      </w:r>
      <w:r w:rsidR="0072741B" w:rsidRPr="00842BDC">
        <w:rPr>
          <w:rFonts w:cs="Calibri"/>
          <w:iCs/>
        </w:rPr>
        <w:t>which address</w:t>
      </w:r>
      <w:r w:rsidRPr="00842BDC">
        <w:rPr>
          <w:rFonts w:cs="Calibri"/>
          <w:iCs/>
        </w:rPr>
        <w:t xml:space="preserve"> construction hazards and oil and </w:t>
      </w:r>
      <w:r w:rsidRPr="00AB40DA">
        <w:rPr>
          <w:rFonts w:cs="Calibri"/>
          <w:iCs/>
        </w:rPr>
        <w:t>gas drilling and servicing hazards</w:t>
      </w:r>
      <w:r w:rsidRPr="00842BDC">
        <w:rPr>
          <w:rFonts w:cs="Calibri"/>
          <w:iCs/>
        </w:rPr>
        <w:t>.  Programmed safety inspections accounted for 58.3% of safety inspection activity during FY 2022.</w:t>
      </w:r>
      <w:r w:rsidR="00836DA8" w:rsidRPr="00842BDC">
        <w:rPr>
          <w:rFonts w:cs="Calibri"/>
          <w:iCs/>
        </w:rPr>
        <w:t xml:space="preserve"> </w:t>
      </w:r>
      <w:r w:rsidRPr="00842BDC">
        <w:rPr>
          <w:rFonts w:cs="Calibri"/>
          <w:iCs/>
        </w:rPr>
        <w:t xml:space="preserve"> Programmed health inspections accounted for 9.1% of health inspections</w:t>
      </w:r>
      <w:r w:rsidR="009C6114">
        <w:rPr>
          <w:rFonts w:cs="Calibri"/>
          <w:iCs/>
        </w:rPr>
        <w:t xml:space="preserve"> in FY 2022</w:t>
      </w:r>
      <w:r w:rsidRPr="00842BDC">
        <w:rPr>
          <w:rFonts w:cs="Calibri"/>
          <w:iCs/>
        </w:rPr>
        <w:t xml:space="preserve"> as the only</w:t>
      </w:r>
      <w:r w:rsidR="00624C7E">
        <w:rPr>
          <w:rFonts w:cs="Calibri"/>
          <w:iCs/>
        </w:rPr>
        <w:t xml:space="preserve"> health-related</w:t>
      </w:r>
      <w:r w:rsidRPr="00842BDC">
        <w:rPr>
          <w:rFonts w:cs="Calibri"/>
          <w:iCs/>
        </w:rPr>
        <w:t xml:space="preserve"> programmed inspection w</w:t>
      </w:r>
      <w:r w:rsidR="0072741B" w:rsidRPr="00842BDC">
        <w:rPr>
          <w:rFonts w:cs="Calibri"/>
          <w:iCs/>
        </w:rPr>
        <w:t>as</w:t>
      </w:r>
      <w:r w:rsidRPr="00842BDC">
        <w:rPr>
          <w:rFonts w:cs="Calibri"/>
          <w:iCs/>
        </w:rPr>
        <w:t xml:space="preserve"> </w:t>
      </w:r>
      <w:r w:rsidR="0072741B" w:rsidRPr="00842BDC">
        <w:rPr>
          <w:rFonts w:cs="Calibri"/>
          <w:iCs/>
        </w:rPr>
        <w:t xml:space="preserve">a </w:t>
      </w:r>
      <w:r w:rsidR="00624C7E">
        <w:rPr>
          <w:rFonts w:cs="Calibri"/>
          <w:iCs/>
        </w:rPr>
        <w:t>s</w:t>
      </w:r>
      <w:r w:rsidRPr="00842BDC">
        <w:rPr>
          <w:rFonts w:cs="Calibri"/>
          <w:iCs/>
        </w:rPr>
        <w:t>ite</w:t>
      </w:r>
      <w:r w:rsidR="00624C7E">
        <w:rPr>
          <w:rFonts w:cs="Calibri"/>
          <w:iCs/>
        </w:rPr>
        <w:t>-s</w:t>
      </w:r>
      <w:r w:rsidRPr="00842BDC">
        <w:rPr>
          <w:rFonts w:cs="Calibri"/>
          <w:iCs/>
        </w:rPr>
        <w:t xml:space="preserve">pecific </w:t>
      </w:r>
      <w:r w:rsidR="00624C7E">
        <w:rPr>
          <w:rFonts w:cs="Calibri"/>
          <w:iCs/>
        </w:rPr>
        <w:t>t</w:t>
      </w:r>
      <w:r w:rsidRPr="00842BDC">
        <w:rPr>
          <w:rFonts w:cs="Calibri"/>
          <w:iCs/>
        </w:rPr>
        <w:t>argeting (SST) inspection.</w:t>
      </w:r>
      <w:r w:rsidR="009C6114">
        <w:rPr>
          <w:rFonts w:cs="Calibri"/>
          <w:iCs/>
        </w:rPr>
        <w:t xml:space="preserve">  </w:t>
      </w:r>
      <w:r w:rsidR="0072741B" w:rsidRPr="00842BDC">
        <w:rPr>
          <w:rFonts w:cs="Calibri"/>
          <w:iCs/>
        </w:rPr>
        <w:t xml:space="preserve">For </w:t>
      </w:r>
      <w:r w:rsidR="00624C7E">
        <w:rPr>
          <w:rFonts w:cs="Calibri"/>
          <w:iCs/>
        </w:rPr>
        <w:t>Wyoming OSHA</w:t>
      </w:r>
      <w:r w:rsidR="0072741B" w:rsidRPr="00842BDC">
        <w:rPr>
          <w:rFonts w:cs="Calibri"/>
          <w:iCs/>
        </w:rPr>
        <w:t xml:space="preserve">, </w:t>
      </w:r>
      <w:r w:rsidR="00836DA8" w:rsidRPr="00842BDC">
        <w:rPr>
          <w:rFonts w:cs="Calibri"/>
          <w:iCs/>
        </w:rPr>
        <w:t>8.5% of all inspections</w:t>
      </w:r>
      <w:r w:rsidR="0072741B" w:rsidRPr="00842BDC">
        <w:rPr>
          <w:rFonts w:cs="Calibri"/>
          <w:iCs/>
        </w:rPr>
        <w:t xml:space="preserve"> were SST inspections.</w:t>
      </w:r>
    </w:p>
    <w:p w14:paraId="53197C57" w14:textId="77777777" w:rsidR="004D45BA" w:rsidRPr="001C1E47" w:rsidRDefault="004D45BA" w:rsidP="004D45BA">
      <w:pPr>
        <w:widowControl/>
        <w:autoSpaceDE/>
        <w:autoSpaceDN/>
        <w:adjustRightInd/>
        <w:contextualSpacing/>
        <w:rPr>
          <w:rFonts w:cs="Calibri"/>
          <w:b/>
        </w:rPr>
      </w:pPr>
    </w:p>
    <w:p w14:paraId="68FBAFD2" w14:textId="77777777" w:rsidR="00781312" w:rsidRPr="001C1E47" w:rsidRDefault="00781312" w:rsidP="00861068">
      <w:pPr>
        <w:pStyle w:val="Heading4"/>
      </w:pPr>
      <w:r w:rsidRPr="001C1E47">
        <w:t>New Issues</w:t>
      </w:r>
    </w:p>
    <w:p w14:paraId="1A950952" w14:textId="77777777" w:rsidR="00781312" w:rsidRPr="001C1E47" w:rsidRDefault="00781312" w:rsidP="00783189">
      <w:pPr>
        <w:ind w:left="720"/>
        <w:contextualSpacing/>
        <w:rPr>
          <w:rFonts w:cs="Calibri"/>
          <w:sz w:val="28"/>
          <w:szCs w:val="28"/>
        </w:rPr>
      </w:pPr>
    </w:p>
    <w:p w14:paraId="62935632" w14:textId="7FE66B19" w:rsidR="00781312" w:rsidRPr="00C53328" w:rsidRDefault="004D45BA" w:rsidP="00783189">
      <w:pPr>
        <w:contextualSpacing/>
        <w:rPr>
          <w:rFonts w:cs="Calibri"/>
          <w:iCs/>
          <w:color w:val="0070C0"/>
        </w:rPr>
      </w:pPr>
      <w:r w:rsidRPr="004D45BA">
        <w:rPr>
          <w:rFonts w:cs="Calibri"/>
          <w:iCs/>
        </w:rPr>
        <w:t>None.</w:t>
      </w:r>
    </w:p>
    <w:p w14:paraId="4AC3CAAA" w14:textId="2A4E94C3" w:rsidR="009C6114" w:rsidRDefault="009C6114" w:rsidP="00783189">
      <w:pPr>
        <w:widowControl/>
        <w:autoSpaceDE/>
        <w:autoSpaceDN/>
        <w:adjustRightInd/>
        <w:rPr>
          <w:rFonts w:cs="Calibri"/>
          <w:iCs/>
        </w:rPr>
      </w:pPr>
    </w:p>
    <w:p w14:paraId="23ADCF0A" w14:textId="77777777" w:rsidR="00EA6FAC" w:rsidRPr="00AB16D9" w:rsidRDefault="00EA6FAC" w:rsidP="00783189">
      <w:pPr>
        <w:widowControl/>
        <w:autoSpaceDE/>
        <w:autoSpaceDN/>
        <w:adjustRightInd/>
        <w:rPr>
          <w:rFonts w:cs="Calibri"/>
          <w:iCs/>
        </w:rPr>
      </w:pPr>
    </w:p>
    <w:p w14:paraId="0A29FCDE" w14:textId="40051B71" w:rsidR="00054900" w:rsidRPr="00476C08" w:rsidRDefault="00054900" w:rsidP="00476C08">
      <w:pPr>
        <w:pStyle w:val="Heading2"/>
      </w:pPr>
      <w:bookmarkStart w:id="9" w:name="_Toc118900172"/>
      <w:bookmarkStart w:id="10" w:name="_Toc118905011"/>
      <w:bookmarkStart w:id="11" w:name="_Toc119418665"/>
      <w:r w:rsidRPr="00476C08">
        <w:t xml:space="preserve">Assessment of State Plan </w:t>
      </w:r>
      <w:r w:rsidR="001E2FBB" w:rsidRPr="00476C08">
        <w:t xml:space="preserve">Progress and </w:t>
      </w:r>
      <w:r w:rsidRPr="00476C08">
        <w:t>Performance</w:t>
      </w:r>
      <w:bookmarkEnd w:id="9"/>
      <w:bookmarkEnd w:id="10"/>
      <w:bookmarkEnd w:id="11"/>
    </w:p>
    <w:p w14:paraId="07D68C5F" w14:textId="77777777" w:rsidR="00054900" w:rsidRPr="001C1E47" w:rsidRDefault="00054900" w:rsidP="00783189">
      <w:pPr>
        <w:widowControl/>
        <w:autoSpaceDE/>
        <w:autoSpaceDN/>
        <w:adjustRightInd/>
        <w:rPr>
          <w:rFonts w:cs="Calibri"/>
        </w:rPr>
      </w:pPr>
    </w:p>
    <w:p w14:paraId="4CD3C312" w14:textId="77777777" w:rsidR="000A134A" w:rsidRPr="00C53328" w:rsidRDefault="000A134A" w:rsidP="0061362E">
      <w:pPr>
        <w:pStyle w:val="Heading3"/>
      </w:pPr>
      <w:bookmarkStart w:id="12" w:name="_Toc118900173"/>
      <w:bookmarkStart w:id="13" w:name="_Toc118905012"/>
      <w:bookmarkStart w:id="14" w:name="_Toc119418666"/>
      <w:r w:rsidRPr="00C53328">
        <w:t>Data and Methodology</w:t>
      </w:r>
      <w:bookmarkEnd w:id="12"/>
      <w:bookmarkEnd w:id="13"/>
      <w:bookmarkEnd w:id="14"/>
    </w:p>
    <w:p w14:paraId="72EF69F8" w14:textId="77777777" w:rsidR="000A134A" w:rsidRPr="001C1E47" w:rsidRDefault="000A134A" w:rsidP="00783189">
      <w:pPr>
        <w:widowControl/>
        <w:autoSpaceDE/>
        <w:autoSpaceDN/>
        <w:adjustRightInd/>
        <w:ind w:left="1440"/>
        <w:rPr>
          <w:rFonts w:cs="Calibri"/>
          <w:bCs/>
        </w:rPr>
      </w:pPr>
    </w:p>
    <w:p w14:paraId="3062A587" w14:textId="4F6FC51B" w:rsidR="009D3A10" w:rsidRPr="009D3A10" w:rsidRDefault="009D3A10" w:rsidP="009D3A10">
      <w:pPr>
        <w:widowControl/>
        <w:autoSpaceDE/>
        <w:autoSpaceDN/>
        <w:adjustRightInd/>
        <w:rPr>
          <w:rFonts w:cs="Calibri"/>
          <w:bCs/>
          <w:iCs/>
        </w:rPr>
      </w:pPr>
      <w:r w:rsidRPr="009D3A10">
        <w:rPr>
          <w:rFonts w:cs="Calibri"/>
          <w:bCs/>
          <w:iCs/>
        </w:rPr>
        <w:t xml:space="preserve">OSHA </w:t>
      </w:r>
      <w:r w:rsidR="001E3088" w:rsidRPr="00AE11C8">
        <w:rPr>
          <w:rFonts w:cs="Calibri"/>
          <w:bCs/>
          <w:iCs/>
        </w:rPr>
        <w:t>has</w:t>
      </w:r>
      <w:r w:rsidR="001E3088">
        <w:rPr>
          <w:rFonts w:cs="Calibri"/>
          <w:bCs/>
          <w:iCs/>
        </w:rPr>
        <w:t xml:space="preserve"> </w:t>
      </w:r>
      <w:r w:rsidRPr="009D3A10">
        <w:rPr>
          <w:rFonts w:cs="Calibri"/>
          <w:bCs/>
          <w:iCs/>
        </w:rPr>
        <w:t xml:space="preserve">established a two-year cycle for the FAME process. </w:t>
      </w:r>
      <w:r w:rsidR="00C92834">
        <w:rPr>
          <w:rFonts w:cs="Calibri"/>
          <w:bCs/>
          <w:iCs/>
        </w:rPr>
        <w:t xml:space="preserve"> </w:t>
      </w:r>
      <w:r w:rsidRPr="009D3A10">
        <w:rPr>
          <w:rFonts w:cs="Calibri"/>
          <w:bCs/>
          <w:iCs/>
        </w:rPr>
        <w:t xml:space="preserve">This is the follow-up year, and as such, OSHA did not perform an on-site case file review associated with a comprehensive FAME. </w:t>
      </w:r>
      <w:r w:rsidR="00C92834">
        <w:rPr>
          <w:rFonts w:cs="Calibri"/>
          <w:bCs/>
          <w:iCs/>
        </w:rPr>
        <w:t xml:space="preserve"> </w:t>
      </w:r>
      <w:r w:rsidRPr="009D3A10">
        <w:rPr>
          <w:rFonts w:cs="Calibri"/>
          <w:bCs/>
          <w:iCs/>
        </w:rPr>
        <w:t xml:space="preserve">This strategy allows the State Plan to focus on correcting deficiencies identified in the most recent comprehensive FAME. </w:t>
      </w:r>
      <w:r w:rsidR="00C92834">
        <w:rPr>
          <w:rFonts w:cs="Calibri"/>
          <w:bCs/>
          <w:iCs/>
        </w:rPr>
        <w:t xml:space="preserve"> </w:t>
      </w:r>
      <w:r w:rsidRPr="009D3A10">
        <w:rPr>
          <w:rFonts w:cs="Calibri"/>
          <w:bCs/>
          <w:iCs/>
        </w:rPr>
        <w:t>The analyses and conclusions described in this report are based on information obtained from a variety of monitoring sources, including:</w:t>
      </w:r>
    </w:p>
    <w:p w14:paraId="5374F459" w14:textId="77777777" w:rsidR="009D3A10" w:rsidRPr="009D3A10" w:rsidRDefault="009D3A10" w:rsidP="009D3A10">
      <w:pPr>
        <w:widowControl/>
        <w:autoSpaceDE/>
        <w:autoSpaceDN/>
        <w:adjustRightInd/>
        <w:rPr>
          <w:rFonts w:cs="Calibri"/>
          <w:bCs/>
          <w:iCs/>
        </w:rPr>
      </w:pPr>
    </w:p>
    <w:p w14:paraId="0D843C4E" w14:textId="77777777" w:rsidR="009D3A10" w:rsidRPr="00BE0FCF" w:rsidRDefault="009D3A10" w:rsidP="009D3A10">
      <w:pPr>
        <w:numPr>
          <w:ilvl w:val="0"/>
          <w:numId w:val="7"/>
        </w:numPr>
        <w:spacing w:after="200" w:line="276" w:lineRule="auto"/>
        <w:contextualSpacing/>
        <w:rPr>
          <w:rFonts w:asciiTheme="minorHAnsi" w:hAnsiTheme="minorHAnsi" w:cstheme="minorHAnsi"/>
          <w:bCs/>
        </w:rPr>
      </w:pPr>
      <w:r w:rsidRPr="00BE0FCF">
        <w:rPr>
          <w:rFonts w:asciiTheme="minorHAnsi" w:hAnsiTheme="minorHAnsi" w:cstheme="minorHAnsi"/>
          <w:bCs/>
        </w:rPr>
        <w:t>State Activity Mandated Measures (SAMM) Report (Appendix D)</w:t>
      </w:r>
    </w:p>
    <w:p w14:paraId="250A3103" w14:textId="77777777" w:rsidR="009D3A10" w:rsidRPr="00BE0FCF" w:rsidRDefault="009D3A10" w:rsidP="009D3A10">
      <w:pPr>
        <w:numPr>
          <w:ilvl w:val="0"/>
          <w:numId w:val="7"/>
        </w:numPr>
        <w:spacing w:after="200" w:line="276" w:lineRule="auto"/>
        <w:contextualSpacing/>
        <w:rPr>
          <w:rFonts w:asciiTheme="minorHAnsi" w:hAnsiTheme="minorHAnsi" w:cstheme="minorHAnsi"/>
        </w:rPr>
      </w:pPr>
      <w:r w:rsidRPr="00BE0FCF">
        <w:rPr>
          <w:rFonts w:asciiTheme="minorHAnsi" w:hAnsiTheme="minorHAnsi" w:cstheme="minorHAnsi"/>
        </w:rPr>
        <w:t>State Information Report (SIR)</w:t>
      </w:r>
    </w:p>
    <w:p w14:paraId="13070E2B" w14:textId="2C2E25FD" w:rsidR="009D3A10" w:rsidRPr="00A54746" w:rsidRDefault="00A54746" w:rsidP="009D3A10">
      <w:pPr>
        <w:numPr>
          <w:ilvl w:val="0"/>
          <w:numId w:val="7"/>
        </w:numPr>
        <w:spacing w:after="200" w:line="276" w:lineRule="auto"/>
        <w:contextualSpacing/>
        <w:rPr>
          <w:rFonts w:asciiTheme="minorHAnsi" w:hAnsiTheme="minorHAnsi" w:cstheme="minorHAnsi"/>
          <w:bCs/>
        </w:rPr>
      </w:pPr>
      <w:r>
        <w:rPr>
          <w:rFonts w:asciiTheme="minorHAnsi" w:hAnsiTheme="minorHAnsi" w:cstheme="minorHAnsi"/>
          <w:bCs/>
        </w:rPr>
        <w:t>S</w:t>
      </w:r>
      <w:r w:rsidRPr="00A54746">
        <w:rPr>
          <w:rFonts w:asciiTheme="minorHAnsi" w:hAnsiTheme="minorHAnsi" w:cstheme="minorHAnsi"/>
          <w:bCs/>
        </w:rPr>
        <w:t xml:space="preserve">tate and local government </w:t>
      </w:r>
      <w:r>
        <w:rPr>
          <w:rFonts w:asciiTheme="minorHAnsi" w:hAnsiTheme="minorHAnsi" w:cstheme="minorHAnsi"/>
          <w:bCs/>
        </w:rPr>
        <w:t xml:space="preserve">23(g) </w:t>
      </w:r>
      <w:r w:rsidRPr="00A54746">
        <w:rPr>
          <w:rFonts w:asciiTheme="minorHAnsi" w:hAnsiTheme="minorHAnsi" w:cstheme="minorHAnsi"/>
          <w:bCs/>
        </w:rPr>
        <w:t>consultation program data</w:t>
      </w:r>
    </w:p>
    <w:p w14:paraId="10B74571" w14:textId="49660BFC" w:rsidR="009D3A10" w:rsidRPr="00BE0FCF" w:rsidRDefault="009D3A10" w:rsidP="009D3A10">
      <w:pPr>
        <w:numPr>
          <w:ilvl w:val="0"/>
          <w:numId w:val="7"/>
        </w:numPr>
        <w:spacing w:after="200" w:line="276" w:lineRule="auto"/>
        <w:contextualSpacing/>
        <w:rPr>
          <w:rFonts w:asciiTheme="minorHAnsi" w:hAnsiTheme="minorHAnsi" w:cstheme="minorHAnsi"/>
          <w:bCs/>
        </w:rPr>
      </w:pPr>
      <w:r w:rsidRPr="00BE0FCF">
        <w:rPr>
          <w:rFonts w:asciiTheme="minorHAnsi" w:hAnsiTheme="minorHAnsi" w:cstheme="minorHAnsi"/>
          <w:bCs/>
        </w:rPr>
        <w:t xml:space="preserve">State OSHA Annual Report </w:t>
      </w:r>
    </w:p>
    <w:p w14:paraId="61EFADE8" w14:textId="77777777" w:rsidR="009D3A10" w:rsidRPr="00BE0FCF" w:rsidRDefault="009D3A10" w:rsidP="009D3A10">
      <w:pPr>
        <w:numPr>
          <w:ilvl w:val="0"/>
          <w:numId w:val="7"/>
        </w:numPr>
        <w:spacing w:after="200" w:line="276" w:lineRule="auto"/>
        <w:contextualSpacing/>
        <w:rPr>
          <w:rFonts w:asciiTheme="minorHAnsi" w:hAnsiTheme="minorHAnsi" w:cstheme="minorHAnsi"/>
          <w:bCs/>
        </w:rPr>
      </w:pPr>
      <w:r w:rsidRPr="00BE0FCF">
        <w:rPr>
          <w:rFonts w:asciiTheme="minorHAnsi" w:hAnsiTheme="minorHAnsi" w:cstheme="minorHAnsi"/>
          <w:bCs/>
        </w:rPr>
        <w:t>OSHA Information System (OIS) Inspection Summary Reports</w:t>
      </w:r>
    </w:p>
    <w:p w14:paraId="42EF7D6A" w14:textId="77777777" w:rsidR="009D3A10" w:rsidRPr="00BE0FCF" w:rsidRDefault="009D3A10" w:rsidP="009D3A10">
      <w:pPr>
        <w:numPr>
          <w:ilvl w:val="0"/>
          <w:numId w:val="7"/>
        </w:numPr>
        <w:spacing w:after="200" w:line="276" w:lineRule="auto"/>
        <w:contextualSpacing/>
        <w:rPr>
          <w:rFonts w:asciiTheme="minorHAnsi" w:hAnsiTheme="minorHAnsi" w:cstheme="minorHAnsi"/>
          <w:bCs/>
        </w:rPr>
      </w:pPr>
      <w:r w:rsidRPr="00BE0FCF">
        <w:rPr>
          <w:rFonts w:asciiTheme="minorHAnsi" w:hAnsiTheme="minorHAnsi" w:cstheme="minorHAnsi"/>
          <w:bCs/>
        </w:rPr>
        <w:t>State Plan Annual Performance Plan</w:t>
      </w:r>
    </w:p>
    <w:p w14:paraId="78AB2711" w14:textId="77777777" w:rsidR="009D3A10" w:rsidRPr="00BE0FCF" w:rsidRDefault="009D3A10" w:rsidP="009D3A10">
      <w:pPr>
        <w:numPr>
          <w:ilvl w:val="0"/>
          <w:numId w:val="7"/>
        </w:numPr>
        <w:spacing w:after="200" w:line="276" w:lineRule="auto"/>
        <w:contextualSpacing/>
        <w:rPr>
          <w:rFonts w:asciiTheme="minorHAnsi" w:hAnsiTheme="minorHAnsi" w:cstheme="minorHAnsi"/>
          <w:bCs/>
        </w:rPr>
      </w:pPr>
      <w:r w:rsidRPr="00BE0FCF">
        <w:rPr>
          <w:rFonts w:asciiTheme="minorHAnsi" w:hAnsiTheme="minorHAnsi" w:cstheme="minorHAnsi"/>
          <w:bCs/>
        </w:rPr>
        <w:t xml:space="preserve">State Plan Grant Application </w:t>
      </w:r>
    </w:p>
    <w:p w14:paraId="5906B607" w14:textId="77777777" w:rsidR="009D3A10" w:rsidRPr="00BE0FCF" w:rsidRDefault="009D3A10" w:rsidP="009D3A10">
      <w:pPr>
        <w:numPr>
          <w:ilvl w:val="0"/>
          <w:numId w:val="7"/>
        </w:numPr>
        <w:spacing w:after="200" w:line="276" w:lineRule="auto"/>
        <w:contextualSpacing/>
        <w:rPr>
          <w:rFonts w:asciiTheme="minorHAnsi" w:hAnsiTheme="minorHAnsi" w:cstheme="minorHAnsi"/>
          <w:bCs/>
        </w:rPr>
      </w:pPr>
      <w:r w:rsidRPr="00BE0FCF">
        <w:rPr>
          <w:rFonts w:asciiTheme="minorHAnsi" w:hAnsiTheme="minorHAnsi" w:cstheme="minorHAnsi"/>
          <w:bCs/>
        </w:rPr>
        <w:t>Quarterly monitoring meetings between OSHA and the State Plan</w:t>
      </w:r>
    </w:p>
    <w:p w14:paraId="7EA0158E" w14:textId="77777777" w:rsidR="001E2FBB" w:rsidRPr="009D3A10" w:rsidRDefault="001E2FBB" w:rsidP="00783189">
      <w:pPr>
        <w:widowControl/>
        <w:autoSpaceDE/>
        <w:autoSpaceDN/>
        <w:adjustRightInd/>
        <w:rPr>
          <w:rFonts w:cs="Calibri"/>
          <w:bCs/>
          <w:iCs/>
        </w:rPr>
      </w:pPr>
    </w:p>
    <w:p w14:paraId="5E67DDEC" w14:textId="77777777" w:rsidR="000A134A" w:rsidRPr="001C1E47" w:rsidRDefault="000A134A" w:rsidP="0061362E">
      <w:pPr>
        <w:pStyle w:val="Heading3"/>
      </w:pPr>
      <w:bookmarkStart w:id="15" w:name="_Toc118900174"/>
      <w:bookmarkStart w:id="16" w:name="_Toc118905013"/>
      <w:bookmarkStart w:id="17" w:name="_Toc119418667"/>
      <w:r w:rsidRPr="001C1E47">
        <w:t>Findings and Observations</w:t>
      </w:r>
      <w:bookmarkEnd w:id="15"/>
      <w:bookmarkEnd w:id="16"/>
      <w:bookmarkEnd w:id="17"/>
    </w:p>
    <w:p w14:paraId="5A952A6F" w14:textId="77777777" w:rsidR="001E2FBB" w:rsidRPr="001C1E47" w:rsidRDefault="001E2FBB" w:rsidP="00E945E7">
      <w:pPr>
        <w:widowControl/>
        <w:autoSpaceDE/>
        <w:autoSpaceDN/>
        <w:adjustRightInd/>
        <w:rPr>
          <w:rFonts w:cs="Calibri"/>
          <w:i/>
          <w:highlight w:val="cyan"/>
        </w:rPr>
      </w:pPr>
    </w:p>
    <w:p w14:paraId="2789CCA0" w14:textId="77777777" w:rsidR="00E71FB7" w:rsidRPr="001C1E47" w:rsidRDefault="00E71FB7" w:rsidP="00861068">
      <w:pPr>
        <w:pStyle w:val="Heading4"/>
        <w:rPr>
          <w:highlight w:val="yellow"/>
        </w:rPr>
      </w:pPr>
      <w:bookmarkStart w:id="18" w:name="_Toc118900175"/>
      <w:bookmarkStart w:id="19" w:name="_Toc118905014"/>
      <w:r w:rsidRPr="001C1E47">
        <w:t>Findings</w:t>
      </w:r>
      <w:r w:rsidR="00443054" w:rsidRPr="001C1E47">
        <w:t xml:space="preserve"> (Status of Previous and New Items)</w:t>
      </w:r>
      <w:bookmarkEnd w:id="18"/>
      <w:bookmarkEnd w:id="19"/>
    </w:p>
    <w:p w14:paraId="6C7BE9F8" w14:textId="77777777" w:rsidR="00E71FB7" w:rsidRPr="001C1E47" w:rsidRDefault="00E71FB7" w:rsidP="00783189">
      <w:pPr>
        <w:widowControl/>
        <w:autoSpaceDE/>
        <w:autoSpaceDN/>
        <w:adjustRightInd/>
        <w:rPr>
          <w:rFonts w:cs="Calibri"/>
          <w:highlight w:val="yellow"/>
          <w:u w:val="single"/>
        </w:rPr>
      </w:pPr>
    </w:p>
    <w:p w14:paraId="68CBB2BF" w14:textId="0D2AD159" w:rsidR="004E505A" w:rsidRPr="001C1E47" w:rsidRDefault="00456C45" w:rsidP="00783189">
      <w:pPr>
        <w:widowControl/>
        <w:autoSpaceDE/>
        <w:autoSpaceDN/>
        <w:adjustRightInd/>
        <w:rPr>
          <w:rFonts w:cs="Calibri"/>
        </w:rPr>
      </w:pPr>
      <w:r w:rsidRPr="00C92834">
        <w:rPr>
          <w:rFonts w:cs="Calibri"/>
        </w:rPr>
        <w:t>The State Plan</w:t>
      </w:r>
      <w:r w:rsidR="005D5383" w:rsidRPr="00C92834">
        <w:rPr>
          <w:rFonts w:cs="Calibri"/>
        </w:rPr>
        <w:t xml:space="preserve"> made </w:t>
      </w:r>
      <w:r w:rsidR="004E505A" w:rsidRPr="00C92834">
        <w:rPr>
          <w:rFonts w:cs="Calibri"/>
        </w:rPr>
        <w:t>progre</w:t>
      </w:r>
      <w:r w:rsidR="00443054" w:rsidRPr="00C92834">
        <w:rPr>
          <w:rFonts w:cs="Calibri"/>
        </w:rPr>
        <w:t>ss address</w:t>
      </w:r>
      <w:r w:rsidR="0029729F">
        <w:rPr>
          <w:rFonts w:cs="Calibri"/>
        </w:rPr>
        <w:t>ing</w:t>
      </w:r>
      <w:r w:rsidRPr="00C92834">
        <w:rPr>
          <w:rFonts w:cs="Calibri"/>
        </w:rPr>
        <w:t xml:space="preserve"> the previous </w:t>
      </w:r>
      <w:r w:rsidR="00AF64B0" w:rsidRPr="00C92834">
        <w:rPr>
          <w:rFonts w:cs="Calibri"/>
        </w:rPr>
        <w:t>two</w:t>
      </w:r>
      <w:r w:rsidR="004E505A" w:rsidRPr="00C92834">
        <w:rPr>
          <w:rFonts w:cs="Calibri"/>
        </w:rPr>
        <w:t xml:space="preserve"> findings and t</w:t>
      </w:r>
      <w:r w:rsidR="00AF64B0" w:rsidRPr="00C92834">
        <w:rPr>
          <w:rFonts w:cs="Calibri"/>
        </w:rPr>
        <w:t>hree</w:t>
      </w:r>
      <w:r w:rsidRPr="00C92834">
        <w:rPr>
          <w:rFonts w:cs="Calibri"/>
        </w:rPr>
        <w:t xml:space="preserve"> observations from the FY </w:t>
      </w:r>
      <w:r w:rsidR="00512339" w:rsidRPr="00C92834">
        <w:rPr>
          <w:rFonts w:cs="Calibri"/>
        </w:rPr>
        <w:t>20</w:t>
      </w:r>
      <w:r w:rsidR="00185C7D" w:rsidRPr="00C92834">
        <w:rPr>
          <w:rFonts w:cs="Calibri"/>
        </w:rPr>
        <w:t>21</w:t>
      </w:r>
      <w:r w:rsidR="000003C7" w:rsidRPr="00C92834">
        <w:rPr>
          <w:rFonts w:cs="Calibri"/>
        </w:rPr>
        <w:t xml:space="preserve"> </w:t>
      </w:r>
      <w:r w:rsidRPr="00C92834">
        <w:rPr>
          <w:rFonts w:cs="Calibri"/>
        </w:rPr>
        <w:t>Comprehensive FAME R</w:t>
      </w:r>
      <w:r w:rsidR="004E505A" w:rsidRPr="00C92834">
        <w:rPr>
          <w:rFonts w:cs="Calibri"/>
        </w:rPr>
        <w:t xml:space="preserve">eport.  </w:t>
      </w:r>
      <w:r w:rsidR="004E505A" w:rsidRPr="00DA1540">
        <w:rPr>
          <w:rFonts w:cs="Calibri"/>
        </w:rPr>
        <w:t xml:space="preserve">This </w:t>
      </w:r>
      <w:r w:rsidR="00EB267C">
        <w:rPr>
          <w:rFonts w:cs="Calibri"/>
        </w:rPr>
        <w:t>F</w:t>
      </w:r>
      <w:r w:rsidR="004E505A" w:rsidRPr="00DA1540">
        <w:rPr>
          <w:rFonts w:cs="Calibri"/>
        </w:rPr>
        <w:t xml:space="preserve">ollow-up FAME </w:t>
      </w:r>
      <w:r w:rsidR="00EB267C">
        <w:rPr>
          <w:rFonts w:cs="Calibri"/>
        </w:rPr>
        <w:t>R</w:t>
      </w:r>
      <w:r w:rsidR="004E505A" w:rsidRPr="00DA1540">
        <w:rPr>
          <w:rFonts w:cs="Calibri"/>
        </w:rPr>
        <w:t xml:space="preserve">eport contains </w:t>
      </w:r>
      <w:r w:rsidR="00AF64B0" w:rsidRPr="00DA1540">
        <w:rPr>
          <w:rFonts w:cs="Calibri"/>
        </w:rPr>
        <w:t>two</w:t>
      </w:r>
      <w:r w:rsidR="005D5383" w:rsidRPr="00DA1540">
        <w:rPr>
          <w:rFonts w:cs="Calibri"/>
        </w:rPr>
        <w:t xml:space="preserve"> findings </w:t>
      </w:r>
      <w:r w:rsidR="004E505A" w:rsidRPr="00DA1540">
        <w:rPr>
          <w:rFonts w:cs="Calibri"/>
        </w:rPr>
        <w:t xml:space="preserve">and </w:t>
      </w:r>
      <w:r w:rsidR="00AF64B0" w:rsidRPr="00DA1540">
        <w:rPr>
          <w:rFonts w:cs="Calibri"/>
        </w:rPr>
        <w:t>three</w:t>
      </w:r>
      <w:r w:rsidR="004E505A" w:rsidRPr="00DA1540">
        <w:rPr>
          <w:rFonts w:cs="Calibri"/>
        </w:rPr>
        <w:t xml:space="preserve"> observations</w:t>
      </w:r>
      <w:r w:rsidR="00F03CF9">
        <w:rPr>
          <w:rFonts w:cs="Calibri"/>
        </w:rPr>
        <w:t xml:space="preserve">.  </w:t>
      </w:r>
      <w:r w:rsidR="00F03CF9" w:rsidRPr="00F03CF9">
        <w:rPr>
          <w:rFonts w:cs="Calibri"/>
        </w:rPr>
        <w:t>Both</w:t>
      </w:r>
      <w:r w:rsidR="004E505A" w:rsidRPr="00F03CF9">
        <w:rPr>
          <w:rFonts w:cs="Calibri"/>
        </w:rPr>
        <w:t xml:space="preserve"> finding</w:t>
      </w:r>
      <w:r w:rsidR="00F03CF9" w:rsidRPr="00F03CF9">
        <w:rPr>
          <w:rFonts w:cs="Calibri"/>
        </w:rPr>
        <w:t>s</w:t>
      </w:r>
      <w:r w:rsidR="004E505A" w:rsidRPr="00F03CF9">
        <w:rPr>
          <w:rFonts w:cs="Calibri"/>
        </w:rPr>
        <w:t xml:space="preserve"> w</w:t>
      </w:r>
      <w:r w:rsidR="00F03CF9" w:rsidRPr="00F03CF9">
        <w:rPr>
          <w:rFonts w:cs="Calibri"/>
        </w:rPr>
        <w:t>ere</w:t>
      </w:r>
      <w:r w:rsidR="004E505A" w:rsidRPr="00F03CF9">
        <w:rPr>
          <w:rFonts w:cs="Calibri"/>
        </w:rPr>
        <w:t xml:space="preserve"> co</w:t>
      </w:r>
      <w:r w:rsidR="00F03CF9" w:rsidRPr="00F03CF9">
        <w:rPr>
          <w:rFonts w:cs="Calibri"/>
        </w:rPr>
        <w:t>ntinued</w:t>
      </w:r>
      <w:r w:rsidR="004E505A" w:rsidRPr="00C476A6">
        <w:rPr>
          <w:rFonts w:cs="Calibri"/>
        </w:rPr>
        <w:t xml:space="preserve">, </w:t>
      </w:r>
      <w:r w:rsidR="005D111C" w:rsidRPr="00C476A6">
        <w:rPr>
          <w:rFonts w:cs="Calibri"/>
        </w:rPr>
        <w:t>two</w:t>
      </w:r>
      <w:r w:rsidR="004E505A" w:rsidRPr="00C476A6">
        <w:rPr>
          <w:rFonts w:cs="Calibri"/>
        </w:rPr>
        <w:t xml:space="preserve"> observation</w:t>
      </w:r>
      <w:r w:rsidR="005D111C" w:rsidRPr="00C476A6">
        <w:rPr>
          <w:rFonts w:cs="Calibri"/>
        </w:rPr>
        <w:t>s</w:t>
      </w:r>
      <w:r w:rsidR="004E505A" w:rsidRPr="00C476A6">
        <w:rPr>
          <w:rFonts w:cs="Calibri"/>
        </w:rPr>
        <w:t xml:space="preserve"> w</w:t>
      </w:r>
      <w:r w:rsidR="005D111C" w:rsidRPr="00C476A6">
        <w:rPr>
          <w:rFonts w:cs="Calibri"/>
        </w:rPr>
        <w:t>ere</w:t>
      </w:r>
      <w:r w:rsidR="004E505A" w:rsidRPr="00C476A6">
        <w:rPr>
          <w:rFonts w:cs="Calibri"/>
        </w:rPr>
        <w:t xml:space="preserve"> </w:t>
      </w:r>
      <w:r w:rsidR="00D97421" w:rsidRPr="00C476A6">
        <w:rPr>
          <w:rFonts w:cs="Calibri"/>
        </w:rPr>
        <w:t>closed</w:t>
      </w:r>
      <w:r w:rsidR="00F03CF9" w:rsidRPr="00C476A6">
        <w:rPr>
          <w:rFonts w:cs="Calibri"/>
        </w:rPr>
        <w:t>,</w:t>
      </w:r>
      <w:r w:rsidR="00D97421" w:rsidRPr="00C476A6">
        <w:rPr>
          <w:rFonts w:cs="Calibri"/>
        </w:rPr>
        <w:t xml:space="preserve"> and </w:t>
      </w:r>
      <w:r w:rsidR="005D111C" w:rsidRPr="00C476A6">
        <w:rPr>
          <w:rFonts w:cs="Calibri"/>
        </w:rPr>
        <w:t>one</w:t>
      </w:r>
      <w:r w:rsidR="00D97421" w:rsidRPr="00C476A6">
        <w:rPr>
          <w:rFonts w:cs="Calibri"/>
        </w:rPr>
        <w:t xml:space="preserve"> </w:t>
      </w:r>
      <w:r w:rsidR="00F03CF9" w:rsidRPr="00C476A6">
        <w:rPr>
          <w:rFonts w:cs="Calibri"/>
        </w:rPr>
        <w:t xml:space="preserve">observation </w:t>
      </w:r>
      <w:r w:rsidR="00F651CF" w:rsidRPr="00C476A6">
        <w:rPr>
          <w:rFonts w:cs="Calibri"/>
        </w:rPr>
        <w:t>w</w:t>
      </w:r>
      <w:r w:rsidR="005D111C" w:rsidRPr="00C476A6">
        <w:rPr>
          <w:rFonts w:cs="Calibri"/>
        </w:rPr>
        <w:t>as</w:t>
      </w:r>
      <w:r w:rsidR="00F651CF" w:rsidRPr="00C476A6">
        <w:rPr>
          <w:rFonts w:cs="Calibri"/>
        </w:rPr>
        <w:t xml:space="preserve"> </w:t>
      </w:r>
      <w:r w:rsidR="004E505A" w:rsidRPr="00C476A6">
        <w:rPr>
          <w:rFonts w:cs="Calibri"/>
        </w:rPr>
        <w:t xml:space="preserve">continued.  </w:t>
      </w:r>
      <w:r w:rsidR="004E505A" w:rsidRPr="001C1E47">
        <w:rPr>
          <w:rFonts w:cs="Calibri"/>
        </w:rPr>
        <w:t xml:space="preserve">Appendix A describes </w:t>
      </w:r>
      <w:r w:rsidR="006D1679" w:rsidRPr="00AE11C8">
        <w:rPr>
          <w:rFonts w:cs="Calibri"/>
        </w:rPr>
        <w:t>new and</w:t>
      </w:r>
      <w:r w:rsidR="006D1679">
        <w:rPr>
          <w:rFonts w:cs="Calibri"/>
        </w:rPr>
        <w:t xml:space="preserve"> </w:t>
      </w:r>
      <w:r w:rsidR="004E505A" w:rsidRPr="001C1E47">
        <w:rPr>
          <w:rFonts w:cs="Calibri"/>
        </w:rPr>
        <w:t>continued findings and recommendations.  Appendix B describes observations subject to continued monitoring</w:t>
      </w:r>
      <w:r w:rsidR="001E4F8A" w:rsidRPr="001C1E47">
        <w:rPr>
          <w:rFonts w:cs="Calibri"/>
        </w:rPr>
        <w:t xml:space="preserve"> and the related federal monitoring plan</w:t>
      </w:r>
      <w:r w:rsidR="0029729F">
        <w:rPr>
          <w:rFonts w:cs="Calibri"/>
        </w:rPr>
        <w:t>s</w:t>
      </w:r>
      <w:r w:rsidR="004E505A" w:rsidRPr="001C1E47">
        <w:rPr>
          <w:rFonts w:cs="Calibri"/>
        </w:rPr>
        <w:t>.  Appendix C describes the status of each FY 20</w:t>
      </w:r>
      <w:r w:rsidR="00B66C2A" w:rsidRPr="001C1E47">
        <w:rPr>
          <w:rFonts w:cs="Calibri"/>
        </w:rPr>
        <w:t>21</w:t>
      </w:r>
      <w:r w:rsidR="004E505A" w:rsidRPr="001C1E47">
        <w:rPr>
          <w:rFonts w:cs="Calibri"/>
        </w:rPr>
        <w:t xml:space="preserve"> </w:t>
      </w:r>
      <w:r w:rsidR="00B66C2A" w:rsidRPr="001C1E47">
        <w:rPr>
          <w:rFonts w:cs="Calibri"/>
        </w:rPr>
        <w:t xml:space="preserve">finding and </w:t>
      </w:r>
      <w:r w:rsidR="004E505A" w:rsidRPr="001C1E47">
        <w:rPr>
          <w:rFonts w:cs="Calibri"/>
        </w:rPr>
        <w:t>recommendation in detail.</w:t>
      </w:r>
    </w:p>
    <w:p w14:paraId="699539B4" w14:textId="77777777" w:rsidR="004E505A" w:rsidRPr="001C1E47" w:rsidRDefault="004E505A" w:rsidP="00783189">
      <w:pPr>
        <w:widowControl/>
        <w:autoSpaceDE/>
        <w:autoSpaceDN/>
        <w:adjustRightInd/>
        <w:rPr>
          <w:rFonts w:cs="Calibri"/>
          <w:highlight w:val="yellow"/>
        </w:rPr>
      </w:pPr>
    </w:p>
    <w:p w14:paraId="1CD392F2" w14:textId="4FC0F029" w:rsidR="005C1BFC" w:rsidRPr="00B90AA0" w:rsidRDefault="00733D36" w:rsidP="00B90AA0">
      <w:pPr>
        <w:pStyle w:val="Heading5"/>
        <w:rPr>
          <w:rFonts w:asciiTheme="minorHAnsi" w:hAnsiTheme="minorHAnsi" w:cstheme="minorHAnsi"/>
          <w:b/>
          <w:bCs/>
          <w:color w:val="auto"/>
        </w:rPr>
      </w:pPr>
      <w:r w:rsidRPr="00B90AA0">
        <w:rPr>
          <w:rFonts w:asciiTheme="minorHAnsi" w:hAnsiTheme="minorHAnsi" w:cstheme="minorHAnsi"/>
          <w:b/>
          <w:bCs/>
          <w:color w:val="auto"/>
        </w:rPr>
        <w:t xml:space="preserve">Completed </w:t>
      </w:r>
      <w:r w:rsidR="007C0A36" w:rsidRPr="00B90AA0">
        <w:rPr>
          <w:rFonts w:asciiTheme="minorHAnsi" w:hAnsiTheme="minorHAnsi" w:cstheme="minorHAnsi"/>
          <w:b/>
          <w:bCs/>
          <w:color w:val="auto"/>
        </w:rPr>
        <w:t>Findings</w:t>
      </w:r>
    </w:p>
    <w:p w14:paraId="7BB91E9C" w14:textId="77777777" w:rsidR="007C0A36" w:rsidRPr="001C1E47" w:rsidRDefault="007C0A36" w:rsidP="00783189">
      <w:pPr>
        <w:widowControl/>
        <w:autoSpaceDE/>
        <w:autoSpaceDN/>
        <w:adjustRightInd/>
        <w:rPr>
          <w:rFonts w:cs="Calibri"/>
          <w:highlight w:val="yellow"/>
          <w:u w:val="single"/>
        </w:rPr>
      </w:pPr>
    </w:p>
    <w:p w14:paraId="258E91A2" w14:textId="1DD1D9A2" w:rsidR="00733D36" w:rsidRPr="00227854" w:rsidRDefault="0083198B" w:rsidP="00783189">
      <w:pPr>
        <w:widowControl/>
        <w:autoSpaceDE/>
        <w:autoSpaceDN/>
        <w:adjustRightInd/>
        <w:rPr>
          <w:rFonts w:cs="Calibri"/>
          <w:bCs/>
        </w:rPr>
      </w:pPr>
      <w:r>
        <w:rPr>
          <w:rFonts w:cs="Calibri"/>
          <w:bCs/>
        </w:rPr>
        <w:t>There are no completed findings</w:t>
      </w:r>
      <w:r w:rsidR="00227854" w:rsidRPr="00227854">
        <w:rPr>
          <w:rFonts w:cs="Calibri"/>
          <w:bCs/>
        </w:rPr>
        <w:t xml:space="preserve"> from </w:t>
      </w:r>
      <w:r w:rsidR="00A30328">
        <w:rPr>
          <w:rFonts w:cs="Calibri"/>
          <w:bCs/>
        </w:rPr>
        <w:t xml:space="preserve">the </w:t>
      </w:r>
      <w:r w:rsidR="00227854" w:rsidRPr="00227854">
        <w:rPr>
          <w:rFonts w:cs="Calibri"/>
          <w:bCs/>
        </w:rPr>
        <w:t xml:space="preserve">FY 2021 </w:t>
      </w:r>
      <w:r w:rsidR="00A30328">
        <w:rPr>
          <w:rFonts w:cs="Calibri"/>
          <w:bCs/>
        </w:rPr>
        <w:t>Comprehensive FAM</w:t>
      </w:r>
      <w:r>
        <w:rPr>
          <w:rFonts w:cs="Calibri"/>
          <w:bCs/>
        </w:rPr>
        <w:t>E</w:t>
      </w:r>
      <w:r w:rsidR="00BB281E">
        <w:rPr>
          <w:rFonts w:cs="Calibri"/>
          <w:bCs/>
        </w:rPr>
        <w:t xml:space="preserve"> Report</w:t>
      </w:r>
      <w:r w:rsidR="00227854" w:rsidRPr="00227854">
        <w:rPr>
          <w:rFonts w:cs="Calibri"/>
          <w:bCs/>
        </w:rPr>
        <w:t>.</w:t>
      </w:r>
    </w:p>
    <w:p w14:paraId="6975C73F" w14:textId="77777777" w:rsidR="00733729" w:rsidRPr="001C1E47" w:rsidRDefault="00733729" w:rsidP="00783189">
      <w:pPr>
        <w:widowControl/>
        <w:autoSpaceDE/>
        <w:autoSpaceDN/>
        <w:adjustRightInd/>
        <w:rPr>
          <w:rFonts w:cs="Calibri"/>
          <w:u w:val="single"/>
        </w:rPr>
      </w:pPr>
    </w:p>
    <w:p w14:paraId="66699C18" w14:textId="77777777" w:rsidR="00A33959" w:rsidRPr="00FF28C9" w:rsidRDefault="00785B2E" w:rsidP="00B90AA0">
      <w:pPr>
        <w:pStyle w:val="Heading5"/>
        <w:rPr>
          <w:rFonts w:asciiTheme="minorHAnsi" w:hAnsiTheme="minorHAnsi" w:cstheme="minorHAnsi"/>
          <w:b/>
          <w:bCs/>
          <w:i/>
          <w:color w:val="auto"/>
        </w:rPr>
      </w:pPr>
      <w:r w:rsidRPr="00FF28C9">
        <w:rPr>
          <w:rFonts w:asciiTheme="minorHAnsi" w:hAnsiTheme="minorHAnsi" w:cstheme="minorHAnsi"/>
          <w:b/>
          <w:bCs/>
          <w:color w:val="auto"/>
        </w:rPr>
        <w:t xml:space="preserve">Continued </w:t>
      </w:r>
      <w:r w:rsidR="007C0A36" w:rsidRPr="00FF28C9">
        <w:rPr>
          <w:rFonts w:asciiTheme="minorHAnsi" w:hAnsiTheme="minorHAnsi" w:cstheme="minorHAnsi"/>
          <w:b/>
          <w:bCs/>
          <w:color w:val="auto"/>
        </w:rPr>
        <w:t>Findings</w:t>
      </w:r>
      <w:r w:rsidR="00391D6F" w:rsidRPr="00FF28C9">
        <w:rPr>
          <w:rFonts w:asciiTheme="minorHAnsi" w:hAnsiTheme="minorHAnsi" w:cstheme="minorHAnsi"/>
          <w:b/>
          <w:bCs/>
          <w:color w:val="auto"/>
        </w:rPr>
        <w:t xml:space="preserve"> </w:t>
      </w:r>
    </w:p>
    <w:p w14:paraId="0BDB199F" w14:textId="77777777" w:rsidR="007C0A36" w:rsidRPr="00FF28C9" w:rsidRDefault="007C0A36" w:rsidP="00783189">
      <w:pPr>
        <w:widowControl/>
        <w:tabs>
          <w:tab w:val="center" w:pos="270"/>
          <w:tab w:val="left" w:pos="360"/>
        </w:tabs>
        <w:autoSpaceDE/>
        <w:autoSpaceDN/>
        <w:adjustRightInd/>
        <w:rPr>
          <w:rFonts w:eastAsia="Calibri" w:cs="Calibri"/>
          <w:iCs/>
        </w:rPr>
      </w:pPr>
    </w:p>
    <w:p w14:paraId="6F72A3A7" w14:textId="449A6C6B" w:rsidR="00A33959" w:rsidRPr="000C7D17" w:rsidRDefault="00A33959" w:rsidP="00783189">
      <w:pPr>
        <w:widowControl/>
        <w:tabs>
          <w:tab w:val="center" w:pos="270"/>
          <w:tab w:val="left" w:pos="360"/>
        </w:tabs>
        <w:autoSpaceDE/>
        <w:autoSpaceDN/>
        <w:adjustRightInd/>
        <w:rPr>
          <w:rFonts w:eastAsia="Calibri" w:cs="Calibri"/>
          <w:color w:val="1F497D" w:themeColor="text2"/>
        </w:rPr>
      </w:pPr>
      <w:r w:rsidRPr="00AB7883">
        <w:rPr>
          <w:rFonts w:eastAsia="Calibri" w:cs="Calibri"/>
          <w:b/>
        </w:rPr>
        <w:t xml:space="preserve">Finding FY </w:t>
      </w:r>
      <w:r w:rsidR="007C0A36" w:rsidRPr="00AB7883">
        <w:rPr>
          <w:rFonts w:eastAsia="Calibri" w:cs="Calibri"/>
          <w:b/>
        </w:rPr>
        <w:t>20</w:t>
      </w:r>
      <w:r w:rsidR="00AB7883" w:rsidRPr="00AB7883">
        <w:rPr>
          <w:rFonts w:eastAsia="Calibri" w:cs="Calibri"/>
          <w:b/>
        </w:rPr>
        <w:t>22</w:t>
      </w:r>
      <w:r w:rsidRPr="00AB7883">
        <w:rPr>
          <w:rFonts w:eastAsia="Calibri" w:cs="Calibri"/>
          <w:b/>
        </w:rPr>
        <w:t>-01</w:t>
      </w:r>
      <w:r w:rsidR="00AB7883" w:rsidRPr="00AB7883">
        <w:rPr>
          <w:rFonts w:eastAsia="Calibri" w:cs="Calibri"/>
          <w:b/>
        </w:rPr>
        <w:t xml:space="preserve"> (previously FY 2021-01)</w:t>
      </w:r>
      <w:r w:rsidRPr="00AB7883">
        <w:rPr>
          <w:rFonts w:eastAsia="Calibri" w:cs="Calibri"/>
          <w:b/>
        </w:rPr>
        <w:t xml:space="preserve">: </w:t>
      </w:r>
      <w:r w:rsidR="007C126B" w:rsidRPr="00AB7883">
        <w:rPr>
          <w:rFonts w:eastAsia="Calibri" w:cs="Calibri"/>
          <w:b/>
        </w:rPr>
        <w:t xml:space="preserve"> </w:t>
      </w:r>
      <w:r w:rsidR="00AB7883" w:rsidRPr="00AB7883">
        <w:rPr>
          <w:rFonts w:eastAsia="Calibri" w:cs="Calibri"/>
        </w:rPr>
        <w:t xml:space="preserve">The State Plan did not obtain complete abatement and review the abatement for phone/fax investigations to ensure timely closure of complaints.  </w:t>
      </w:r>
      <w:r w:rsidR="00216010">
        <w:rPr>
          <w:rFonts w:eastAsia="Calibri" w:cs="Calibri"/>
        </w:rPr>
        <w:t>In FY 2021, 23</w:t>
      </w:r>
      <w:r w:rsidR="00AB7883" w:rsidRPr="00AB7883">
        <w:rPr>
          <w:rFonts w:eastAsia="Calibri" w:cs="Calibri"/>
        </w:rPr>
        <w:t xml:space="preserve"> of 107 (21.4%) </w:t>
      </w:r>
      <w:bookmarkStart w:id="20" w:name="_Hlk126155349"/>
      <w:r w:rsidR="00AB7883" w:rsidRPr="00AB7883">
        <w:rPr>
          <w:rFonts w:eastAsia="Calibri" w:cs="Calibri"/>
        </w:rPr>
        <w:t xml:space="preserve">phone/fax investigations that had been open for at least 30 days </w:t>
      </w:r>
      <w:bookmarkEnd w:id="20"/>
      <w:r w:rsidR="00AB7883" w:rsidRPr="00AB7883">
        <w:rPr>
          <w:rFonts w:eastAsia="Calibri" w:cs="Calibri"/>
        </w:rPr>
        <w:t>and remained open at the end of FY 2021 did not have complete abatement, with 10 (9.3%) of those investigations being open since FY 2017 through FY 2020.</w:t>
      </w:r>
    </w:p>
    <w:p w14:paraId="1BFD3508" w14:textId="77777777" w:rsidR="00A33959" w:rsidRPr="000C7D17" w:rsidRDefault="00A33959" w:rsidP="00783189">
      <w:pPr>
        <w:widowControl/>
        <w:tabs>
          <w:tab w:val="center" w:pos="270"/>
          <w:tab w:val="left" w:pos="360"/>
        </w:tabs>
        <w:autoSpaceDE/>
        <w:autoSpaceDN/>
        <w:adjustRightInd/>
        <w:rPr>
          <w:rFonts w:eastAsia="Calibri" w:cs="Calibri"/>
          <w:color w:val="1F497D" w:themeColor="text2"/>
        </w:rPr>
      </w:pPr>
    </w:p>
    <w:p w14:paraId="498E11EA" w14:textId="5B7F60FD" w:rsidR="00296A57" w:rsidRDefault="00A33959" w:rsidP="00783189">
      <w:pPr>
        <w:widowControl/>
        <w:autoSpaceDE/>
        <w:autoSpaceDN/>
        <w:adjustRightInd/>
        <w:rPr>
          <w:rFonts w:cs="Calibri"/>
        </w:rPr>
      </w:pPr>
      <w:r w:rsidRPr="008D4B41">
        <w:rPr>
          <w:rFonts w:eastAsia="Calibri" w:cs="Calibri"/>
          <w:b/>
        </w:rPr>
        <w:t>Status:</w:t>
      </w:r>
      <w:r w:rsidRPr="008D4B41">
        <w:rPr>
          <w:rFonts w:eastAsia="Calibri" w:cs="Calibri"/>
        </w:rPr>
        <w:t xml:space="preserve">  </w:t>
      </w:r>
      <w:r w:rsidR="00D70152" w:rsidRPr="00D70152">
        <w:rPr>
          <w:rFonts w:cs="Calibri"/>
          <w:bCs/>
        </w:rPr>
        <w:t>In July 2022, the State Plan began reviewing OIS reports, such as the UPA Auditing Report, the UPA Tracking Report, and the SIR, on a weekly basis</w:t>
      </w:r>
      <w:r w:rsidR="00296A57" w:rsidRPr="00D70152">
        <w:rPr>
          <w:rFonts w:cs="Calibri"/>
          <w:bCs/>
        </w:rPr>
        <w:t xml:space="preserve">.  </w:t>
      </w:r>
      <w:r w:rsidR="00BB281E">
        <w:rPr>
          <w:rFonts w:asciiTheme="minorHAnsi" w:hAnsiTheme="minorHAnsi" w:cstheme="minorHAnsi"/>
          <w:bCs/>
        </w:rPr>
        <w:t>Wyoming OSHA</w:t>
      </w:r>
      <w:r w:rsidR="00AA1E80">
        <w:rPr>
          <w:rFonts w:asciiTheme="minorHAnsi" w:hAnsiTheme="minorHAnsi" w:cstheme="minorHAnsi"/>
          <w:bCs/>
        </w:rPr>
        <w:t xml:space="preserve"> developed an operational strategy to include both compliance and administrative staff </w:t>
      </w:r>
      <w:r w:rsidR="006D1679" w:rsidRPr="00C97DEE">
        <w:rPr>
          <w:rFonts w:asciiTheme="minorHAnsi" w:hAnsiTheme="minorHAnsi" w:cstheme="minorHAnsi"/>
          <w:bCs/>
        </w:rPr>
        <w:t>in</w:t>
      </w:r>
      <w:r w:rsidR="00AA1E80">
        <w:rPr>
          <w:rFonts w:asciiTheme="minorHAnsi" w:hAnsiTheme="minorHAnsi" w:cstheme="minorHAnsi"/>
          <w:bCs/>
        </w:rPr>
        <w:t xml:space="preserve"> obtain</w:t>
      </w:r>
      <w:r w:rsidR="006D1679" w:rsidRPr="00C97DEE">
        <w:rPr>
          <w:rFonts w:asciiTheme="minorHAnsi" w:hAnsiTheme="minorHAnsi" w:cstheme="minorHAnsi"/>
          <w:bCs/>
        </w:rPr>
        <w:t>ing</w:t>
      </w:r>
      <w:r w:rsidR="00AA1E80">
        <w:rPr>
          <w:rFonts w:asciiTheme="minorHAnsi" w:hAnsiTheme="minorHAnsi" w:cstheme="minorHAnsi"/>
          <w:bCs/>
        </w:rPr>
        <w:t xml:space="preserve"> abatement and clos</w:t>
      </w:r>
      <w:r w:rsidR="006D1679" w:rsidRPr="00C97DEE">
        <w:rPr>
          <w:rFonts w:asciiTheme="minorHAnsi" w:hAnsiTheme="minorHAnsi" w:cstheme="minorHAnsi"/>
          <w:bCs/>
        </w:rPr>
        <w:t>ing</w:t>
      </w:r>
      <w:r w:rsidR="00AA1E80">
        <w:rPr>
          <w:rFonts w:asciiTheme="minorHAnsi" w:hAnsiTheme="minorHAnsi" w:cstheme="minorHAnsi"/>
          <w:bCs/>
        </w:rPr>
        <w:t xml:space="preserve"> cases.  </w:t>
      </w:r>
      <w:r w:rsidR="00296A57" w:rsidRPr="00D70152">
        <w:rPr>
          <w:rFonts w:cs="Calibri"/>
          <w:bCs/>
        </w:rPr>
        <w:t xml:space="preserve">The State Plan provided training to </w:t>
      </w:r>
      <w:r w:rsidR="00D70152" w:rsidRPr="00D70152">
        <w:rPr>
          <w:rFonts w:cs="Calibri"/>
          <w:bCs/>
        </w:rPr>
        <w:t xml:space="preserve">most </w:t>
      </w:r>
      <w:r w:rsidR="00296A57" w:rsidRPr="00D70152">
        <w:rPr>
          <w:rFonts w:cs="Calibri"/>
          <w:bCs/>
        </w:rPr>
        <w:t>staff regarding W</w:t>
      </w:r>
      <w:r w:rsidR="00402B12">
        <w:rPr>
          <w:rFonts w:cs="Calibri"/>
          <w:bCs/>
        </w:rPr>
        <w:t>yoming</w:t>
      </w:r>
      <w:r w:rsidR="00296A57" w:rsidRPr="00D70152">
        <w:rPr>
          <w:rFonts w:cs="Calibri"/>
          <w:bCs/>
        </w:rPr>
        <w:t xml:space="preserve"> OSHA’s Rules of Practice and Procedure (ROPP) and its Field Operations Manual (FOM) concerning abatement and closure of </w:t>
      </w:r>
      <w:r w:rsidR="00D70152" w:rsidRPr="00D70152">
        <w:rPr>
          <w:rFonts w:cs="Calibri"/>
          <w:bCs/>
        </w:rPr>
        <w:t>phone/fax investigations</w:t>
      </w:r>
      <w:r w:rsidR="00296A57" w:rsidRPr="00D70152">
        <w:rPr>
          <w:rFonts w:cs="Calibri"/>
          <w:bCs/>
        </w:rPr>
        <w:t>.</w:t>
      </w:r>
      <w:r w:rsidR="00296A57" w:rsidRPr="00D70152">
        <w:rPr>
          <w:rFonts w:cs="Calibri"/>
          <w:b/>
        </w:rPr>
        <w:t xml:space="preserve">  </w:t>
      </w:r>
      <w:r w:rsidR="00296A57" w:rsidRPr="00D70152">
        <w:rPr>
          <w:rFonts w:cs="Calibri"/>
          <w:bCs/>
        </w:rPr>
        <w:t>The State Plan</w:t>
      </w:r>
      <w:r w:rsidR="00296A57" w:rsidRPr="00D70152">
        <w:rPr>
          <w:rFonts w:cs="Calibri"/>
          <w:b/>
        </w:rPr>
        <w:t xml:space="preserve"> </w:t>
      </w:r>
      <w:r w:rsidR="00296A57" w:rsidRPr="00D70152">
        <w:rPr>
          <w:rFonts w:cs="Calibri"/>
          <w:bCs/>
        </w:rPr>
        <w:t xml:space="preserve">reduced the number of </w:t>
      </w:r>
      <w:r w:rsidR="00D70152" w:rsidRPr="00AB7883">
        <w:rPr>
          <w:rFonts w:eastAsia="Calibri" w:cs="Calibri"/>
        </w:rPr>
        <w:t>phone/fax investigations that had been open for at least 30 days</w:t>
      </w:r>
      <w:r w:rsidR="00D70152" w:rsidRPr="00D70152">
        <w:rPr>
          <w:rFonts w:eastAsia="Calibri" w:cs="Calibri"/>
        </w:rPr>
        <w:t xml:space="preserve"> </w:t>
      </w:r>
      <w:r w:rsidR="00296A57" w:rsidRPr="00D70152">
        <w:rPr>
          <w:rFonts w:cs="Calibri"/>
          <w:bCs/>
        </w:rPr>
        <w:t xml:space="preserve">from </w:t>
      </w:r>
      <w:r w:rsidR="00D70152" w:rsidRPr="00D70152">
        <w:rPr>
          <w:rFonts w:cs="Calibri"/>
          <w:bCs/>
        </w:rPr>
        <w:t>107 phone/fax investigations</w:t>
      </w:r>
      <w:r w:rsidR="00296A57" w:rsidRPr="00D70152">
        <w:rPr>
          <w:rFonts w:cs="Calibri"/>
          <w:bCs/>
        </w:rPr>
        <w:t xml:space="preserve"> at the end of FY 2021 to </w:t>
      </w:r>
      <w:r w:rsidR="00D70152" w:rsidRPr="00D70152">
        <w:rPr>
          <w:rFonts w:cs="Calibri"/>
          <w:bCs/>
        </w:rPr>
        <w:t>49</w:t>
      </w:r>
      <w:r w:rsidR="00296A57" w:rsidRPr="00D70152">
        <w:rPr>
          <w:rFonts w:cs="Calibri"/>
          <w:bCs/>
        </w:rPr>
        <w:t xml:space="preserve"> </w:t>
      </w:r>
      <w:r w:rsidR="00D70152" w:rsidRPr="00D70152">
        <w:rPr>
          <w:rFonts w:cs="Calibri"/>
          <w:bCs/>
        </w:rPr>
        <w:t>phone/fax investigations</w:t>
      </w:r>
      <w:r w:rsidR="00296A57" w:rsidRPr="00296A57">
        <w:rPr>
          <w:rFonts w:cs="Calibri"/>
          <w:bCs/>
          <w:color w:val="FF0000"/>
        </w:rPr>
        <w:t xml:space="preserve"> </w:t>
      </w:r>
      <w:r w:rsidR="00296A57" w:rsidRPr="00D70152">
        <w:rPr>
          <w:rFonts w:cs="Calibri"/>
          <w:bCs/>
        </w:rPr>
        <w:t xml:space="preserve">at the end of FY 2022.  While the State Plan reduced the number of open </w:t>
      </w:r>
      <w:r w:rsidR="00D70152" w:rsidRPr="00D70152">
        <w:rPr>
          <w:rFonts w:cs="Calibri"/>
          <w:bCs/>
        </w:rPr>
        <w:t>phone/fax investigations</w:t>
      </w:r>
      <w:r w:rsidR="00296A57" w:rsidRPr="00D70152">
        <w:rPr>
          <w:rFonts w:cs="Calibri"/>
          <w:bCs/>
        </w:rPr>
        <w:t xml:space="preserve"> by </w:t>
      </w:r>
      <w:r w:rsidR="00D70152" w:rsidRPr="00D70152">
        <w:rPr>
          <w:rFonts w:cs="Calibri"/>
          <w:bCs/>
        </w:rPr>
        <w:t>58</w:t>
      </w:r>
      <w:r w:rsidR="00E261D3">
        <w:rPr>
          <w:rFonts w:cs="Calibri"/>
          <w:bCs/>
        </w:rPr>
        <w:t xml:space="preserve"> (54.2%)</w:t>
      </w:r>
      <w:r w:rsidR="00296A57" w:rsidRPr="00D70152">
        <w:rPr>
          <w:rFonts w:cs="Calibri"/>
          <w:bCs/>
        </w:rPr>
        <w:t>, 1</w:t>
      </w:r>
      <w:r w:rsidR="00D70152" w:rsidRPr="00D70152">
        <w:rPr>
          <w:rFonts w:cs="Calibri"/>
          <w:bCs/>
        </w:rPr>
        <w:t>2</w:t>
      </w:r>
      <w:r w:rsidR="00296A57" w:rsidRPr="00D70152">
        <w:rPr>
          <w:rFonts w:cs="Calibri"/>
          <w:bCs/>
        </w:rPr>
        <w:t xml:space="preserve"> of the </w:t>
      </w:r>
      <w:r w:rsidR="00D70152" w:rsidRPr="00D70152">
        <w:rPr>
          <w:rFonts w:cs="Calibri"/>
          <w:bCs/>
        </w:rPr>
        <w:t>49</w:t>
      </w:r>
      <w:r w:rsidR="00296A57" w:rsidRPr="00D70152">
        <w:rPr>
          <w:rFonts w:cs="Calibri"/>
          <w:bCs/>
        </w:rPr>
        <w:t xml:space="preserve"> </w:t>
      </w:r>
      <w:r w:rsidR="00D70152">
        <w:rPr>
          <w:rFonts w:cs="Calibri"/>
          <w:bCs/>
        </w:rPr>
        <w:t>(</w:t>
      </w:r>
      <w:r w:rsidR="00E261D3">
        <w:rPr>
          <w:rFonts w:cs="Calibri"/>
          <w:bCs/>
        </w:rPr>
        <w:t xml:space="preserve">24.5%) </w:t>
      </w:r>
      <w:r w:rsidR="00296A57" w:rsidRPr="00D70152">
        <w:rPr>
          <w:rFonts w:cs="Calibri"/>
          <w:bCs/>
        </w:rPr>
        <w:t xml:space="preserve">remaining </w:t>
      </w:r>
      <w:r w:rsidR="00D70152" w:rsidRPr="00D70152">
        <w:rPr>
          <w:rFonts w:cs="Calibri"/>
          <w:bCs/>
        </w:rPr>
        <w:t>open phone/fax investigations</w:t>
      </w:r>
      <w:r w:rsidR="00296A57" w:rsidRPr="00D70152">
        <w:rPr>
          <w:rFonts w:cs="Calibri"/>
          <w:bCs/>
        </w:rPr>
        <w:t xml:space="preserve"> </w:t>
      </w:r>
      <w:r w:rsidR="00D70152" w:rsidRPr="00D70152">
        <w:rPr>
          <w:rFonts w:cs="Calibri"/>
          <w:bCs/>
        </w:rPr>
        <w:t>pre-date</w:t>
      </w:r>
      <w:r w:rsidR="00296A57" w:rsidRPr="00D70152">
        <w:rPr>
          <w:rFonts w:cs="Calibri"/>
          <w:bCs/>
        </w:rPr>
        <w:t xml:space="preserve"> FY 2022.  </w:t>
      </w:r>
      <w:r w:rsidR="00296A57" w:rsidRPr="00D70152">
        <w:rPr>
          <w:rFonts w:cs="Calibri"/>
        </w:rPr>
        <w:t xml:space="preserve">In addition to a review of OIS data, a case file review is necessary to evaluate progress on this finding. </w:t>
      </w:r>
      <w:r w:rsidR="00A30328">
        <w:rPr>
          <w:rFonts w:cs="Calibri"/>
        </w:rPr>
        <w:t xml:space="preserve"> </w:t>
      </w:r>
      <w:r w:rsidR="00296A57" w:rsidRPr="00D70152">
        <w:rPr>
          <w:rFonts w:cs="Calibri"/>
        </w:rPr>
        <w:t xml:space="preserve">This finding will be a focus of next year’s on-site case file review during the FY 2023 </w:t>
      </w:r>
      <w:r w:rsidR="00BB281E">
        <w:rPr>
          <w:rFonts w:cs="Calibri"/>
        </w:rPr>
        <w:t>C</w:t>
      </w:r>
      <w:r w:rsidR="00296A57" w:rsidRPr="00D70152">
        <w:rPr>
          <w:rFonts w:cs="Calibri"/>
        </w:rPr>
        <w:t>omprehensive FAME and remains open.</w:t>
      </w:r>
    </w:p>
    <w:p w14:paraId="29783219" w14:textId="77777777" w:rsidR="00296A57" w:rsidRPr="00296A57" w:rsidRDefault="00296A57" w:rsidP="00783189">
      <w:pPr>
        <w:widowControl/>
        <w:autoSpaceDE/>
        <w:autoSpaceDN/>
        <w:adjustRightInd/>
        <w:rPr>
          <w:rFonts w:cs="Calibri"/>
        </w:rPr>
      </w:pPr>
    </w:p>
    <w:p w14:paraId="05FE6C14" w14:textId="08B2894F" w:rsidR="007C0A36" w:rsidRPr="000C7D17" w:rsidRDefault="000003C7" w:rsidP="00783189">
      <w:pPr>
        <w:widowControl/>
        <w:autoSpaceDE/>
        <w:autoSpaceDN/>
        <w:adjustRightInd/>
        <w:rPr>
          <w:rFonts w:cs="Calibri"/>
          <w:color w:val="1F497D" w:themeColor="text2"/>
        </w:rPr>
      </w:pPr>
      <w:r w:rsidRPr="00AB7883">
        <w:rPr>
          <w:rFonts w:cs="Calibri"/>
          <w:b/>
        </w:rPr>
        <w:t xml:space="preserve">Finding </w:t>
      </w:r>
      <w:r w:rsidR="00AC006A">
        <w:rPr>
          <w:rFonts w:cs="Calibri"/>
          <w:b/>
        </w:rPr>
        <w:t xml:space="preserve">FY </w:t>
      </w:r>
      <w:r w:rsidRPr="00AB7883">
        <w:rPr>
          <w:rFonts w:cs="Calibri"/>
          <w:b/>
        </w:rPr>
        <w:t>20</w:t>
      </w:r>
      <w:r w:rsidR="00AB7883" w:rsidRPr="00AB7883">
        <w:rPr>
          <w:rFonts w:cs="Calibri"/>
          <w:b/>
        </w:rPr>
        <w:t>22</w:t>
      </w:r>
      <w:r w:rsidR="007C0A36" w:rsidRPr="00AB7883">
        <w:rPr>
          <w:rFonts w:cs="Calibri"/>
          <w:b/>
        </w:rPr>
        <w:t>-0</w:t>
      </w:r>
      <w:r w:rsidR="00AB7883" w:rsidRPr="00AB7883">
        <w:rPr>
          <w:rFonts w:cs="Calibri"/>
          <w:b/>
        </w:rPr>
        <w:t>2 (previously</w:t>
      </w:r>
      <w:r w:rsidR="00AB7883" w:rsidRPr="00AB7883">
        <w:t xml:space="preserve"> </w:t>
      </w:r>
      <w:r w:rsidR="00AB7883" w:rsidRPr="00AB7883">
        <w:rPr>
          <w:rFonts w:cs="Calibri"/>
          <w:b/>
        </w:rPr>
        <w:t>FY 2021-02)</w:t>
      </w:r>
      <w:r w:rsidR="007C0A36" w:rsidRPr="00AB7883">
        <w:rPr>
          <w:rFonts w:cs="Calibri"/>
          <w:b/>
        </w:rPr>
        <w:t xml:space="preserve">:  </w:t>
      </w:r>
      <w:r w:rsidR="00AB7883">
        <w:rPr>
          <w:rFonts w:cs="Calibri"/>
          <w:b/>
        </w:rPr>
        <w:t xml:space="preserve"> </w:t>
      </w:r>
      <w:r w:rsidR="00216010">
        <w:rPr>
          <w:rFonts w:cs="Calibri"/>
        </w:rPr>
        <w:t>In FY 2021, t</w:t>
      </w:r>
      <w:r w:rsidR="00AB7883" w:rsidRPr="00AB7883">
        <w:rPr>
          <w:rFonts w:cs="Calibri"/>
        </w:rPr>
        <w:t>he number of open, non-contested cases with abatement incomplete for more than 60 calendar days has remained significantly high with 56 cases in 2019, 70 cases in 2020, and 49 cases in 2021.</w:t>
      </w:r>
    </w:p>
    <w:p w14:paraId="0C84E00F" w14:textId="77777777" w:rsidR="007C0A36" w:rsidRPr="000C7D17" w:rsidRDefault="007C0A36" w:rsidP="00783189">
      <w:pPr>
        <w:widowControl/>
        <w:autoSpaceDE/>
        <w:autoSpaceDN/>
        <w:adjustRightInd/>
        <w:rPr>
          <w:rFonts w:cs="Calibri"/>
          <w:b/>
          <w:color w:val="1F497D" w:themeColor="text2"/>
        </w:rPr>
      </w:pPr>
    </w:p>
    <w:p w14:paraId="60945A0B" w14:textId="75881D19" w:rsidR="007C0A36" w:rsidRPr="00AE3A5F" w:rsidRDefault="007C0A36" w:rsidP="00783189">
      <w:pPr>
        <w:widowControl/>
        <w:autoSpaceDE/>
        <w:autoSpaceDN/>
        <w:adjustRightInd/>
        <w:rPr>
          <w:rFonts w:asciiTheme="minorHAnsi" w:hAnsiTheme="minorHAnsi" w:cstheme="minorHAnsi"/>
          <w:color w:val="1F497D" w:themeColor="text2"/>
        </w:rPr>
      </w:pPr>
      <w:r w:rsidRPr="00AE3A5F">
        <w:rPr>
          <w:rFonts w:asciiTheme="minorHAnsi" w:hAnsiTheme="minorHAnsi" w:cstheme="minorHAnsi"/>
          <w:b/>
        </w:rPr>
        <w:t xml:space="preserve">Status:  </w:t>
      </w:r>
      <w:r w:rsidR="00AE722B" w:rsidRPr="00AE3A5F">
        <w:rPr>
          <w:rFonts w:asciiTheme="minorHAnsi" w:hAnsiTheme="minorHAnsi" w:cstheme="minorHAnsi"/>
          <w:bCs/>
        </w:rPr>
        <w:t>In July 2022, the State Plan began reviewing supporting OIS reports, such as the Abatement Tracking Report</w:t>
      </w:r>
      <w:r w:rsidR="00BB281E">
        <w:rPr>
          <w:rFonts w:asciiTheme="minorHAnsi" w:hAnsiTheme="minorHAnsi" w:cstheme="minorHAnsi"/>
          <w:bCs/>
        </w:rPr>
        <w:t xml:space="preserve"> and</w:t>
      </w:r>
      <w:r w:rsidR="00AE722B" w:rsidRPr="00AE3A5F">
        <w:rPr>
          <w:rFonts w:asciiTheme="minorHAnsi" w:hAnsiTheme="minorHAnsi" w:cstheme="minorHAnsi"/>
          <w:bCs/>
        </w:rPr>
        <w:t xml:space="preserve"> the SIR, as well as the Open Inspection Report, on a weekly basis to manage abatement.  </w:t>
      </w:r>
      <w:r w:rsidR="00BB281E">
        <w:rPr>
          <w:rFonts w:asciiTheme="minorHAnsi" w:hAnsiTheme="minorHAnsi" w:cstheme="minorHAnsi"/>
          <w:bCs/>
        </w:rPr>
        <w:t>Wyoming OSHA</w:t>
      </w:r>
      <w:r w:rsidR="00890ACF">
        <w:rPr>
          <w:rFonts w:asciiTheme="minorHAnsi" w:hAnsiTheme="minorHAnsi" w:cstheme="minorHAnsi"/>
          <w:bCs/>
        </w:rPr>
        <w:t xml:space="preserve"> developed an operational strategy to include both compliance and administrative staff </w:t>
      </w:r>
      <w:r w:rsidR="00BE5136" w:rsidRPr="00C97DEE">
        <w:rPr>
          <w:rFonts w:asciiTheme="minorHAnsi" w:hAnsiTheme="minorHAnsi" w:cstheme="minorHAnsi"/>
          <w:bCs/>
        </w:rPr>
        <w:t>in</w:t>
      </w:r>
      <w:r w:rsidR="00AA1E80">
        <w:rPr>
          <w:rFonts w:asciiTheme="minorHAnsi" w:hAnsiTheme="minorHAnsi" w:cstheme="minorHAnsi"/>
          <w:bCs/>
        </w:rPr>
        <w:t xml:space="preserve"> obtain</w:t>
      </w:r>
      <w:r w:rsidR="00BE5136" w:rsidRPr="00C97DEE">
        <w:rPr>
          <w:rFonts w:asciiTheme="minorHAnsi" w:hAnsiTheme="minorHAnsi" w:cstheme="minorHAnsi"/>
          <w:bCs/>
        </w:rPr>
        <w:t>ing</w:t>
      </w:r>
      <w:r w:rsidR="00AA1E80">
        <w:rPr>
          <w:rFonts w:asciiTheme="minorHAnsi" w:hAnsiTheme="minorHAnsi" w:cstheme="minorHAnsi"/>
          <w:bCs/>
        </w:rPr>
        <w:t xml:space="preserve"> abatement and clos</w:t>
      </w:r>
      <w:r w:rsidR="00BE5136" w:rsidRPr="00C97DEE">
        <w:rPr>
          <w:rFonts w:asciiTheme="minorHAnsi" w:hAnsiTheme="minorHAnsi" w:cstheme="minorHAnsi"/>
          <w:bCs/>
        </w:rPr>
        <w:t>ing</w:t>
      </w:r>
      <w:r w:rsidR="00AA1E80">
        <w:rPr>
          <w:rFonts w:asciiTheme="minorHAnsi" w:hAnsiTheme="minorHAnsi" w:cstheme="minorHAnsi"/>
          <w:bCs/>
        </w:rPr>
        <w:t xml:space="preserve"> cases.  </w:t>
      </w:r>
      <w:r w:rsidR="00AE722B" w:rsidRPr="00AE3A5F">
        <w:rPr>
          <w:rFonts w:asciiTheme="minorHAnsi" w:hAnsiTheme="minorHAnsi" w:cstheme="minorHAnsi"/>
          <w:bCs/>
        </w:rPr>
        <w:t xml:space="preserve">The State Plan provided training to </w:t>
      </w:r>
      <w:r w:rsidR="00D70152" w:rsidRPr="00AE3A5F">
        <w:rPr>
          <w:rFonts w:asciiTheme="minorHAnsi" w:hAnsiTheme="minorHAnsi" w:cstheme="minorHAnsi"/>
          <w:bCs/>
        </w:rPr>
        <w:t xml:space="preserve">most </w:t>
      </w:r>
      <w:r w:rsidR="00AE722B" w:rsidRPr="00AE3A5F">
        <w:rPr>
          <w:rFonts w:asciiTheme="minorHAnsi" w:hAnsiTheme="minorHAnsi" w:cstheme="minorHAnsi"/>
          <w:bCs/>
        </w:rPr>
        <w:t>staff regarding W</w:t>
      </w:r>
      <w:r w:rsidR="00402B12">
        <w:rPr>
          <w:rFonts w:asciiTheme="minorHAnsi" w:hAnsiTheme="minorHAnsi" w:cstheme="minorHAnsi"/>
          <w:bCs/>
        </w:rPr>
        <w:t>yoming</w:t>
      </w:r>
      <w:r w:rsidR="00AE722B" w:rsidRPr="00AE3A5F">
        <w:rPr>
          <w:rFonts w:asciiTheme="minorHAnsi" w:hAnsiTheme="minorHAnsi" w:cstheme="minorHAnsi"/>
          <w:bCs/>
        </w:rPr>
        <w:t xml:space="preserve"> OSHA’s ROPP and its FOM concerning abatement and closure of </w:t>
      </w:r>
      <w:r w:rsidR="00D70152" w:rsidRPr="00AE3A5F">
        <w:rPr>
          <w:rFonts w:asciiTheme="minorHAnsi" w:hAnsiTheme="minorHAnsi" w:cstheme="minorHAnsi"/>
          <w:bCs/>
        </w:rPr>
        <w:t>cases</w:t>
      </w:r>
      <w:r w:rsidR="00AE722B" w:rsidRPr="00AE3A5F">
        <w:rPr>
          <w:rFonts w:asciiTheme="minorHAnsi" w:hAnsiTheme="minorHAnsi" w:cstheme="minorHAnsi"/>
          <w:bCs/>
        </w:rPr>
        <w:t>.</w:t>
      </w:r>
      <w:r w:rsidR="00AE722B" w:rsidRPr="00AE3A5F">
        <w:rPr>
          <w:rFonts w:asciiTheme="minorHAnsi" w:hAnsiTheme="minorHAnsi" w:cstheme="minorHAnsi"/>
          <w:b/>
        </w:rPr>
        <w:t xml:space="preserve">  </w:t>
      </w:r>
      <w:r w:rsidR="00896300" w:rsidRPr="00AE3A5F">
        <w:rPr>
          <w:rFonts w:asciiTheme="minorHAnsi" w:hAnsiTheme="minorHAnsi" w:cstheme="minorHAnsi"/>
          <w:bCs/>
        </w:rPr>
        <w:t>The State Plan</w:t>
      </w:r>
      <w:r w:rsidR="00896300" w:rsidRPr="00AE3A5F">
        <w:rPr>
          <w:rFonts w:asciiTheme="minorHAnsi" w:hAnsiTheme="minorHAnsi" w:cstheme="minorHAnsi"/>
          <w:b/>
        </w:rPr>
        <w:t xml:space="preserve"> </w:t>
      </w:r>
      <w:r w:rsidR="000221A4" w:rsidRPr="00AE3A5F">
        <w:rPr>
          <w:rFonts w:asciiTheme="minorHAnsi" w:hAnsiTheme="minorHAnsi" w:cstheme="minorHAnsi"/>
          <w:bCs/>
        </w:rPr>
        <w:t>reduced the number of open, non-contested cases with abatement incomplete for more than 60 calendar days from 49 cases at the end of FY 2021 to 17 cases at the end of FY 2022.  While the State Plan reduced the number of open cases by 32</w:t>
      </w:r>
      <w:r w:rsidR="00E261D3" w:rsidRPr="00AE3A5F">
        <w:rPr>
          <w:rFonts w:asciiTheme="minorHAnsi" w:hAnsiTheme="minorHAnsi" w:cstheme="minorHAnsi"/>
          <w:bCs/>
        </w:rPr>
        <w:t xml:space="preserve"> (65.3%)</w:t>
      </w:r>
      <w:r w:rsidR="000221A4" w:rsidRPr="00AE3A5F">
        <w:rPr>
          <w:rFonts w:asciiTheme="minorHAnsi" w:hAnsiTheme="minorHAnsi" w:cstheme="minorHAnsi"/>
          <w:bCs/>
        </w:rPr>
        <w:t xml:space="preserve">, 13 of the 17 </w:t>
      </w:r>
      <w:r w:rsidR="00E261D3" w:rsidRPr="00AE3A5F">
        <w:rPr>
          <w:rFonts w:asciiTheme="minorHAnsi" w:hAnsiTheme="minorHAnsi" w:cstheme="minorHAnsi"/>
          <w:bCs/>
        </w:rPr>
        <w:t xml:space="preserve">(76.5%) </w:t>
      </w:r>
      <w:r w:rsidR="000221A4" w:rsidRPr="00AE3A5F">
        <w:rPr>
          <w:rFonts w:asciiTheme="minorHAnsi" w:hAnsiTheme="minorHAnsi" w:cstheme="minorHAnsi"/>
          <w:bCs/>
        </w:rPr>
        <w:t>remaining cases have citation issuance dates prior to FY 2022.</w:t>
      </w:r>
      <w:r w:rsidR="007E45B9" w:rsidRPr="00AE3A5F">
        <w:rPr>
          <w:rFonts w:asciiTheme="minorHAnsi" w:hAnsiTheme="minorHAnsi" w:cstheme="minorHAnsi"/>
          <w:bCs/>
        </w:rPr>
        <w:t xml:space="preserve">  </w:t>
      </w:r>
      <w:r w:rsidR="00711AAC" w:rsidRPr="00AE3A5F">
        <w:rPr>
          <w:rFonts w:asciiTheme="minorHAnsi" w:hAnsiTheme="minorHAnsi" w:cstheme="minorHAnsi"/>
          <w:bCs/>
        </w:rPr>
        <w:t xml:space="preserve"> </w:t>
      </w:r>
      <w:r w:rsidR="00711AAC" w:rsidRPr="00AE3A5F">
        <w:rPr>
          <w:rFonts w:asciiTheme="minorHAnsi" w:hAnsiTheme="minorHAnsi" w:cstheme="minorHAnsi"/>
        </w:rPr>
        <w:t>In addition to a review of OIS data, a</w:t>
      </w:r>
      <w:r w:rsidRPr="00AE3A5F">
        <w:rPr>
          <w:rFonts w:asciiTheme="minorHAnsi" w:hAnsiTheme="minorHAnsi" w:cstheme="minorHAnsi"/>
        </w:rPr>
        <w:t xml:space="preserve"> case file review is necessary </w:t>
      </w:r>
      <w:r w:rsidR="00E179DC" w:rsidRPr="00AE3A5F">
        <w:rPr>
          <w:rFonts w:asciiTheme="minorHAnsi" w:hAnsiTheme="minorHAnsi" w:cstheme="minorHAnsi"/>
        </w:rPr>
        <w:t xml:space="preserve">to evaluate progress on this finding. </w:t>
      </w:r>
      <w:r w:rsidR="0083198B" w:rsidRPr="00AE3A5F">
        <w:rPr>
          <w:rFonts w:asciiTheme="minorHAnsi" w:hAnsiTheme="minorHAnsi" w:cstheme="minorHAnsi"/>
        </w:rPr>
        <w:t xml:space="preserve"> </w:t>
      </w:r>
      <w:r w:rsidR="00E179DC" w:rsidRPr="00AE3A5F">
        <w:rPr>
          <w:rFonts w:asciiTheme="minorHAnsi" w:hAnsiTheme="minorHAnsi" w:cstheme="minorHAnsi"/>
        </w:rPr>
        <w:t>This finding will be a focus of next year’s on</w:t>
      </w:r>
      <w:r w:rsidR="00976E27" w:rsidRPr="00AE3A5F">
        <w:rPr>
          <w:rFonts w:asciiTheme="minorHAnsi" w:hAnsiTheme="minorHAnsi" w:cstheme="minorHAnsi"/>
        </w:rPr>
        <w:t>-</w:t>
      </w:r>
      <w:r w:rsidR="00E179DC" w:rsidRPr="00AE3A5F">
        <w:rPr>
          <w:rFonts w:asciiTheme="minorHAnsi" w:hAnsiTheme="minorHAnsi" w:cstheme="minorHAnsi"/>
        </w:rPr>
        <w:t>site case file review during the FY 20</w:t>
      </w:r>
      <w:r w:rsidR="0061362E" w:rsidRPr="00AE3A5F">
        <w:rPr>
          <w:rFonts w:asciiTheme="minorHAnsi" w:hAnsiTheme="minorHAnsi" w:cstheme="minorHAnsi"/>
        </w:rPr>
        <w:t>23</w:t>
      </w:r>
      <w:r w:rsidR="00E179DC" w:rsidRPr="00AE3A5F">
        <w:rPr>
          <w:rFonts w:asciiTheme="minorHAnsi" w:hAnsiTheme="minorHAnsi" w:cstheme="minorHAnsi"/>
        </w:rPr>
        <w:t xml:space="preserve"> </w:t>
      </w:r>
      <w:r w:rsidR="007862A5">
        <w:rPr>
          <w:rFonts w:asciiTheme="minorHAnsi" w:hAnsiTheme="minorHAnsi" w:cstheme="minorHAnsi"/>
        </w:rPr>
        <w:t>C</w:t>
      </w:r>
      <w:r w:rsidR="00E179DC" w:rsidRPr="00AE3A5F">
        <w:rPr>
          <w:rFonts w:asciiTheme="minorHAnsi" w:hAnsiTheme="minorHAnsi" w:cstheme="minorHAnsi"/>
        </w:rPr>
        <w:t>omprehensive FAME and</w:t>
      </w:r>
      <w:r w:rsidRPr="00AE3A5F">
        <w:rPr>
          <w:rFonts w:asciiTheme="minorHAnsi" w:hAnsiTheme="minorHAnsi" w:cstheme="minorHAnsi"/>
        </w:rPr>
        <w:t xml:space="preserve"> remains open.</w:t>
      </w:r>
    </w:p>
    <w:p w14:paraId="5203498B" w14:textId="77777777" w:rsidR="00783189" w:rsidRPr="00AE3A5F" w:rsidRDefault="00783189" w:rsidP="00783189">
      <w:pPr>
        <w:widowControl/>
        <w:autoSpaceDE/>
        <w:autoSpaceDN/>
        <w:adjustRightInd/>
        <w:rPr>
          <w:rFonts w:asciiTheme="minorHAnsi" w:hAnsiTheme="minorHAnsi" w:cstheme="minorHAnsi"/>
          <w:u w:val="single"/>
        </w:rPr>
      </w:pPr>
    </w:p>
    <w:p w14:paraId="63292A44" w14:textId="23E3BD84" w:rsidR="00443054" w:rsidRPr="00672F39" w:rsidRDefault="00443054" w:rsidP="00672F39">
      <w:pPr>
        <w:pStyle w:val="Heading5"/>
        <w:rPr>
          <w:rFonts w:asciiTheme="minorHAnsi" w:hAnsiTheme="minorHAnsi" w:cstheme="minorHAnsi"/>
          <w:b/>
          <w:bCs/>
          <w:color w:val="auto"/>
        </w:rPr>
      </w:pPr>
      <w:r w:rsidRPr="00672F39">
        <w:rPr>
          <w:rFonts w:asciiTheme="minorHAnsi" w:hAnsiTheme="minorHAnsi" w:cstheme="minorHAnsi"/>
          <w:b/>
          <w:bCs/>
          <w:color w:val="auto"/>
        </w:rPr>
        <w:t xml:space="preserve">New FY </w:t>
      </w:r>
      <w:r w:rsidR="007C0A36" w:rsidRPr="00672F39">
        <w:rPr>
          <w:rFonts w:asciiTheme="minorHAnsi" w:hAnsiTheme="minorHAnsi" w:cstheme="minorHAnsi"/>
          <w:b/>
          <w:bCs/>
          <w:color w:val="auto"/>
        </w:rPr>
        <w:t>20</w:t>
      </w:r>
      <w:r w:rsidR="00185C7D" w:rsidRPr="00672F39">
        <w:rPr>
          <w:rFonts w:asciiTheme="minorHAnsi" w:hAnsiTheme="minorHAnsi" w:cstheme="minorHAnsi"/>
          <w:b/>
          <w:bCs/>
          <w:color w:val="auto"/>
        </w:rPr>
        <w:t>22</w:t>
      </w:r>
      <w:r w:rsidR="007C0A36" w:rsidRPr="00672F39">
        <w:rPr>
          <w:rFonts w:asciiTheme="minorHAnsi" w:hAnsiTheme="minorHAnsi" w:cstheme="minorHAnsi"/>
          <w:b/>
          <w:bCs/>
          <w:color w:val="auto"/>
        </w:rPr>
        <w:t xml:space="preserve"> </w:t>
      </w:r>
      <w:r w:rsidRPr="00672F39">
        <w:rPr>
          <w:rFonts w:asciiTheme="minorHAnsi" w:hAnsiTheme="minorHAnsi" w:cstheme="minorHAnsi"/>
          <w:b/>
          <w:bCs/>
          <w:color w:val="auto"/>
        </w:rPr>
        <w:t>Finding</w:t>
      </w:r>
      <w:r w:rsidR="00DA2FE8">
        <w:rPr>
          <w:rFonts w:asciiTheme="minorHAnsi" w:hAnsiTheme="minorHAnsi" w:cstheme="minorHAnsi"/>
          <w:b/>
          <w:bCs/>
          <w:color w:val="auto"/>
        </w:rPr>
        <w:t>s</w:t>
      </w:r>
    </w:p>
    <w:p w14:paraId="3D476B90" w14:textId="77777777" w:rsidR="00443054" w:rsidRPr="00AE3A5F" w:rsidRDefault="00443054" w:rsidP="00783189">
      <w:pPr>
        <w:widowControl/>
        <w:autoSpaceDE/>
        <w:autoSpaceDN/>
        <w:adjustRightInd/>
        <w:rPr>
          <w:rFonts w:asciiTheme="minorHAnsi" w:hAnsiTheme="minorHAnsi" w:cstheme="minorHAnsi"/>
          <w:color w:val="1F497D" w:themeColor="text2"/>
          <w:u w:val="single"/>
        </w:rPr>
      </w:pPr>
    </w:p>
    <w:p w14:paraId="504D25FD" w14:textId="3C12ED82" w:rsidR="00227854" w:rsidRPr="00AE3A5F" w:rsidRDefault="00227854" w:rsidP="00227854">
      <w:pPr>
        <w:rPr>
          <w:rFonts w:asciiTheme="minorHAnsi" w:hAnsiTheme="minorHAnsi" w:cstheme="minorHAnsi"/>
        </w:rPr>
      </w:pPr>
      <w:r w:rsidRPr="00AE3A5F">
        <w:rPr>
          <w:rFonts w:asciiTheme="minorHAnsi" w:hAnsiTheme="minorHAnsi" w:cstheme="minorHAnsi"/>
        </w:rPr>
        <w:t>There are no new findings in the FY 2022 Follow</w:t>
      </w:r>
      <w:r w:rsidR="007862A5">
        <w:rPr>
          <w:rFonts w:asciiTheme="minorHAnsi" w:hAnsiTheme="minorHAnsi" w:cstheme="minorHAnsi"/>
        </w:rPr>
        <w:t>-</w:t>
      </w:r>
      <w:r w:rsidRPr="00AE3A5F">
        <w:rPr>
          <w:rFonts w:asciiTheme="minorHAnsi" w:hAnsiTheme="minorHAnsi" w:cstheme="minorHAnsi"/>
        </w:rPr>
        <w:t>up FAME</w:t>
      </w:r>
      <w:r w:rsidR="007862A5">
        <w:rPr>
          <w:rFonts w:asciiTheme="minorHAnsi" w:hAnsiTheme="minorHAnsi" w:cstheme="minorHAnsi"/>
        </w:rPr>
        <w:t xml:space="preserve"> Report</w:t>
      </w:r>
      <w:r w:rsidRPr="00AE3A5F">
        <w:rPr>
          <w:rFonts w:asciiTheme="minorHAnsi" w:hAnsiTheme="minorHAnsi" w:cstheme="minorHAnsi"/>
        </w:rPr>
        <w:t>.</w:t>
      </w:r>
    </w:p>
    <w:p w14:paraId="30A1DF9E" w14:textId="77777777" w:rsidR="00696B12" w:rsidRPr="00AE3A5F" w:rsidRDefault="00696B12" w:rsidP="00783189">
      <w:pPr>
        <w:widowControl/>
        <w:autoSpaceDE/>
        <w:autoSpaceDN/>
        <w:adjustRightInd/>
        <w:rPr>
          <w:rFonts w:asciiTheme="minorHAnsi" w:hAnsiTheme="minorHAnsi" w:cstheme="minorHAnsi"/>
          <w:bCs/>
          <w:highlight w:val="yellow"/>
          <w:u w:val="single"/>
        </w:rPr>
      </w:pPr>
    </w:p>
    <w:p w14:paraId="49B482D8" w14:textId="77777777" w:rsidR="00443054" w:rsidRPr="00AE3A5F" w:rsidRDefault="00443054" w:rsidP="00861068">
      <w:pPr>
        <w:pStyle w:val="Heading4"/>
      </w:pPr>
      <w:bookmarkStart w:id="21" w:name="_Toc118900176"/>
      <w:bookmarkStart w:id="22" w:name="_Toc118905015"/>
      <w:r w:rsidRPr="00AE3A5F">
        <w:lastRenderedPageBreak/>
        <w:t>Observations</w:t>
      </w:r>
      <w:bookmarkEnd w:id="21"/>
      <w:bookmarkEnd w:id="22"/>
    </w:p>
    <w:p w14:paraId="2D0C820B" w14:textId="77777777" w:rsidR="005C1BFC" w:rsidRPr="00AE3A5F" w:rsidRDefault="005C1BFC" w:rsidP="00783189">
      <w:pPr>
        <w:widowControl/>
        <w:autoSpaceDE/>
        <w:autoSpaceDN/>
        <w:adjustRightInd/>
        <w:rPr>
          <w:rFonts w:asciiTheme="minorHAnsi" w:hAnsiTheme="minorHAnsi" w:cstheme="minorHAnsi"/>
          <w:bCs/>
          <w:highlight w:val="yellow"/>
          <w:u w:val="single"/>
        </w:rPr>
      </w:pPr>
    </w:p>
    <w:p w14:paraId="53E5B736" w14:textId="302B250B" w:rsidR="00D97421" w:rsidRPr="00672F39" w:rsidRDefault="00D97421" w:rsidP="00672F39">
      <w:pPr>
        <w:pStyle w:val="Heading5"/>
        <w:rPr>
          <w:rFonts w:asciiTheme="minorHAnsi" w:hAnsiTheme="minorHAnsi" w:cstheme="minorHAnsi"/>
          <w:b/>
          <w:bCs/>
          <w:color w:val="auto"/>
        </w:rPr>
      </w:pPr>
      <w:r w:rsidRPr="00672F39">
        <w:rPr>
          <w:rFonts w:asciiTheme="minorHAnsi" w:hAnsiTheme="minorHAnsi" w:cstheme="minorHAnsi"/>
          <w:b/>
          <w:bCs/>
          <w:color w:val="auto"/>
        </w:rPr>
        <w:t xml:space="preserve">Closed </w:t>
      </w:r>
      <w:r w:rsidR="0061362E" w:rsidRPr="00672F39">
        <w:rPr>
          <w:rFonts w:asciiTheme="minorHAnsi" w:hAnsiTheme="minorHAnsi" w:cstheme="minorHAnsi"/>
          <w:b/>
          <w:bCs/>
          <w:color w:val="auto"/>
        </w:rPr>
        <w:t xml:space="preserve">FY 2021 </w:t>
      </w:r>
      <w:r w:rsidRPr="00672F39">
        <w:rPr>
          <w:rFonts w:asciiTheme="minorHAnsi" w:hAnsiTheme="minorHAnsi" w:cstheme="minorHAnsi"/>
          <w:b/>
          <w:bCs/>
          <w:color w:val="auto"/>
        </w:rPr>
        <w:t>Observation</w:t>
      </w:r>
      <w:r w:rsidR="00E70D3F" w:rsidRPr="00672F39">
        <w:rPr>
          <w:rFonts w:asciiTheme="minorHAnsi" w:hAnsiTheme="minorHAnsi" w:cstheme="minorHAnsi"/>
          <w:b/>
          <w:bCs/>
          <w:color w:val="auto"/>
        </w:rPr>
        <w:t>s</w:t>
      </w:r>
    </w:p>
    <w:p w14:paraId="03D30150" w14:textId="77777777" w:rsidR="0090108A" w:rsidRPr="00672F39" w:rsidRDefault="0090108A" w:rsidP="00783189">
      <w:pPr>
        <w:widowControl/>
        <w:autoSpaceDE/>
        <w:autoSpaceDN/>
        <w:adjustRightInd/>
        <w:rPr>
          <w:rFonts w:asciiTheme="minorHAnsi" w:hAnsiTheme="minorHAnsi" w:cstheme="minorHAnsi"/>
          <w:bCs/>
          <w:iCs/>
        </w:rPr>
      </w:pPr>
    </w:p>
    <w:p w14:paraId="617DCAD8" w14:textId="72A31A35" w:rsidR="00347D69" w:rsidRPr="00AE3A5F" w:rsidRDefault="0090108A" w:rsidP="00347D69">
      <w:pPr>
        <w:widowControl/>
        <w:autoSpaceDE/>
        <w:autoSpaceDN/>
        <w:adjustRightInd/>
        <w:rPr>
          <w:rFonts w:asciiTheme="minorHAnsi" w:hAnsiTheme="minorHAnsi" w:cstheme="minorHAnsi"/>
          <w:iCs/>
          <w:color w:val="0070C0"/>
          <w:sz w:val="22"/>
          <w:szCs w:val="22"/>
        </w:rPr>
      </w:pPr>
      <w:r w:rsidRPr="00AE3A5F">
        <w:rPr>
          <w:rFonts w:asciiTheme="minorHAnsi" w:hAnsiTheme="minorHAnsi" w:cstheme="minorHAnsi"/>
          <w:b/>
          <w:bCs/>
        </w:rPr>
        <w:t>Observation FY 20</w:t>
      </w:r>
      <w:r w:rsidR="00347D69" w:rsidRPr="00AE3A5F">
        <w:rPr>
          <w:rFonts w:asciiTheme="minorHAnsi" w:hAnsiTheme="minorHAnsi" w:cstheme="minorHAnsi"/>
          <w:b/>
          <w:bCs/>
        </w:rPr>
        <w:t>21</w:t>
      </w:r>
      <w:r w:rsidRPr="00AE3A5F">
        <w:rPr>
          <w:rFonts w:asciiTheme="minorHAnsi" w:hAnsiTheme="minorHAnsi" w:cstheme="minorHAnsi"/>
          <w:b/>
          <w:bCs/>
        </w:rPr>
        <w:t>-OB-0</w:t>
      </w:r>
      <w:r w:rsidR="00347D69" w:rsidRPr="00AE3A5F">
        <w:rPr>
          <w:rFonts w:asciiTheme="minorHAnsi" w:hAnsiTheme="minorHAnsi" w:cstheme="minorHAnsi"/>
          <w:b/>
          <w:bCs/>
        </w:rPr>
        <w:t>2</w:t>
      </w:r>
      <w:r w:rsidRPr="00AE3A5F">
        <w:rPr>
          <w:rFonts w:asciiTheme="minorHAnsi" w:hAnsiTheme="minorHAnsi" w:cstheme="minorHAnsi"/>
          <w:b/>
          <w:bCs/>
        </w:rPr>
        <w:t>:</w:t>
      </w:r>
      <w:r w:rsidRPr="00AE3A5F">
        <w:rPr>
          <w:rFonts w:asciiTheme="minorHAnsi" w:hAnsiTheme="minorHAnsi" w:cstheme="minorHAnsi"/>
          <w:bCs/>
        </w:rPr>
        <w:t xml:space="preserve"> </w:t>
      </w:r>
      <w:r w:rsidR="00347D69" w:rsidRPr="00AE3A5F">
        <w:rPr>
          <w:rFonts w:asciiTheme="minorHAnsi" w:hAnsiTheme="minorHAnsi" w:cstheme="minorHAnsi"/>
          <w:bCs/>
        </w:rPr>
        <w:t xml:space="preserve"> </w:t>
      </w:r>
      <w:r w:rsidR="00347D69" w:rsidRPr="00AE3A5F">
        <w:rPr>
          <w:rFonts w:asciiTheme="minorHAnsi" w:hAnsiTheme="minorHAnsi" w:cstheme="minorHAnsi"/>
        </w:rPr>
        <w:t xml:space="preserve">The State Plan does not have an adequate </w:t>
      </w:r>
      <w:r w:rsidR="005951D2">
        <w:rPr>
          <w:rFonts w:asciiTheme="minorHAnsi" w:hAnsiTheme="minorHAnsi" w:cstheme="minorHAnsi"/>
        </w:rPr>
        <w:t>State Internal Evaluation Program (</w:t>
      </w:r>
      <w:r w:rsidR="00347D69" w:rsidRPr="00AE3A5F">
        <w:rPr>
          <w:rFonts w:asciiTheme="minorHAnsi" w:hAnsiTheme="minorHAnsi" w:cstheme="minorHAnsi"/>
        </w:rPr>
        <w:t>SIEP</w:t>
      </w:r>
      <w:r w:rsidR="005951D2">
        <w:rPr>
          <w:rFonts w:asciiTheme="minorHAnsi" w:hAnsiTheme="minorHAnsi" w:cstheme="minorHAnsi"/>
        </w:rPr>
        <w:t>)</w:t>
      </w:r>
      <w:r w:rsidR="00347D69" w:rsidRPr="00AE3A5F">
        <w:rPr>
          <w:rFonts w:asciiTheme="minorHAnsi" w:hAnsiTheme="minorHAnsi" w:cstheme="minorHAnsi"/>
        </w:rPr>
        <w:t>, as required by Chapter 6, Section III.B.1. of the State Plan Policies and Procedures Manual.</w:t>
      </w:r>
      <w:r w:rsidR="00347D69" w:rsidRPr="00AE3A5F">
        <w:rPr>
          <w:rFonts w:asciiTheme="minorHAnsi" w:hAnsiTheme="minorHAnsi" w:cstheme="minorHAnsi"/>
          <w:sz w:val="20"/>
          <w:szCs w:val="20"/>
        </w:rPr>
        <w:t xml:space="preserve"> </w:t>
      </w:r>
    </w:p>
    <w:p w14:paraId="269F01EA" w14:textId="77777777" w:rsidR="0090108A" w:rsidRPr="00AE3A5F" w:rsidRDefault="0090108A" w:rsidP="00783189">
      <w:pPr>
        <w:widowControl/>
        <w:autoSpaceDE/>
        <w:autoSpaceDN/>
        <w:adjustRightInd/>
        <w:rPr>
          <w:rFonts w:asciiTheme="minorHAnsi" w:hAnsiTheme="minorHAnsi" w:cstheme="minorHAnsi"/>
          <w:bCs/>
        </w:rPr>
      </w:pPr>
    </w:p>
    <w:p w14:paraId="3D1946E0" w14:textId="0B4AC51E" w:rsidR="0090108A" w:rsidRPr="00FC3E1E" w:rsidRDefault="0090108A" w:rsidP="004B0B53">
      <w:pPr>
        <w:widowControl/>
        <w:autoSpaceDE/>
        <w:autoSpaceDN/>
        <w:adjustRightInd/>
        <w:rPr>
          <w:rFonts w:asciiTheme="minorHAnsi" w:hAnsiTheme="minorHAnsi" w:cstheme="minorHAnsi"/>
          <w:bCs/>
          <w:color w:val="FF0000"/>
        </w:rPr>
      </w:pPr>
      <w:r w:rsidRPr="00AE3A5F">
        <w:rPr>
          <w:rFonts w:asciiTheme="minorHAnsi" w:hAnsiTheme="minorHAnsi" w:cstheme="minorHAnsi"/>
          <w:b/>
          <w:bCs/>
        </w:rPr>
        <w:t>Status:</w:t>
      </w:r>
      <w:r w:rsidRPr="00AE3A5F">
        <w:rPr>
          <w:rFonts w:asciiTheme="minorHAnsi" w:hAnsiTheme="minorHAnsi" w:cstheme="minorHAnsi"/>
          <w:bCs/>
        </w:rPr>
        <w:t xml:space="preserve"> </w:t>
      </w:r>
      <w:r w:rsidR="006E1A69" w:rsidRPr="00AE3A5F">
        <w:rPr>
          <w:rFonts w:asciiTheme="minorHAnsi" w:hAnsiTheme="minorHAnsi" w:cstheme="minorHAnsi"/>
          <w:bCs/>
        </w:rPr>
        <w:t xml:space="preserve"> During</w:t>
      </w:r>
      <w:r w:rsidR="00EA4B05" w:rsidRPr="00AE3A5F">
        <w:rPr>
          <w:rFonts w:asciiTheme="minorHAnsi" w:hAnsiTheme="minorHAnsi" w:cstheme="minorHAnsi"/>
          <w:bCs/>
        </w:rPr>
        <w:t xml:space="preserve"> FY 20</w:t>
      </w:r>
      <w:r w:rsidR="00347D69" w:rsidRPr="00AE3A5F">
        <w:rPr>
          <w:rFonts w:asciiTheme="minorHAnsi" w:hAnsiTheme="minorHAnsi" w:cstheme="minorHAnsi"/>
          <w:bCs/>
        </w:rPr>
        <w:t>22</w:t>
      </w:r>
      <w:r w:rsidR="00EA4B05" w:rsidRPr="00AE3A5F">
        <w:rPr>
          <w:rFonts w:asciiTheme="minorHAnsi" w:hAnsiTheme="minorHAnsi" w:cstheme="minorHAnsi"/>
          <w:bCs/>
        </w:rPr>
        <w:t xml:space="preserve">, </w:t>
      </w:r>
      <w:r w:rsidR="007862A5">
        <w:rPr>
          <w:rFonts w:asciiTheme="minorHAnsi" w:hAnsiTheme="minorHAnsi" w:cstheme="minorHAnsi"/>
          <w:bCs/>
        </w:rPr>
        <w:t>Wyoming OSHA</w:t>
      </w:r>
      <w:r w:rsidR="00EA4B05" w:rsidRPr="00AE3A5F">
        <w:rPr>
          <w:rFonts w:asciiTheme="minorHAnsi" w:hAnsiTheme="minorHAnsi" w:cstheme="minorHAnsi"/>
          <w:bCs/>
        </w:rPr>
        <w:t xml:space="preserve"> </w:t>
      </w:r>
      <w:r w:rsidR="004B0B53" w:rsidRPr="00AE3A5F">
        <w:rPr>
          <w:rFonts w:asciiTheme="minorHAnsi" w:hAnsiTheme="minorHAnsi" w:cstheme="minorHAnsi"/>
          <w:bCs/>
        </w:rPr>
        <w:t>developed a five</w:t>
      </w:r>
      <w:r w:rsidR="007862A5">
        <w:rPr>
          <w:rFonts w:asciiTheme="minorHAnsi" w:hAnsiTheme="minorHAnsi" w:cstheme="minorHAnsi"/>
          <w:bCs/>
        </w:rPr>
        <w:t>-</w:t>
      </w:r>
      <w:r w:rsidR="004B0B53" w:rsidRPr="00AE3A5F">
        <w:rPr>
          <w:rFonts w:asciiTheme="minorHAnsi" w:hAnsiTheme="minorHAnsi" w:cstheme="minorHAnsi"/>
          <w:bCs/>
        </w:rPr>
        <w:t xml:space="preserve">year plan to conduct SIEPs </w:t>
      </w:r>
      <w:r w:rsidR="005951D2">
        <w:rPr>
          <w:rFonts w:asciiTheme="minorHAnsi" w:hAnsiTheme="minorHAnsi" w:cstheme="minorHAnsi"/>
          <w:bCs/>
        </w:rPr>
        <w:t>for</w:t>
      </w:r>
      <w:r w:rsidR="005951D2" w:rsidRPr="00AE3A5F">
        <w:rPr>
          <w:rFonts w:asciiTheme="minorHAnsi" w:hAnsiTheme="minorHAnsi" w:cstheme="minorHAnsi"/>
          <w:bCs/>
        </w:rPr>
        <w:t xml:space="preserve"> </w:t>
      </w:r>
      <w:r w:rsidR="004B0B53" w:rsidRPr="00AE3A5F">
        <w:rPr>
          <w:rFonts w:asciiTheme="minorHAnsi" w:hAnsiTheme="minorHAnsi" w:cstheme="minorHAnsi"/>
          <w:bCs/>
        </w:rPr>
        <w:t>areas of concern</w:t>
      </w:r>
      <w:r w:rsidR="005951D2">
        <w:rPr>
          <w:rFonts w:asciiTheme="minorHAnsi" w:hAnsiTheme="minorHAnsi" w:cstheme="minorHAnsi"/>
          <w:bCs/>
        </w:rPr>
        <w:t>,</w:t>
      </w:r>
      <w:r w:rsidR="004B0B53" w:rsidRPr="00AE3A5F">
        <w:rPr>
          <w:rFonts w:asciiTheme="minorHAnsi" w:hAnsiTheme="minorHAnsi" w:cstheme="minorHAnsi"/>
          <w:bCs/>
        </w:rPr>
        <w:t xml:space="preserve"> including </w:t>
      </w:r>
      <w:r w:rsidR="00ED6186">
        <w:rPr>
          <w:rFonts w:asciiTheme="minorHAnsi" w:hAnsiTheme="minorHAnsi" w:cstheme="minorHAnsi"/>
          <w:bCs/>
        </w:rPr>
        <w:t>o</w:t>
      </w:r>
      <w:r w:rsidR="00ED6186" w:rsidRPr="00ED6186">
        <w:rPr>
          <w:rFonts w:asciiTheme="minorHAnsi" w:hAnsiTheme="minorHAnsi" w:cstheme="minorHAnsi"/>
          <w:bCs/>
        </w:rPr>
        <w:t>pen</w:t>
      </w:r>
      <w:r w:rsidR="00BE5136">
        <w:rPr>
          <w:rFonts w:asciiTheme="minorHAnsi" w:hAnsiTheme="minorHAnsi" w:cstheme="minorHAnsi"/>
          <w:bCs/>
        </w:rPr>
        <w:t>,</w:t>
      </w:r>
      <w:r w:rsidR="00ED6186" w:rsidRPr="00ED6186">
        <w:rPr>
          <w:rFonts w:asciiTheme="minorHAnsi" w:hAnsiTheme="minorHAnsi" w:cstheme="minorHAnsi"/>
          <w:bCs/>
        </w:rPr>
        <w:t xml:space="preserve"> non-contested cases with abatement incomplete in excess of 60 calendar days</w:t>
      </w:r>
      <w:r w:rsidR="00ED6186">
        <w:rPr>
          <w:rFonts w:asciiTheme="minorHAnsi" w:hAnsiTheme="minorHAnsi" w:cstheme="minorHAnsi"/>
          <w:bCs/>
        </w:rPr>
        <w:t xml:space="preserve"> (SIR 3b)</w:t>
      </w:r>
      <w:r w:rsidR="004B0B53" w:rsidRPr="00AE3A5F">
        <w:rPr>
          <w:rFonts w:asciiTheme="minorHAnsi" w:hAnsiTheme="minorHAnsi" w:cstheme="minorHAnsi"/>
          <w:bCs/>
        </w:rPr>
        <w:t xml:space="preserve">, </w:t>
      </w:r>
      <w:r w:rsidR="00ED6186" w:rsidRPr="00ED6186">
        <w:rPr>
          <w:rFonts w:asciiTheme="minorHAnsi" w:hAnsiTheme="minorHAnsi" w:cstheme="minorHAnsi"/>
          <w:bCs/>
        </w:rPr>
        <w:t>number of valid complaints handled as a phone/fax which have been open more than 30 calendar days</w:t>
      </w:r>
      <w:r w:rsidR="00ED6186">
        <w:rPr>
          <w:rFonts w:asciiTheme="minorHAnsi" w:hAnsiTheme="minorHAnsi" w:cstheme="minorHAnsi"/>
          <w:bCs/>
        </w:rPr>
        <w:t xml:space="preserve"> (SIR 9), </w:t>
      </w:r>
      <w:r w:rsidR="004B0B53" w:rsidRPr="00AE3A5F">
        <w:rPr>
          <w:rFonts w:asciiTheme="minorHAnsi" w:hAnsiTheme="minorHAnsi" w:cstheme="minorHAnsi"/>
          <w:bCs/>
        </w:rPr>
        <w:t xml:space="preserve">case file closure, case file coding, Darden factor files, </w:t>
      </w:r>
      <w:r w:rsidR="004B0B53" w:rsidRPr="00FC3E1E">
        <w:rPr>
          <w:rFonts w:asciiTheme="minorHAnsi" w:hAnsiTheme="minorHAnsi" w:cstheme="minorHAnsi"/>
          <w:bCs/>
        </w:rPr>
        <w:t>and polic</w:t>
      </w:r>
      <w:r w:rsidR="0083198B" w:rsidRPr="00FC3E1E">
        <w:rPr>
          <w:rFonts w:asciiTheme="minorHAnsi" w:hAnsiTheme="minorHAnsi" w:cstheme="minorHAnsi"/>
          <w:bCs/>
        </w:rPr>
        <w:t>y</w:t>
      </w:r>
      <w:r w:rsidR="004B0B53" w:rsidRPr="00FC3E1E">
        <w:rPr>
          <w:rFonts w:asciiTheme="minorHAnsi" w:hAnsiTheme="minorHAnsi" w:cstheme="minorHAnsi"/>
          <w:bCs/>
        </w:rPr>
        <w:t xml:space="preserve"> and procedure availability.  </w:t>
      </w:r>
      <w:r w:rsidR="002D5D23">
        <w:rPr>
          <w:rFonts w:asciiTheme="minorHAnsi" w:hAnsiTheme="minorHAnsi" w:cstheme="minorHAnsi"/>
          <w:bCs/>
        </w:rPr>
        <w:t>In FY 2022</w:t>
      </w:r>
      <w:r w:rsidR="007B1B43">
        <w:rPr>
          <w:rFonts w:asciiTheme="minorHAnsi" w:hAnsiTheme="minorHAnsi" w:cstheme="minorHAnsi"/>
          <w:bCs/>
        </w:rPr>
        <w:t>,</w:t>
      </w:r>
      <w:r w:rsidR="002D5D23">
        <w:rPr>
          <w:rFonts w:asciiTheme="minorHAnsi" w:hAnsiTheme="minorHAnsi" w:cstheme="minorHAnsi"/>
          <w:bCs/>
        </w:rPr>
        <w:t xml:space="preserve"> t</w:t>
      </w:r>
      <w:r w:rsidR="004B0B53" w:rsidRPr="00FC3E1E">
        <w:rPr>
          <w:rFonts w:asciiTheme="minorHAnsi" w:hAnsiTheme="minorHAnsi" w:cstheme="minorHAnsi"/>
          <w:bCs/>
        </w:rPr>
        <w:t>he State Plan conducted a SIEP that addressed SIR metrics 3</w:t>
      </w:r>
      <w:r w:rsidR="00EA6FAC">
        <w:rPr>
          <w:rFonts w:asciiTheme="minorHAnsi" w:hAnsiTheme="minorHAnsi" w:cstheme="minorHAnsi"/>
          <w:bCs/>
        </w:rPr>
        <w:t>b</w:t>
      </w:r>
      <w:r w:rsidR="004B0B53" w:rsidRPr="00FC3E1E">
        <w:rPr>
          <w:rFonts w:asciiTheme="minorHAnsi" w:hAnsiTheme="minorHAnsi" w:cstheme="minorHAnsi"/>
          <w:bCs/>
        </w:rPr>
        <w:t xml:space="preserve"> and 9. </w:t>
      </w:r>
      <w:r w:rsidR="00EA4B05" w:rsidRPr="00FC3E1E">
        <w:rPr>
          <w:rFonts w:asciiTheme="minorHAnsi" w:hAnsiTheme="minorHAnsi" w:cstheme="minorHAnsi"/>
          <w:bCs/>
        </w:rPr>
        <w:t xml:space="preserve"> This observation is closed.</w:t>
      </w:r>
      <w:r w:rsidR="007E45B9" w:rsidRPr="00FC3E1E">
        <w:rPr>
          <w:rFonts w:asciiTheme="minorHAnsi" w:hAnsiTheme="minorHAnsi" w:cstheme="minorHAnsi"/>
          <w:bCs/>
        </w:rPr>
        <w:t xml:space="preserve">  </w:t>
      </w:r>
    </w:p>
    <w:p w14:paraId="0DC0C330" w14:textId="58582574" w:rsidR="00EA4B05" w:rsidRPr="00FC3E1E" w:rsidRDefault="00EA4B05" w:rsidP="00783189">
      <w:pPr>
        <w:widowControl/>
        <w:autoSpaceDE/>
        <w:autoSpaceDN/>
        <w:adjustRightInd/>
        <w:rPr>
          <w:rFonts w:asciiTheme="minorHAnsi" w:hAnsiTheme="minorHAnsi" w:cstheme="minorHAnsi"/>
          <w:bCs/>
        </w:rPr>
      </w:pPr>
    </w:p>
    <w:p w14:paraId="00A36643" w14:textId="1175545E" w:rsidR="00A42CC5" w:rsidRPr="00FC3E1E" w:rsidRDefault="00A42CC5" w:rsidP="00A42CC5">
      <w:pPr>
        <w:widowControl/>
        <w:autoSpaceDE/>
        <w:autoSpaceDN/>
        <w:adjustRightInd/>
        <w:rPr>
          <w:rFonts w:asciiTheme="minorHAnsi" w:hAnsiTheme="minorHAnsi" w:cstheme="minorHAnsi"/>
          <w:iCs/>
          <w:color w:val="0070C0"/>
          <w:sz w:val="22"/>
          <w:szCs w:val="22"/>
        </w:rPr>
      </w:pPr>
      <w:r w:rsidRPr="00FC3E1E">
        <w:rPr>
          <w:rFonts w:asciiTheme="minorHAnsi" w:hAnsiTheme="minorHAnsi" w:cstheme="minorHAnsi"/>
          <w:b/>
          <w:bCs/>
        </w:rPr>
        <w:t>Observation FY 2021-OB-03:</w:t>
      </w:r>
      <w:r w:rsidRPr="00FC3E1E">
        <w:rPr>
          <w:rFonts w:asciiTheme="minorHAnsi" w:hAnsiTheme="minorHAnsi" w:cstheme="minorHAnsi"/>
          <w:bCs/>
        </w:rPr>
        <w:t xml:space="preserve">  </w:t>
      </w:r>
      <w:r w:rsidR="00216010">
        <w:rPr>
          <w:rFonts w:asciiTheme="minorHAnsi" w:hAnsiTheme="minorHAnsi" w:cstheme="minorHAnsi"/>
          <w:bCs/>
        </w:rPr>
        <w:t xml:space="preserve">In FY 2021, </w:t>
      </w:r>
      <w:r w:rsidR="00216010">
        <w:rPr>
          <w:rFonts w:asciiTheme="minorHAnsi" w:hAnsiTheme="minorHAnsi" w:cstheme="minorHAnsi"/>
        </w:rPr>
        <w:t>t</w:t>
      </w:r>
      <w:r w:rsidRPr="00FC3E1E">
        <w:rPr>
          <w:rFonts w:asciiTheme="minorHAnsi" w:hAnsiTheme="minorHAnsi" w:cstheme="minorHAnsi"/>
        </w:rPr>
        <w:t>he State Plan did not ensure that settlement case files included documentation regarding why the settlement was fair and equitable in six (75%) of eight settled cases, as required by Chapter 6, Section XII of the Whistleblower Investigations Manual.</w:t>
      </w:r>
    </w:p>
    <w:p w14:paraId="1796BC02" w14:textId="77777777" w:rsidR="00A42CC5" w:rsidRPr="00FC3E1E" w:rsidRDefault="00A42CC5" w:rsidP="00A42CC5">
      <w:pPr>
        <w:widowControl/>
        <w:autoSpaceDE/>
        <w:autoSpaceDN/>
        <w:adjustRightInd/>
        <w:rPr>
          <w:rFonts w:asciiTheme="minorHAnsi" w:hAnsiTheme="minorHAnsi" w:cstheme="minorHAnsi"/>
          <w:bCs/>
        </w:rPr>
      </w:pPr>
    </w:p>
    <w:p w14:paraId="0CB75DE4" w14:textId="7D79F30D" w:rsidR="00A42CC5" w:rsidRPr="00FC3E1E" w:rsidRDefault="00A42CC5" w:rsidP="00A42CC5">
      <w:pPr>
        <w:widowControl/>
        <w:autoSpaceDE/>
        <w:autoSpaceDN/>
        <w:adjustRightInd/>
        <w:rPr>
          <w:rFonts w:asciiTheme="minorHAnsi" w:hAnsiTheme="minorHAnsi" w:cstheme="minorHAnsi"/>
          <w:bCs/>
          <w:color w:val="FF0000"/>
        </w:rPr>
      </w:pPr>
      <w:r w:rsidRPr="00FC3E1E">
        <w:rPr>
          <w:rFonts w:asciiTheme="minorHAnsi" w:hAnsiTheme="minorHAnsi" w:cstheme="minorHAnsi"/>
          <w:b/>
          <w:bCs/>
        </w:rPr>
        <w:t>Status:</w:t>
      </w:r>
      <w:r w:rsidRPr="00FC3E1E">
        <w:rPr>
          <w:rFonts w:asciiTheme="minorHAnsi" w:hAnsiTheme="minorHAnsi" w:cstheme="minorHAnsi"/>
          <w:bCs/>
        </w:rPr>
        <w:t xml:space="preserve">  During FY 2022, </w:t>
      </w:r>
      <w:r w:rsidR="005951D2">
        <w:rPr>
          <w:rFonts w:asciiTheme="minorHAnsi" w:hAnsiTheme="minorHAnsi" w:cstheme="minorHAnsi"/>
          <w:bCs/>
        </w:rPr>
        <w:t>Wyoming OSHA</w:t>
      </w:r>
      <w:r w:rsidRPr="00FC3E1E">
        <w:rPr>
          <w:rFonts w:asciiTheme="minorHAnsi" w:hAnsiTheme="minorHAnsi" w:cstheme="minorHAnsi"/>
          <w:bCs/>
        </w:rPr>
        <w:t xml:space="preserve"> </w:t>
      </w:r>
      <w:r w:rsidR="009D418A" w:rsidRPr="00FC3E1E">
        <w:rPr>
          <w:rFonts w:asciiTheme="minorHAnsi" w:hAnsiTheme="minorHAnsi" w:cstheme="minorHAnsi"/>
          <w:bCs/>
        </w:rPr>
        <w:t>modified its process for reviewing whistleblower case settlements and provided training to its whistleblower investigator.</w:t>
      </w:r>
      <w:r w:rsidRPr="00FC3E1E">
        <w:rPr>
          <w:rFonts w:asciiTheme="minorHAnsi" w:hAnsiTheme="minorHAnsi" w:cstheme="minorHAnsi"/>
          <w:bCs/>
        </w:rPr>
        <w:t xml:space="preserve"> </w:t>
      </w:r>
      <w:r w:rsidR="009D418A" w:rsidRPr="00FC3E1E">
        <w:rPr>
          <w:rFonts w:asciiTheme="minorHAnsi" w:hAnsiTheme="minorHAnsi" w:cstheme="minorHAnsi"/>
          <w:bCs/>
        </w:rPr>
        <w:t xml:space="preserve"> The process changes included documentation of review of </w:t>
      </w:r>
      <w:r w:rsidR="00EE337C" w:rsidRPr="00FC3E1E">
        <w:rPr>
          <w:rFonts w:asciiTheme="minorHAnsi" w:hAnsiTheme="minorHAnsi" w:cstheme="minorHAnsi"/>
          <w:bCs/>
        </w:rPr>
        <w:t>third-party</w:t>
      </w:r>
      <w:r w:rsidR="009D418A" w:rsidRPr="00FC3E1E">
        <w:rPr>
          <w:rFonts w:asciiTheme="minorHAnsi" w:hAnsiTheme="minorHAnsi" w:cstheme="minorHAnsi"/>
          <w:bCs/>
        </w:rPr>
        <w:t xml:space="preserve"> settlements, </w:t>
      </w:r>
      <w:r w:rsidR="004F07BC">
        <w:rPr>
          <w:rFonts w:asciiTheme="minorHAnsi" w:hAnsiTheme="minorHAnsi" w:cstheme="minorHAnsi"/>
          <w:bCs/>
        </w:rPr>
        <w:t xml:space="preserve">documentation </w:t>
      </w:r>
      <w:r w:rsidR="005F4981" w:rsidRPr="00FC3E1E">
        <w:rPr>
          <w:rFonts w:asciiTheme="minorHAnsi" w:hAnsiTheme="minorHAnsi" w:cstheme="minorHAnsi"/>
          <w:bCs/>
        </w:rPr>
        <w:t xml:space="preserve">of </w:t>
      </w:r>
      <w:r w:rsidR="009D418A" w:rsidRPr="00FC3E1E">
        <w:rPr>
          <w:rFonts w:asciiTheme="minorHAnsi" w:hAnsiTheme="minorHAnsi" w:cstheme="minorHAnsi"/>
          <w:bCs/>
        </w:rPr>
        <w:t>recommendation</w:t>
      </w:r>
      <w:r w:rsidR="002D5D23">
        <w:rPr>
          <w:rFonts w:asciiTheme="minorHAnsi" w:hAnsiTheme="minorHAnsi" w:cstheme="minorHAnsi"/>
          <w:bCs/>
        </w:rPr>
        <w:t>s</w:t>
      </w:r>
      <w:r w:rsidR="009D418A" w:rsidRPr="00FC3E1E">
        <w:rPr>
          <w:rFonts w:asciiTheme="minorHAnsi" w:hAnsiTheme="minorHAnsi" w:cstheme="minorHAnsi"/>
          <w:bCs/>
        </w:rPr>
        <w:t xml:space="preserve"> by the whistleblower investigator, and </w:t>
      </w:r>
      <w:r w:rsidR="004F07BC">
        <w:rPr>
          <w:rFonts w:asciiTheme="minorHAnsi" w:hAnsiTheme="minorHAnsi" w:cstheme="minorHAnsi"/>
          <w:bCs/>
        </w:rPr>
        <w:t xml:space="preserve">documentation </w:t>
      </w:r>
      <w:r w:rsidR="005F4981" w:rsidRPr="00FC3E1E">
        <w:rPr>
          <w:rFonts w:asciiTheme="minorHAnsi" w:hAnsiTheme="minorHAnsi" w:cstheme="minorHAnsi"/>
          <w:bCs/>
        </w:rPr>
        <w:t xml:space="preserve">of </w:t>
      </w:r>
      <w:r w:rsidR="009D418A" w:rsidRPr="00FC3E1E">
        <w:rPr>
          <w:rFonts w:asciiTheme="minorHAnsi" w:hAnsiTheme="minorHAnsi" w:cstheme="minorHAnsi"/>
          <w:bCs/>
        </w:rPr>
        <w:t xml:space="preserve">review by the </w:t>
      </w:r>
      <w:r w:rsidR="00EF7CC3">
        <w:rPr>
          <w:rFonts w:asciiTheme="minorHAnsi" w:hAnsiTheme="minorHAnsi" w:cstheme="minorHAnsi"/>
          <w:bCs/>
        </w:rPr>
        <w:t>d</w:t>
      </w:r>
      <w:r w:rsidR="009D418A" w:rsidRPr="00FC3E1E">
        <w:rPr>
          <w:rFonts w:asciiTheme="minorHAnsi" w:hAnsiTheme="minorHAnsi" w:cstheme="minorHAnsi"/>
          <w:bCs/>
        </w:rPr>
        <w:t xml:space="preserve">eputy </w:t>
      </w:r>
      <w:r w:rsidR="00EF7CC3">
        <w:rPr>
          <w:rFonts w:asciiTheme="minorHAnsi" w:hAnsiTheme="minorHAnsi" w:cstheme="minorHAnsi"/>
          <w:bCs/>
        </w:rPr>
        <w:t>a</w:t>
      </w:r>
      <w:r w:rsidR="009D418A" w:rsidRPr="00FC3E1E">
        <w:rPr>
          <w:rFonts w:asciiTheme="minorHAnsi" w:hAnsiTheme="minorHAnsi" w:cstheme="minorHAnsi"/>
          <w:bCs/>
        </w:rPr>
        <w:t xml:space="preserve">dministrator.  </w:t>
      </w:r>
      <w:r w:rsidR="00591960" w:rsidRPr="00C97DEE">
        <w:rPr>
          <w:rFonts w:asciiTheme="minorHAnsi" w:hAnsiTheme="minorHAnsi" w:cstheme="minorHAnsi"/>
          <w:bCs/>
        </w:rPr>
        <w:t>In FY 2022</w:t>
      </w:r>
      <w:r w:rsidR="00591960">
        <w:rPr>
          <w:rFonts w:asciiTheme="minorHAnsi" w:hAnsiTheme="minorHAnsi" w:cstheme="minorHAnsi"/>
          <w:bCs/>
        </w:rPr>
        <w:t xml:space="preserve">, </w:t>
      </w:r>
      <w:r w:rsidR="00C97DEE">
        <w:rPr>
          <w:rFonts w:asciiTheme="minorHAnsi" w:hAnsiTheme="minorHAnsi" w:cstheme="minorHAnsi"/>
          <w:bCs/>
        </w:rPr>
        <w:t>s</w:t>
      </w:r>
      <w:r w:rsidR="009D418A" w:rsidRPr="004F07BC">
        <w:rPr>
          <w:rFonts w:asciiTheme="minorHAnsi" w:hAnsiTheme="minorHAnsi" w:cstheme="minorHAnsi"/>
          <w:bCs/>
        </w:rPr>
        <w:t xml:space="preserve">even of seven (100%) </w:t>
      </w:r>
      <w:r w:rsidR="009164BE">
        <w:rPr>
          <w:rFonts w:asciiTheme="minorHAnsi" w:hAnsiTheme="minorHAnsi" w:cstheme="minorHAnsi"/>
          <w:bCs/>
        </w:rPr>
        <w:t>directly</w:t>
      </w:r>
      <w:r w:rsidR="009D418A" w:rsidRPr="00FC3E1E">
        <w:rPr>
          <w:rFonts w:asciiTheme="minorHAnsi" w:hAnsiTheme="minorHAnsi" w:cstheme="minorHAnsi"/>
          <w:bCs/>
        </w:rPr>
        <w:t xml:space="preserve"> settled whistleblower cases contained documentation </w:t>
      </w:r>
      <w:r w:rsidR="005F4981" w:rsidRPr="00FC3E1E">
        <w:rPr>
          <w:rFonts w:asciiTheme="minorHAnsi" w:hAnsiTheme="minorHAnsi" w:cstheme="minorHAnsi"/>
          <w:bCs/>
        </w:rPr>
        <w:t>determining whether</w:t>
      </w:r>
      <w:r w:rsidR="009D418A" w:rsidRPr="00FC3E1E">
        <w:rPr>
          <w:rFonts w:asciiTheme="minorHAnsi" w:hAnsiTheme="minorHAnsi" w:cstheme="minorHAnsi"/>
          <w:bCs/>
        </w:rPr>
        <w:t xml:space="preserve"> the settlement was fair and equitable. </w:t>
      </w:r>
      <w:r w:rsidRPr="00FC3E1E">
        <w:rPr>
          <w:rFonts w:asciiTheme="minorHAnsi" w:hAnsiTheme="minorHAnsi" w:cstheme="minorHAnsi"/>
          <w:bCs/>
        </w:rPr>
        <w:t xml:space="preserve"> This observation is closed.  </w:t>
      </w:r>
    </w:p>
    <w:p w14:paraId="48A1C22F" w14:textId="77777777" w:rsidR="00A42CC5" w:rsidRPr="00FC3E1E" w:rsidRDefault="00A42CC5" w:rsidP="00783189">
      <w:pPr>
        <w:widowControl/>
        <w:autoSpaceDE/>
        <w:autoSpaceDN/>
        <w:adjustRightInd/>
        <w:rPr>
          <w:rFonts w:asciiTheme="minorHAnsi" w:hAnsiTheme="minorHAnsi" w:cstheme="minorHAnsi"/>
          <w:bCs/>
        </w:rPr>
      </w:pPr>
    </w:p>
    <w:p w14:paraId="370CCAAD" w14:textId="2C2DCE2B" w:rsidR="00602EF3" w:rsidRPr="00672F39" w:rsidRDefault="004E505A" w:rsidP="00672F39">
      <w:pPr>
        <w:pStyle w:val="Heading5"/>
        <w:rPr>
          <w:rFonts w:asciiTheme="minorHAnsi" w:hAnsiTheme="minorHAnsi" w:cstheme="minorHAnsi"/>
          <w:b/>
          <w:bCs/>
          <w:color w:val="auto"/>
        </w:rPr>
      </w:pPr>
      <w:r w:rsidRPr="00672F39">
        <w:rPr>
          <w:rFonts w:asciiTheme="minorHAnsi" w:hAnsiTheme="minorHAnsi" w:cstheme="minorHAnsi"/>
          <w:b/>
          <w:bCs/>
          <w:color w:val="auto"/>
        </w:rPr>
        <w:t xml:space="preserve">Continued </w:t>
      </w:r>
      <w:r w:rsidR="00054416" w:rsidRPr="00672F39">
        <w:rPr>
          <w:rFonts w:asciiTheme="minorHAnsi" w:hAnsiTheme="minorHAnsi" w:cstheme="minorHAnsi"/>
          <w:b/>
          <w:bCs/>
          <w:color w:val="auto"/>
        </w:rPr>
        <w:t xml:space="preserve">FY </w:t>
      </w:r>
      <w:r w:rsidR="007C0A36" w:rsidRPr="00672F39">
        <w:rPr>
          <w:rFonts w:asciiTheme="minorHAnsi" w:hAnsiTheme="minorHAnsi" w:cstheme="minorHAnsi"/>
          <w:b/>
          <w:bCs/>
          <w:color w:val="auto"/>
        </w:rPr>
        <w:t>20</w:t>
      </w:r>
      <w:r w:rsidR="00185C7D" w:rsidRPr="00672F39">
        <w:rPr>
          <w:rFonts w:asciiTheme="minorHAnsi" w:hAnsiTheme="minorHAnsi" w:cstheme="minorHAnsi"/>
          <w:b/>
          <w:bCs/>
          <w:color w:val="auto"/>
        </w:rPr>
        <w:t>21</w:t>
      </w:r>
      <w:r w:rsidR="007C0A36" w:rsidRPr="00672F39">
        <w:rPr>
          <w:rFonts w:asciiTheme="minorHAnsi" w:hAnsiTheme="minorHAnsi" w:cstheme="minorHAnsi"/>
          <w:b/>
          <w:bCs/>
          <w:color w:val="auto"/>
        </w:rPr>
        <w:t xml:space="preserve"> </w:t>
      </w:r>
      <w:r w:rsidR="00443054" w:rsidRPr="00672F39">
        <w:rPr>
          <w:rFonts w:asciiTheme="minorHAnsi" w:hAnsiTheme="minorHAnsi" w:cstheme="minorHAnsi"/>
          <w:b/>
          <w:bCs/>
          <w:color w:val="auto"/>
        </w:rPr>
        <w:t>Observation</w:t>
      </w:r>
    </w:p>
    <w:p w14:paraId="336D1BD2" w14:textId="77777777" w:rsidR="00EA4B05" w:rsidRPr="00FC3E1E" w:rsidRDefault="00EA4B05" w:rsidP="00783189">
      <w:pPr>
        <w:widowControl/>
        <w:autoSpaceDE/>
        <w:autoSpaceDN/>
        <w:adjustRightInd/>
        <w:rPr>
          <w:rFonts w:asciiTheme="minorHAnsi" w:hAnsiTheme="minorHAnsi" w:cstheme="minorHAnsi"/>
          <w:b/>
          <w:highlight w:val="yellow"/>
          <w:u w:val="single"/>
        </w:rPr>
      </w:pPr>
    </w:p>
    <w:p w14:paraId="06EA78E6" w14:textId="21CC727A" w:rsidR="00BD0872" w:rsidRPr="00FC3E1E" w:rsidRDefault="00EA4B05" w:rsidP="00672F39">
      <w:pPr>
        <w:rPr>
          <w:sz w:val="20"/>
          <w:szCs w:val="20"/>
        </w:rPr>
      </w:pPr>
      <w:r w:rsidRPr="00FC3E1E">
        <w:rPr>
          <w:b/>
        </w:rPr>
        <w:t>Observation FY 20</w:t>
      </w:r>
      <w:r w:rsidR="00BD0872" w:rsidRPr="00FC3E1E">
        <w:rPr>
          <w:b/>
        </w:rPr>
        <w:t>22</w:t>
      </w:r>
      <w:r w:rsidRPr="00FC3E1E">
        <w:rPr>
          <w:b/>
        </w:rPr>
        <w:t>-01</w:t>
      </w:r>
      <w:r w:rsidR="006A13FB">
        <w:rPr>
          <w:b/>
        </w:rPr>
        <w:t xml:space="preserve"> (</w:t>
      </w:r>
      <w:r w:rsidR="006A13FB" w:rsidRPr="00DD0ABF">
        <w:rPr>
          <w:b/>
        </w:rPr>
        <w:t>previously FY 2021-OB-01, FY 2020-OB-04, and FY 2019-OB-04</w:t>
      </w:r>
      <w:r w:rsidR="006A13FB">
        <w:rPr>
          <w:b/>
        </w:rPr>
        <w:t>)</w:t>
      </w:r>
      <w:r w:rsidRPr="00FC3E1E">
        <w:rPr>
          <w:b/>
        </w:rPr>
        <w:t>:</w:t>
      </w:r>
      <w:r w:rsidR="00BD0872" w:rsidRPr="00FC3E1E">
        <w:rPr>
          <w:b/>
        </w:rPr>
        <w:t xml:space="preserve"> </w:t>
      </w:r>
      <w:r w:rsidRPr="00FC3E1E">
        <w:t xml:space="preserve"> </w:t>
      </w:r>
      <w:r w:rsidR="00BD0872" w:rsidRPr="00FC3E1E">
        <w:t xml:space="preserve">In FY 2021, the State Plan did not conduct follow-up inspections to confirm abatement for fatality inspections. </w:t>
      </w:r>
    </w:p>
    <w:p w14:paraId="1D6189A9" w14:textId="77777777" w:rsidR="00EA4B05" w:rsidRPr="00FC3E1E" w:rsidRDefault="00EA4B05" w:rsidP="00672F39">
      <w:pPr>
        <w:rPr>
          <w:b/>
          <w:color w:val="1F497D" w:themeColor="text2"/>
          <w:highlight w:val="yellow"/>
          <w:u w:val="single"/>
        </w:rPr>
      </w:pPr>
    </w:p>
    <w:p w14:paraId="41EACD85" w14:textId="55B13825" w:rsidR="00EA4B05" w:rsidRPr="00FC3E1E" w:rsidRDefault="00EA4B05" w:rsidP="00672F39">
      <w:pPr>
        <w:rPr>
          <w:b/>
        </w:rPr>
      </w:pPr>
      <w:r w:rsidRPr="00FC3E1E">
        <w:rPr>
          <w:b/>
        </w:rPr>
        <w:t xml:space="preserve">Status:  </w:t>
      </w:r>
      <w:r w:rsidR="0089719B" w:rsidRPr="00FC3E1E">
        <w:rPr>
          <w:bCs/>
        </w:rPr>
        <w:t>During FY 2022</w:t>
      </w:r>
      <w:r w:rsidR="009A0C5E">
        <w:rPr>
          <w:bCs/>
        </w:rPr>
        <w:t>,</w:t>
      </w:r>
      <w:r w:rsidR="0089719B" w:rsidRPr="00FC3E1E">
        <w:rPr>
          <w:bCs/>
        </w:rPr>
        <w:t xml:space="preserve"> of the four work</w:t>
      </w:r>
      <w:r w:rsidR="009A0C5E">
        <w:rPr>
          <w:bCs/>
        </w:rPr>
        <w:t>-</w:t>
      </w:r>
      <w:r w:rsidR="0089719B" w:rsidRPr="00FC3E1E">
        <w:rPr>
          <w:bCs/>
        </w:rPr>
        <w:t xml:space="preserve">related fatality inspections conducted, </w:t>
      </w:r>
      <w:r w:rsidR="009A0C5E">
        <w:rPr>
          <w:bCs/>
        </w:rPr>
        <w:t xml:space="preserve">only </w:t>
      </w:r>
      <w:r w:rsidR="0089719B" w:rsidRPr="00FC3E1E">
        <w:rPr>
          <w:bCs/>
        </w:rPr>
        <w:t>one inspection resulted in a serious violation</w:t>
      </w:r>
      <w:r w:rsidR="009A0C5E">
        <w:rPr>
          <w:bCs/>
        </w:rPr>
        <w:t>, so opportunities to perform follow-up inspections of fatality inspections were very limited</w:t>
      </w:r>
      <w:r w:rsidR="0089719B" w:rsidRPr="00FC3E1E">
        <w:rPr>
          <w:bCs/>
        </w:rPr>
        <w:t xml:space="preserve">.  </w:t>
      </w:r>
      <w:r w:rsidR="009A0C5E">
        <w:rPr>
          <w:bCs/>
        </w:rPr>
        <w:t>In fact</w:t>
      </w:r>
      <w:r w:rsidR="0089719B" w:rsidRPr="00FC3E1E">
        <w:rPr>
          <w:bCs/>
        </w:rPr>
        <w:t>, this case did not result in a follow</w:t>
      </w:r>
      <w:r w:rsidR="009A0C5E">
        <w:rPr>
          <w:bCs/>
        </w:rPr>
        <w:t>-</w:t>
      </w:r>
      <w:r w:rsidR="0089719B" w:rsidRPr="00FC3E1E">
        <w:rPr>
          <w:bCs/>
        </w:rPr>
        <w:t xml:space="preserve">up inspection as the employer went out of business.  </w:t>
      </w:r>
      <w:r w:rsidR="006A13FB" w:rsidRPr="00DD0ABF">
        <w:rPr>
          <w:bCs/>
        </w:rPr>
        <w:t>Although the State Plan has trained its staff</w:t>
      </w:r>
      <w:r w:rsidR="00760291" w:rsidRPr="00DD0ABF">
        <w:rPr>
          <w:bCs/>
        </w:rPr>
        <w:t xml:space="preserve"> on follow-up inspections</w:t>
      </w:r>
      <w:r w:rsidR="006A13FB" w:rsidRPr="00DD0ABF">
        <w:rPr>
          <w:bCs/>
        </w:rPr>
        <w:t>, a c</w:t>
      </w:r>
      <w:r w:rsidR="00C05858" w:rsidRPr="00DD0ABF">
        <w:rPr>
          <w:iCs/>
        </w:rPr>
        <w:t>ase file review is necessary to evaluate performance in relation to this observation</w:t>
      </w:r>
      <w:r w:rsidR="001B57AF" w:rsidRPr="00DD0ABF">
        <w:rPr>
          <w:iCs/>
        </w:rPr>
        <w:t xml:space="preserve"> </w:t>
      </w:r>
      <w:r w:rsidR="00DD0ABF" w:rsidRPr="00DD0ABF">
        <w:t>which has been noted annually since the FY 2019 Comprehensive FAME Report</w:t>
      </w:r>
      <w:r w:rsidR="00C05858" w:rsidRPr="00DD0ABF">
        <w:rPr>
          <w:iCs/>
        </w:rPr>
        <w:t xml:space="preserve">.  </w:t>
      </w:r>
      <w:r w:rsidR="006A13FB" w:rsidRPr="00DD0ABF">
        <w:rPr>
          <w:iCs/>
        </w:rPr>
        <w:t xml:space="preserve">Please note that an observation has a lifespan of three years, after which it must be closed or raised to a finding.  However, considering the limited opportunities for Wyoming OSHA to perform follow-up inspections </w:t>
      </w:r>
      <w:r w:rsidR="001B57AF" w:rsidRPr="00DD0ABF">
        <w:rPr>
          <w:iCs/>
        </w:rPr>
        <w:t>to confirm abatement for fatality inspections</w:t>
      </w:r>
      <w:r w:rsidR="006A13FB" w:rsidRPr="00DD0ABF">
        <w:rPr>
          <w:iCs/>
        </w:rPr>
        <w:t xml:space="preserve"> in FY 2022, </w:t>
      </w:r>
      <w:r w:rsidR="001B57AF" w:rsidRPr="00DD0ABF">
        <w:rPr>
          <w:iCs/>
        </w:rPr>
        <w:t>OSHA will allow a one-year extension.</w:t>
      </w:r>
      <w:r w:rsidR="001B57AF">
        <w:rPr>
          <w:iCs/>
        </w:rPr>
        <w:t xml:space="preserve">  </w:t>
      </w:r>
      <w:r w:rsidR="00C05858" w:rsidRPr="00FC3E1E">
        <w:rPr>
          <w:iCs/>
        </w:rPr>
        <w:t xml:space="preserve">This observation will be a focus of next year’s on-site case file review during the FY 2023 </w:t>
      </w:r>
      <w:r w:rsidR="009A0C5E">
        <w:rPr>
          <w:iCs/>
        </w:rPr>
        <w:t>C</w:t>
      </w:r>
      <w:r w:rsidR="00C05858" w:rsidRPr="00FC3E1E">
        <w:rPr>
          <w:iCs/>
        </w:rPr>
        <w:t xml:space="preserve">omprehensive FAME.  </w:t>
      </w:r>
      <w:r w:rsidRPr="00FC3E1E">
        <w:t>This observation will be continued.</w:t>
      </w:r>
    </w:p>
    <w:p w14:paraId="60205B8E" w14:textId="0F7D5E6C" w:rsidR="006672E3" w:rsidRPr="00672F39" w:rsidRDefault="00443054" w:rsidP="00672F39">
      <w:pPr>
        <w:pStyle w:val="Heading5"/>
        <w:rPr>
          <w:rFonts w:asciiTheme="minorHAnsi" w:hAnsiTheme="minorHAnsi" w:cstheme="minorHAnsi"/>
          <w:b/>
          <w:bCs/>
          <w:color w:val="auto"/>
        </w:rPr>
      </w:pPr>
      <w:bookmarkStart w:id="23" w:name="_Hlk126153222"/>
      <w:r w:rsidRPr="00672F39">
        <w:rPr>
          <w:rFonts w:asciiTheme="minorHAnsi" w:hAnsiTheme="minorHAnsi" w:cstheme="minorHAnsi"/>
          <w:b/>
          <w:bCs/>
          <w:color w:val="auto"/>
        </w:rPr>
        <w:lastRenderedPageBreak/>
        <w:t>New FY 20</w:t>
      </w:r>
      <w:r w:rsidR="00185C7D" w:rsidRPr="00672F39">
        <w:rPr>
          <w:rFonts w:asciiTheme="minorHAnsi" w:hAnsiTheme="minorHAnsi" w:cstheme="minorHAnsi"/>
          <w:b/>
          <w:bCs/>
          <w:color w:val="auto"/>
        </w:rPr>
        <w:t>22</w:t>
      </w:r>
      <w:r w:rsidRPr="00672F39">
        <w:rPr>
          <w:rFonts w:asciiTheme="minorHAnsi" w:hAnsiTheme="minorHAnsi" w:cstheme="minorHAnsi"/>
          <w:b/>
          <w:bCs/>
          <w:color w:val="auto"/>
        </w:rPr>
        <w:t xml:space="preserve"> </w:t>
      </w:r>
      <w:r w:rsidR="006672E3" w:rsidRPr="00672F39">
        <w:rPr>
          <w:rFonts w:asciiTheme="minorHAnsi" w:hAnsiTheme="minorHAnsi" w:cstheme="minorHAnsi"/>
          <w:b/>
          <w:bCs/>
          <w:color w:val="auto"/>
        </w:rPr>
        <w:t>Observations</w:t>
      </w:r>
    </w:p>
    <w:p w14:paraId="579C0257" w14:textId="3C9122EB" w:rsidR="00896300" w:rsidRPr="00FC3E1E" w:rsidRDefault="00896300" w:rsidP="00783189">
      <w:pPr>
        <w:widowControl/>
        <w:autoSpaceDE/>
        <w:autoSpaceDN/>
        <w:adjustRightInd/>
        <w:rPr>
          <w:rFonts w:asciiTheme="minorHAnsi" w:hAnsiTheme="minorHAnsi" w:cstheme="minorHAnsi"/>
          <w:b/>
          <w:bCs/>
        </w:rPr>
      </w:pPr>
    </w:p>
    <w:p w14:paraId="26F57674" w14:textId="06BB724B" w:rsidR="00896300" w:rsidRPr="00FC3E1E" w:rsidRDefault="00896300" w:rsidP="00783189">
      <w:pPr>
        <w:widowControl/>
        <w:autoSpaceDE/>
        <w:autoSpaceDN/>
        <w:adjustRightInd/>
        <w:rPr>
          <w:rFonts w:asciiTheme="minorHAnsi" w:hAnsiTheme="minorHAnsi" w:cstheme="minorHAnsi"/>
        </w:rPr>
      </w:pPr>
      <w:r w:rsidRPr="00FC3E1E">
        <w:rPr>
          <w:rFonts w:asciiTheme="minorHAnsi" w:hAnsiTheme="minorHAnsi" w:cstheme="minorHAnsi"/>
        </w:rPr>
        <w:t>There are no new observations in the FY 202</w:t>
      </w:r>
      <w:r w:rsidR="00591960">
        <w:rPr>
          <w:rFonts w:asciiTheme="minorHAnsi" w:hAnsiTheme="minorHAnsi" w:cstheme="minorHAnsi"/>
        </w:rPr>
        <w:t>2</w:t>
      </w:r>
      <w:r w:rsidRPr="00FC3E1E">
        <w:rPr>
          <w:rFonts w:asciiTheme="minorHAnsi" w:hAnsiTheme="minorHAnsi" w:cstheme="minorHAnsi"/>
        </w:rPr>
        <w:t xml:space="preserve"> Follow</w:t>
      </w:r>
      <w:r w:rsidR="007862A5">
        <w:rPr>
          <w:rFonts w:asciiTheme="minorHAnsi" w:hAnsiTheme="minorHAnsi" w:cstheme="minorHAnsi"/>
        </w:rPr>
        <w:t>-</w:t>
      </w:r>
      <w:r w:rsidRPr="00FC3E1E">
        <w:rPr>
          <w:rFonts w:asciiTheme="minorHAnsi" w:hAnsiTheme="minorHAnsi" w:cstheme="minorHAnsi"/>
        </w:rPr>
        <w:t>up FAME</w:t>
      </w:r>
      <w:r w:rsidR="007862A5">
        <w:rPr>
          <w:rFonts w:asciiTheme="minorHAnsi" w:hAnsiTheme="minorHAnsi" w:cstheme="minorHAnsi"/>
        </w:rPr>
        <w:t xml:space="preserve"> Report</w:t>
      </w:r>
      <w:r w:rsidRPr="00FC3E1E">
        <w:rPr>
          <w:rFonts w:asciiTheme="minorHAnsi" w:hAnsiTheme="minorHAnsi" w:cstheme="minorHAnsi"/>
        </w:rPr>
        <w:t>.</w:t>
      </w:r>
    </w:p>
    <w:bookmarkEnd w:id="23"/>
    <w:p w14:paraId="7C2F3EA1" w14:textId="77777777" w:rsidR="005E038B" w:rsidRPr="00FC3E1E" w:rsidRDefault="005E038B" w:rsidP="00783189">
      <w:pPr>
        <w:widowControl/>
        <w:autoSpaceDE/>
        <w:autoSpaceDN/>
        <w:adjustRightInd/>
        <w:rPr>
          <w:rFonts w:asciiTheme="minorHAnsi" w:hAnsiTheme="minorHAnsi" w:cstheme="minorHAnsi"/>
          <w:bCs/>
        </w:rPr>
      </w:pPr>
    </w:p>
    <w:p w14:paraId="3B828F9D" w14:textId="6C45BA5D" w:rsidR="00F132A8" w:rsidRPr="00FC3E1E" w:rsidRDefault="00F132A8" w:rsidP="0061362E">
      <w:pPr>
        <w:pStyle w:val="Heading3"/>
      </w:pPr>
      <w:bookmarkStart w:id="24" w:name="_Toc118900177"/>
      <w:bookmarkStart w:id="25" w:name="_Toc118905016"/>
      <w:bookmarkStart w:id="26" w:name="_Toc119418668"/>
      <w:r w:rsidRPr="00FC3E1E">
        <w:t>State Activity Mandated Measures (SAMM)</w:t>
      </w:r>
      <w:r w:rsidR="00A243D6" w:rsidRPr="00FC3E1E">
        <w:t xml:space="preserve"> Highlights</w:t>
      </w:r>
      <w:bookmarkEnd w:id="24"/>
      <w:bookmarkEnd w:id="25"/>
      <w:bookmarkEnd w:id="26"/>
    </w:p>
    <w:p w14:paraId="6AD12CC3" w14:textId="77777777" w:rsidR="00C14885" w:rsidRPr="00672F39" w:rsidRDefault="00C14885" w:rsidP="00783189">
      <w:pPr>
        <w:widowControl/>
        <w:autoSpaceDE/>
        <w:adjustRightInd/>
        <w:rPr>
          <w:rFonts w:asciiTheme="minorHAnsi" w:hAnsiTheme="minorHAnsi" w:cstheme="minorHAnsi"/>
          <w:iCs/>
        </w:rPr>
      </w:pPr>
    </w:p>
    <w:p w14:paraId="75AF2501" w14:textId="79D06F07" w:rsidR="00EC7600" w:rsidRPr="00FC3E1E" w:rsidRDefault="00EC7600" w:rsidP="00783189">
      <w:pPr>
        <w:widowControl/>
        <w:autoSpaceDE/>
        <w:adjustRightInd/>
        <w:rPr>
          <w:rFonts w:asciiTheme="minorHAnsi" w:hAnsiTheme="minorHAnsi" w:cstheme="minorHAnsi"/>
        </w:rPr>
      </w:pPr>
      <w:r w:rsidRPr="00FC3E1E">
        <w:rPr>
          <w:rFonts w:asciiTheme="minorHAnsi" w:hAnsiTheme="minorHAnsi" w:cstheme="minorHAnsi"/>
        </w:rPr>
        <w:t xml:space="preserve">Each SAMM has an agreed upon </w:t>
      </w:r>
      <w:r w:rsidR="00E7082D">
        <w:rPr>
          <w:rFonts w:asciiTheme="minorHAnsi" w:hAnsiTheme="minorHAnsi" w:cstheme="minorHAnsi"/>
        </w:rPr>
        <w:t>f</w:t>
      </w:r>
      <w:r w:rsidR="00873138" w:rsidRPr="00FC3E1E">
        <w:rPr>
          <w:rFonts w:asciiTheme="minorHAnsi" w:hAnsiTheme="minorHAnsi" w:cstheme="minorHAnsi"/>
        </w:rPr>
        <w:t xml:space="preserve">urther </w:t>
      </w:r>
      <w:r w:rsidR="00E7082D">
        <w:rPr>
          <w:rFonts w:asciiTheme="minorHAnsi" w:hAnsiTheme="minorHAnsi" w:cstheme="minorHAnsi"/>
        </w:rPr>
        <w:t>r</w:t>
      </w:r>
      <w:r w:rsidR="00873138" w:rsidRPr="00FC3E1E">
        <w:rPr>
          <w:rFonts w:asciiTheme="minorHAnsi" w:hAnsiTheme="minorHAnsi" w:cstheme="minorHAnsi"/>
        </w:rPr>
        <w:t xml:space="preserve">eview </w:t>
      </w:r>
      <w:r w:rsidR="00E7082D">
        <w:rPr>
          <w:rFonts w:asciiTheme="minorHAnsi" w:hAnsiTheme="minorHAnsi" w:cstheme="minorHAnsi"/>
        </w:rPr>
        <w:t>l</w:t>
      </w:r>
      <w:r w:rsidR="00873138" w:rsidRPr="00FC3E1E">
        <w:rPr>
          <w:rFonts w:asciiTheme="minorHAnsi" w:hAnsiTheme="minorHAnsi" w:cstheme="minorHAnsi"/>
        </w:rPr>
        <w:t>evel (</w:t>
      </w:r>
      <w:r w:rsidR="00D7654E" w:rsidRPr="00FC3E1E">
        <w:rPr>
          <w:rFonts w:asciiTheme="minorHAnsi" w:hAnsiTheme="minorHAnsi" w:cstheme="minorHAnsi"/>
        </w:rPr>
        <w:t>FRL</w:t>
      </w:r>
      <w:r w:rsidR="00873138" w:rsidRPr="00FC3E1E">
        <w:rPr>
          <w:rFonts w:asciiTheme="minorHAnsi" w:hAnsiTheme="minorHAnsi" w:cstheme="minorHAnsi"/>
        </w:rPr>
        <w:t>)</w:t>
      </w:r>
      <w:r w:rsidRPr="00FC3E1E">
        <w:rPr>
          <w:rFonts w:asciiTheme="minorHAnsi" w:hAnsiTheme="minorHAnsi" w:cstheme="minorHAnsi"/>
        </w:rPr>
        <w:t xml:space="preserve"> which can be either a single number or </w:t>
      </w:r>
      <w:r w:rsidR="00D7654E" w:rsidRPr="00FC3E1E">
        <w:rPr>
          <w:rFonts w:asciiTheme="minorHAnsi" w:hAnsiTheme="minorHAnsi" w:cstheme="minorHAnsi"/>
        </w:rPr>
        <w:t xml:space="preserve">a </w:t>
      </w:r>
      <w:r w:rsidRPr="00FC3E1E">
        <w:rPr>
          <w:rFonts w:asciiTheme="minorHAnsi" w:hAnsiTheme="minorHAnsi" w:cstheme="minorHAnsi"/>
        </w:rPr>
        <w:t xml:space="preserve">range of numbers above and below the national average.  State Plan SAMM data that falls outside the FRL triggers a closer look at the underlying performance of the mandatory activity.  </w:t>
      </w:r>
      <w:r w:rsidR="005D1F76" w:rsidRPr="00FC3E1E">
        <w:rPr>
          <w:rFonts w:asciiTheme="minorHAnsi" w:hAnsiTheme="minorHAnsi" w:cstheme="minorHAnsi"/>
        </w:rPr>
        <w:t>Appendix D presents the State Plan’s FY 20</w:t>
      </w:r>
      <w:r w:rsidR="00476C08" w:rsidRPr="00FC3E1E">
        <w:rPr>
          <w:rFonts w:asciiTheme="minorHAnsi" w:hAnsiTheme="minorHAnsi" w:cstheme="minorHAnsi"/>
        </w:rPr>
        <w:t>22</w:t>
      </w:r>
      <w:r w:rsidR="005D1F76" w:rsidRPr="00FC3E1E">
        <w:rPr>
          <w:rFonts w:asciiTheme="minorHAnsi" w:hAnsiTheme="minorHAnsi" w:cstheme="minorHAnsi"/>
        </w:rPr>
        <w:t xml:space="preserve"> SAMM Report and includes the FRL for each measure. </w:t>
      </w:r>
    </w:p>
    <w:p w14:paraId="5B2B946B" w14:textId="39168ECE" w:rsidR="00A02B33" w:rsidRDefault="00A02B33" w:rsidP="00783189">
      <w:pPr>
        <w:widowControl/>
        <w:autoSpaceDE/>
        <w:adjustRightInd/>
        <w:rPr>
          <w:rFonts w:asciiTheme="minorHAnsi" w:hAnsiTheme="minorHAnsi" w:cstheme="minorHAnsi"/>
          <w:b/>
          <w:u w:val="single"/>
        </w:rPr>
      </w:pPr>
    </w:p>
    <w:p w14:paraId="76FEE19B" w14:textId="33432EE4" w:rsidR="00AC006A" w:rsidRPr="00DB278E" w:rsidRDefault="00AC006A" w:rsidP="00AC006A">
      <w:pPr>
        <w:widowControl/>
        <w:autoSpaceDE/>
        <w:adjustRightInd/>
        <w:rPr>
          <w:rFonts w:cs="Calibri"/>
        </w:rPr>
      </w:pPr>
      <w:r w:rsidRPr="00DB278E">
        <w:rPr>
          <w:rFonts w:cs="Calibri"/>
        </w:rPr>
        <w:t xml:space="preserve">It should be noted that OSHA is in the final stages of transitioning from the Whistleblower Application in the OSHA IT Support System (OITSS), a legacy data system, to the Whistleblower </w:t>
      </w:r>
      <w:r w:rsidR="00E7082D">
        <w:rPr>
          <w:rFonts w:cs="Calibri"/>
        </w:rPr>
        <w:t>M</w:t>
      </w:r>
      <w:r w:rsidRPr="00DB278E">
        <w:rPr>
          <w:rFonts w:cs="Calibri"/>
        </w:rPr>
        <w:t xml:space="preserve">odule in OIS, a modern data system.  For FY 2022, a portion of the State Plan whistleblower data was recorded </w:t>
      </w:r>
      <w:r w:rsidR="00591960">
        <w:rPr>
          <w:rFonts w:cs="Calibri"/>
        </w:rPr>
        <w:t xml:space="preserve">in </w:t>
      </w:r>
      <w:r w:rsidRPr="00DB278E">
        <w:rPr>
          <w:rFonts w:cs="Calibri"/>
        </w:rPr>
        <w:t>OITSS, and a portion was captured in OIS.   OSHA encountered challenges in combining the report that generates SAMM</w:t>
      </w:r>
      <w:r w:rsidR="00CE6AF4">
        <w:rPr>
          <w:rFonts w:cs="Calibri"/>
        </w:rPr>
        <w:t>s</w:t>
      </w:r>
      <w:r w:rsidRPr="00DB278E">
        <w:rPr>
          <w:rFonts w:cs="Calibri"/>
        </w:rPr>
        <w:t xml:space="preserve"> 14, 15, and 16 from both systems.  As such, OSHA will not be relying on SAMMs 14, 15, or 16 in their evaluation of the State Plans</w:t>
      </w:r>
      <w:r w:rsidR="00E7082D">
        <w:rPr>
          <w:rFonts w:cs="Calibri"/>
        </w:rPr>
        <w:t>’</w:t>
      </w:r>
      <w:r w:rsidRPr="00DB278E">
        <w:rPr>
          <w:rFonts w:cs="Calibri"/>
        </w:rPr>
        <w:t xml:space="preserve"> whistleblower programs for FY 2022.</w:t>
      </w:r>
    </w:p>
    <w:p w14:paraId="2B21E049" w14:textId="77777777" w:rsidR="00AC006A" w:rsidRDefault="00AC006A" w:rsidP="00AC006A">
      <w:pPr>
        <w:widowControl/>
        <w:autoSpaceDE/>
        <w:adjustRightInd/>
        <w:rPr>
          <w:rFonts w:asciiTheme="minorHAnsi" w:hAnsiTheme="minorHAnsi" w:cstheme="minorHAnsi"/>
        </w:rPr>
      </w:pPr>
    </w:p>
    <w:p w14:paraId="4DA6166D" w14:textId="77777777" w:rsidR="00AC006A" w:rsidRPr="00FC3E1E" w:rsidRDefault="00AC006A" w:rsidP="00AC006A">
      <w:pPr>
        <w:widowControl/>
        <w:autoSpaceDE/>
        <w:adjustRightInd/>
        <w:rPr>
          <w:rFonts w:asciiTheme="minorHAnsi" w:hAnsiTheme="minorHAnsi" w:cstheme="minorHAnsi"/>
        </w:rPr>
      </w:pPr>
      <w:r w:rsidRPr="00FC3E1E">
        <w:rPr>
          <w:rFonts w:asciiTheme="minorHAnsi" w:hAnsiTheme="minorHAnsi" w:cstheme="minorHAnsi"/>
        </w:rPr>
        <w:t>The State Plan was outside the FRL on the following SAMMs:</w:t>
      </w:r>
    </w:p>
    <w:p w14:paraId="31713C78" w14:textId="77777777" w:rsidR="00AC006A" w:rsidRPr="00FC3E1E" w:rsidRDefault="00AC006A" w:rsidP="00783189">
      <w:pPr>
        <w:widowControl/>
        <w:autoSpaceDE/>
        <w:adjustRightInd/>
        <w:rPr>
          <w:rFonts w:asciiTheme="minorHAnsi" w:hAnsiTheme="minorHAnsi" w:cstheme="minorHAnsi"/>
          <w:b/>
          <w:u w:val="single"/>
        </w:rPr>
      </w:pPr>
    </w:p>
    <w:p w14:paraId="2EA90891" w14:textId="58C9209F" w:rsidR="00327E23" w:rsidRPr="00FC3E1E" w:rsidRDefault="00327E23" w:rsidP="00861068">
      <w:pPr>
        <w:pStyle w:val="Heading4"/>
      </w:pPr>
      <w:r w:rsidRPr="00FC3E1E">
        <w:t>SAMM 2 – Average Number of Work</w:t>
      </w:r>
      <w:r w:rsidR="002D5D23">
        <w:t>d</w:t>
      </w:r>
      <w:r w:rsidRPr="00FC3E1E">
        <w:t>ays to Initiate Complaint Investigations</w:t>
      </w:r>
    </w:p>
    <w:p w14:paraId="25BA6A76" w14:textId="77777777" w:rsidR="00327E23" w:rsidRPr="00FC3E1E" w:rsidRDefault="00327E23" w:rsidP="00327E23">
      <w:pPr>
        <w:widowControl/>
        <w:autoSpaceDE/>
        <w:adjustRightInd/>
        <w:rPr>
          <w:rFonts w:asciiTheme="minorHAnsi" w:hAnsiTheme="minorHAnsi" w:cstheme="minorHAnsi"/>
          <w:b/>
        </w:rPr>
      </w:pPr>
    </w:p>
    <w:p w14:paraId="7B92E4CA" w14:textId="4D46A7FE" w:rsidR="00327E23" w:rsidRPr="00FC3E1E" w:rsidRDefault="00327E23" w:rsidP="00327E23">
      <w:pPr>
        <w:widowControl/>
        <w:autoSpaceDE/>
        <w:adjustRightInd/>
        <w:rPr>
          <w:rFonts w:asciiTheme="minorHAnsi" w:hAnsiTheme="minorHAnsi" w:cstheme="minorHAnsi"/>
        </w:rPr>
      </w:pPr>
      <w:r w:rsidRPr="00516EB0">
        <w:rPr>
          <w:rFonts w:asciiTheme="minorHAnsi" w:hAnsiTheme="minorHAnsi" w:cstheme="minorHAnsi"/>
          <w:u w:val="single"/>
        </w:rPr>
        <w:t>Discussion of State Plan Data and FRL:</w:t>
      </w:r>
      <w:r w:rsidRPr="00FC3E1E">
        <w:rPr>
          <w:rFonts w:asciiTheme="minorHAnsi" w:hAnsiTheme="minorHAnsi" w:cstheme="minorHAnsi"/>
        </w:rPr>
        <w:t xml:space="preserve">  The </w:t>
      </w:r>
      <w:r w:rsidR="00591960" w:rsidRPr="00C97DEE">
        <w:rPr>
          <w:rFonts w:asciiTheme="minorHAnsi" w:hAnsiTheme="minorHAnsi" w:cstheme="minorHAnsi"/>
        </w:rPr>
        <w:t>negotiated</w:t>
      </w:r>
      <w:r w:rsidR="00591960">
        <w:rPr>
          <w:rFonts w:asciiTheme="minorHAnsi" w:hAnsiTheme="minorHAnsi" w:cstheme="minorHAnsi"/>
        </w:rPr>
        <w:t xml:space="preserve"> </w:t>
      </w:r>
      <w:r w:rsidRPr="00FC3E1E">
        <w:rPr>
          <w:rFonts w:asciiTheme="minorHAnsi" w:hAnsiTheme="minorHAnsi" w:cstheme="minorHAnsi"/>
        </w:rPr>
        <w:t xml:space="preserve">FRL for </w:t>
      </w:r>
      <w:r w:rsidR="00E7082D">
        <w:rPr>
          <w:rFonts w:asciiTheme="minorHAnsi" w:hAnsiTheme="minorHAnsi" w:cstheme="minorHAnsi"/>
        </w:rPr>
        <w:t xml:space="preserve">the </w:t>
      </w:r>
      <w:r w:rsidRPr="00FC3E1E">
        <w:rPr>
          <w:rFonts w:asciiTheme="minorHAnsi" w:hAnsiTheme="minorHAnsi" w:cstheme="minorHAnsi"/>
        </w:rPr>
        <w:t xml:space="preserve">average number of </w:t>
      </w:r>
      <w:r w:rsidR="00925513" w:rsidRPr="00FC3E1E">
        <w:rPr>
          <w:rFonts w:asciiTheme="minorHAnsi" w:hAnsiTheme="minorHAnsi" w:cstheme="minorHAnsi"/>
        </w:rPr>
        <w:t>workdays</w:t>
      </w:r>
      <w:r w:rsidRPr="00FC3E1E">
        <w:rPr>
          <w:rFonts w:asciiTheme="minorHAnsi" w:hAnsiTheme="minorHAnsi" w:cstheme="minorHAnsi"/>
        </w:rPr>
        <w:t xml:space="preserve"> to initiate complaint investigations </w:t>
      </w:r>
      <w:r w:rsidR="00873138" w:rsidRPr="00FC3E1E">
        <w:rPr>
          <w:rFonts w:asciiTheme="minorHAnsi" w:hAnsiTheme="minorHAnsi" w:cstheme="minorHAnsi"/>
        </w:rPr>
        <w:t>was</w:t>
      </w:r>
      <w:r w:rsidRPr="00FC3E1E">
        <w:rPr>
          <w:rFonts w:asciiTheme="minorHAnsi" w:hAnsiTheme="minorHAnsi" w:cstheme="minorHAnsi"/>
        </w:rPr>
        <w:t xml:space="preserve"> </w:t>
      </w:r>
      <w:r w:rsidR="00180E0F">
        <w:rPr>
          <w:rFonts w:asciiTheme="minorHAnsi" w:hAnsiTheme="minorHAnsi" w:cstheme="minorHAnsi"/>
        </w:rPr>
        <w:t>one</w:t>
      </w:r>
      <w:r w:rsidR="00980080">
        <w:rPr>
          <w:rFonts w:asciiTheme="minorHAnsi" w:hAnsiTheme="minorHAnsi" w:cstheme="minorHAnsi"/>
        </w:rPr>
        <w:t xml:space="preserve"> </w:t>
      </w:r>
      <w:r w:rsidR="00E7082D">
        <w:rPr>
          <w:rFonts w:asciiTheme="minorHAnsi" w:hAnsiTheme="minorHAnsi" w:cstheme="minorHAnsi"/>
        </w:rPr>
        <w:t>workday</w:t>
      </w:r>
      <w:r w:rsidRPr="00FC3E1E">
        <w:rPr>
          <w:rFonts w:asciiTheme="minorHAnsi" w:hAnsiTheme="minorHAnsi" w:cstheme="minorHAnsi"/>
        </w:rPr>
        <w:t xml:space="preserve">.  The State Plan’s average number of </w:t>
      </w:r>
      <w:r w:rsidR="00925513" w:rsidRPr="00FC3E1E">
        <w:rPr>
          <w:rFonts w:asciiTheme="minorHAnsi" w:hAnsiTheme="minorHAnsi" w:cstheme="minorHAnsi"/>
        </w:rPr>
        <w:t>workdays</w:t>
      </w:r>
      <w:r w:rsidRPr="00FC3E1E">
        <w:rPr>
          <w:rFonts w:asciiTheme="minorHAnsi" w:hAnsiTheme="minorHAnsi" w:cstheme="minorHAnsi"/>
        </w:rPr>
        <w:t xml:space="preserve"> to initiate complaint investigations </w:t>
      </w:r>
      <w:r w:rsidR="00873138" w:rsidRPr="00FC3E1E">
        <w:rPr>
          <w:rFonts w:asciiTheme="minorHAnsi" w:hAnsiTheme="minorHAnsi" w:cstheme="minorHAnsi"/>
        </w:rPr>
        <w:t>was</w:t>
      </w:r>
      <w:r w:rsidRPr="00FC3E1E">
        <w:rPr>
          <w:rFonts w:asciiTheme="minorHAnsi" w:hAnsiTheme="minorHAnsi" w:cstheme="minorHAnsi"/>
        </w:rPr>
        <w:t xml:space="preserve"> 5.20, which </w:t>
      </w:r>
      <w:r w:rsidR="00873138" w:rsidRPr="00FC3E1E">
        <w:rPr>
          <w:rFonts w:asciiTheme="minorHAnsi" w:hAnsiTheme="minorHAnsi" w:cstheme="minorHAnsi"/>
        </w:rPr>
        <w:t>was</w:t>
      </w:r>
      <w:r w:rsidRPr="00FC3E1E">
        <w:rPr>
          <w:rFonts w:asciiTheme="minorHAnsi" w:hAnsiTheme="minorHAnsi" w:cstheme="minorHAnsi"/>
        </w:rPr>
        <w:t xml:space="preserve"> significantly </w:t>
      </w:r>
      <w:r w:rsidR="00DE3378">
        <w:rPr>
          <w:rFonts w:asciiTheme="minorHAnsi" w:hAnsiTheme="minorHAnsi" w:cstheme="minorHAnsi"/>
        </w:rPr>
        <w:t>above</w:t>
      </w:r>
      <w:r w:rsidRPr="00FC3E1E">
        <w:rPr>
          <w:rFonts w:asciiTheme="minorHAnsi" w:hAnsiTheme="minorHAnsi" w:cstheme="minorHAnsi"/>
        </w:rPr>
        <w:t xml:space="preserve"> the FRL.   </w:t>
      </w:r>
    </w:p>
    <w:p w14:paraId="4D6014DD" w14:textId="77777777" w:rsidR="00327E23" w:rsidRPr="00516EB0" w:rsidRDefault="00327E23" w:rsidP="00327E23">
      <w:pPr>
        <w:widowControl/>
        <w:autoSpaceDE/>
        <w:adjustRightInd/>
        <w:rPr>
          <w:rFonts w:asciiTheme="minorHAnsi" w:hAnsiTheme="minorHAnsi" w:cstheme="minorHAnsi"/>
          <w:color w:val="FF0000"/>
          <w:u w:val="single"/>
        </w:rPr>
      </w:pPr>
    </w:p>
    <w:p w14:paraId="7A0D494F" w14:textId="6CC91885" w:rsidR="00327E23" w:rsidRPr="00FC3E1E" w:rsidRDefault="00327E23" w:rsidP="00327E23">
      <w:pPr>
        <w:widowControl/>
        <w:autoSpaceDE/>
        <w:autoSpaceDN/>
        <w:adjustRightInd/>
        <w:rPr>
          <w:rFonts w:asciiTheme="minorHAnsi" w:hAnsiTheme="minorHAnsi" w:cstheme="minorHAnsi"/>
          <w:i/>
          <w:color w:val="FF0000"/>
        </w:rPr>
      </w:pPr>
      <w:r w:rsidRPr="00516EB0">
        <w:rPr>
          <w:rFonts w:asciiTheme="minorHAnsi" w:hAnsiTheme="minorHAnsi" w:cstheme="minorHAnsi"/>
          <w:u w:val="single"/>
        </w:rPr>
        <w:t>Explanation</w:t>
      </w:r>
      <w:r w:rsidR="00A60140" w:rsidRPr="00516EB0">
        <w:rPr>
          <w:rFonts w:asciiTheme="minorHAnsi" w:hAnsiTheme="minorHAnsi" w:cstheme="minorHAnsi"/>
          <w:u w:val="single"/>
        </w:rPr>
        <w:t>:</w:t>
      </w:r>
      <w:r w:rsidR="00A60140" w:rsidRPr="00FC3E1E">
        <w:rPr>
          <w:rFonts w:asciiTheme="minorHAnsi" w:hAnsiTheme="minorHAnsi" w:cstheme="minorHAnsi"/>
        </w:rPr>
        <w:t xml:space="preserve">  </w:t>
      </w:r>
      <w:r w:rsidR="00E7082D">
        <w:rPr>
          <w:rFonts w:asciiTheme="minorHAnsi" w:hAnsiTheme="minorHAnsi" w:cstheme="minorHAnsi"/>
        </w:rPr>
        <w:t>Wyoming OSHA</w:t>
      </w:r>
      <w:r w:rsidR="00A60140" w:rsidRPr="00FC3E1E">
        <w:rPr>
          <w:rFonts w:asciiTheme="minorHAnsi" w:hAnsiTheme="minorHAnsi" w:cstheme="minorHAnsi"/>
        </w:rPr>
        <w:t xml:space="preserve"> </w:t>
      </w:r>
      <w:r w:rsidR="00591960" w:rsidRPr="00C97DEE">
        <w:rPr>
          <w:rFonts w:asciiTheme="minorHAnsi" w:hAnsiTheme="minorHAnsi" w:cstheme="minorHAnsi"/>
        </w:rPr>
        <w:t>has</w:t>
      </w:r>
      <w:r w:rsidR="00591960">
        <w:rPr>
          <w:rFonts w:asciiTheme="minorHAnsi" w:hAnsiTheme="minorHAnsi" w:cstheme="minorHAnsi"/>
        </w:rPr>
        <w:t xml:space="preserve"> </w:t>
      </w:r>
      <w:r w:rsidR="00A60140" w:rsidRPr="00FC3E1E">
        <w:rPr>
          <w:rFonts w:asciiTheme="minorHAnsi" w:hAnsiTheme="minorHAnsi" w:cstheme="minorHAnsi"/>
        </w:rPr>
        <w:t xml:space="preserve">consistently exceeded the negotiated FRL for the period FY 2020 through FY 2022.  The negotiated FRL for each of the fiscal years was </w:t>
      </w:r>
      <w:r w:rsidR="00180E0F">
        <w:rPr>
          <w:rFonts w:asciiTheme="minorHAnsi" w:hAnsiTheme="minorHAnsi" w:cstheme="minorHAnsi"/>
        </w:rPr>
        <w:t>one</w:t>
      </w:r>
      <w:r w:rsidR="00A60140" w:rsidRPr="00FC3E1E">
        <w:rPr>
          <w:rFonts w:asciiTheme="minorHAnsi" w:hAnsiTheme="minorHAnsi" w:cstheme="minorHAnsi"/>
        </w:rPr>
        <w:t xml:space="preserve"> </w:t>
      </w:r>
      <w:r w:rsidR="00E7082D">
        <w:rPr>
          <w:rFonts w:asciiTheme="minorHAnsi" w:hAnsiTheme="minorHAnsi" w:cstheme="minorHAnsi"/>
        </w:rPr>
        <w:t>workday</w:t>
      </w:r>
      <w:r w:rsidR="00A60140" w:rsidRPr="00FC3E1E">
        <w:rPr>
          <w:rFonts w:asciiTheme="minorHAnsi" w:hAnsiTheme="minorHAnsi" w:cstheme="minorHAnsi"/>
        </w:rPr>
        <w:t xml:space="preserve">.  The </w:t>
      </w:r>
      <w:r w:rsidR="00DE3378">
        <w:rPr>
          <w:rFonts w:asciiTheme="minorHAnsi" w:hAnsiTheme="minorHAnsi" w:cstheme="minorHAnsi"/>
        </w:rPr>
        <w:t xml:space="preserve">OSHA </w:t>
      </w:r>
      <w:r w:rsidR="00A60140" w:rsidRPr="00FC3E1E">
        <w:rPr>
          <w:rFonts w:asciiTheme="minorHAnsi" w:hAnsiTheme="minorHAnsi" w:cstheme="minorHAnsi"/>
        </w:rPr>
        <w:t xml:space="preserve">Regional Office recognized that the FRL of </w:t>
      </w:r>
      <w:r w:rsidR="00980080">
        <w:rPr>
          <w:rFonts w:asciiTheme="minorHAnsi" w:hAnsiTheme="minorHAnsi" w:cstheme="minorHAnsi"/>
        </w:rPr>
        <w:t xml:space="preserve">one </w:t>
      </w:r>
      <w:r w:rsidR="00E7082D">
        <w:rPr>
          <w:rFonts w:asciiTheme="minorHAnsi" w:hAnsiTheme="minorHAnsi" w:cstheme="minorHAnsi"/>
        </w:rPr>
        <w:t>workday</w:t>
      </w:r>
      <w:r w:rsidR="00A60140" w:rsidRPr="00FC3E1E">
        <w:rPr>
          <w:rFonts w:asciiTheme="minorHAnsi" w:hAnsiTheme="minorHAnsi" w:cstheme="minorHAnsi"/>
        </w:rPr>
        <w:t xml:space="preserve"> was not achievable by the State Plan and negotiated with the State Plan for a more reasonable FRL of </w:t>
      </w:r>
      <w:r w:rsidR="00E7082D">
        <w:rPr>
          <w:rFonts w:asciiTheme="minorHAnsi" w:hAnsiTheme="minorHAnsi" w:cstheme="minorHAnsi"/>
        </w:rPr>
        <w:t>five</w:t>
      </w:r>
      <w:r w:rsidR="00A60140" w:rsidRPr="00FC3E1E">
        <w:rPr>
          <w:rFonts w:asciiTheme="minorHAnsi" w:hAnsiTheme="minorHAnsi" w:cstheme="minorHAnsi"/>
        </w:rPr>
        <w:t xml:space="preserve"> </w:t>
      </w:r>
      <w:r w:rsidR="00E7082D">
        <w:rPr>
          <w:rFonts w:asciiTheme="minorHAnsi" w:hAnsiTheme="minorHAnsi" w:cstheme="minorHAnsi"/>
        </w:rPr>
        <w:t>work</w:t>
      </w:r>
      <w:r w:rsidR="00A60140" w:rsidRPr="00FC3E1E">
        <w:rPr>
          <w:rFonts w:asciiTheme="minorHAnsi" w:hAnsiTheme="minorHAnsi" w:cstheme="minorHAnsi"/>
        </w:rPr>
        <w:t xml:space="preserve">days for FY 2023.  </w:t>
      </w:r>
      <w:r w:rsidR="00DE3378">
        <w:rPr>
          <w:rFonts w:asciiTheme="minorHAnsi" w:hAnsiTheme="minorHAnsi" w:cstheme="minorHAnsi"/>
        </w:rPr>
        <w:t>It should be noted that Wyoming OSHA</w:t>
      </w:r>
      <w:r w:rsidR="00A60140" w:rsidRPr="00FC3E1E">
        <w:rPr>
          <w:rFonts w:asciiTheme="minorHAnsi" w:hAnsiTheme="minorHAnsi" w:cstheme="minorHAnsi"/>
        </w:rPr>
        <w:t xml:space="preserve">’s number of workdays to initiate complaint inspections was approximately the same as </w:t>
      </w:r>
      <w:r w:rsidR="00F54382">
        <w:rPr>
          <w:rFonts w:asciiTheme="minorHAnsi" w:hAnsiTheme="minorHAnsi" w:cstheme="minorHAnsi"/>
        </w:rPr>
        <w:t xml:space="preserve">or below </w:t>
      </w:r>
      <w:r w:rsidR="00A60140" w:rsidRPr="00FC3E1E">
        <w:rPr>
          <w:rFonts w:asciiTheme="minorHAnsi" w:hAnsiTheme="minorHAnsi" w:cstheme="minorHAnsi"/>
        </w:rPr>
        <w:t>the nation</w:t>
      </w:r>
      <w:r w:rsidR="00E7082D">
        <w:rPr>
          <w:rFonts w:asciiTheme="minorHAnsi" w:hAnsiTheme="minorHAnsi" w:cstheme="minorHAnsi"/>
        </w:rPr>
        <w:t>al</w:t>
      </w:r>
      <w:r w:rsidR="00A60140" w:rsidRPr="00FC3E1E">
        <w:rPr>
          <w:rFonts w:asciiTheme="minorHAnsi" w:hAnsiTheme="minorHAnsi" w:cstheme="minorHAnsi"/>
        </w:rPr>
        <w:t xml:space="preserve"> average for </w:t>
      </w:r>
      <w:r w:rsidR="00DE3378">
        <w:rPr>
          <w:rFonts w:asciiTheme="minorHAnsi" w:hAnsiTheme="minorHAnsi" w:cstheme="minorHAnsi"/>
        </w:rPr>
        <w:t>FY 2020 through FY 2022</w:t>
      </w:r>
      <w:r w:rsidR="00A60140" w:rsidRPr="00FC3E1E">
        <w:rPr>
          <w:rFonts w:asciiTheme="minorHAnsi" w:hAnsiTheme="minorHAnsi" w:cstheme="minorHAnsi"/>
        </w:rPr>
        <w:t xml:space="preserve">.  OSHA anticipates that </w:t>
      </w:r>
      <w:r w:rsidR="00F54382">
        <w:rPr>
          <w:rFonts w:asciiTheme="minorHAnsi" w:hAnsiTheme="minorHAnsi" w:cstheme="minorHAnsi"/>
        </w:rPr>
        <w:t>Wyoming OSHA</w:t>
      </w:r>
      <w:r w:rsidR="00A60140" w:rsidRPr="00FC3E1E">
        <w:rPr>
          <w:rFonts w:asciiTheme="minorHAnsi" w:hAnsiTheme="minorHAnsi" w:cstheme="minorHAnsi"/>
        </w:rPr>
        <w:t xml:space="preserve"> will meet the FRL for FY 2023 given the adjustment of the negotiated FRL.  </w:t>
      </w:r>
      <w:proofErr w:type="gramStart"/>
      <w:r w:rsidR="00A60140" w:rsidRPr="00FC3E1E">
        <w:rPr>
          <w:rFonts w:asciiTheme="minorHAnsi" w:hAnsiTheme="minorHAnsi" w:cstheme="minorHAnsi"/>
        </w:rPr>
        <w:t>At this time</w:t>
      </w:r>
      <w:proofErr w:type="gramEnd"/>
      <w:r w:rsidR="00F54382">
        <w:rPr>
          <w:rFonts w:asciiTheme="minorHAnsi" w:hAnsiTheme="minorHAnsi" w:cstheme="minorHAnsi"/>
        </w:rPr>
        <w:t>,</w:t>
      </w:r>
      <w:r w:rsidR="00A60140" w:rsidRPr="00FC3E1E">
        <w:rPr>
          <w:rFonts w:asciiTheme="minorHAnsi" w:hAnsiTheme="minorHAnsi" w:cstheme="minorHAnsi"/>
        </w:rPr>
        <w:t xml:space="preserve"> an observation is not justified.</w:t>
      </w:r>
    </w:p>
    <w:p w14:paraId="3A78980A" w14:textId="77777777" w:rsidR="00C01AD4" w:rsidRPr="00FC3E1E" w:rsidRDefault="00C01AD4" w:rsidP="006349CB">
      <w:pPr>
        <w:widowControl/>
        <w:autoSpaceDE/>
        <w:adjustRightInd/>
        <w:rPr>
          <w:rFonts w:asciiTheme="minorHAnsi" w:hAnsiTheme="minorHAnsi" w:cstheme="minorHAnsi"/>
          <w:b/>
          <w:color w:val="FF0000"/>
        </w:rPr>
      </w:pPr>
    </w:p>
    <w:p w14:paraId="068266AF" w14:textId="19BAAEB7" w:rsidR="006349CB" w:rsidRPr="00FC3E1E" w:rsidRDefault="006349CB" w:rsidP="00861068">
      <w:pPr>
        <w:pStyle w:val="Heading4"/>
      </w:pPr>
      <w:r w:rsidRPr="00FC3E1E">
        <w:t>SAMM 5</w:t>
      </w:r>
      <w:r w:rsidR="00603501">
        <w:t>b</w:t>
      </w:r>
      <w:r w:rsidRPr="00FC3E1E">
        <w:t xml:space="preserve"> – Average Number of Violations per Inspection with Violations</w:t>
      </w:r>
      <w:r w:rsidR="00603501">
        <w:t xml:space="preserve"> (Other)</w:t>
      </w:r>
    </w:p>
    <w:p w14:paraId="53AA0863" w14:textId="77777777" w:rsidR="006349CB" w:rsidRPr="00FC3E1E" w:rsidRDefault="006349CB" w:rsidP="006349CB">
      <w:pPr>
        <w:widowControl/>
        <w:autoSpaceDE/>
        <w:adjustRightInd/>
        <w:rPr>
          <w:rFonts w:asciiTheme="minorHAnsi" w:hAnsiTheme="minorHAnsi" w:cstheme="minorHAnsi"/>
          <w:b/>
          <w:color w:val="FF0000"/>
        </w:rPr>
      </w:pPr>
    </w:p>
    <w:p w14:paraId="3D109C60" w14:textId="6FD4E3F4" w:rsidR="006349CB" w:rsidRPr="00FC3E1E" w:rsidRDefault="006349CB" w:rsidP="006349CB">
      <w:pPr>
        <w:widowControl/>
        <w:autoSpaceDE/>
        <w:adjustRightInd/>
        <w:rPr>
          <w:rFonts w:asciiTheme="minorHAnsi" w:hAnsiTheme="minorHAnsi" w:cstheme="minorHAnsi"/>
          <w:color w:val="FF0000"/>
        </w:rPr>
      </w:pPr>
      <w:r w:rsidRPr="00516EB0">
        <w:rPr>
          <w:rFonts w:asciiTheme="minorHAnsi" w:hAnsiTheme="minorHAnsi" w:cstheme="minorHAnsi"/>
          <w:u w:val="single"/>
        </w:rPr>
        <w:t>Discussion of State Plan Data and FRL</w:t>
      </w:r>
      <w:r w:rsidRPr="00676404">
        <w:rPr>
          <w:rFonts w:asciiTheme="minorHAnsi" w:hAnsiTheme="minorHAnsi" w:cstheme="minorHAnsi"/>
        </w:rPr>
        <w:t>:</w:t>
      </w:r>
      <w:r w:rsidRPr="00FC3E1E">
        <w:rPr>
          <w:rFonts w:asciiTheme="minorHAnsi" w:hAnsiTheme="minorHAnsi" w:cstheme="minorHAnsi"/>
        </w:rPr>
        <w:t xml:space="preserve">  The FRL for</w:t>
      </w:r>
      <w:r w:rsidR="00603501">
        <w:rPr>
          <w:rFonts w:asciiTheme="minorHAnsi" w:hAnsiTheme="minorHAnsi" w:cstheme="minorHAnsi"/>
        </w:rPr>
        <w:t xml:space="preserve"> the</w:t>
      </w:r>
      <w:r w:rsidRPr="00FC3E1E">
        <w:rPr>
          <w:rFonts w:asciiTheme="minorHAnsi" w:hAnsiTheme="minorHAnsi" w:cstheme="minorHAnsi"/>
        </w:rPr>
        <w:t xml:space="preserve"> average number of violations per inspection with violation</w:t>
      </w:r>
      <w:r w:rsidR="00E119D7">
        <w:rPr>
          <w:rFonts w:asciiTheme="minorHAnsi" w:hAnsiTheme="minorHAnsi" w:cstheme="minorHAnsi"/>
        </w:rPr>
        <w:t>s</w:t>
      </w:r>
      <w:r w:rsidRPr="00FC3E1E">
        <w:rPr>
          <w:rFonts w:asciiTheme="minorHAnsi" w:hAnsiTheme="minorHAnsi" w:cstheme="minorHAnsi"/>
        </w:rPr>
        <w:t xml:space="preserve"> (</w:t>
      </w:r>
      <w:r w:rsidR="00E2240E" w:rsidRPr="00FC3E1E">
        <w:rPr>
          <w:rFonts w:asciiTheme="minorHAnsi" w:hAnsiTheme="minorHAnsi" w:cstheme="minorHAnsi"/>
        </w:rPr>
        <w:t>other</w:t>
      </w:r>
      <w:r w:rsidRPr="00FC3E1E">
        <w:rPr>
          <w:rFonts w:asciiTheme="minorHAnsi" w:hAnsiTheme="minorHAnsi" w:cstheme="minorHAnsi"/>
        </w:rPr>
        <w:t xml:space="preserve">) </w:t>
      </w:r>
      <w:r w:rsidR="00925513" w:rsidRPr="00FC3E1E">
        <w:rPr>
          <w:rFonts w:asciiTheme="minorHAnsi" w:hAnsiTheme="minorHAnsi" w:cstheme="minorHAnsi"/>
        </w:rPr>
        <w:t>was</w:t>
      </w:r>
      <w:r w:rsidRPr="00FC3E1E">
        <w:rPr>
          <w:rFonts w:asciiTheme="minorHAnsi" w:hAnsiTheme="minorHAnsi" w:cstheme="minorHAnsi"/>
        </w:rPr>
        <w:t xml:space="preserve"> a range of </w:t>
      </w:r>
      <w:r w:rsidR="00E2240E" w:rsidRPr="00FC3E1E">
        <w:rPr>
          <w:rFonts w:asciiTheme="minorHAnsi" w:hAnsiTheme="minorHAnsi" w:cstheme="minorHAnsi"/>
        </w:rPr>
        <w:t>0.72</w:t>
      </w:r>
      <w:r w:rsidRPr="00FC3E1E">
        <w:rPr>
          <w:rFonts w:asciiTheme="minorHAnsi" w:hAnsiTheme="minorHAnsi" w:cstheme="minorHAnsi"/>
        </w:rPr>
        <w:t xml:space="preserve"> to </w:t>
      </w:r>
      <w:r w:rsidR="00E2240E" w:rsidRPr="00FC3E1E">
        <w:rPr>
          <w:rFonts w:asciiTheme="minorHAnsi" w:hAnsiTheme="minorHAnsi" w:cstheme="minorHAnsi"/>
        </w:rPr>
        <w:t>1.08</w:t>
      </w:r>
      <w:r w:rsidRPr="00FC3E1E">
        <w:rPr>
          <w:rFonts w:asciiTheme="minorHAnsi" w:hAnsiTheme="minorHAnsi" w:cstheme="minorHAnsi"/>
        </w:rPr>
        <w:t>.  The State Plan’s average number of violations per inspection with violation (</w:t>
      </w:r>
      <w:r w:rsidR="00E2240E" w:rsidRPr="00FC3E1E">
        <w:rPr>
          <w:rFonts w:asciiTheme="minorHAnsi" w:hAnsiTheme="minorHAnsi" w:cstheme="minorHAnsi"/>
        </w:rPr>
        <w:t>other</w:t>
      </w:r>
      <w:r w:rsidRPr="00FC3E1E">
        <w:rPr>
          <w:rFonts w:asciiTheme="minorHAnsi" w:hAnsiTheme="minorHAnsi" w:cstheme="minorHAnsi"/>
        </w:rPr>
        <w:t xml:space="preserve">) </w:t>
      </w:r>
      <w:r w:rsidR="00925513" w:rsidRPr="00FC3E1E">
        <w:rPr>
          <w:rFonts w:asciiTheme="minorHAnsi" w:hAnsiTheme="minorHAnsi" w:cstheme="minorHAnsi"/>
        </w:rPr>
        <w:t>was</w:t>
      </w:r>
      <w:r w:rsidRPr="00FC3E1E">
        <w:rPr>
          <w:rFonts w:asciiTheme="minorHAnsi" w:hAnsiTheme="minorHAnsi" w:cstheme="minorHAnsi"/>
        </w:rPr>
        <w:t xml:space="preserve"> </w:t>
      </w:r>
      <w:r w:rsidR="00E2240E" w:rsidRPr="00FC3E1E">
        <w:rPr>
          <w:rFonts w:asciiTheme="minorHAnsi" w:hAnsiTheme="minorHAnsi" w:cstheme="minorHAnsi"/>
        </w:rPr>
        <w:t>0.49</w:t>
      </w:r>
      <w:r w:rsidRPr="00FC3E1E">
        <w:rPr>
          <w:rFonts w:asciiTheme="minorHAnsi" w:hAnsiTheme="minorHAnsi" w:cstheme="minorHAnsi"/>
        </w:rPr>
        <w:t xml:space="preserve">, which </w:t>
      </w:r>
      <w:r w:rsidR="00925513" w:rsidRPr="00FC3E1E">
        <w:rPr>
          <w:rFonts w:asciiTheme="minorHAnsi" w:hAnsiTheme="minorHAnsi" w:cstheme="minorHAnsi"/>
        </w:rPr>
        <w:t>was</w:t>
      </w:r>
      <w:r w:rsidR="00CB7235">
        <w:rPr>
          <w:rFonts w:asciiTheme="minorHAnsi" w:hAnsiTheme="minorHAnsi" w:cstheme="minorHAnsi"/>
        </w:rPr>
        <w:t xml:space="preserve"> </w:t>
      </w:r>
      <w:r w:rsidR="00603501">
        <w:rPr>
          <w:rFonts w:asciiTheme="minorHAnsi" w:hAnsiTheme="minorHAnsi" w:cstheme="minorHAnsi"/>
        </w:rPr>
        <w:t>below</w:t>
      </w:r>
      <w:r w:rsidRPr="00FC3E1E">
        <w:rPr>
          <w:rFonts w:asciiTheme="minorHAnsi" w:hAnsiTheme="minorHAnsi" w:cstheme="minorHAnsi"/>
        </w:rPr>
        <w:t xml:space="preserve"> the FRL.   </w:t>
      </w:r>
    </w:p>
    <w:p w14:paraId="414BE39F" w14:textId="77777777" w:rsidR="006349CB" w:rsidRPr="00FC3E1E" w:rsidRDefault="006349CB" w:rsidP="006349CB">
      <w:pPr>
        <w:widowControl/>
        <w:autoSpaceDE/>
        <w:adjustRightInd/>
        <w:rPr>
          <w:rFonts w:asciiTheme="minorHAnsi" w:hAnsiTheme="minorHAnsi" w:cstheme="minorHAnsi"/>
          <w:color w:val="FF0000"/>
        </w:rPr>
      </w:pPr>
    </w:p>
    <w:p w14:paraId="17680EF3" w14:textId="20BE2587" w:rsidR="006349CB" w:rsidRPr="00FC3E1E" w:rsidRDefault="006349CB" w:rsidP="00CB6442">
      <w:pPr>
        <w:widowControl/>
        <w:autoSpaceDE/>
        <w:autoSpaceDN/>
        <w:adjustRightInd/>
        <w:rPr>
          <w:rFonts w:asciiTheme="minorHAnsi" w:hAnsiTheme="minorHAnsi" w:cstheme="minorHAnsi"/>
        </w:rPr>
      </w:pPr>
      <w:r w:rsidRPr="00516EB0">
        <w:rPr>
          <w:rFonts w:asciiTheme="minorHAnsi" w:hAnsiTheme="minorHAnsi" w:cstheme="minorHAnsi"/>
          <w:u w:val="single"/>
        </w:rPr>
        <w:lastRenderedPageBreak/>
        <w:t>Explanation:</w:t>
      </w:r>
      <w:r w:rsidRPr="00FC3E1E">
        <w:rPr>
          <w:rFonts w:asciiTheme="minorHAnsi" w:hAnsiTheme="minorHAnsi" w:cstheme="minorHAnsi"/>
        </w:rPr>
        <w:t xml:space="preserve"> </w:t>
      </w:r>
      <w:r w:rsidR="00716BCA" w:rsidRPr="00FC3E1E">
        <w:rPr>
          <w:rFonts w:asciiTheme="minorHAnsi" w:hAnsiTheme="minorHAnsi" w:cstheme="minorHAnsi"/>
        </w:rPr>
        <w:t xml:space="preserve"> </w:t>
      </w:r>
      <w:r w:rsidR="00603501">
        <w:rPr>
          <w:rFonts w:asciiTheme="minorHAnsi" w:hAnsiTheme="minorHAnsi" w:cstheme="minorHAnsi"/>
        </w:rPr>
        <w:t xml:space="preserve">Although Wyoming OSHA’s average number of other-than-serious (OTS) violations per inspection </w:t>
      </w:r>
      <w:r w:rsidR="00603501" w:rsidRPr="0069284D">
        <w:rPr>
          <w:rFonts w:asciiTheme="minorHAnsi" w:hAnsiTheme="minorHAnsi" w:cstheme="minorHAnsi"/>
        </w:rPr>
        <w:t xml:space="preserve">was </w:t>
      </w:r>
      <w:r w:rsidR="0069284D">
        <w:rPr>
          <w:rFonts w:asciiTheme="minorHAnsi" w:hAnsiTheme="minorHAnsi" w:cstheme="minorHAnsi"/>
        </w:rPr>
        <w:t>below the FRL</w:t>
      </w:r>
      <w:r w:rsidR="00603501">
        <w:rPr>
          <w:rFonts w:asciiTheme="minorHAnsi" w:hAnsiTheme="minorHAnsi" w:cstheme="minorHAnsi"/>
        </w:rPr>
        <w:t>, t</w:t>
      </w:r>
      <w:r w:rsidR="007D00C9" w:rsidRPr="00FC3E1E">
        <w:rPr>
          <w:rFonts w:asciiTheme="minorHAnsi" w:hAnsiTheme="minorHAnsi" w:cstheme="minorHAnsi"/>
        </w:rPr>
        <w:t xml:space="preserve">he State Plan increased its </w:t>
      </w:r>
      <w:r w:rsidR="00EE633B">
        <w:rPr>
          <w:rFonts w:asciiTheme="minorHAnsi" w:hAnsiTheme="minorHAnsi" w:cstheme="minorHAnsi"/>
        </w:rPr>
        <w:t xml:space="preserve">average </w:t>
      </w:r>
      <w:r w:rsidR="007D00C9" w:rsidRPr="00FC3E1E">
        <w:rPr>
          <w:rFonts w:asciiTheme="minorHAnsi" w:hAnsiTheme="minorHAnsi" w:cstheme="minorHAnsi"/>
        </w:rPr>
        <w:t>from 0.27 in FY 2021 to 0.49 in FY 2022</w:t>
      </w:r>
      <w:r w:rsidR="00603501">
        <w:rPr>
          <w:rFonts w:asciiTheme="minorHAnsi" w:hAnsiTheme="minorHAnsi" w:cstheme="minorHAnsi"/>
        </w:rPr>
        <w:t>, a move in the right direction</w:t>
      </w:r>
      <w:r w:rsidR="007D00C9" w:rsidRPr="00FC3E1E">
        <w:rPr>
          <w:rFonts w:asciiTheme="minorHAnsi" w:hAnsiTheme="minorHAnsi" w:cstheme="minorHAnsi"/>
        </w:rPr>
        <w:t xml:space="preserve">.  </w:t>
      </w:r>
      <w:r w:rsidR="00603501">
        <w:rPr>
          <w:rFonts w:asciiTheme="minorHAnsi" w:hAnsiTheme="minorHAnsi" w:cstheme="minorHAnsi"/>
        </w:rPr>
        <w:t>While a</w:t>
      </w:r>
      <w:r w:rsidR="000B6969">
        <w:rPr>
          <w:rFonts w:asciiTheme="minorHAnsi" w:hAnsiTheme="minorHAnsi" w:cstheme="minorHAnsi"/>
        </w:rPr>
        <w:t>n</w:t>
      </w:r>
      <w:r w:rsidR="00062531">
        <w:rPr>
          <w:rFonts w:asciiTheme="minorHAnsi" w:hAnsiTheme="minorHAnsi" w:cstheme="minorHAnsi"/>
        </w:rPr>
        <w:t xml:space="preserve"> </w:t>
      </w:r>
      <w:r w:rsidR="007D00C9" w:rsidRPr="00FC3E1E">
        <w:rPr>
          <w:rFonts w:asciiTheme="minorHAnsi" w:hAnsiTheme="minorHAnsi" w:cstheme="minorHAnsi"/>
        </w:rPr>
        <w:t>observation is not justified at this time</w:t>
      </w:r>
      <w:r w:rsidR="00603501">
        <w:rPr>
          <w:rFonts w:asciiTheme="minorHAnsi" w:hAnsiTheme="minorHAnsi" w:cstheme="minorHAnsi"/>
        </w:rPr>
        <w:t xml:space="preserve">, </w:t>
      </w:r>
      <w:r w:rsidR="00DE3378">
        <w:rPr>
          <w:rFonts w:asciiTheme="minorHAnsi" w:hAnsiTheme="minorHAnsi" w:cstheme="minorHAnsi"/>
        </w:rPr>
        <w:t xml:space="preserve">OSHA </w:t>
      </w:r>
      <w:r w:rsidR="00603501">
        <w:rPr>
          <w:rFonts w:asciiTheme="minorHAnsi" w:hAnsiTheme="minorHAnsi" w:cstheme="minorHAnsi"/>
        </w:rPr>
        <w:t xml:space="preserve">will continue to monitor this </w:t>
      </w:r>
      <w:r w:rsidR="00E119D7">
        <w:rPr>
          <w:rFonts w:asciiTheme="minorHAnsi" w:hAnsiTheme="minorHAnsi" w:cstheme="minorHAnsi"/>
        </w:rPr>
        <w:t>SAMM</w:t>
      </w:r>
      <w:r w:rsidR="00603501">
        <w:rPr>
          <w:rFonts w:asciiTheme="minorHAnsi" w:hAnsiTheme="minorHAnsi" w:cstheme="minorHAnsi"/>
        </w:rPr>
        <w:t xml:space="preserve"> with the State Plan throughout FY 2023</w:t>
      </w:r>
      <w:r w:rsidR="00CB6442" w:rsidRPr="00FC3E1E">
        <w:rPr>
          <w:rFonts w:asciiTheme="minorHAnsi" w:hAnsiTheme="minorHAnsi" w:cstheme="minorHAnsi"/>
        </w:rPr>
        <w:t>.</w:t>
      </w:r>
    </w:p>
    <w:p w14:paraId="0E123EFF" w14:textId="77777777" w:rsidR="006349CB" w:rsidRPr="00FC3E1E" w:rsidRDefault="006349CB" w:rsidP="006349CB">
      <w:pPr>
        <w:widowControl/>
        <w:autoSpaceDE/>
        <w:adjustRightInd/>
        <w:rPr>
          <w:rFonts w:asciiTheme="minorHAnsi" w:hAnsiTheme="minorHAnsi" w:cstheme="minorHAnsi"/>
          <w:b/>
          <w:color w:val="FF0000"/>
        </w:rPr>
      </w:pPr>
    </w:p>
    <w:p w14:paraId="6D077162" w14:textId="77777777" w:rsidR="006349CB" w:rsidRPr="00FC3E1E" w:rsidRDefault="006349CB" w:rsidP="00861068">
      <w:pPr>
        <w:pStyle w:val="Heading4"/>
      </w:pPr>
      <w:r w:rsidRPr="00FC3E1E">
        <w:t>SAMM 6 – Percent of Total Inspections in State and Local Government Workplaces</w:t>
      </w:r>
    </w:p>
    <w:p w14:paraId="5195B802" w14:textId="77777777" w:rsidR="006349CB" w:rsidRPr="00FC3E1E" w:rsidRDefault="006349CB" w:rsidP="006349CB">
      <w:pPr>
        <w:widowControl/>
        <w:autoSpaceDE/>
        <w:adjustRightInd/>
        <w:rPr>
          <w:rFonts w:asciiTheme="minorHAnsi" w:hAnsiTheme="minorHAnsi" w:cstheme="minorHAnsi"/>
          <w:b/>
          <w:color w:val="FF0000"/>
        </w:rPr>
      </w:pPr>
    </w:p>
    <w:p w14:paraId="77C104DB" w14:textId="1A7ECD88" w:rsidR="006349CB" w:rsidRPr="00FC3E1E" w:rsidRDefault="006349CB" w:rsidP="006349CB">
      <w:pPr>
        <w:widowControl/>
        <w:autoSpaceDE/>
        <w:adjustRightInd/>
        <w:rPr>
          <w:rFonts w:asciiTheme="minorHAnsi" w:hAnsiTheme="minorHAnsi" w:cstheme="minorHAnsi"/>
        </w:rPr>
      </w:pPr>
      <w:r w:rsidRPr="00516EB0">
        <w:rPr>
          <w:rFonts w:asciiTheme="minorHAnsi" w:hAnsiTheme="minorHAnsi" w:cstheme="minorHAnsi"/>
          <w:u w:val="single"/>
        </w:rPr>
        <w:t>Discussion of State Plan Data and FRL:</w:t>
      </w:r>
      <w:r w:rsidRPr="00FC3E1E">
        <w:rPr>
          <w:rFonts w:asciiTheme="minorHAnsi" w:hAnsiTheme="minorHAnsi" w:cstheme="minorHAnsi"/>
        </w:rPr>
        <w:t xml:space="preserve">  The FRL for </w:t>
      </w:r>
      <w:r w:rsidR="001023C6">
        <w:rPr>
          <w:rFonts w:asciiTheme="minorHAnsi" w:hAnsiTheme="minorHAnsi" w:cstheme="minorHAnsi"/>
        </w:rPr>
        <w:t xml:space="preserve">the </w:t>
      </w:r>
      <w:r w:rsidRPr="00FC3E1E">
        <w:rPr>
          <w:rFonts w:asciiTheme="minorHAnsi" w:hAnsiTheme="minorHAnsi" w:cstheme="minorHAnsi"/>
        </w:rPr>
        <w:t xml:space="preserve">percent of total inspections in state and local government workplaces </w:t>
      </w:r>
      <w:r w:rsidR="00925513" w:rsidRPr="00FC3E1E">
        <w:rPr>
          <w:rFonts w:asciiTheme="minorHAnsi" w:hAnsiTheme="minorHAnsi" w:cstheme="minorHAnsi"/>
        </w:rPr>
        <w:t>was</w:t>
      </w:r>
      <w:r w:rsidRPr="00FC3E1E">
        <w:rPr>
          <w:rFonts w:asciiTheme="minorHAnsi" w:hAnsiTheme="minorHAnsi" w:cstheme="minorHAnsi"/>
        </w:rPr>
        <w:t xml:space="preserve"> a range of </w:t>
      </w:r>
      <w:r w:rsidR="006558A7" w:rsidRPr="00FC3E1E">
        <w:rPr>
          <w:rFonts w:asciiTheme="minorHAnsi" w:hAnsiTheme="minorHAnsi" w:cstheme="minorHAnsi"/>
        </w:rPr>
        <w:t>2.02</w:t>
      </w:r>
      <w:r w:rsidRPr="00FC3E1E">
        <w:rPr>
          <w:rFonts w:asciiTheme="minorHAnsi" w:hAnsiTheme="minorHAnsi" w:cstheme="minorHAnsi"/>
        </w:rPr>
        <w:t xml:space="preserve">% to </w:t>
      </w:r>
      <w:r w:rsidR="006558A7" w:rsidRPr="00FC3E1E">
        <w:rPr>
          <w:rFonts w:asciiTheme="minorHAnsi" w:hAnsiTheme="minorHAnsi" w:cstheme="minorHAnsi"/>
        </w:rPr>
        <w:t>2.23</w:t>
      </w:r>
      <w:r w:rsidRPr="00FC3E1E">
        <w:rPr>
          <w:rFonts w:asciiTheme="minorHAnsi" w:hAnsiTheme="minorHAnsi" w:cstheme="minorHAnsi"/>
        </w:rPr>
        <w:t xml:space="preserve">%.  The State Plan’s </w:t>
      </w:r>
      <w:r w:rsidR="000856B1">
        <w:rPr>
          <w:rFonts w:asciiTheme="minorHAnsi" w:hAnsiTheme="minorHAnsi" w:cstheme="minorHAnsi"/>
        </w:rPr>
        <w:t>result of</w:t>
      </w:r>
      <w:r w:rsidRPr="00FC3E1E">
        <w:rPr>
          <w:rFonts w:asciiTheme="minorHAnsi" w:hAnsiTheme="minorHAnsi" w:cstheme="minorHAnsi"/>
        </w:rPr>
        <w:t xml:space="preserve"> </w:t>
      </w:r>
      <w:r w:rsidR="006558A7" w:rsidRPr="00FC3E1E">
        <w:rPr>
          <w:rFonts w:asciiTheme="minorHAnsi" w:hAnsiTheme="minorHAnsi" w:cstheme="minorHAnsi"/>
        </w:rPr>
        <w:t>2.87</w:t>
      </w:r>
      <w:r w:rsidRPr="00FC3E1E">
        <w:rPr>
          <w:rFonts w:asciiTheme="minorHAnsi" w:hAnsiTheme="minorHAnsi" w:cstheme="minorHAnsi"/>
        </w:rPr>
        <w:t xml:space="preserve">% </w:t>
      </w:r>
      <w:r w:rsidR="00925513" w:rsidRPr="00FC3E1E">
        <w:rPr>
          <w:rFonts w:asciiTheme="minorHAnsi" w:hAnsiTheme="minorHAnsi" w:cstheme="minorHAnsi"/>
        </w:rPr>
        <w:t>was</w:t>
      </w:r>
      <w:r w:rsidRPr="00FC3E1E">
        <w:rPr>
          <w:rFonts w:asciiTheme="minorHAnsi" w:hAnsiTheme="minorHAnsi" w:cstheme="minorHAnsi"/>
        </w:rPr>
        <w:t xml:space="preserve"> slightly </w:t>
      </w:r>
      <w:r w:rsidR="001023C6">
        <w:rPr>
          <w:rFonts w:asciiTheme="minorHAnsi" w:hAnsiTheme="minorHAnsi" w:cstheme="minorHAnsi"/>
        </w:rPr>
        <w:t>above</w:t>
      </w:r>
      <w:r w:rsidR="001023C6" w:rsidRPr="00FC3E1E">
        <w:rPr>
          <w:rFonts w:asciiTheme="minorHAnsi" w:hAnsiTheme="minorHAnsi" w:cstheme="minorHAnsi"/>
        </w:rPr>
        <w:t xml:space="preserve"> </w:t>
      </w:r>
      <w:r w:rsidRPr="00FC3E1E">
        <w:rPr>
          <w:rFonts w:asciiTheme="minorHAnsi" w:hAnsiTheme="minorHAnsi" w:cstheme="minorHAnsi"/>
        </w:rPr>
        <w:t>the FRL.</w:t>
      </w:r>
      <w:r w:rsidR="00D9603E">
        <w:rPr>
          <w:rFonts w:asciiTheme="minorHAnsi" w:hAnsiTheme="minorHAnsi" w:cstheme="minorHAnsi"/>
        </w:rPr>
        <w:t xml:space="preserve">  </w:t>
      </w:r>
    </w:p>
    <w:p w14:paraId="42E4477C" w14:textId="77777777" w:rsidR="006349CB" w:rsidRPr="00FC3E1E" w:rsidRDefault="006349CB" w:rsidP="006349CB">
      <w:pPr>
        <w:widowControl/>
        <w:autoSpaceDE/>
        <w:adjustRightInd/>
        <w:rPr>
          <w:rFonts w:asciiTheme="minorHAnsi" w:hAnsiTheme="minorHAnsi" w:cstheme="minorHAnsi"/>
          <w:color w:val="FF0000"/>
        </w:rPr>
      </w:pPr>
    </w:p>
    <w:p w14:paraId="4A9738B0" w14:textId="02D63DA8" w:rsidR="006349CB" w:rsidRPr="00FC3E1E" w:rsidRDefault="006349CB" w:rsidP="006349CB">
      <w:pPr>
        <w:widowControl/>
        <w:autoSpaceDE/>
        <w:autoSpaceDN/>
        <w:adjustRightInd/>
        <w:rPr>
          <w:rFonts w:asciiTheme="minorHAnsi" w:hAnsiTheme="minorHAnsi" w:cstheme="minorHAnsi"/>
        </w:rPr>
      </w:pPr>
      <w:r w:rsidRPr="00516EB0">
        <w:rPr>
          <w:rFonts w:asciiTheme="minorHAnsi" w:hAnsiTheme="minorHAnsi" w:cstheme="minorHAnsi"/>
          <w:u w:val="single"/>
        </w:rPr>
        <w:t>Explanation:</w:t>
      </w:r>
      <w:r w:rsidR="00D7143E" w:rsidRPr="00FC3E1E">
        <w:rPr>
          <w:rFonts w:asciiTheme="minorHAnsi" w:hAnsiTheme="minorHAnsi" w:cstheme="minorHAnsi"/>
        </w:rPr>
        <w:t xml:space="preserve">  </w:t>
      </w:r>
      <w:r w:rsidR="000856B1">
        <w:rPr>
          <w:rFonts w:asciiTheme="minorHAnsi" w:hAnsiTheme="minorHAnsi" w:cstheme="minorHAnsi"/>
        </w:rPr>
        <w:t xml:space="preserve">In FY 2021, Wyoming OSHA and the </w:t>
      </w:r>
      <w:r w:rsidR="001023C6">
        <w:rPr>
          <w:rFonts w:asciiTheme="minorHAnsi" w:hAnsiTheme="minorHAnsi" w:cstheme="minorHAnsi"/>
        </w:rPr>
        <w:t xml:space="preserve">OSHA </w:t>
      </w:r>
      <w:r w:rsidR="000856B1">
        <w:rPr>
          <w:rFonts w:asciiTheme="minorHAnsi" w:hAnsiTheme="minorHAnsi" w:cstheme="minorHAnsi"/>
        </w:rPr>
        <w:t>Region</w:t>
      </w:r>
      <w:r w:rsidR="001023C6">
        <w:rPr>
          <w:rFonts w:asciiTheme="minorHAnsi" w:hAnsiTheme="minorHAnsi" w:cstheme="minorHAnsi"/>
        </w:rPr>
        <w:t>al Office</w:t>
      </w:r>
      <w:r w:rsidR="000856B1">
        <w:rPr>
          <w:rFonts w:asciiTheme="minorHAnsi" w:hAnsiTheme="minorHAnsi" w:cstheme="minorHAnsi"/>
        </w:rPr>
        <w:t xml:space="preserve"> re</w:t>
      </w:r>
      <w:r w:rsidR="000D2D28" w:rsidRPr="00FC3E1E">
        <w:rPr>
          <w:rFonts w:asciiTheme="minorHAnsi" w:hAnsiTheme="minorHAnsi" w:cstheme="minorHAnsi"/>
        </w:rPr>
        <w:t xml:space="preserve">negotiated the </w:t>
      </w:r>
      <w:r w:rsidR="000856B1">
        <w:rPr>
          <w:rFonts w:asciiTheme="minorHAnsi" w:hAnsiTheme="minorHAnsi" w:cstheme="minorHAnsi"/>
        </w:rPr>
        <w:t xml:space="preserve">SAMM 6 </w:t>
      </w:r>
      <w:r w:rsidR="000D2D28" w:rsidRPr="00FC3E1E">
        <w:rPr>
          <w:rFonts w:asciiTheme="minorHAnsi" w:hAnsiTheme="minorHAnsi" w:cstheme="minorHAnsi"/>
        </w:rPr>
        <w:t>FRL</w:t>
      </w:r>
      <w:r w:rsidR="000856B1">
        <w:rPr>
          <w:rFonts w:asciiTheme="minorHAnsi" w:hAnsiTheme="minorHAnsi" w:cstheme="minorHAnsi"/>
        </w:rPr>
        <w:t>, going</w:t>
      </w:r>
      <w:r w:rsidR="000D2D28" w:rsidRPr="00FC3E1E">
        <w:rPr>
          <w:rFonts w:asciiTheme="minorHAnsi" w:hAnsiTheme="minorHAnsi" w:cstheme="minorHAnsi"/>
        </w:rPr>
        <w:t xml:space="preserve"> from 20.24% to 2.13%.  The State Plan </w:t>
      </w:r>
      <w:r w:rsidR="000856B1">
        <w:rPr>
          <w:rFonts w:asciiTheme="minorHAnsi" w:hAnsiTheme="minorHAnsi" w:cstheme="minorHAnsi"/>
        </w:rPr>
        <w:t xml:space="preserve">has </w:t>
      </w:r>
      <w:r w:rsidR="000D2D28" w:rsidRPr="00FC3E1E">
        <w:rPr>
          <w:rFonts w:asciiTheme="minorHAnsi" w:hAnsiTheme="minorHAnsi" w:cstheme="minorHAnsi"/>
        </w:rPr>
        <w:t xml:space="preserve">exceeded the FRL for </w:t>
      </w:r>
      <w:r w:rsidR="000856B1">
        <w:rPr>
          <w:rFonts w:asciiTheme="minorHAnsi" w:hAnsiTheme="minorHAnsi" w:cstheme="minorHAnsi"/>
        </w:rPr>
        <w:t>SAMM 6 ever since the renegotiation</w:t>
      </w:r>
      <w:r w:rsidR="000D2D28" w:rsidRPr="00FC3E1E">
        <w:rPr>
          <w:rFonts w:asciiTheme="minorHAnsi" w:hAnsiTheme="minorHAnsi" w:cstheme="minorHAnsi"/>
        </w:rPr>
        <w:t xml:space="preserve">.  </w:t>
      </w:r>
    </w:p>
    <w:p w14:paraId="26668D35" w14:textId="77777777" w:rsidR="006349CB" w:rsidRPr="00FC3E1E" w:rsidRDefault="006349CB" w:rsidP="006349CB">
      <w:pPr>
        <w:widowControl/>
        <w:autoSpaceDE/>
        <w:autoSpaceDN/>
        <w:adjustRightInd/>
        <w:rPr>
          <w:rFonts w:asciiTheme="minorHAnsi" w:hAnsiTheme="minorHAnsi" w:cstheme="minorHAnsi"/>
          <w:color w:val="FF0000"/>
        </w:rPr>
      </w:pPr>
    </w:p>
    <w:p w14:paraId="4743F8DB" w14:textId="22A5FC07" w:rsidR="006349CB" w:rsidRPr="00FC3E1E" w:rsidRDefault="006349CB" w:rsidP="00861068">
      <w:pPr>
        <w:pStyle w:val="Heading4"/>
      </w:pPr>
      <w:r w:rsidRPr="00FC3E1E">
        <w:t>SAMM 7</w:t>
      </w:r>
      <w:r w:rsidR="00F66FFE">
        <w:t>b</w:t>
      </w:r>
      <w:r w:rsidRPr="00FC3E1E">
        <w:t xml:space="preserve"> – Planned v. Actual Inspections</w:t>
      </w:r>
      <w:r w:rsidR="00F66FFE">
        <w:t xml:space="preserve"> (Health)</w:t>
      </w:r>
    </w:p>
    <w:p w14:paraId="15AEB1CB" w14:textId="77777777" w:rsidR="006349CB" w:rsidRPr="00FC3E1E" w:rsidRDefault="006349CB" w:rsidP="006349CB">
      <w:pPr>
        <w:widowControl/>
        <w:autoSpaceDE/>
        <w:adjustRightInd/>
        <w:rPr>
          <w:rFonts w:asciiTheme="minorHAnsi" w:hAnsiTheme="minorHAnsi" w:cstheme="minorHAnsi"/>
          <w:b/>
          <w:color w:val="FF0000"/>
        </w:rPr>
      </w:pPr>
    </w:p>
    <w:p w14:paraId="69E7701E" w14:textId="6DDDBEE8" w:rsidR="006349CB" w:rsidRPr="00FC3E1E" w:rsidRDefault="006349CB" w:rsidP="006349CB">
      <w:pPr>
        <w:widowControl/>
        <w:autoSpaceDE/>
        <w:adjustRightInd/>
        <w:rPr>
          <w:rFonts w:asciiTheme="minorHAnsi" w:hAnsiTheme="minorHAnsi" w:cstheme="minorHAnsi"/>
          <w:color w:val="FF0000"/>
        </w:rPr>
      </w:pPr>
      <w:r w:rsidRPr="00516EB0">
        <w:rPr>
          <w:rFonts w:asciiTheme="minorHAnsi" w:hAnsiTheme="minorHAnsi" w:cstheme="minorHAnsi"/>
          <w:u w:val="single"/>
        </w:rPr>
        <w:t>Discussion of State Plan Data and FRL:</w:t>
      </w:r>
      <w:r w:rsidRPr="00FC3E1E">
        <w:rPr>
          <w:rFonts w:asciiTheme="minorHAnsi" w:hAnsiTheme="minorHAnsi" w:cstheme="minorHAnsi"/>
        </w:rPr>
        <w:t xml:space="preserve">  The FRL for planned versus actual health inspections </w:t>
      </w:r>
      <w:r w:rsidR="00925513" w:rsidRPr="00FC3E1E">
        <w:rPr>
          <w:rFonts w:asciiTheme="minorHAnsi" w:hAnsiTheme="minorHAnsi" w:cstheme="minorHAnsi"/>
        </w:rPr>
        <w:t>was</w:t>
      </w:r>
      <w:r w:rsidRPr="00FC3E1E">
        <w:rPr>
          <w:rFonts w:asciiTheme="minorHAnsi" w:hAnsiTheme="minorHAnsi" w:cstheme="minorHAnsi"/>
        </w:rPr>
        <w:t xml:space="preserve"> a range of </w:t>
      </w:r>
      <w:r w:rsidR="00F06D49" w:rsidRPr="00FC3E1E">
        <w:rPr>
          <w:rFonts w:asciiTheme="minorHAnsi" w:hAnsiTheme="minorHAnsi" w:cstheme="minorHAnsi"/>
        </w:rPr>
        <w:t>14.25</w:t>
      </w:r>
      <w:r w:rsidRPr="00FC3E1E">
        <w:rPr>
          <w:rFonts w:asciiTheme="minorHAnsi" w:hAnsiTheme="minorHAnsi" w:cstheme="minorHAnsi"/>
        </w:rPr>
        <w:t xml:space="preserve"> to </w:t>
      </w:r>
      <w:r w:rsidR="00F06D49" w:rsidRPr="00FC3E1E">
        <w:rPr>
          <w:rFonts w:asciiTheme="minorHAnsi" w:hAnsiTheme="minorHAnsi" w:cstheme="minorHAnsi"/>
        </w:rPr>
        <w:t>15.75</w:t>
      </w:r>
      <w:r w:rsidRPr="00FC3E1E">
        <w:rPr>
          <w:rFonts w:asciiTheme="minorHAnsi" w:hAnsiTheme="minorHAnsi" w:cstheme="minorHAnsi"/>
        </w:rPr>
        <w:t xml:space="preserve">.  The State Plan’s actual number of </w:t>
      </w:r>
      <w:r w:rsidR="001A438F">
        <w:rPr>
          <w:rFonts w:asciiTheme="minorHAnsi" w:hAnsiTheme="minorHAnsi" w:cstheme="minorHAnsi"/>
        </w:rPr>
        <w:t>health</w:t>
      </w:r>
      <w:r w:rsidR="001A438F" w:rsidRPr="00FC3E1E">
        <w:rPr>
          <w:rFonts w:asciiTheme="minorHAnsi" w:hAnsiTheme="minorHAnsi" w:cstheme="minorHAnsi"/>
        </w:rPr>
        <w:t xml:space="preserve"> </w:t>
      </w:r>
      <w:r w:rsidRPr="00FC3E1E">
        <w:rPr>
          <w:rFonts w:asciiTheme="minorHAnsi" w:hAnsiTheme="minorHAnsi" w:cstheme="minorHAnsi"/>
        </w:rPr>
        <w:t>inspections</w:t>
      </w:r>
      <w:r w:rsidR="00F06D49" w:rsidRPr="00FC3E1E">
        <w:rPr>
          <w:rFonts w:asciiTheme="minorHAnsi" w:hAnsiTheme="minorHAnsi" w:cstheme="minorHAnsi"/>
        </w:rPr>
        <w:t xml:space="preserve"> was</w:t>
      </w:r>
      <w:r w:rsidRPr="00FC3E1E">
        <w:rPr>
          <w:rFonts w:asciiTheme="minorHAnsi" w:hAnsiTheme="minorHAnsi" w:cstheme="minorHAnsi"/>
        </w:rPr>
        <w:t xml:space="preserve"> 1</w:t>
      </w:r>
      <w:r w:rsidR="00F06D49" w:rsidRPr="00FC3E1E">
        <w:rPr>
          <w:rFonts w:asciiTheme="minorHAnsi" w:hAnsiTheme="minorHAnsi" w:cstheme="minorHAnsi"/>
        </w:rPr>
        <w:t>1</w:t>
      </w:r>
      <w:r w:rsidR="00F66FFE">
        <w:rPr>
          <w:rFonts w:asciiTheme="minorHAnsi" w:hAnsiTheme="minorHAnsi" w:cstheme="minorHAnsi"/>
        </w:rPr>
        <w:t>,</w:t>
      </w:r>
      <w:r w:rsidRPr="00FC3E1E">
        <w:rPr>
          <w:rFonts w:asciiTheme="minorHAnsi" w:hAnsiTheme="minorHAnsi" w:cstheme="minorHAnsi"/>
        </w:rPr>
        <w:t xml:space="preserve"> which </w:t>
      </w:r>
      <w:r w:rsidR="00F06D49" w:rsidRPr="00FC3E1E">
        <w:rPr>
          <w:rFonts w:asciiTheme="minorHAnsi" w:hAnsiTheme="minorHAnsi" w:cstheme="minorHAnsi"/>
        </w:rPr>
        <w:t xml:space="preserve">was </w:t>
      </w:r>
      <w:r w:rsidR="00F66FFE">
        <w:rPr>
          <w:rFonts w:asciiTheme="minorHAnsi" w:hAnsiTheme="minorHAnsi" w:cstheme="minorHAnsi"/>
        </w:rPr>
        <w:t>below</w:t>
      </w:r>
      <w:r w:rsidRPr="00FC3E1E">
        <w:rPr>
          <w:rFonts w:asciiTheme="minorHAnsi" w:hAnsiTheme="minorHAnsi" w:cstheme="minorHAnsi"/>
        </w:rPr>
        <w:t xml:space="preserve"> the FRL.</w:t>
      </w:r>
    </w:p>
    <w:p w14:paraId="6EC511A7" w14:textId="77777777" w:rsidR="006349CB" w:rsidRPr="00FC3E1E" w:rsidRDefault="006349CB" w:rsidP="006349CB">
      <w:pPr>
        <w:widowControl/>
        <w:autoSpaceDE/>
        <w:adjustRightInd/>
        <w:rPr>
          <w:rFonts w:asciiTheme="minorHAnsi" w:hAnsiTheme="minorHAnsi" w:cstheme="minorHAnsi"/>
          <w:color w:val="FF0000"/>
        </w:rPr>
      </w:pPr>
    </w:p>
    <w:p w14:paraId="19431CF2" w14:textId="6E150AFB" w:rsidR="006349CB" w:rsidRPr="00FC3E1E" w:rsidRDefault="006349CB" w:rsidP="00F66FFE">
      <w:pPr>
        <w:widowControl/>
        <w:autoSpaceDE/>
        <w:autoSpaceDN/>
        <w:adjustRightInd/>
        <w:rPr>
          <w:rFonts w:asciiTheme="minorHAnsi" w:hAnsiTheme="minorHAnsi" w:cstheme="minorHAnsi"/>
          <w:i/>
        </w:rPr>
      </w:pPr>
      <w:r w:rsidRPr="00516EB0">
        <w:rPr>
          <w:rFonts w:asciiTheme="minorHAnsi" w:hAnsiTheme="minorHAnsi" w:cstheme="minorHAnsi"/>
          <w:u w:val="single"/>
        </w:rPr>
        <w:t>Explanation:</w:t>
      </w:r>
      <w:r w:rsidRPr="00FC3E1E">
        <w:rPr>
          <w:rFonts w:asciiTheme="minorHAnsi" w:hAnsiTheme="minorHAnsi" w:cstheme="minorHAnsi"/>
        </w:rPr>
        <w:t xml:space="preserve"> </w:t>
      </w:r>
      <w:r w:rsidR="009D2C72" w:rsidRPr="00FC3E1E">
        <w:rPr>
          <w:rFonts w:asciiTheme="minorHAnsi" w:hAnsiTheme="minorHAnsi" w:cstheme="minorHAnsi"/>
        </w:rPr>
        <w:t xml:space="preserve"> </w:t>
      </w:r>
      <w:r w:rsidR="00F66FFE">
        <w:rPr>
          <w:rFonts w:asciiTheme="minorHAnsi" w:hAnsiTheme="minorHAnsi" w:cstheme="minorHAnsi"/>
        </w:rPr>
        <w:t>Wyoming OSHA</w:t>
      </w:r>
      <w:r w:rsidR="00EE543B" w:rsidRPr="00FC3E1E">
        <w:rPr>
          <w:rFonts w:asciiTheme="minorHAnsi" w:hAnsiTheme="minorHAnsi" w:cstheme="minorHAnsi"/>
        </w:rPr>
        <w:t xml:space="preserve"> achieved 73.3% (11 of 15) of its health inspection goal.</w:t>
      </w:r>
      <w:r w:rsidR="002556F1">
        <w:rPr>
          <w:rFonts w:asciiTheme="minorHAnsi" w:hAnsiTheme="minorHAnsi" w:cstheme="minorHAnsi"/>
        </w:rPr>
        <w:t xml:space="preserve">  </w:t>
      </w:r>
      <w:r w:rsidR="00E35899" w:rsidRPr="00FC3E1E">
        <w:rPr>
          <w:rFonts w:asciiTheme="minorHAnsi" w:hAnsiTheme="minorHAnsi" w:cstheme="minorHAnsi"/>
        </w:rPr>
        <w:t>The State Plan had limited opportunity to conduct health inspections, receiving few health</w:t>
      </w:r>
      <w:r w:rsidR="00F66FFE">
        <w:rPr>
          <w:rFonts w:asciiTheme="minorHAnsi" w:hAnsiTheme="minorHAnsi" w:cstheme="minorHAnsi"/>
        </w:rPr>
        <w:t>-</w:t>
      </w:r>
      <w:r w:rsidR="00E35899" w:rsidRPr="00FC3E1E">
        <w:rPr>
          <w:rFonts w:asciiTheme="minorHAnsi" w:hAnsiTheme="minorHAnsi" w:cstheme="minorHAnsi"/>
        </w:rPr>
        <w:t xml:space="preserve">related complaints.  </w:t>
      </w:r>
      <w:bookmarkStart w:id="27" w:name="_Hlk132722476"/>
      <w:r w:rsidR="00DF3D3E">
        <w:rPr>
          <w:rFonts w:asciiTheme="minorHAnsi" w:hAnsiTheme="minorHAnsi" w:cstheme="minorHAnsi"/>
        </w:rPr>
        <w:t xml:space="preserve">It should be noted that in addition to an ongoing arrangement in which Wyoming OSHA health compliance officers shadowed UOSH health compliance officers, Wyoming OSHA CSHOs also shadowed OSHA health compliance officers during industrial hygiene monitoring or sampling </w:t>
      </w:r>
      <w:r w:rsidR="00373CA8">
        <w:rPr>
          <w:rFonts w:asciiTheme="minorHAnsi" w:hAnsiTheme="minorHAnsi" w:cstheme="minorHAnsi"/>
        </w:rPr>
        <w:t xml:space="preserve">in FY 2022.  </w:t>
      </w:r>
      <w:bookmarkEnd w:id="27"/>
      <w:r w:rsidR="00E35899" w:rsidRPr="00FC3E1E">
        <w:rPr>
          <w:rFonts w:asciiTheme="minorHAnsi" w:hAnsiTheme="minorHAnsi" w:cstheme="minorHAnsi"/>
        </w:rPr>
        <w:t xml:space="preserve">OSHA anticipates </w:t>
      </w:r>
      <w:r w:rsidR="00681A78" w:rsidRPr="00FC3E1E">
        <w:rPr>
          <w:rFonts w:asciiTheme="minorHAnsi" w:hAnsiTheme="minorHAnsi" w:cstheme="minorHAnsi"/>
        </w:rPr>
        <w:t xml:space="preserve">that the number of health inspections will increase as </w:t>
      </w:r>
      <w:r w:rsidR="001023C6">
        <w:rPr>
          <w:rFonts w:asciiTheme="minorHAnsi" w:hAnsiTheme="minorHAnsi" w:cstheme="minorHAnsi"/>
        </w:rPr>
        <w:t xml:space="preserve">the </w:t>
      </w:r>
      <w:r w:rsidR="002D6142">
        <w:rPr>
          <w:rFonts w:asciiTheme="minorHAnsi" w:hAnsiTheme="minorHAnsi" w:cstheme="minorHAnsi"/>
        </w:rPr>
        <w:t xml:space="preserve">Wyoming OSHA </w:t>
      </w:r>
      <w:r w:rsidR="00681A78" w:rsidRPr="00FC3E1E">
        <w:rPr>
          <w:rFonts w:asciiTheme="minorHAnsi" w:hAnsiTheme="minorHAnsi" w:cstheme="minorHAnsi"/>
        </w:rPr>
        <w:t>health compliance officers gain experience.</w:t>
      </w:r>
      <w:r w:rsidR="00C56665" w:rsidRPr="00FC3E1E">
        <w:rPr>
          <w:rFonts w:asciiTheme="minorHAnsi" w:hAnsiTheme="minorHAnsi" w:cstheme="minorHAnsi"/>
        </w:rPr>
        <w:t xml:space="preserve">  </w:t>
      </w:r>
      <w:r w:rsidR="00D16569" w:rsidRPr="00FC3E1E">
        <w:rPr>
          <w:rFonts w:asciiTheme="minorHAnsi" w:hAnsiTheme="minorHAnsi" w:cstheme="minorHAnsi"/>
        </w:rPr>
        <w:t>However, t</w:t>
      </w:r>
      <w:r w:rsidR="00C56665" w:rsidRPr="00FC3E1E">
        <w:rPr>
          <w:rFonts w:asciiTheme="minorHAnsi" w:hAnsiTheme="minorHAnsi" w:cstheme="minorHAnsi"/>
        </w:rPr>
        <w:t>his remains a concern with OSHA and will be monitored during quarterly meetings with W</w:t>
      </w:r>
      <w:r w:rsidR="00402B12">
        <w:rPr>
          <w:rFonts w:asciiTheme="minorHAnsi" w:hAnsiTheme="minorHAnsi" w:cstheme="minorHAnsi"/>
        </w:rPr>
        <w:t>yoming</w:t>
      </w:r>
      <w:r w:rsidR="00C56665" w:rsidRPr="00FC3E1E">
        <w:rPr>
          <w:rFonts w:asciiTheme="minorHAnsi" w:hAnsiTheme="minorHAnsi" w:cstheme="minorHAnsi"/>
        </w:rPr>
        <w:t xml:space="preserve"> OSHA.</w:t>
      </w:r>
    </w:p>
    <w:p w14:paraId="5A11996B" w14:textId="77777777" w:rsidR="00C01AD4" w:rsidRPr="00FC3E1E" w:rsidRDefault="00C01AD4" w:rsidP="006349CB">
      <w:pPr>
        <w:widowControl/>
        <w:autoSpaceDE/>
        <w:autoSpaceDN/>
        <w:adjustRightInd/>
        <w:rPr>
          <w:rFonts w:asciiTheme="minorHAnsi" w:hAnsiTheme="minorHAnsi" w:cstheme="minorHAnsi"/>
          <w:iCs/>
          <w:color w:val="FF0000"/>
        </w:rPr>
      </w:pPr>
    </w:p>
    <w:p w14:paraId="3A9E8A75" w14:textId="5AF5B2F1" w:rsidR="006349CB" w:rsidRPr="00FC3E1E" w:rsidRDefault="006349CB" w:rsidP="00861068">
      <w:pPr>
        <w:pStyle w:val="Heading4"/>
      </w:pPr>
      <w:r w:rsidRPr="00FC3E1E">
        <w:t xml:space="preserve">SAMM 9 – Percent </w:t>
      </w:r>
      <w:r w:rsidR="002A43CD">
        <w:t xml:space="preserve">in </w:t>
      </w:r>
      <w:r w:rsidRPr="00FC3E1E">
        <w:t>Compliance</w:t>
      </w:r>
      <w:r w:rsidR="00A71594">
        <w:t xml:space="preserve"> </w:t>
      </w:r>
    </w:p>
    <w:p w14:paraId="6F328CE2" w14:textId="77777777" w:rsidR="006349CB" w:rsidRPr="00FC3E1E" w:rsidRDefault="006349CB" w:rsidP="006349CB">
      <w:pPr>
        <w:widowControl/>
        <w:autoSpaceDE/>
        <w:adjustRightInd/>
        <w:rPr>
          <w:rFonts w:asciiTheme="minorHAnsi" w:hAnsiTheme="minorHAnsi" w:cstheme="minorHAnsi"/>
          <w:color w:val="FF0000"/>
        </w:rPr>
      </w:pPr>
    </w:p>
    <w:p w14:paraId="73496E75" w14:textId="1F6296D7" w:rsidR="005C67C1" w:rsidRDefault="006349CB" w:rsidP="005C67C1">
      <w:pPr>
        <w:widowControl/>
        <w:autoSpaceDE/>
        <w:autoSpaceDN/>
        <w:adjustRightInd/>
        <w:rPr>
          <w:rFonts w:asciiTheme="minorHAnsi" w:hAnsiTheme="minorHAnsi" w:cstheme="minorHAnsi"/>
        </w:rPr>
      </w:pPr>
      <w:r w:rsidRPr="00516EB0">
        <w:rPr>
          <w:rFonts w:asciiTheme="minorHAnsi" w:hAnsiTheme="minorHAnsi" w:cstheme="minorHAnsi"/>
          <w:u w:val="single"/>
        </w:rPr>
        <w:t>Discussion of State Plan Data and FRL</w:t>
      </w:r>
      <w:r w:rsidRPr="00EF7DEA">
        <w:rPr>
          <w:rFonts w:asciiTheme="minorHAnsi" w:hAnsiTheme="minorHAnsi" w:cstheme="minorHAnsi"/>
        </w:rPr>
        <w:t>:</w:t>
      </w:r>
      <w:r w:rsidRPr="00FC3E1E">
        <w:rPr>
          <w:rFonts w:asciiTheme="minorHAnsi" w:hAnsiTheme="minorHAnsi" w:cstheme="minorHAnsi"/>
        </w:rPr>
        <w:t xml:space="preserve">  </w:t>
      </w:r>
      <w:r w:rsidR="00CA720B" w:rsidRPr="00FC3E1E">
        <w:rPr>
          <w:rFonts w:asciiTheme="minorHAnsi" w:hAnsiTheme="minorHAnsi" w:cstheme="minorHAnsi"/>
        </w:rPr>
        <w:t xml:space="preserve">The FRL for </w:t>
      </w:r>
      <w:r w:rsidR="00493A2F">
        <w:rPr>
          <w:rFonts w:asciiTheme="minorHAnsi" w:hAnsiTheme="minorHAnsi" w:cstheme="minorHAnsi"/>
        </w:rPr>
        <w:t xml:space="preserve">the </w:t>
      </w:r>
      <w:r w:rsidR="00CA720B" w:rsidRPr="00FC3E1E">
        <w:rPr>
          <w:rFonts w:asciiTheme="minorHAnsi" w:hAnsiTheme="minorHAnsi" w:cstheme="minorHAnsi"/>
        </w:rPr>
        <w:t>percent in</w:t>
      </w:r>
      <w:r w:rsidR="00516EB0">
        <w:rPr>
          <w:rFonts w:asciiTheme="minorHAnsi" w:hAnsiTheme="minorHAnsi" w:cstheme="minorHAnsi"/>
        </w:rPr>
        <w:t xml:space="preserve"> </w:t>
      </w:r>
      <w:r w:rsidR="00CA720B" w:rsidRPr="00FC3E1E">
        <w:rPr>
          <w:rFonts w:asciiTheme="minorHAnsi" w:hAnsiTheme="minorHAnsi" w:cstheme="minorHAnsi"/>
        </w:rPr>
        <w:t xml:space="preserve">compliance for safety inspections </w:t>
      </w:r>
      <w:r w:rsidR="00925513" w:rsidRPr="00FC3E1E">
        <w:rPr>
          <w:rFonts w:asciiTheme="minorHAnsi" w:hAnsiTheme="minorHAnsi" w:cstheme="minorHAnsi"/>
        </w:rPr>
        <w:t>was</w:t>
      </w:r>
      <w:r w:rsidR="00CA720B" w:rsidRPr="00FC3E1E">
        <w:rPr>
          <w:rFonts w:asciiTheme="minorHAnsi" w:hAnsiTheme="minorHAnsi" w:cstheme="minorHAnsi"/>
        </w:rPr>
        <w:t xml:space="preserve"> a range of 25.80% to 38.70%.  The State Plan’s </w:t>
      </w:r>
      <w:r w:rsidR="00493A2F">
        <w:rPr>
          <w:rFonts w:asciiTheme="minorHAnsi" w:hAnsiTheme="minorHAnsi" w:cstheme="minorHAnsi"/>
        </w:rPr>
        <w:t>safety</w:t>
      </w:r>
      <w:r w:rsidR="00493A2F" w:rsidRPr="00FC3E1E">
        <w:rPr>
          <w:rFonts w:asciiTheme="minorHAnsi" w:hAnsiTheme="minorHAnsi" w:cstheme="minorHAnsi"/>
        </w:rPr>
        <w:t xml:space="preserve"> </w:t>
      </w:r>
      <w:r w:rsidR="00CA720B" w:rsidRPr="00FC3E1E">
        <w:rPr>
          <w:rFonts w:asciiTheme="minorHAnsi" w:hAnsiTheme="minorHAnsi" w:cstheme="minorHAnsi"/>
        </w:rPr>
        <w:t xml:space="preserve">in-compliance </w:t>
      </w:r>
      <w:r w:rsidR="00493A2F">
        <w:rPr>
          <w:rFonts w:asciiTheme="minorHAnsi" w:hAnsiTheme="minorHAnsi" w:cstheme="minorHAnsi"/>
        </w:rPr>
        <w:t xml:space="preserve">rate </w:t>
      </w:r>
      <w:r w:rsidR="00925513" w:rsidRPr="00FC3E1E">
        <w:rPr>
          <w:rFonts w:asciiTheme="minorHAnsi" w:hAnsiTheme="minorHAnsi" w:cstheme="minorHAnsi"/>
        </w:rPr>
        <w:t>was</w:t>
      </w:r>
      <w:r w:rsidR="00CA720B" w:rsidRPr="00FC3E1E">
        <w:rPr>
          <w:rFonts w:asciiTheme="minorHAnsi" w:hAnsiTheme="minorHAnsi" w:cstheme="minorHAnsi"/>
        </w:rPr>
        <w:t xml:space="preserve"> significantly </w:t>
      </w:r>
      <w:r w:rsidR="00493A2F">
        <w:rPr>
          <w:rFonts w:asciiTheme="minorHAnsi" w:hAnsiTheme="minorHAnsi" w:cstheme="minorHAnsi"/>
        </w:rPr>
        <w:t>above</w:t>
      </w:r>
      <w:r w:rsidR="00CA720B" w:rsidRPr="00FC3E1E">
        <w:rPr>
          <w:rFonts w:asciiTheme="minorHAnsi" w:hAnsiTheme="minorHAnsi" w:cstheme="minorHAnsi"/>
        </w:rPr>
        <w:t xml:space="preserve"> the FRL</w:t>
      </w:r>
      <w:r w:rsidR="00493A2F">
        <w:rPr>
          <w:rFonts w:asciiTheme="minorHAnsi" w:hAnsiTheme="minorHAnsi" w:cstheme="minorHAnsi"/>
        </w:rPr>
        <w:t xml:space="preserve"> at 55.92%</w:t>
      </w:r>
      <w:r w:rsidR="00CA720B" w:rsidRPr="00FC3E1E">
        <w:rPr>
          <w:rFonts w:asciiTheme="minorHAnsi" w:hAnsiTheme="minorHAnsi" w:cstheme="minorHAnsi"/>
        </w:rPr>
        <w:t xml:space="preserve">.  </w:t>
      </w:r>
      <w:r w:rsidR="005C67C1" w:rsidRPr="00FC3E1E">
        <w:rPr>
          <w:rFonts w:asciiTheme="minorHAnsi" w:hAnsiTheme="minorHAnsi" w:cstheme="minorHAnsi"/>
        </w:rPr>
        <w:t xml:space="preserve">The FRL for </w:t>
      </w:r>
      <w:r w:rsidR="005C67C1">
        <w:rPr>
          <w:rFonts w:asciiTheme="minorHAnsi" w:hAnsiTheme="minorHAnsi" w:cstheme="minorHAnsi"/>
        </w:rPr>
        <w:t xml:space="preserve">the </w:t>
      </w:r>
      <w:r w:rsidR="005C67C1" w:rsidRPr="00FC3E1E">
        <w:rPr>
          <w:rFonts w:asciiTheme="minorHAnsi" w:hAnsiTheme="minorHAnsi" w:cstheme="minorHAnsi"/>
        </w:rPr>
        <w:t>percent in</w:t>
      </w:r>
      <w:r w:rsidR="005C67C1">
        <w:rPr>
          <w:rFonts w:asciiTheme="minorHAnsi" w:hAnsiTheme="minorHAnsi" w:cstheme="minorHAnsi"/>
        </w:rPr>
        <w:t xml:space="preserve"> </w:t>
      </w:r>
      <w:r w:rsidR="005C67C1" w:rsidRPr="00FC3E1E">
        <w:rPr>
          <w:rFonts w:asciiTheme="minorHAnsi" w:hAnsiTheme="minorHAnsi" w:cstheme="minorHAnsi"/>
        </w:rPr>
        <w:t xml:space="preserve">compliance for health inspections was a range of 35.54% to 53.30%.  </w:t>
      </w:r>
      <w:r w:rsidR="005C67C1">
        <w:rPr>
          <w:rFonts w:asciiTheme="minorHAnsi" w:hAnsiTheme="minorHAnsi" w:cstheme="minorHAnsi"/>
        </w:rPr>
        <w:t>Wyoming OSHA</w:t>
      </w:r>
      <w:r w:rsidR="005C67C1" w:rsidRPr="00FC3E1E">
        <w:rPr>
          <w:rFonts w:asciiTheme="minorHAnsi" w:hAnsiTheme="minorHAnsi" w:cstheme="minorHAnsi"/>
        </w:rPr>
        <w:t xml:space="preserve">’s </w:t>
      </w:r>
      <w:r w:rsidR="005C67C1">
        <w:rPr>
          <w:rFonts w:asciiTheme="minorHAnsi" w:hAnsiTheme="minorHAnsi" w:cstheme="minorHAnsi"/>
        </w:rPr>
        <w:t>health</w:t>
      </w:r>
      <w:r w:rsidR="005C67C1" w:rsidRPr="00FC3E1E">
        <w:rPr>
          <w:rFonts w:asciiTheme="minorHAnsi" w:hAnsiTheme="minorHAnsi" w:cstheme="minorHAnsi"/>
        </w:rPr>
        <w:t xml:space="preserve"> in-compliance </w:t>
      </w:r>
      <w:r w:rsidR="005C67C1">
        <w:rPr>
          <w:rFonts w:asciiTheme="minorHAnsi" w:hAnsiTheme="minorHAnsi" w:cstheme="minorHAnsi"/>
        </w:rPr>
        <w:t xml:space="preserve">rate </w:t>
      </w:r>
      <w:r w:rsidR="005C67C1" w:rsidRPr="00FC3E1E">
        <w:rPr>
          <w:rFonts w:asciiTheme="minorHAnsi" w:hAnsiTheme="minorHAnsi" w:cstheme="minorHAnsi"/>
        </w:rPr>
        <w:t>was</w:t>
      </w:r>
      <w:r w:rsidR="005C67C1">
        <w:rPr>
          <w:rFonts w:asciiTheme="minorHAnsi" w:hAnsiTheme="minorHAnsi" w:cstheme="minorHAnsi"/>
        </w:rPr>
        <w:t xml:space="preserve"> </w:t>
      </w:r>
      <w:r w:rsidR="00236A58">
        <w:rPr>
          <w:rFonts w:asciiTheme="minorHAnsi" w:hAnsiTheme="minorHAnsi" w:cstheme="minorHAnsi"/>
        </w:rPr>
        <w:t xml:space="preserve">significantly </w:t>
      </w:r>
      <w:r w:rsidR="005C67C1">
        <w:rPr>
          <w:rFonts w:asciiTheme="minorHAnsi" w:hAnsiTheme="minorHAnsi" w:cstheme="minorHAnsi"/>
        </w:rPr>
        <w:t>above</w:t>
      </w:r>
      <w:r w:rsidR="005C67C1" w:rsidRPr="00FC3E1E">
        <w:rPr>
          <w:rFonts w:asciiTheme="minorHAnsi" w:hAnsiTheme="minorHAnsi" w:cstheme="minorHAnsi"/>
        </w:rPr>
        <w:t xml:space="preserve"> the FRL</w:t>
      </w:r>
      <w:r w:rsidR="005C67C1">
        <w:rPr>
          <w:rFonts w:asciiTheme="minorHAnsi" w:hAnsiTheme="minorHAnsi" w:cstheme="minorHAnsi"/>
        </w:rPr>
        <w:t xml:space="preserve"> at 66.67%</w:t>
      </w:r>
      <w:r w:rsidR="005C67C1" w:rsidRPr="00FC3E1E">
        <w:rPr>
          <w:rFonts w:asciiTheme="minorHAnsi" w:hAnsiTheme="minorHAnsi" w:cstheme="minorHAnsi"/>
        </w:rPr>
        <w:t>.</w:t>
      </w:r>
      <w:r w:rsidR="005C67C1">
        <w:rPr>
          <w:rFonts w:asciiTheme="minorHAnsi" w:hAnsiTheme="minorHAnsi" w:cstheme="minorHAnsi"/>
        </w:rPr>
        <w:t xml:space="preserve">  </w:t>
      </w:r>
    </w:p>
    <w:p w14:paraId="0153A6E7" w14:textId="631F7BA2" w:rsidR="006349CB" w:rsidRPr="00FC3E1E" w:rsidRDefault="006349CB" w:rsidP="006349CB">
      <w:pPr>
        <w:widowControl/>
        <w:autoSpaceDE/>
        <w:adjustRightInd/>
        <w:rPr>
          <w:rFonts w:asciiTheme="minorHAnsi" w:hAnsiTheme="minorHAnsi" w:cstheme="minorHAnsi"/>
          <w:color w:val="FF0000"/>
        </w:rPr>
      </w:pPr>
    </w:p>
    <w:p w14:paraId="6B1FAD33" w14:textId="6BA9735D" w:rsidR="00280BFD" w:rsidRDefault="006349CB" w:rsidP="006349CB">
      <w:pPr>
        <w:widowControl/>
        <w:autoSpaceDE/>
        <w:autoSpaceDN/>
        <w:adjustRightInd/>
        <w:rPr>
          <w:rFonts w:asciiTheme="minorHAnsi" w:hAnsiTheme="minorHAnsi" w:cstheme="minorHAnsi"/>
        </w:rPr>
      </w:pPr>
      <w:r w:rsidRPr="00516EB0">
        <w:rPr>
          <w:rFonts w:asciiTheme="minorHAnsi" w:hAnsiTheme="minorHAnsi" w:cstheme="minorHAnsi"/>
          <w:u w:val="single"/>
        </w:rPr>
        <w:t>Explanation:</w:t>
      </w:r>
      <w:r w:rsidR="0053212B" w:rsidRPr="00FC3E1E">
        <w:rPr>
          <w:rFonts w:asciiTheme="minorHAnsi" w:hAnsiTheme="minorHAnsi" w:cstheme="minorHAnsi"/>
        </w:rPr>
        <w:t xml:space="preserve">  The SAMM 9 metric is calculated based upon the number of inspections opened within the fiscal year and the number of inspections that are closed or issued with violations by the end of the fiscal year.  </w:t>
      </w:r>
      <w:r w:rsidR="00C0460B" w:rsidRPr="00FC3E1E">
        <w:rPr>
          <w:rFonts w:asciiTheme="minorHAnsi" w:hAnsiTheme="minorHAnsi" w:cstheme="minorHAnsi"/>
        </w:rPr>
        <w:t xml:space="preserve">In some years, the metric may </w:t>
      </w:r>
      <w:r w:rsidR="00A913F8" w:rsidRPr="00FC3E1E">
        <w:rPr>
          <w:rFonts w:asciiTheme="minorHAnsi" w:hAnsiTheme="minorHAnsi" w:cstheme="minorHAnsi"/>
        </w:rPr>
        <w:t xml:space="preserve">present an </w:t>
      </w:r>
      <w:r w:rsidR="00C0460B" w:rsidRPr="00FC3E1E">
        <w:rPr>
          <w:rFonts w:asciiTheme="minorHAnsi" w:hAnsiTheme="minorHAnsi" w:cstheme="minorHAnsi"/>
        </w:rPr>
        <w:t xml:space="preserve">incomplete </w:t>
      </w:r>
      <w:r w:rsidR="00A913F8" w:rsidRPr="00FC3E1E">
        <w:rPr>
          <w:rFonts w:asciiTheme="minorHAnsi" w:hAnsiTheme="minorHAnsi" w:cstheme="minorHAnsi"/>
        </w:rPr>
        <w:t xml:space="preserve">picture </w:t>
      </w:r>
      <w:r w:rsidR="00C0460B" w:rsidRPr="00FC3E1E">
        <w:rPr>
          <w:rFonts w:asciiTheme="minorHAnsi" w:hAnsiTheme="minorHAnsi" w:cstheme="minorHAnsi"/>
        </w:rPr>
        <w:t xml:space="preserve">when </w:t>
      </w:r>
      <w:r w:rsidR="000033EA" w:rsidRPr="00FC3E1E">
        <w:rPr>
          <w:rFonts w:asciiTheme="minorHAnsi" w:hAnsiTheme="minorHAnsi" w:cstheme="minorHAnsi"/>
        </w:rPr>
        <w:t>many</w:t>
      </w:r>
      <w:r w:rsidR="00C0460B" w:rsidRPr="00FC3E1E">
        <w:rPr>
          <w:rFonts w:asciiTheme="minorHAnsi" w:hAnsiTheme="minorHAnsi" w:cstheme="minorHAnsi"/>
        </w:rPr>
        <w:t xml:space="preserve"> cases remain open or have not yet issued violations by the end of the fiscal year. </w:t>
      </w:r>
      <w:r w:rsidR="00923073" w:rsidRPr="00FC3E1E">
        <w:rPr>
          <w:rFonts w:asciiTheme="minorHAnsi" w:hAnsiTheme="minorHAnsi" w:cstheme="minorHAnsi"/>
        </w:rPr>
        <w:t xml:space="preserve"> </w:t>
      </w:r>
      <w:r w:rsidR="005B43EC" w:rsidRPr="00FC3E1E">
        <w:rPr>
          <w:rFonts w:asciiTheme="minorHAnsi" w:hAnsiTheme="minorHAnsi" w:cstheme="minorHAnsi"/>
        </w:rPr>
        <w:t xml:space="preserve">The safety inspection in-compliance percentage has been steadily increasing for the period FY 2020 though FY 2022.  </w:t>
      </w:r>
      <w:r w:rsidR="00D22D60" w:rsidRPr="004B799C">
        <w:rPr>
          <w:rFonts w:asciiTheme="minorHAnsi" w:hAnsiTheme="minorHAnsi" w:cstheme="minorHAnsi"/>
        </w:rPr>
        <w:t>One</w:t>
      </w:r>
      <w:r w:rsidR="00280BFD" w:rsidRPr="004B799C">
        <w:rPr>
          <w:rFonts w:asciiTheme="minorHAnsi" w:hAnsiTheme="minorHAnsi" w:cstheme="minorHAnsi"/>
        </w:rPr>
        <w:t xml:space="preserve"> factor that may impact the incompliance rate for safety inspections </w:t>
      </w:r>
      <w:r w:rsidR="00280BFD" w:rsidRPr="004B799C">
        <w:rPr>
          <w:rFonts w:asciiTheme="minorHAnsi" w:hAnsiTheme="minorHAnsi" w:cstheme="minorHAnsi"/>
        </w:rPr>
        <w:lastRenderedPageBreak/>
        <w:t xml:space="preserve">includes multi-employer </w:t>
      </w:r>
      <w:r w:rsidR="00EF69DD" w:rsidRPr="004B799C">
        <w:rPr>
          <w:rFonts w:asciiTheme="minorHAnsi" w:hAnsiTheme="minorHAnsi" w:cstheme="minorHAnsi"/>
        </w:rPr>
        <w:t>worksites when</w:t>
      </w:r>
      <w:r w:rsidR="00987070" w:rsidRPr="004B799C">
        <w:rPr>
          <w:rFonts w:asciiTheme="minorHAnsi" w:hAnsiTheme="minorHAnsi" w:cstheme="minorHAnsi"/>
        </w:rPr>
        <w:t xml:space="preserve"> inspections are opened with </w:t>
      </w:r>
      <w:r w:rsidR="00677A32" w:rsidRPr="004B799C">
        <w:rPr>
          <w:rFonts w:asciiTheme="minorHAnsi" w:hAnsiTheme="minorHAnsi" w:cstheme="minorHAnsi"/>
        </w:rPr>
        <w:t xml:space="preserve">every </w:t>
      </w:r>
      <w:r w:rsidR="00987070" w:rsidRPr="004B799C">
        <w:rPr>
          <w:rFonts w:asciiTheme="minorHAnsi" w:hAnsiTheme="minorHAnsi" w:cstheme="minorHAnsi"/>
        </w:rPr>
        <w:t>employer onsite</w:t>
      </w:r>
      <w:r w:rsidR="00280BFD" w:rsidRPr="004B799C">
        <w:rPr>
          <w:rFonts w:asciiTheme="minorHAnsi" w:hAnsiTheme="minorHAnsi" w:cstheme="minorHAnsi"/>
        </w:rPr>
        <w:t xml:space="preserve">.  </w:t>
      </w:r>
      <w:r w:rsidR="00203F30" w:rsidRPr="004B799C">
        <w:rPr>
          <w:rFonts w:asciiTheme="minorHAnsi" w:hAnsiTheme="minorHAnsi" w:cstheme="minorHAnsi"/>
        </w:rPr>
        <w:t xml:space="preserve">High in-compliance </w:t>
      </w:r>
      <w:r w:rsidR="00AD46D0" w:rsidRPr="004B799C">
        <w:rPr>
          <w:rFonts w:asciiTheme="minorHAnsi" w:hAnsiTheme="minorHAnsi" w:cstheme="minorHAnsi"/>
        </w:rPr>
        <w:t>percentages</w:t>
      </w:r>
      <w:r w:rsidR="00203F30" w:rsidRPr="004B799C">
        <w:rPr>
          <w:rFonts w:asciiTheme="minorHAnsi" w:hAnsiTheme="minorHAnsi" w:cstheme="minorHAnsi"/>
        </w:rPr>
        <w:t xml:space="preserve"> </w:t>
      </w:r>
      <w:r w:rsidR="00487D2D" w:rsidRPr="00C97DEE">
        <w:rPr>
          <w:rFonts w:asciiTheme="minorHAnsi" w:hAnsiTheme="minorHAnsi" w:cstheme="minorHAnsi"/>
        </w:rPr>
        <w:t>could mean</w:t>
      </w:r>
      <w:r w:rsidR="00203F30" w:rsidRPr="004B799C">
        <w:rPr>
          <w:rFonts w:asciiTheme="minorHAnsi" w:hAnsiTheme="minorHAnsi" w:cstheme="minorHAnsi"/>
        </w:rPr>
        <w:t xml:space="preserve"> that employers are providing safe and healthful workplaces.  However, </w:t>
      </w:r>
      <w:r w:rsidR="00AD46D0" w:rsidRPr="004B799C">
        <w:rPr>
          <w:rFonts w:asciiTheme="minorHAnsi" w:hAnsiTheme="minorHAnsi" w:cstheme="minorHAnsi"/>
        </w:rPr>
        <w:t xml:space="preserve">a </w:t>
      </w:r>
      <w:r w:rsidR="00280BFD" w:rsidRPr="004B799C">
        <w:rPr>
          <w:rFonts w:asciiTheme="minorHAnsi" w:hAnsiTheme="minorHAnsi" w:cstheme="minorHAnsi"/>
        </w:rPr>
        <w:t xml:space="preserve">high in-compliance </w:t>
      </w:r>
      <w:r w:rsidR="00AD46D0" w:rsidRPr="004B799C">
        <w:rPr>
          <w:rFonts w:asciiTheme="minorHAnsi" w:hAnsiTheme="minorHAnsi" w:cstheme="minorHAnsi"/>
        </w:rPr>
        <w:t xml:space="preserve">percentage </w:t>
      </w:r>
      <w:r w:rsidR="00280BFD" w:rsidRPr="004B799C">
        <w:rPr>
          <w:rFonts w:asciiTheme="minorHAnsi" w:hAnsiTheme="minorHAnsi" w:cstheme="minorHAnsi"/>
        </w:rPr>
        <w:t xml:space="preserve">may also </w:t>
      </w:r>
      <w:r w:rsidR="00ED6718" w:rsidRPr="004B799C">
        <w:rPr>
          <w:rFonts w:asciiTheme="minorHAnsi" w:hAnsiTheme="minorHAnsi" w:cstheme="minorHAnsi"/>
        </w:rPr>
        <w:t>reflect</w:t>
      </w:r>
      <w:r w:rsidR="00280BFD" w:rsidRPr="004B799C">
        <w:rPr>
          <w:rFonts w:asciiTheme="minorHAnsi" w:hAnsiTheme="minorHAnsi" w:cstheme="minorHAnsi"/>
        </w:rPr>
        <w:t xml:space="preserve"> </w:t>
      </w:r>
      <w:r w:rsidR="007D3106" w:rsidRPr="004B799C">
        <w:rPr>
          <w:rFonts w:asciiTheme="minorHAnsi" w:hAnsiTheme="minorHAnsi" w:cstheme="minorHAnsi"/>
        </w:rPr>
        <w:t xml:space="preserve">a need </w:t>
      </w:r>
      <w:r w:rsidR="005579C4" w:rsidRPr="004B799C">
        <w:rPr>
          <w:rFonts w:asciiTheme="minorHAnsi" w:hAnsiTheme="minorHAnsi" w:cstheme="minorHAnsi"/>
        </w:rPr>
        <w:t>to develop</w:t>
      </w:r>
      <w:r w:rsidR="007D3106" w:rsidRPr="004B799C">
        <w:rPr>
          <w:rFonts w:asciiTheme="minorHAnsi" w:hAnsiTheme="minorHAnsi" w:cstheme="minorHAnsi"/>
        </w:rPr>
        <w:t xml:space="preserve"> </w:t>
      </w:r>
      <w:r w:rsidR="007D21C7" w:rsidRPr="004B799C">
        <w:rPr>
          <w:rFonts w:asciiTheme="minorHAnsi" w:hAnsiTheme="minorHAnsi" w:cstheme="minorHAnsi"/>
        </w:rPr>
        <w:t>additional hazard</w:t>
      </w:r>
      <w:r w:rsidR="00280BFD" w:rsidRPr="004B799C">
        <w:rPr>
          <w:rFonts w:asciiTheme="minorHAnsi" w:hAnsiTheme="minorHAnsi" w:cstheme="minorHAnsi"/>
        </w:rPr>
        <w:t xml:space="preserve"> recognition</w:t>
      </w:r>
      <w:r w:rsidR="00470D4A" w:rsidRPr="004B799C">
        <w:rPr>
          <w:rFonts w:asciiTheme="minorHAnsi" w:hAnsiTheme="minorHAnsi" w:cstheme="minorHAnsi"/>
        </w:rPr>
        <w:t xml:space="preserve"> skills</w:t>
      </w:r>
      <w:r w:rsidR="00280BFD" w:rsidRPr="004B799C">
        <w:rPr>
          <w:rFonts w:asciiTheme="minorHAnsi" w:hAnsiTheme="minorHAnsi" w:cstheme="minorHAnsi"/>
        </w:rPr>
        <w:t xml:space="preserve">.  </w:t>
      </w:r>
      <w:r w:rsidR="00987070" w:rsidRPr="004B799C">
        <w:rPr>
          <w:rFonts w:asciiTheme="minorHAnsi" w:hAnsiTheme="minorHAnsi" w:cstheme="minorHAnsi"/>
        </w:rPr>
        <w:t xml:space="preserve">A </w:t>
      </w:r>
      <w:r w:rsidR="00203F30" w:rsidRPr="004B799C">
        <w:rPr>
          <w:rFonts w:asciiTheme="minorHAnsi" w:hAnsiTheme="minorHAnsi" w:cstheme="minorHAnsi"/>
        </w:rPr>
        <w:t xml:space="preserve">fourth </w:t>
      </w:r>
      <w:r w:rsidR="00987070" w:rsidRPr="004B799C">
        <w:rPr>
          <w:rFonts w:asciiTheme="minorHAnsi" w:hAnsiTheme="minorHAnsi" w:cstheme="minorHAnsi"/>
        </w:rPr>
        <w:t xml:space="preserve">factor may involve enforcement targeting efforts.  </w:t>
      </w:r>
      <w:r w:rsidR="00203F30" w:rsidRPr="004B799C">
        <w:rPr>
          <w:rFonts w:asciiTheme="minorHAnsi" w:hAnsiTheme="minorHAnsi" w:cstheme="minorHAnsi"/>
        </w:rPr>
        <w:t xml:space="preserve">With </w:t>
      </w:r>
      <w:r w:rsidR="00987070" w:rsidRPr="004B799C">
        <w:rPr>
          <w:rFonts w:asciiTheme="minorHAnsi" w:hAnsiTheme="minorHAnsi" w:cstheme="minorHAnsi"/>
        </w:rPr>
        <w:t xml:space="preserve">the State Plan’s enforcement activity driven by unprogrammed activity, </w:t>
      </w:r>
      <w:r w:rsidR="00203F30" w:rsidRPr="004B799C">
        <w:rPr>
          <w:rFonts w:asciiTheme="minorHAnsi" w:hAnsiTheme="minorHAnsi" w:cstheme="minorHAnsi"/>
        </w:rPr>
        <w:t>complaint or referral allegations may be found to be unsubstantiated, resulting in in-compliance inspections and</w:t>
      </w:r>
      <w:r w:rsidR="007E6867">
        <w:rPr>
          <w:rFonts w:asciiTheme="minorHAnsi" w:hAnsiTheme="minorHAnsi" w:cstheme="minorHAnsi"/>
        </w:rPr>
        <w:t>,</w:t>
      </w:r>
      <w:r w:rsidR="00203F30" w:rsidRPr="004B799C">
        <w:rPr>
          <w:rFonts w:asciiTheme="minorHAnsi" w:hAnsiTheme="minorHAnsi" w:cstheme="minorHAnsi"/>
        </w:rPr>
        <w:t xml:space="preserve"> thus</w:t>
      </w:r>
      <w:r w:rsidR="007E6867">
        <w:rPr>
          <w:rFonts w:asciiTheme="minorHAnsi" w:hAnsiTheme="minorHAnsi" w:cstheme="minorHAnsi"/>
        </w:rPr>
        <w:t>,</w:t>
      </w:r>
      <w:r w:rsidR="00203F30" w:rsidRPr="004B799C">
        <w:rPr>
          <w:rFonts w:asciiTheme="minorHAnsi" w:hAnsiTheme="minorHAnsi" w:cstheme="minorHAnsi"/>
        </w:rPr>
        <w:t xml:space="preserve"> skewing </w:t>
      </w:r>
      <w:r w:rsidR="004A5A18" w:rsidRPr="004B799C">
        <w:rPr>
          <w:rFonts w:asciiTheme="minorHAnsi" w:hAnsiTheme="minorHAnsi" w:cstheme="minorHAnsi"/>
        </w:rPr>
        <w:t xml:space="preserve">the </w:t>
      </w:r>
      <w:r w:rsidR="00203F30" w:rsidRPr="004B799C">
        <w:rPr>
          <w:rFonts w:asciiTheme="minorHAnsi" w:hAnsiTheme="minorHAnsi" w:cstheme="minorHAnsi"/>
        </w:rPr>
        <w:t xml:space="preserve">in-compliance </w:t>
      </w:r>
      <w:r w:rsidR="000770C5" w:rsidRPr="004B799C">
        <w:rPr>
          <w:rFonts w:asciiTheme="minorHAnsi" w:hAnsiTheme="minorHAnsi" w:cstheme="minorHAnsi"/>
        </w:rPr>
        <w:t>percentage</w:t>
      </w:r>
      <w:r w:rsidR="00987070" w:rsidRPr="004B799C">
        <w:rPr>
          <w:rFonts w:asciiTheme="minorHAnsi" w:hAnsiTheme="minorHAnsi" w:cstheme="minorHAnsi"/>
        </w:rPr>
        <w:t xml:space="preserve">.  </w:t>
      </w:r>
      <w:r w:rsidR="00280BFD" w:rsidRPr="004B799C">
        <w:rPr>
          <w:rFonts w:asciiTheme="minorHAnsi" w:hAnsiTheme="minorHAnsi" w:cstheme="minorHAnsi"/>
        </w:rPr>
        <w:t xml:space="preserve">The State Plan adopted the </w:t>
      </w:r>
      <w:r w:rsidR="007E6867">
        <w:rPr>
          <w:rFonts w:asciiTheme="minorHAnsi" w:hAnsiTheme="minorHAnsi" w:cstheme="minorHAnsi"/>
        </w:rPr>
        <w:t>SST</w:t>
      </w:r>
      <w:r w:rsidR="00280BFD" w:rsidRPr="004B799C">
        <w:rPr>
          <w:rFonts w:asciiTheme="minorHAnsi" w:hAnsiTheme="minorHAnsi" w:cstheme="minorHAnsi"/>
        </w:rPr>
        <w:t xml:space="preserve"> directive during FY 2021.  There were </w:t>
      </w:r>
      <w:r w:rsidR="00987070" w:rsidRPr="004B799C">
        <w:rPr>
          <w:rFonts w:asciiTheme="minorHAnsi" w:hAnsiTheme="minorHAnsi" w:cstheme="minorHAnsi"/>
        </w:rPr>
        <w:t>11 SST inspections</w:t>
      </w:r>
      <w:r w:rsidR="00280BFD" w:rsidRPr="004B799C">
        <w:rPr>
          <w:rFonts w:asciiTheme="minorHAnsi" w:hAnsiTheme="minorHAnsi" w:cstheme="minorHAnsi"/>
        </w:rPr>
        <w:t xml:space="preserve"> conducted during FY 2022.  </w:t>
      </w:r>
      <w:r w:rsidR="00987070" w:rsidRPr="004B799C">
        <w:rPr>
          <w:rFonts w:asciiTheme="minorHAnsi" w:hAnsiTheme="minorHAnsi" w:cstheme="minorHAnsi"/>
        </w:rPr>
        <w:t>Of those 11 inspections, seven inspections (63.6%) resulted in violations.</w:t>
      </w:r>
      <w:r w:rsidR="00987070" w:rsidRPr="00FC3E1E">
        <w:rPr>
          <w:rFonts w:asciiTheme="minorHAnsi" w:hAnsiTheme="minorHAnsi" w:cstheme="minorHAnsi"/>
        </w:rPr>
        <w:t xml:space="preserve">  </w:t>
      </w:r>
      <w:r w:rsidR="00280BFD" w:rsidRPr="00FC3E1E">
        <w:rPr>
          <w:rFonts w:asciiTheme="minorHAnsi" w:hAnsiTheme="minorHAnsi" w:cstheme="minorHAnsi"/>
        </w:rPr>
        <w:t xml:space="preserve">OSHA believes that the State Plan should conduct </w:t>
      </w:r>
      <w:r w:rsidR="00987070" w:rsidRPr="00FC3E1E">
        <w:rPr>
          <w:rFonts w:asciiTheme="minorHAnsi" w:hAnsiTheme="minorHAnsi" w:cstheme="minorHAnsi"/>
        </w:rPr>
        <w:t xml:space="preserve">additional </w:t>
      </w:r>
      <w:r w:rsidR="00280BFD" w:rsidRPr="00FC3E1E">
        <w:rPr>
          <w:rFonts w:asciiTheme="minorHAnsi" w:hAnsiTheme="minorHAnsi" w:cstheme="minorHAnsi"/>
        </w:rPr>
        <w:t>program</w:t>
      </w:r>
      <w:r w:rsidR="00987070" w:rsidRPr="00FC3E1E">
        <w:rPr>
          <w:rFonts w:asciiTheme="minorHAnsi" w:hAnsiTheme="minorHAnsi" w:cstheme="minorHAnsi"/>
        </w:rPr>
        <w:t>med</w:t>
      </w:r>
      <w:r w:rsidR="00280BFD" w:rsidRPr="00FC3E1E">
        <w:rPr>
          <w:rFonts w:asciiTheme="minorHAnsi" w:hAnsiTheme="minorHAnsi" w:cstheme="minorHAnsi"/>
        </w:rPr>
        <w:t xml:space="preserve"> inspections</w:t>
      </w:r>
      <w:r w:rsidR="00987070" w:rsidRPr="00FC3E1E">
        <w:rPr>
          <w:rFonts w:asciiTheme="minorHAnsi" w:hAnsiTheme="minorHAnsi" w:cstheme="minorHAnsi"/>
        </w:rPr>
        <w:t xml:space="preserve"> </w:t>
      </w:r>
      <w:r w:rsidR="00280BFD" w:rsidRPr="00FC3E1E">
        <w:rPr>
          <w:rFonts w:asciiTheme="minorHAnsi" w:hAnsiTheme="minorHAnsi" w:cstheme="minorHAnsi"/>
        </w:rPr>
        <w:t xml:space="preserve">to reduce its in-compliance rate for safety inspections. </w:t>
      </w:r>
      <w:r w:rsidR="00987070" w:rsidRPr="00FC3E1E">
        <w:rPr>
          <w:rFonts w:asciiTheme="minorHAnsi" w:hAnsiTheme="minorHAnsi" w:cstheme="minorHAnsi"/>
        </w:rPr>
        <w:t xml:space="preserve"> </w:t>
      </w:r>
    </w:p>
    <w:p w14:paraId="5DA02DF9" w14:textId="651094E7" w:rsidR="005C67C1" w:rsidRDefault="005C67C1" w:rsidP="006349CB">
      <w:pPr>
        <w:widowControl/>
        <w:autoSpaceDE/>
        <w:autoSpaceDN/>
        <w:adjustRightInd/>
        <w:rPr>
          <w:rFonts w:asciiTheme="minorHAnsi" w:hAnsiTheme="minorHAnsi" w:cstheme="minorHAnsi"/>
        </w:rPr>
      </w:pPr>
    </w:p>
    <w:p w14:paraId="482D4DE4" w14:textId="25D87CA0" w:rsidR="005C67C1" w:rsidRDefault="005C67C1" w:rsidP="006349CB">
      <w:pPr>
        <w:widowControl/>
        <w:autoSpaceDE/>
        <w:autoSpaceDN/>
        <w:adjustRightInd/>
        <w:rPr>
          <w:rFonts w:asciiTheme="minorHAnsi" w:hAnsiTheme="minorHAnsi" w:cstheme="minorHAnsi"/>
        </w:rPr>
      </w:pPr>
      <w:r>
        <w:rPr>
          <w:rFonts w:asciiTheme="minorHAnsi" w:hAnsiTheme="minorHAnsi" w:cstheme="minorHAnsi"/>
        </w:rPr>
        <w:t>Upon</w:t>
      </w:r>
      <w:r w:rsidRPr="00FC3E1E">
        <w:rPr>
          <w:rFonts w:asciiTheme="minorHAnsi" w:hAnsiTheme="minorHAnsi" w:cstheme="minorHAnsi"/>
        </w:rPr>
        <w:t xml:space="preserve"> examination of the 11 health inspections</w:t>
      </w:r>
      <w:r>
        <w:rPr>
          <w:rFonts w:asciiTheme="minorHAnsi" w:hAnsiTheme="minorHAnsi" w:cstheme="minorHAnsi"/>
        </w:rPr>
        <w:t xml:space="preserve"> performed in FY 2022</w:t>
      </w:r>
      <w:r w:rsidRPr="00FC3E1E">
        <w:rPr>
          <w:rFonts w:asciiTheme="minorHAnsi" w:hAnsiTheme="minorHAnsi" w:cstheme="minorHAnsi"/>
        </w:rPr>
        <w:t xml:space="preserve">, OSHA noted that the nine complaint or referral inspections adequately investigated the allegations.  In these cases, the nature of the complaints, the majority being mold complaints, indirectly led to the high in-compliance </w:t>
      </w:r>
      <w:r>
        <w:rPr>
          <w:rFonts w:asciiTheme="minorHAnsi" w:hAnsiTheme="minorHAnsi" w:cstheme="minorHAnsi"/>
        </w:rPr>
        <w:t>percentage</w:t>
      </w:r>
      <w:r w:rsidRPr="00FC3E1E">
        <w:rPr>
          <w:rFonts w:asciiTheme="minorHAnsi" w:hAnsiTheme="minorHAnsi" w:cstheme="minorHAnsi"/>
        </w:rPr>
        <w:t xml:space="preserve"> for health inspections.  The remaining two health inspections, one an SST and the other a fatality investigation, both resulted in violations issued.  There were no </w:t>
      </w:r>
      <w:r>
        <w:rPr>
          <w:rFonts w:asciiTheme="minorHAnsi" w:hAnsiTheme="minorHAnsi" w:cstheme="minorHAnsi"/>
        </w:rPr>
        <w:t>programmed health inspections, other than the SST inspection,</w:t>
      </w:r>
      <w:r w:rsidRPr="00FC3E1E">
        <w:rPr>
          <w:rFonts w:asciiTheme="minorHAnsi" w:hAnsiTheme="minorHAnsi" w:cstheme="minorHAnsi"/>
        </w:rPr>
        <w:t xml:space="preserve"> conducted during FY 2022.  </w:t>
      </w:r>
      <w:r>
        <w:rPr>
          <w:rFonts w:asciiTheme="minorHAnsi" w:hAnsiTheme="minorHAnsi" w:cstheme="minorHAnsi"/>
        </w:rPr>
        <w:t>Wyoming OSHA</w:t>
      </w:r>
      <w:r w:rsidRPr="00FC3E1E">
        <w:rPr>
          <w:rFonts w:asciiTheme="minorHAnsi" w:hAnsiTheme="minorHAnsi" w:cstheme="minorHAnsi"/>
        </w:rPr>
        <w:t xml:space="preserve"> </w:t>
      </w:r>
      <w:r>
        <w:rPr>
          <w:rFonts w:asciiTheme="minorHAnsi" w:hAnsiTheme="minorHAnsi" w:cstheme="minorHAnsi"/>
        </w:rPr>
        <w:t xml:space="preserve">may have opportunities to increase the number of health inspections with violations through implementation of </w:t>
      </w:r>
      <w:r w:rsidRPr="00FC3E1E">
        <w:rPr>
          <w:rFonts w:asciiTheme="minorHAnsi" w:hAnsiTheme="minorHAnsi" w:cstheme="minorHAnsi"/>
        </w:rPr>
        <w:t xml:space="preserve">programmed </w:t>
      </w:r>
      <w:r>
        <w:rPr>
          <w:rFonts w:asciiTheme="minorHAnsi" w:hAnsiTheme="minorHAnsi" w:cstheme="minorHAnsi"/>
        </w:rPr>
        <w:t xml:space="preserve">health </w:t>
      </w:r>
      <w:r w:rsidRPr="00FC3E1E">
        <w:rPr>
          <w:rFonts w:asciiTheme="minorHAnsi" w:hAnsiTheme="minorHAnsi" w:cstheme="minorHAnsi"/>
        </w:rPr>
        <w:t>inspections, such as SST and respirable crystalline silica inspections</w:t>
      </w:r>
      <w:r>
        <w:rPr>
          <w:rFonts w:asciiTheme="minorHAnsi" w:hAnsiTheme="minorHAnsi" w:cstheme="minorHAnsi"/>
        </w:rPr>
        <w:t>.</w:t>
      </w:r>
      <w:r w:rsidRPr="00FC3E1E">
        <w:rPr>
          <w:rFonts w:asciiTheme="minorHAnsi" w:hAnsiTheme="minorHAnsi" w:cstheme="minorHAnsi"/>
        </w:rPr>
        <w:t xml:space="preserve">  </w:t>
      </w:r>
      <w:r>
        <w:rPr>
          <w:rFonts w:asciiTheme="minorHAnsi" w:hAnsiTheme="minorHAnsi" w:cstheme="minorHAnsi"/>
        </w:rPr>
        <w:t xml:space="preserve">As previously mentioned, </w:t>
      </w:r>
      <w:r w:rsidR="004A3D2C">
        <w:rPr>
          <w:rFonts w:asciiTheme="minorHAnsi" w:hAnsiTheme="minorHAnsi" w:cstheme="minorHAnsi"/>
        </w:rPr>
        <w:t>Wyoming OSHA CSHOs had shadowing opportunities with health compliance officers from both UOSH and OSHA in FY 2022.</w:t>
      </w:r>
      <w:r w:rsidRPr="00062531">
        <w:rPr>
          <w:iCs/>
        </w:rPr>
        <w:t xml:space="preserve"> </w:t>
      </w:r>
      <w:r w:rsidR="004A3D2C">
        <w:rPr>
          <w:iCs/>
        </w:rPr>
        <w:t xml:space="preserve"> </w:t>
      </w:r>
      <w:r w:rsidRPr="00FC3E1E">
        <w:rPr>
          <w:rFonts w:asciiTheme="minorHAnsi" w:hAnsiTheme="minorHAnsi" w:cstheme="minorHAnsi"/>
        </w:rPr>
        <w:t>Th</w:t>
      </w:r>
      <w:r>
        <w:rPr>
          <w:rFonts w:asciiTheme="minorHAnsi" w:hAnsiTheme="minorHAnsi" w:cstheme="minorHAnsi"/>
        </w:rPr>
        <w:t xml:space="preserve">e </w:t>
      </w:r>
      <w:r w:rsidRPr="00EA6FAC">
        <w:rPr>
          <w:rFonts w:asciiTheme="minorHAnsi" w:hAnsiTheme="minorHAnsi" w:cstheme="minorHAnsi"/>
        </w:rPr>
        <w:t>safety and</w:t>
      </w:r>
      <w:r>
        <w:rPr>
          <w:rFonts w:asciiTheme="minorHAnsi" w:hAnsiTheme="minorHAnsi" w:cstheme="minorHAnsi"/>
        </w:rPr>
        <w:t xml:space="preserve"> health inspection in-compliance percentages</w:t>
      </w:r>
      <w:r w:rsidRPr="00FC3E1E">
        <w:rPr>
          <w:rFonts w:asciiTheme="minorHAnsi" w:hAnsiTheme="minorHAnsi" w:cstheme="minorHAnsi"/>
        </w:rPr>
        <w:t xml:space="preserve"> remain a concern </w:t>
      </w:r>
      <w:r w:rsidRPr="00EA6FAC">
        <w:rPr>
          <w:rFonts w:asciiTheme="minorHAnsi" w:hAnsiTheme="minorHAnsi" w:cstheme="minorHAnsi"/>
        </w:rPr>
        <w:t>for</w:t>
      </w:r>
      <w:r w:rsidRPr="00FC3E1E">
        <w:rPr>
          <w:rFonts w:asciiTheme="minorHAnsi" w:hAnsiTheme="minorHAnsi" w:cstheme="minorHAnsi"/>
        </w:rPr>
        <w:t xml:space="preserve"> OSHA and will be monitored during quarterly meetings with W</w:t>
      </w:r>
      <w:r>
        <w:rPr>
          <w:rFonts w:asciiTheme="minorHAnsi" w:hAnsiTheme="minorHAnsi" w:cstheme="minorHAnsi"/>
        </w:rPr>
        <w:t>yoming</w:t>
      </w:r>
      <w:r w:rsidRPr="00FC3E1E">
        <w:rPr>
          <w:rFonts w:asciiTheme="minorHAnsi" w:hAnsiTheme="minorHAnsi" w:cstheme="minorHAnsi"/>
        </w:rPr>
        <w:t xml:space="preserve"> OSHA.</w:t>
      </w:r>
    </w:p>
    <w:p w14:paraId="51C2C3EE" w14:textId="77777777" w:rsidR="00C01AD4" w:rsidRDefault="00C01AD4" w:rsidP="006349CB">
      <w:pPr>
        <w:widowControl/>
        <w:autoSpaceDE/>
        <w:autoSpaceDN/>
        <w:adjustRightInd/>
        <w:rPr>
          <w:rFonts w:asciiTheme="minorHAnsi" w:hAnsiTheme="minorHAnsi" w:cstheme="minorHAnsi"/>
        </w:rPr>
      </w:pPr>
    </w:p>
    <w:p w14:paraId="73640AF3" w14:textId="77777777" w:rsidR="006349CB" w:rsidRPr="00AE3A5F" w:rsidRDefault="006349CB" w:rsidP="006349CB">
      <w:pPr>
        <w:widowControl/>
        <w:autoSpaceDE/>
        <w:adjustRightInd/>
        <w:rPr>
          <w:rFonts w:asciiTheme="minorHAnsi" w:hAnsiTheme="minorHAnsi" w:cstheme="minorHAnsi"/>
          <w:b/>
        </w:rPr>
      </w:pPr>
      <w:r w:rsidRPr="00AE3A5F">
        <w:rPr>
          <w:rFonts w:asciiTheme="minorHAnsi" w:hAnsiTheme="minorHAnsi" w:cstheme="minorHAnsi"/>
          <w:b/>
        </w:rPr>
        <w:t xml:space="preserve">SAMM 10 – </w:t>
      </w:r>
      <w:r w:rsidRPr="00AE3A5F">
        <w:rPr>
          <w:rFonts w:asciiTheme="minorHAnsi" w:hAnsiTheme="minorHAnsi" w:cstheme="minorHAnsi"/>
          <w:b/>
          <w:bCs/>
        </w:rPr>
        <w:t>Percent of Work-Related Fatalities Responded to in One Workday</w:t>
      </w:r>
    </w:p>
    <w:p w14:paraId="60050C5E" w14:textId="77777777" w:rsidR="006349CB" w:rsidRPr="00AE3A5F" w:rsidRDefault="006349CB" w:rsidP="006349CB">
      <w:pPr>
        <w:widowControl/>
        <w:autoSpaceDE/>
        <w:adjustRightInd/>
        <w:rPr>
          <w:rFonts w:asciiTheme="minorHAnsi" w:hAnsiTheme="minorHAnsi" w:cstheme="minorHAnsi"/>
          <w:b/>
          <w:color w:val="FF0000"/>
        </w:rPr>
      </w:pPr>
    </w:p>
    <w:p w14:paraId="3CB84C96" w14:textId="0D97FA13" w:rsidR="006349CB" w:rsidRPr="00AE3A5F" w:rsidRDefault="006349CB" w:rsidP="006349CB">
      <w:pPr>
        <w:widowControl/>
        <w:autoSpaceDE/>
        <w:adjustRightInd/>
        <w:rPr>
          <w:rFonts w:asciiTheme="minorHAnsi" w:hAnsiTheme="minorHAnsi" w:cstheme="minorHAnsi"/>
        </w:rPr>
      </w:pPr>
      <w:r w:rsidRPr="00516EB0">
        <w:rPr>
          <w:rFonts w:asciiTheme="minorHAnsi" w:hAnsiTheme="minorHAnsi" w:cstheme="minorHAnsi"/>
          <w:u w:val="single"/>
        </w:rPr>
        <w:t>Discussion of State Plan Data and FRL:</w:t>
      </w:r>
      <w:r w:rsidRPr="00AE3A5F">
        <w:rPr>
          <w:rFonts w:asciiTheme="minorHAnsi" w:hAnsiTheme="minorHAnsi" w:cstheme="minorHAnsi"/>
        </w:rPr>
        <w:t xml:space="preserve">  The FRL for </w:t>
      </w:r>
      <w:r w:rsidR="00A80CE2">
        <w:rPr>
          <w:rFonts w:asciiTheme="minorHAnsi" w:hAnsiTheme="minorHAnsi" w:cstheme="minorHAnsi"/>
        </w:rPr>
        <w:t xml:space="preserve">the </w:t>
      </w:r>
      <w:r w:rsidRPr="00AE3A5F">
        <w:rPr>
          <w:rFonts w:asciiTheme="minorHAnsi" w:hAnsiTheme="minorHAnsi" w:cstheme="minorHAnsi"/>
        </w:rPr>
        <w:t xml:space="preserve">percent of work-related fatalities responded to in one workday </w:t>
      </w:r>
      <w:r w:rsidR="00925513" w:rsidRPr="00AE3A5F">
        <w:rPr>
          <w:rFonts w:asciiTheme="minorHAnsi" w:hAnsiTheme="minorHAnsi" w:cstheme="minorHAnsi"/>
        </w:rPr>
        <w:t>was</w:t>
      </w:r>
      <w:r w:rsidRPr="00AE3A5F">
        <w:rPr>
          <w:rFonts w:asciiTheme="minorHAnsi" w:hAnsiTheme="minorHAnsi" w:cstheme="minorHAnsi"/>
        </w:rPr>
        <w:t xml:space="preserve"> 100%.  The State Plan’s percent of work-related fatalities responded to in one workday </w:t>
      </w:r>
      <w:r w:rsidR="00925513" w:rsidRPr="00AE3A5F">
        <w:rPr>
          <w:rFonts w:asciiTheme="minorHAnsi" w:hAnsiTheme="minorHAnsi" w:cstheme="minorHAnsi"/>
        </w:rPr>
        <w:t>was</w:t>
      </w:r>
      <w:r w:rsidRPr="00AE3A5F">
        <w:rPr>
          <w:rFonts w:asciiTheme="minorHAnsi" w:hAnsiTheme="minorHAnsi" w:cstheme="minorHAnsi"/>
        </w:rPr>
        <w:t xml:space="preserve"> </w:t>
      </w:r>
      <w:r w:rsidR="00CA720B" w:rsidRPr="00AE3A5F">
        <w:rPr>
          <w:rFonts w:asciiTheme="minorHAnsi" w:hAnsiTheme="minorHAnsi" w:cstheme="minorHAnsi"/>
        </w:rPr>
        <w:t>66.67</w:t>
      </w:r>
      <w:r w:rsidRPr="00AE3A5F">
        <w:rPr>
          <w:rFonts w:asciiTheme="minorHAnsi" w:hAnsiTheme="minorHAnsi" w:cstheme="minorHAnsi"/>
        </w:rPr>
        <w:t>%</w:t>
      </w:r>
      <w:r w:rsidR="00206F3E">
        <w:rPr>
          <w:rFonts w:asciiTheme="minorHAnsi" w:hAnsiTheme="minorHAnsi" w:cstheme="minorHAnsi"/>
        </w:rPr>
        <w:t>,</w:t>
      </w:r>
      <w:r w:rsidRPr="00AE3A5F">
        <w:rPr>
          <w:rFonts w:asciiTheme="minorHAnsi" w:hAnsiTheme="minorHAnsi" w:cstheme="minorHAnsi"/>
        </w:rPr>
        <w:t xml:space="preserve"> which </w:t>
      </w:r>
      <w:r w:rsidR="00925513" w:rsidRPr="00AE3A5F">
        <w:rPr>
          <w:rFonts w:asciiTheme="minorHAnsi" w:hAnsiTheme="minorHAnsi" w:cstheme="minorHAnsi"/>
        </w:rPr>
        <w:t>was</w:t>
      </w:r>
      <w:r w:rsidRPr="00AE3A5F">
        <w:rPr>
          <w:rFonts w:asciiTheme="minorHAnsi" w:hAnsiTheme="minorHAnsi" w:cstheme="minorHAnsi"/>
        </w:rPr>
        <w:t xml:space="preserve"> s</w:t>
      </w:r>
      <w:r w:rsidR="00CA720B" w:rsidRPr="00AE3A5F">
        <w:rPr>
          <w:rFonts w:asciiTheme="minorHAnsi" w:hAnsiTheme="minorHAnsi" w:cstheme="minorHAnsi"/>
        </w:rPr>
        <w:t>ignificantly</w:t>
      </w:r>
      <w:r w:rsidRPr="00AE3A5F">
        <w:rPr>
          <w:rFonts w:asciiTheme="minorHAnsi" w:hAnsiTheme="minorHAnsi" w:cstheme="minorHAnsi"/>
        </w:rPr>
        <w:t xml:space="preserve"> </w:t>
      </w:r>
      <w:r w:rsidR="00206F3E">
        <w:rPr>
          <w:rFonts w:asciiTheme="minorHAnsi" w:hAnsiTheme="minorHAnsi" w:cstheme="minorHAnsi"/>
        </w:rPr>
        <w:t>below</w:t>
      </w:r>
      <w:r w:rsidRPr="00AE3A5F">
        <w:rPr>
          <w:rFonts w:asciiTheme="minorHAnsi" w:hAnsiTheme="minorHAnsi" w:cstheme="minorHAnsi"/>
        </w:rPr>
        <w:t xml:space="preserve"> the FRL. </w:t>
      </w:r>
    </w:p>
    <w:p w14:paraId="055EF98D" w14:textId="77777777" w:rsidR="006349CB" w:rsidRPr="00AE3A5F" w:rsidRDefault="006349CB" w:rsidP="006349CB">
      <w:pPr>
        <w:widowControl/>
        <w:autoSpaceDE/>
        <w:adjustRightInd/>
        <w:rPr>
          <w:rFonts w:asciiTheme="minorHAnsi" w:hAnsiTheme="minorHAnsi" w:cstheme="minorHAnsi"/>
          <w:color w:val="FF0000"/>
        </w:rPr>
      </w:pPr>
    </w:p>
    <w:p w14:paraId="27984EA5" w14:textId="78EAACAB" w:rsidR="006349CB" w:rsidRPr="00AE3A5F" w:rsidRDefault="006349CB" w:rsidP="006349CB">
      <w:pPr>
        <w:widowControl/>
        <w:autoSpaceDE/>
        <w:autoSpaceDN/>
        <w:adjustRightInd/>
        <w:rPr>
          <w:rFonts w:asciiTheme="minorHAnsi" w:hAnsiTheme="minorHAnsi" w:cstheme="minorHAnsi"/>
          <w:i/>
          <w:color w:val="FF0000"/>
        </w:rPr>
      </w:pPr>
      <w:r w:rsidRPr="00516EB0">
        <w:rPr>
          <w:rFonts w:asciiTheme="minorHAnsi" w:hAnsiTheme="minorHAnsi" w:cstheme="minorHAnsi"/>
          <w:u w:val="single"/>
        </w:rPr>
        <w:t>Explanation:</w:t>
      </w:r>
      <w:r w:rsidRPr="00AE3A5F">
        <w:rPr>
          <w:rFonts w:asciiTheme="minorHAnsi" w:hAnsiTheme="minorHAnsi" w:cstheme="minorHAnsi"/>
        </w:rPr>
        <w:t xml:space="preserve"> </w:t>
      </w:r>
      <w:r w:rsidR="00D21EAF" w:rsidRPr="00AE3A5F">
        <w:rPr>
          <w:rFonts w:asciiTheme="minorHAnsi" w:hAnsiTheme="minorHAnsi" w:cstheme="minorHAnsi"/>
        </w:rPr>
        <w:t xml:space="preserve"> </w:t>
      </w:r>
      <w:r w:rsidR="00206F3E">
        <w:rPr>
          <w:rFonts w:asciiTheme="minorHAnsi" w:hAnsiTheme="minorHAnsi" w:cstheme="minorHAnsi"/>
        </w:rPr>
        <w:t>Wyoming OSHA</w:t>
      </w:r>
      <w:r w:rsidR="00D21EAF" w:rsidRPr="00AE3A5F">
        <w:rPr>
          <w:rFonts w:asciiTheme="minorHAnsi" w:hAnsiTheme="minorHAnsi" w:cstheme="minorHAnsi"/>
        </w:rPr>
        <w:t xml:space="preserve"> responded to four of six (66.67%) </w:t>
      </w:r>
      <w:r w:rsidR="006A4460" w:rsidRPr="00AE3A5F">
        <w:rPr>
          <w:rFonts w:asciiTheme="minorHAnsi" w:hAnsiTheme="minorHAnsi" w:cstheme="minorHAnsi"/>
        </w:rPr>
        <w:t>work</w:t>
      </w:r>
      <w:r w:rsidR="00206F3E">
        <w:rPr>
          <w:rFonts w:asciiTheme="minorHAnsi" w:hAnsiTheme="minorHAnsi" w:cstheme="minorHAnsi"/>
        </w:rPr>
        <w:t>-</w:t>
      </w:r>
      <w:r w:rsidR="006A4460" w:rsidRPr="00AE3A5F">
        <w:rPr>
          <w:rFonts w:asciiTheme="minorHAnsi" w:hAnsiTheme="minorHAnsi" w:cstheme="minorHAnsi"/>
        </w:rPr>
        <w:t xml:space="preserve">related </w:t>
      </w:r>
      <w:r w:rsidR="00D21EAF" w:rsidRPr="00AE3A5F">
        <w:rPr>
          <w:rFonts w:asciiTheme="minorHAnsi" w:hAnsiTheme="minorHAnsi" w:cstheme="minorHAnsi"/>
        </w:rPr>
        <w:t>fatalities within one workday</w:t>
      </w:r>
      <w:r w:rsidR="006A4460" w:rsidRPr="00AE3A5F">
        <w:rPr>
          <w:rFonts w:asciiTheme="minorHAnsi" w:hAnsiTheme="minorHAnsi" w:cstheme="minorHAnsi"/>
        </w:rPr>
        <w:t xml:space="preserve"> during FY 2022.  The remaining two work</w:t>
      </w:r>
      <w:r w:rsidR="00206F3E">
        <w:rPr>
          <w:rFonts w:asciiTheme="minorHAnsi" w:hAnsiTheme="minorHAnsi" w:cstheme="minorHAnsi"/>
        </w:rPr>
        <w:t>-</w:t>
      </w:r>
      <w:r w:rsidR="006A4460" w:rsidRPr="00AE3A5F">
        <w:rPr>
          <w:rFonts w:asciiTheme="minorHAnsi" w:hAnsiTheme="minorHAnsi" w:cstheme="minorHAnsi"/>
        </w:rPr>
        <w:t>related fatalities were responded to within two workdays</w:t>
      </w:r>
      <w:r w:rsidR="001D3E42">
        <w:rPr>
          <w:rFonts w:asciiTheme="minorHAnsi" w:hAnsiTheme="minorHAnsi" w:cstheme="minorHAnsi"/>
        </w:rPr>
        <w:t xml:space="preserve">.  </w:t>
      </w:r>
      <w:r w:rsidR="001D3E42" w:rsidRPr="00EA6FAC">
        <w:rPr>
          <w:rFonts w:asciiTheme="minorHAnsi" w:hAnsiTheme="minorHAnsi" w:cstheme="minorHAnsi"/>
        </w:rPr>
        <w:t xml:space="preserve">In the first </w:t>
      </w:r>
      <w:r w:rsidR="00650DB6" w:rsidRPr="00EA6FAC">
        <w:rPr>
          <w:rFonts w:asciiTheme="minorHAnsi" w:hAnsiTheme="minorHAnsi" w:cstheme="minorHAnsi"/>
        </w:rPr>
        <w:t xml:space="preserve">fatality </w:t>
      </w:r>
      <w:r w:rsidR="001D3E42" w:rsidRPr="00EA6FAC">
        <w:rPr>
          <w:rFonts w:asciiTheme="minorHAnsi" w:hAnsiTheme="minorHAnsi" w:cstheme="minorHAnsi"/>
        </w:rPr>
        <w:t>case</w:t>
      </w:r>
      <w:r w:rsidR="00206F3E" w:rsidRPr="00EA6FAC">
        <w:rPr>
          <w:rFonts w:asciiTheme="minorHAnsi" w:hAnsiTheme="minorHAnsi" w:cstheme="minorHAnsi"/>
        </w:rPr>
        <w:t>, t</w:t>
      </w:r>
      <w:r w:rsidR="0022379E" w:rsidRPr="00EA6FAC">
        <w:rPr>
          <w:rFonts w:asciiTheme="minorHAnsi" w:hAnsiTheme="minorHAnsi" w:cstheme="minorHAnsi"/>
        </w:rPr>
        <w:t>he delay</w:t>
      </w:r>
      <w:r w:rsidR="00A80CE2" w:rsidRPr="00EA6FAC">
        <w:rPr>
          <w:rFonts w:asciiTheme="minorHAnsi" w:hAnsiTheme="minorHAnsi" w:cstheme="minorHAnsi"/>
        </w:rPr>
        <w:t>ed response</w:t>
      </w:r>
      <w:r w:rsidR="0022379E" w:rsidRPr="00EA6FAC">
        <w:rPr>
          <w:rFonts w:asciiTheme="minorHAnsi" w:hAnsiTheme="minorHAnsi" w:cstheme="minorHAnsi"/>
        </w:rPr>
        <w:t xml:space="preserve"> was due to </w:t>
      </w:r>
      <w:r w:rsidR="00206F3E" w:rsidRPr="00EA6FAC">
        <w:rPr>
          <w:rFonts w:asciiTheme="minorHAnsi" w:hAnsiTheme="minorHAnsi" w:cstheme="minorHAnsi"/>
        </w:rPr>
        <w:t>severe weather</w:t>
      </w:r>
      <w:r w:rsidR="00650DB6" w:rsidRPr="00EA6FAC">
        <w:rPr>
          <w:rFonts w:asciiTheme="minorHAnsi" w:hAnsiTheme="minorHAnsi" w:cstheme="minorHAnsi"/>
        </w:rPr>
        <w:t xml:space="preserve">. </w:t>
      </w:r>
      <w:r w:rsidR="0094216D" w:rsidRPr="00EA6FAC">
        <w:rPr>
          <w:rFonts w:asciiTheme="minorHAnsi" w:hAnsiTheme="minorHAnsi" w:cstheme="minorHAnsi"/>
        </w:rPr>
        <w:t xml:space="preserve"> </w:t>
      </w:r>
      <w:r w:rsidR="00650DB6" w:rsidRPr="00EA6FAC">
        <w:rPr>
          <w:rFonts w:asciiTheme="minorHAnsi" w:hAnsiTheme="minorHAnsi" w:cstheme="minorHAnsi"/>
        </w:rPr>
        <w:t>T</w:t>
      </w:r>
      <w:r w:rsidR="0094216D" w:rsidRPr="00EA6FAC">
        <w:rPr>
          <w:rFonts w:asciiTheme="minorHAnsi" w:hAnsiTheme="minorHAnsi" w:cstheme="minorHAnsi"/>
        </w:rPr>
        <w:t xml:space="preserve">he delayed response for the second </w:t>
      </w:r>
      <w:r w:rsidR="00650DB6" w:rsidRPr="00EA6FAC">
        <w:rPr>
          <w:rFonts w:asciiTheme="minorHAnsi" w:hAnsiTheme="minorHAnsi" w:cstheme="minorHAnsi"/>
        </w:rPr>
        <w:t xml:space="preserve">fatality </w:t>
      </w:r>
      <w:r w:rsidR="0094216D" w:rsidRPr="00EA6FAC">
        <w:rPr>
          <w:rFonts w:asciiTheme="minorHAnsi" w:hAnsiTheme="minorHAnsi" w:cstheme="minorHAnsi"/>
        </w:rPr>
        <w:t>case was due to limited resources</w:t>
      </w:r>
      <w:r w:rsidR="00650DB6" w:rsidRPr="00EA6FAC">
        <w:rPr>
          <w:rFonts w:asciiTheme="minorHAnsi" w:hAnsiTheme="minorHAnsi" w:cstheme="minorHAnsi"/>
        </w:rPr>
        <w:t>; the CSHO assigned to investigate the fatality had to travel across the state from a field location to the worksite</w:t>
      </w:r>
      <w:r w:rsidR="0094216D" w:rsidRPr="00EA6FAC">
        <w:rPr>
          <w:rFonts w:asciiTheme="minorHAnsi" w:hAnsiTheme="minorHAnsi" w:cstheme="minorHAnsi"/>
        </w:rPr>
        <w:t>.</w:t>
      </w:r>
      <w:r w:rsidR="0022379E" w:rsidRPr="00EA6FAC">
        <w:rPr>
          <w:rFonts w:asciiTheme="minorHAnsi" w:hAnsiTheme="minorHAnsi" w:cstheme="minorHAnsi"/>
        </w:rPr>
        <w:t xml:space="preserve">  </w:t>
      </w:r>
      <w:r w:rsidR="00F72322" w:rsidRPr="00EA6FAC">
        <w:rPr>
          <w:rFonts w:asciiTheme="minorHAnsi" w:hAnsiTheme="minorHAnsi" w:cstheme="minorHAnsi"/>
        </w:rPr>
        <w:t xml:space="preserve">Given </w:t>
      </w:r>
      <w:r w:rsidR="00650DB6" w:rsidRPr="00EA6FAC">
        <w:rPr>
          <w:rFonts w:asciiTheme="minorHAnsi" w:hAnsiTheme="minorHAnsi" w:cstheme="minorHAnsi"/>
        </w:rPr>
        <w:t>these reasons and the fact that the fatalities in question were responded to within two workdays,</w:t>
      </w:r>
      <w:r w:rsidR="00F72322">
        <w:rPr>
          <w:rFonts w:asciiTheme="minorHAnsi" w:hAnsiTheme="minorHAnsi" w:cstheme="minorHAnsi"/>
        </w:rPr>
        <w:t xml:space="preserve"> a</w:t>
      </w:r>
      <w:r w:rsidR="005372A5">
        <w:rPr>
          <w:rFonts w:asciiTheme="minorHAnsi" w:hAnsiTheme="minorHAnsi" w:cstheme="minorHAnsi"/>
        </w:rPr>
        <w:t>n</w:t>
      </w:r>
      <w:r w:rsidR="00E03181" w:rsidRPr="00FC3E1E">
        <w:rPr>
          <w:rFonts w:asciiTheme="minorHAnsi" w:hAnsiTheme="minorHAnsi" w:cstheme="minorHAnsi"/>
        </w:rPr>
        <w:t xml:space="preserve"> observation is not justified at this time.</w:t>
      </w:r>
    </w:p>
    <w:p w14:paraId="190DE12B" w14:textId="77777777" w:rsidR="006349CB" w:rsidRPr="00AE3A5F" w:rsidRDefault="006349CB" w:rsidP="006349CB">
      <w:pPr>
        <w:widowControl/>
        <w:autoSpaceDE/>
        <w:autoSpaceDN/>
        <w:adjustRightInd/>
        <w:rPr>
          <w:rFonts w:asciiTheme="minorHAnsi" w:hAnsiTheme="minorHAnsi" w:cstheme="minorHAnsi"/>
          <w:color w:val="FF0000"/>
        </w:rPr>
      </w:pPr>
    </w:p>
    <w:p w14:paraId="4483DE33" w14:textId="6859F7A9" w:rsidR="006349CB" w:rsidRPr="00AE3A5F" w:rsidRDefault="006349CB" w:rsidP="00861068">
      <w:pPr>
        <w:pStyle w:val="Heading4"/>
      </w:pPr>
      <w:r w:rsidRPr="00AE3A5F">
        <w:t>SAMM 1</w:t>
      </w:r>
      <w:r w:rsidR="00B578D7" w:rsidRPr="00AE3A5F">
        <w:t>2</w:t>
      </w:r>
      <w:r w:rsidRPr="00AE3A5F">
        <w:t xml:space="preserve"> – </w:t>
      </w:r>
      <w:r w:rsidR="00B578D7" w:rsidRPr="00AE3A5F">
        <w:t>Percent Penalty Retained</w:t>
      </w:r>
    </w:p>
    <w:p w14:paraId="11F0317B" w14:textId="77777777" w:rsidR="006349CB" w:rsidRPr="00AE3A5F" w:rsidRDefault="006349CB" w:rsidP="006349CB">
      <w:pPr>
        <w:widowControl/>
        <w:autoSpaceDE/>
        <w:adjustRightInd/>
        <w:rPr>
          <w:rFonts w:asciiTheme="minorHAnsi" w:hAnsiTheme="minorHAnsi" w:cstheme="minorHAnsi"/>
          <w:b/>
          <w:color w:val="FF0000"/>
        </w:rPr>
      </w:pPr>
    </w:p>
    <w:p w14:paraId="46A70530" w14:textId="23993416" w:rsidR="006349CB" w:rsidRPr="00AE3A5F" w:rsidRDefault="006349CB" w:rsidP="006349CB">
      <w:pPr>
        <w:widowControl/>
        <w:autoSpaceDE/>
        <w:adjustRightInd/>
        <w:rPr>
          <w:rFonts w:asciiTheme="minorHAnsi" w:hAnsiTheme="minorHAnsi" w:cstheme="minorHAnsi"/>
        </w:rPr>
      </w:pPr>
      <w:r w:rsidRPr="00516EB0">
        <w:rPr>
          <w:rFonts w:asciiTheme="minorHAnsi" w:hAnsiTheme="minorHAnsi" w:cstheme="minorHAnsi"/>
          <w:u w:val="single"/>
        </w:rPr>
        <w:t>Discussion of State Plan Data and FRL:</w:t>
      </w:r>
      <w:r w:rsidRPr="00AE3A5F">
        <w:rPr>
          <w:rFonts w:asciiTheme="minorHAnsi" w:hAnsiTheme="minorHAnsi" w:cstheme="minorHAnsi"/>
        </w:rPr>
        <w:t xml:space="preserve">  The FRL for </w:t>
      </w:r>
      <w:r w:rsidR="00301420">
        <w:rPr>
          <w:rFonts w:asciiTheme="minorHAnsi" w:hAnsiTheme="minorHAnsi" w:cstheme="minorHAnsi"/>
        </w:rPr>
        <w:t xml:space="preserve">the </w:t>
      </w:r>
      <w:r w:rsidR="003E0E84" w:rsidRPr="00AE3A5F">
        <w:rPr>
          <w:rFonts w:asciiTheme="minorHAnsi" w:hAnsiTheme="minorHAnsi" w:cstheme="minorHAnsi"/>
        </w:rPr>
        <w:t>percent penalty retained</w:t>
      </w:r>
      <w:r w:rsidRPr="00AE3A5F">
        <w:rPr>
          <w:rFonts w:asciiTheme="minorHAnsi" w:hAnsiTheme="minorHAnsi" w:cstheme="minorHAnsi"/>
        </w:rPr>
        <w:t xml:space="preserve"> </w:t>
      </w:r>
      <w:r w:rsidR="00925513" w:rsidRPr="00AE3A5F">
        <w:rPr>
          <w:rFonts w:asciiTheme="minorHAnsi" w:hAnsiTheme="minorHAnsi" w:cstheme="minorHAnsi"/>
        </w:rPr>
        <w:t>was</w:t>
      </w:r>
      <w:r w:rsidRPr="00AE3A5F">
        <w:rPr>
          <w:rFonts w:asciiTheme="minorHAnsi" w:hAnsiTheme="minorHAnsi" w:cstheme="minorHAnsi"/>
        </w:rPr>
        <w:t xml:space="preserve"> a range of </w:t>
      </w:r>
      <w:r w:rsidR="003E0E84" w:rsidRPr="00AE3A5F">
        <w:rPr>
          <w:rFonts w:asciiTheme="minorHAnsi" w:hAnsiTheme="minorHAnsi" w:cstheme="minorHAnsi"/>
        </w:rPr>
        <w:t>59.47% to 80.47%</w:t>
      </w:r>
      <w:r w:rsidRPr="00AE3A5F">
        <w:rPr>
          <w:rFonts w:asciiTheme="minorHAnsi" w:hAnsiTheme="minorHAnsi" w:cstheme="minorHAnsi"/>
        </w:rPr>
        <w:t xml:space="preserve">.  The State Plan’s </w:t>
      </w:r>
      <w:r w:rsidR="003E0E84" w:rsidRPr="00AE3A5F">
        <w:rPr>
          <w:rFonts w:asciiTheme="minorHAnsi" w:hAnsiTheme="minorHAnsi" w:cstheme="minorHAnsi"/>
        </w:rPr>
        <w:t>percent penalty retained</w:t>
      </w:r>
      <w:r w:rsidRPr="00AE3A5F">
        <w:rPr>
          <w:rFonts w:asciiTheme="minorHAnsi" w:hAnsiTheme="minorHAnsi" w:cstheme="minorHAnsi"/>
        </w:rPr>
        <w:t xml:space="preserve"> </w:t>
      </w:r>
      <w:r w:rsidR="00925513" w:rsidRPr="00AE3A5F">
        <w:rPr>
          <w:rFonts w:asciiTheme="minorHAnsi" w:hAnsiTheme="minorHAnsi" w:cstheme="minorHAnsi"/>
        </w:rPr>
        <w:t>was</w:t>
      </w:r>
      <w:r w:rsidRPr="00AE3A5F">
        <w:rPr>
          <w:rFonts w:asciiTheme="minorHAnsi" w:hAnsiTheme="minorHAnsi" w:cstheme="minorHAnsi"/>
        </w:rPr>
        <w:t xml:space="preserve"> </w:t>
      </w:r>
      <w:r w:rsidR="003E0E84" w:rsidRPr="00AE3A5F">
        <w:rPr>
          <w:rFonts w:asciiTheme="minorHAnsi" w:hAnsiTheme="minorHAnsi" w:cstheme="minorHAnsi"/>
        </w:rPr>
        <w:t>96.77%</w:t>
      </w:r>
      <w:r w:rsidR="00301420">
        <w:rPr>
          <w:rFonts w:asciiTheme="minorHAnsi" w:hAnsiTheme="minorHAnsi" w:cstheme="minorHAnsi"/>
        </w:rPr>
        <w:t>,</w:t>
      </w:r>
      <w:r w:rsidRPr="00AE3A5F">
        <w:rPr>
          <w:rFonts w:asciiTheme="minorHAnsi" w:hAnsiTheme="minorHAnsi" w:cstheme="minorHAnsi"/>
        </w:rPr>
        <w:t xml:space="preserve"> which </w:t>
      </w:r>
      <w:r w:rsidR="00925513" w:rsidRPr="00AE3A5F">
        <w:rPr>
          <w:rFonts w:asciiTheme="minorHAnsi" w:hAnsiTheme="minorHAnsi" w:cstheme="minorHAnsi"/>
        </w:rPr>
        <w:t>was</w:t>
      </w:r>
      <w:r w:rsidRPr="00AE3A5F">
        <w:rPr>
          <w:rFonts w:asciiTheme="minorHAnsi" w:hAnsiTheme="minorHAnsi" w:cstheme="minorHAnsi"/>
        </w:rPr>
        <w:t xml:space="preserve"> s</w:t>
      </w:r>
      <w:r w:rsidR="00925513" w:rsidRPr="00AE3A5F">
        <w:rPr>
          <w:rFonts w:asciiTheme="minorHAnsi" w:hAnsiTheme="minorHAnsi" w:cstheme="minorHAnsi"/>
        </w:rPr>
        <w:t>ignificantly</w:t>
      </w:r>
      <w:r w:rsidRPr="00AE3A5F">
        <w:rPr>
          <w:rFonts w:asciiTheme="minorHAnsi" w:hAnsiTheme="minorHAnsi" w:cstheme="minorHAnsi"/>
        </w:rPr>
        <w:t xml:space="preserve"> </w:t>
      </w:r>
      <w:r w:rsidR="00301420">
        <w:rPr>
          <w:rFonts w:asciiTheme="minorHAnsi" w:hAnsiTheme="minorHAnsi" w:cstheme="minorHAnsi"/>
        </w:rPr>
        <w:t>above</w:t>
      </w:r>
      <w:r w:rsidRPr="00AE3A5F">
        <w:rPr>
          <w:rFonts w:asciiTheme="minorHAnsi" w:hAnsiTheme="minorHAnsi" w:cstheme="minorHAnsi"/>
        </w:rPr>
        <w:t xml:space="preserve"> the FRL.  </w:t>
      </w:r>
    </w:p>
    <w:p w14:paraId="107EE38C" w14:textId="77777777" w:rsidR="006349CB" w:rsidRPr="00AE3A5F" w:rsidRDefault="006349CB" w:rsidP="006349CB">
      <w:pPr>
        <w:widowControl/>
        <w:autoSpaceDE/>
        <w:adjustRightInd/>
        <w:rPr>
          <w:rFonts w:asciiTheme="minorHAnsi" w:hAnsiTheme="minorHAnsi" w:cstheme="minorHAnsi"/>
          <w:color w:val="FF0000"/>
        </w:rPr>
      </w:pPr>
    </w:p>
    <w:p w14:paraId="6EEC34EB" w14:textId="5972DEFD" w:rsidR="006349CB" w:rsidRPr="00AE3A5F" w:rsidRDefault="006349CB" w:rsidP="006349CB">
      <w:pPr>
        <w:widowControl/>
        <w:autoSpaceDE/>
        <w:autoSpaceDN/>
        <w:adjustRightInd/>
        <w:rPr>
          <w:rFonts w:asciiTheme="minorHAnsi" w:hAnsiTheme="minorHAnsi" w:cstheme="minorHAnsi"/>
          <w:i/>
          <w:color w:val="FF0000"/>
        </w:rPr>
      </w:pPr>
      <w:r w:rsidRPr="00516EB0">
        <w:rPr>
          <w:rFonts w:asciiTheme="minorHAnsi" w:hAnsiTheme="minorHAnsi" w:cstheme="minorHAnsi"/>
          <w:u w:val="single"/>
        </w:rPr>
        <w:t>Explanation:</w:t>
      </w:r>
      <w:r w:rsidRPr="00AE3A5F">
        <w:rPr>
          <w:rFonts w:asciiTheme="minorHAnsi" w:hAnsiTheme="minorHAnsi" w:cstheme="minorHAnsi"/>
        </w:rPr>
        <w:t xml:space="preserve"> </w:t>
      </w:r>
      <w:r w:rsidR="00AC1D1C" w:rsidRPr="00AE3A5F">
        <w:rPr>
          <w:rFonts w:asciiTheme="minorHAnsi" w:hAnsiTheme="minorHAnsi" w:cstheme="minorHAnsi"/>
        </w:rPr>
        <w:t xml:space="preserve"> </w:t>
      </w:r>
      <w:r w:rsidR="006A57BB">
        <w:rPr>
          <w:rFonts w:asciiTheme="minorHAnsi" w:hAnsiTheme="minorHAnsi" w:cstheme="minorHAnsi"/>
        </w:rPr>
        <w:t>Wyoming OSHA</w:t>
      </w:r>
      <w:r w:rsidRPr="00AE3A5F">
        <w:rPr>
          <w:rFonts w:asciiTheme="minorHAnsi" w:hAnsiTheme="minorHAnsi" w:cstheme="minorHAnsi"/>
        </w:rPr>
        <w:t xml:space="preserve">’s high </w:t>
      </w:r>
      <w:r w:rsidR="00AC1D1C" w:rsidRPr="00AE3A5F">
        <w:rPr>
          <w:rFonts w:asciiTheme="minorHAnsi" w:hAnsiTheme="minorHAnsi" w:cstheme="minorHAnsi"/>
        </w:rPr>
        <w:t xml:space="preserve">penalty retention </w:t>
      </w:r>
      <w:r w:rsidR="00AE7DB5" w:rsidRPr="00EA6FAC">
        <w:rPr>
          <w:rFonts w:asciiTheme="minorHAnsi" w:hAnsiTheme="minorHAnsi" w:cstheme="minorHAnsi"/>
        </w:rPr>
        <w:t>rate</w:t>
      </w:r>
      <w:r w:rsidR="00AC1D1C" w:rsidRPr="00AE3A5F">
        <w:rPr>
          <w:rFonts w:asciiTheme="minorHAnsi" w:hAnsiTheme="minorHAnsi" w:cstheme="minorHAnsi"/>
        </w:rPr>
        <w:t xml:space="preserve"> has consistently exceeded the FRL since FY 2020.  In each of those fiscal years</w:t>
      </w:r>
      <w:r w:rsidR="006A57BB">
        <w:rPr>
          <w:rFonts w:asciiTheme="minorHAnsi" w:hAnsiTheme="minorHAnsi" w:cstheme="minorHAnsi"/>
        </w:rPr>
        <w:t>,</w:t>
      </w:r>
      <w:r w:rsidR="00AC1D1C" w:rsidRPr="00AE3A5F">
        <w:rPr>
          <w:rFonts w:asciiTheme="minorHAnsi" w:hAnsiTheme="minorHAnsi" w:cstheme="minorHAnsi"/>
        </w:rPr>
        <w:t xml:space="preserve"> the percent penalty retained </w:t>
      </w:r>
      <w:r w:rsidR="00581DE9" w:rsidRPr="00AE3A5F">
        <w:rPr>
          <w:rFonts w:asciiTheme="minorHAnsi" w:hAnsiTheme="minorHAnsi" w:cstheme="minorHAnsi"/>
        </w:rPr>
        <w:t>was</w:t>
      </w:r>
      <w:r w:rsidR="00AC1D1C" w:rsidRPr="00AE3A5F">
        <w:rPr>
          <w:rFonts w:asciiTheme="minorHAnsi" w:hAnsiTheme="minorHAnsi" w:cstheme="minorHAnsi"/>
        </w:rPr>
        <w:t xml:space="preserve"> approximately 15% higher than the FRL.  </w:t>
      </w:r>
      <w:r w:rsidR="006A57BB">
        <w:rPr>
          <w:rFonts w:asciiTheme="minorHAnsi" w:hAnsiTheme="minorHAnsi" w:cstheme="minorHAnsi"/>
        </w:rPr>
        <w:t>In FY 2022, t</w:t>
      </w:r>
      <w:r w:rsidR="00AC1D1C" w:rsidRPr="00AE3A5F">
        <w:rPr>
          <w:rFonts w:asciiTheme="minorHAnsi" w:hAnsiTheme="minorHAnsi" w:cstheme="minorHAnsi"/>
        </w:rPr>
        <w:t xml:space="preserve">his was due to the State Plan’s effective </w:t>
      </w:r>
      <w:r w:rsidR="00581DE9" w:rsidRPr="00AE3A5F">
        <w:rPr>
          <w:rFonts w:asciiTheme="minorHAnsi" w:hAnsiTheme="minorHAnsi" w:cstheme="minorHAnsi"/>
        </w:rPr>
        <w:t xml:space="preserve">informal conference process, where only 1.39% of violations were vacated pre-contest and only 1.88% of violations were reclassified pre-contest.  </w:t>
      </w:r>
      <w:r w:rsidR="006A57BB">
        <w:rPr>
          <w:rFonts w:asciiTheme="minorHAnsi" w:hAnsiTheme="minorHAnsi" w:cstheme="minorHAnsi"/>
        </w:rPr>
        <w:t>Wyoming OSHA</w:t>
      </w:r>
      <w:r w:rsidR="003218F1">
        <w:rPr>
          <w:rFonts w:asciiTheme="minorHAnsi" w:hAnsiTheme="minorHAnsi" w:cstheme="minorHAnsi"/>
        </w:rPr>
        <w:t xml:space="preserve">’s ability to successfully settle cases during the informal settlement process was </w:t>
      </w:r>
      <w:r w:rsidR="00AE7DB5" w:rsidRPr="00EA6FAC">
        <w:rPr>
          <w:rFonts w:asciiTheme="minorHAnsi" w:hAnsiTheme="minorHAnsi" w:cstheme="minorHAnsi"/>
        </w:rPr>
        <w:t>due to</w:t>
      </w:r>
      <w:r w:rsidR="003218F1">
        <w:rPr>
          <w:rFonts w:asciiTheme="minorHAnsi" w:hAnsiTheme="minorHAnsi" w:cstheme="minorHAnsi"/>
        </w:rPr>
        <w:t xml:space="preserve"> its CSHOs identifying hazards and developing case</w:t>
      </w:r>
      <w:r w:rsidR="006A57BB">
        <w:rPr>
          <w:rFonts w:asciiTheme="minorHAnsi" w:hAnsiTheme="minorHAnsi" w:cstheme="minorHAnsi"/>
        </w:rPr>
        <w:t xml:space="preserve"> </w:t>
      </w:r>
      <w:r w:rsidR="003218F1">
        <w:rPr>
          <w:rFonts w:asciiTheme="minorHAnsi" w:hAnsiTheme="minorHAnsi" w:cstheme="minorHAnsi"/>
        </w:rPr>
        <w:t xml:space="preserve">files that </w:t>
      </w:r>
      <w:r w:rsidR="00FD23DF">
        <w:rPr>
          <w:rFonts w:asciiTheme="minorHAnsi" w:hAnsiTheme="minorHAnsi" w:cstheme="minorHAnsi"/>
        </w:rPr>
        <w:t>supported those</w:t>
      </w:r>
      <w:r w:rsidR="003218F1">
        <w:rPr>
          <w:rFonts w:asciiTheme="minorHAnsi" w:hAnsiTheme="minorHAnsi" w:cstheme="minorHAnsi"/>
        </w:rPr>
        <w:t xml:space="preserve"> violations</w:t>
      </w:r>
      <w:r w:rsidR="00FD23DF">
        <w:rPr>
          <w:rFonts w:asciiTheme="minorHAnsi" w:hAnsiTheme="minorHAnsi" w:cstheme="minorHAnsi"/>
        </w:rPr>
        <w:t xml:space="preserve">.  The State Plan’s effective settlement process resulted in the State Plan’s very high retention of penalties and violations. </w:t>
      </w:r>
      <w:r w:rsidR="00FE4830">
        <w:rPr>
          <w:rFonts w:asciiTheme="minorHAnsi" w:hAnsiTheme="minorHAnsi" w:cstheme="minorHAnsi"/>
        </w:rPr>
        <w:t xml:space="preserve"> </w:t>
      </w:r>
    </w:p>
    <w:p w14:paraId="36812875" w14:textId="77777777" w:rsidR="000A134A" w:rsidRPr="00AE3A5F" w:rsidRDefault="000A134A" w:rsidP="007A71AC">
      <w:pPr>
        <w:widowControl/>
        <w:autoSpaceDE/>
        <w:autoSpaceDN/>
        <w:adjustRightInd/>
        <w:rPr>
          <w:rFonts w:asciiTheme="minorHAnsi" w:hAnsiTheme="minorHAnsi" w:cstheme="minorHAnsi"/>
        </w:rPr>
      </w:pPr>
    </w:p>
    <w:p w14:paraId="4824D773" w14:textId="4B8606B9" w:rsidR="00B578D7" w:rsidRPr="00AE3A5F" w:rsidRDefault="00B578D7" w:rsidP="00861068">
      <w:pPr>
        <w:pStyle w:val="Heading4"/>
      </w:pPr>
      <w:r w:rsidRPr="00AE3A5F">
        <w:t>SAMM 17 – Percent of Enforcement Presence</w:t>
      </w:r>
    </w:p>
    <w:p w14:paraId="486A2574" w14:textId="77777777" w:rsidR="00B578D7" w:rsidRPr="00AE3A5F" w:rsidRDefault="00B578D7" w:rsidP="00B578D7">
      <w:pPr>
        <w:widowControl/>
        <w:autoSpaceDE/>
        <w:adjustRightInd/>
        <w:rPr>
          <w:rFonts w:asciiTheme="minorHAnsi" w:hAnsiTheme="minorHAnsi" w:cstheme="minorHAnsi"/>
          <w:b/>
          <w:color w:val="FF0000"/>
        </w:rPr>
      </w:pPr>
    </w:p>
    <w:p w14:paraId="2B2BA257" w14:textId="4EFF4E16" w:rsidR="00B578D7" w:rsidRPr="00AE3A5F" w:rsidRDefault="00B578D7" w:rsidP="00B578D7">
      <w:pPr>
        <w:widowControl/>
        <w:autoSpaceDE/>
        <w:adjustRightInd/>
        <w:rPr>
          <w:rFonts w:asciiTheme="minorHAnsi" w:hAnsiTheme="minorHAnsi" w:cstheme="minorHAnsi"/>
        </w:rPr>
      </w:pPr>
      <w:r w:rsidRPr="00516EB0">
        <w:rPr>
          <w:rFonts w:asciiTheme="minorHAnsi" w:hAnsiTheme="minorHAnsi" w:cstheme="minorHAnsi"/>
          <w:u w:val="single"/>
        </w:rPr>
        <w:t>Discussion of State Plan Data and FRL:</w:t>
      </w:r>
      <w:r w:rsidRPr="00AE3A5F">
        <w:rPr>
          <w:rFonts w:asciiTheme="minorHAnsi" w:hAnsiTheme="minorHAnsi" w:cstheme="minorHAnsi"/>
        </w:rPr>
        <w:t xml:space="preserve">  The FRL for </w:t>
      </w:r>
      <w:r w:rsidR="006A57BB">
        <w:rPr>
          <w:rFonts w:asciiTheme="minorHAnsi" w:hAnsiTheme="minorHAnsi" w:cstheme="minorHAnsi"/>
        </w:rPr>
        <w:t xml:space="preserve">the </w:t>
      </w:r>
      <w:r w:rsidR="003E0E84" w:rsidRPr="00AE3A5F">
        <w:rPr>
          <w:rFonts w:asciiTheme="minorHAnsi" w:hAnsiTheme="minorHAnsi" w:cstheme="minorHAnsi"/>
        </w:rPr>
        <w:t>percent of enforcement presence</w:t>
      </w:r>
      <w:r w:rsidRPr="00AE3A5F">
        <w:rPr>
          <w:rFonts w:asciiTheme="minorHAnsi" w:hAnsiTheme="minorHAnsi" w:cstheme="minorHAnsi"/>
        </w:rPr>
        <w:t xml:space="preserve"> </w:t>
      </w:r>
      <w:r w:rsidR="00925513" w:rsidRPr="00AE3A5F">
        <w:rPr>
          <w:rFonts w:asciiTheme="minorHAnsi" w:hAnsiTheme="minorHAnsi" w:cstheme="minorHAnsi"/>
        </w:rPr>
        <w:t>was</w:t>
      </w:r>
      <w:r w:rsidRPr="00AE3A5F">
        <w:rPr>
          <w:rFonts w:asciiTheme="minorHAnsi" w:hAnsiTheme="minorHAnsi" w:cstheme="minorHAnsi"/>
        </w:rPr>
        <w:t xml:space="preserve"> a range of </w:t>
      </w:r>
      <w:r w:rsidR="003E0E84" w:rsidRPr="00AE3A5F">
        <w:rPr>
          <w:rFonts w:asciiTheme="minorHAnsi" w:hAnsiTheme="minorHAnsi" w:cstheme="minorHAnsi"/>
        </w:rPr>
        <w:t>1.23% to 2.05%</w:t>
      </w:r>
      <w:r w:rsidRPr="00AE3A5F">
        <w:rPr>
          <w:rFonts w:asciiTheme="minorHAnsi" w:hAnsiTheme="minorHAnsi" w:cstheme="minorHAnsi"/>
        </w:rPr>
        <w:t xml:space="preserve">.  The State Plan’s </w:t>
      </w:r>
      <w:r w:rsidR="003E0E84" w:rsidRPr="00AE3A5F">
        <w:rPr>
          <w:rFonts w:asciiTheme="minorHAnsi" w:hAnsiTheme="minorHAnsi" w:cstheme="minorHAnsi"/>
        </w:rPr>
        <w:t>percent of enforcement presence</w:t>
      </w:r>
      <w:r w:rsidRPr="00AE3A5F">
        <w:rPr>
          <w:rFonts w:asciiTheme="minorHAnsi" w:hAnsiTheme="minorHAnsi" w:cstheme="minorHAnsi"/>
        </w:rPr>
        <w:t xml:space="preserve"> </w:t>
      </w:r>
      <w:r w:rsidR="00925513" w:rsidRPr="00AE3A5F">
        <w:rPr>
          <w:rFonts w:asciiTheme="minorHAnsi" w:hAnsiTheme="minorHAnsi" w:cstheme="minorHAnsi"/>
        </w:rPr>
        <w:t>was</w:t>
      </w:r>
      <w:r w:rsidRPr="00AE3A5F">
        <w:rPr>
          <w:rFonts w:asciiTheme="minorHAnsi" w:hAnsiTheme="minorHAnsi" w:cstheme="minorHAnsi"/>
        </w:rPr>
        <w:t xml:space="preserve"> </w:t>
      </w:r>
      <w:r w:rsidR="003E0E84" w:rsidRPr="00AE3A5F">
        <w:rPr>
          <w:rFonts w:asciiTheme="minorHAnsi" w:hAnsiTheme="minorHAnsi" w:cstheme="minorHAnsi"/>
        </w:rPr>
        <w:t>1.01%</w:t>
      </w:r>
      <w:r w:rsidR="006A57BB">
        <w:rPr>
          <w:rFonts w:asciiTheme="minorHAnsi" w:hAnsiTheme="minorHAnsi" w:cstheme="minorHAnsi"/>
        </w:rPr>
        <w:t>,</w:t>
      </w:r>
      <w:r w:rsidRPr="00AE3A5F">
        <w:rPr>
          <w:rFonts w:asciiTheme="minorHAnsi" w:hAnsiTheme="minorHAnsi" w:cstheme="minorHAnsi"/>
        </w:rPr>
        <w:t xml:space="preserve"> which </w:t>
      </w:r>
      <w:r w:rsidR="00925513" w:rsidRPr="00AE3A5F">
        <w:rPr>
          <w:rFonts w:asciiTheme="minorHAnsi" w:hAnsiTheme="minorHAnsi" w:cstheme="minorHAnsi"/>
        </w:rPr>
        <w:t>was</w:t>
      </w:r>
      <w:r w:rsidRPr="00AE3A5F">
        <w:rPr>
          <w:rFonts w:asciiTheme="minorHAnsi" w:hAnsiTheme="minorHAnsi" w:cstheme="minorHAnsi"/>
        </w:rPr>
        <w:t xml:space="preserve"> </w:t>
      </w:r>
      <w:r w:rsidR="00942BBB">
        <w:rPr>
          <w:rFonts w:asciiTheme="minorHAnsi" w:hAnsiTheme="minorHAnsi" w:cstheme="minorHAnsi"/>
        </w:rPr>
        <w:t xml:space="preserve">slightly </w:t>
      </w:r>
      <w:r w:rsidR="006A57BB">
        <w:rPr>
          <w:rFonts w:asciiTheme="minorHAnsi" w:hAnsiTheme="minorHAnsi" w:cstheme="minorHAnsi"/>
        </w:rPr>
        <w:t>below</w:t>
      </w:r>
      <w:r w:rsidRPr="00AE3A5F">
        <w:rPr>
          <w:rFonts w:asciiTheme="minorHAnsi" w:hAnsiTheme="minorHAnsi" w:cstheme="minorHAnsi"/>
        </w:rPr>
        <w:t xml:space="preserve"> the FRL</w:t>
      </w:r>
      <w:r w:rsidR="000B6969">
        <w:rPr>
          <w:rFonts w:asciiTheme="minorHAnsi" w:hAnsiTheme="minorHAnsi" w:cstheme="minorHAnsi"/>
        </w:rPr>
        <w:t>.</w:t>
      </w:r>
      <w:r w:rsidRPr="00AE3A5F">
        <w:rPr>
          <w:rFonts w:asciiTheme="minorHAnsi" w:hAnsiTheme="minorHAnsi" w:cstheme="minorHAnsi"/>
        </w:rPr>
        <w:t xml:space="preserve"> </w:t>
      </w:r>
    </w:p>
    <w:p w14:paraId="43FFBD38" w14:textId="77777777" w:rsidR="00B578D7" w:rsidRPr="00AE3A5F" w:rsidRDefault="00B578D7" w:rsidP="00B578D7">
      <w:pPr>
        <w:widowControl/>
        <w:autoSpaceDE/>
        <w:adjustRightInd/>
        <w:rPr>
          <w:rFonts w:asciiTheme="minorHAnsi" w:hAnsiTheme="minorHAnsi" w:cstheme="minorHAnsi"/>
          <w:color w:val="FF0000"/>
        </w:rPr>
      </w:pPr>
    </w:p>
    <w:p w14:paraId="450AF079" w14:textId="5AFEFC36" w:rsidR="00B578D7" w:rsidRPr="00AE3A5F" w:rsidRDefault="00B578D7" w:rsidP="00B578D7">
      <w:pPr>
        <w:widowControl/>
        <w:autoSpaceDE/>
        <w:autoSpaceDN/>
        <w:adjustRightInd/>
        <w:rPr>
          <w:rFonts w:asciiTheme="minorHAnsi" w:hAnsiTheme="minorHAnsi" w:cstheme="minorHAnsi"/>
          <w:i/>
        </w:rPr>
      </w:pPr>
      <w:r w:rsidRPr="00516EB0">
        <w:rPr>
          <w:rFonts w:asciiTheme="minorHAnsi" w:hAnsiTheme="minorHAnsi" w:cstheme="minorHAnsi"/>
          <w:u w:val="single"/>
        </w:rPr>
        <w:t>Explanation:</w:t>
      </w:r>
      <w:r w:rsidRPr="00AE3A5F">
        <w:rPr>
          <w:rFonts w:asciiTheme="minorHAnsi" w:hAnsiTheme="minorHAnsi" w:cstheme="minorHAnsi"/>
        </w:rPr>
        <w:t xml:space="preserve"> </w:t>
      </w:r>
      <w:r w:rsidR="00AA6093" w:rsidRPr="00AE3A5F">
        <w:rPr>
          <w:rFonts w:asciiTheme="minorHAnsi" w:hAnsiTheme="minorHAnsi" w:cstheme="minorHAnsi"/>
        </w:rPr>
        <w:t xml:space="preserve"> While the State Plan’s </w:t>
      </w:r>
      <w:r w:rsidR="00B83D93">
        <w:rPr>
          <w:rFonts w:asciiTheme="minorHAnsi" w:hAnsiTheme="minorHAnsi" w:cstheme="minorHAnsi"/>
        </w:rPr>
        <w:t>SAMM 17 result was below</w:t>
      </w:r>
      <w:r w:rsidR="00AA6093" w:rsidRPr="00AE3A5F">
        <w:rPr>
          <w:rFonts w:asciiTheme="minorHAnsi" w:hAnsiTheme="minorHAnsi" w:cstheme="minorHAnsi"/>
        </w:rPr>
        <w:t xml:space="preserve"> the FRL for FY 2022,</w:t>
      </w:r>
      <w:r w:rsidR="00B83D93">
        <w:rPr>
          <w:rFonts w:asciiTheme="minorHAnsi" w:hAnsiTheme="minorHAnsi" w:cstheme="minorHAnsi"/>
        </w:rPr>
        <w:t xml:space="preserve"> it was higher than the results for the previous two fiscal years when Wyoming OSHA met the respective FRLs. </w:t>
      </w:r>
      <w:r w:rsidR="00AA6093" w:rsidRPr="00AE3A5F">
        <w:rPr>
          <w:rFonts w:asciiTheme="minorHAnsi" w:hAnsiTheme="minorHAnsi" w:cstheme="minorHAnsi"/>
        </w:rPr>
        <w:t xml:space="preserve"> </w:t>
      </w:r>
      <w:proofErr w:type="gramStart"/>
      <w:r w:rsidR="00AA6093" w:rsidRPr="00AE3A5F">
        <w:rPr>
          <w:rFonts w:asciiTheme="minorHAnsi" w:hAnsiTheme="minorHAnsi" w:cstheme="minorHAnsi"/>
        </w:rPr>
        <w:t>At this time</w:t>
      </w:r>
      <w:proofErr w:type="gramEnd"/>
      <w:r w:rsidR="00B83D93">
        <w:rPr>
          <w:rFonts w:asciiTheme="minorHAnsi" w:hAnsiTheme="minorHAnsi" w:cstheme="minorHAnsi"/>
        </w:rPr>
        <w:t>,</w:t>
      </w:r>
      <w:r w:rsidR="00AA6093" w:rsidRPr="00AE3A5F">
        <w:rPr>
          <w:rFonts w:asciiTheme="minorHAnsi" w:hAnsiTheme="minorHAnsi" w:cstheme="minorHAnsi"/>
        </w:rPr>
        <w:t xml:space="preserve"> an observation is not justified.</w:t>
      </w:r>
    </w:p>
    <w:p w14:paraId="5973BCF5" w14:textId="77777777" w:rsidR="00B578D7" w:rsidRPr="00AE3A5F" w:rsidRDefault="00B578D7" w:rsidP="007A71AC">
      <w:pPr>
        <w:widowControl/>
        <w:autoSpaceDE/>
        <w:autoSpaceDN/>
        <w:adjustRightInd/>
        <w:rPr>
          <w:rFonts w:asciiTheme="minorHAnsi" w:hAnsiTheme="minorHAnsi" w:cstheme="minorHAnsi"/>
        </w:rPr>
      </w:pPr>
    </w:p>
    <w:p w14:paraId="4DD4CBB7" w14:textId="76F6143F" w:rsidR="00B578D7" w:rsidRPr="001C1E47" w:rsidRDefault="00B578D7" w:rsidP="007A71AC">
      <w:pPr>
        <w:widowControl/>
        <w:autoSpaceDE/>
        <w:autoSpaceDN/>
        <w:adjustRightInd/>
        <w:rPr>
          <w:rFonts w:cs="Calibri"/>
        </w:rPr>
        <w:sectPr w:rsidR="00B578D7" w:rsidRPr="001C1E47" w:rsidSect="00783189">
          <w:footerReference w:type="default" r:id="rId10"/>
          <w:footerReference w:type="first" r:id="rId11"/>
          <w:pgSz w:w="12240" w:h="15840"/>
          <w:pgMar w:top="1440" w:right="1260" w:bottom="1260" w:left="1440" w:header="720" w:footer="526" w:gutter="0"/>
          <w:pgNumType w:start="1"/>
          <w:cols w:space="720"/>
          <w:titlePg/>
          <w:docGrid w:linePitch="360"/>
        </w:sectPr>
      </w:pPr>
    </w:p>
    <w:p w14:paraId="516D3ECD" w14:textId="77777777" w:rsidR="00B6741C" w:rsidRPr="0002572C" w:rsidRDefault="00B6741C" w:rsidP="000F63C1">
      <w:pPr>
        <w:pStyle w:val="Heading3"/>
        <w:numPr>
          <w:ilvl w:val="0"/>
          <w:numId w:val="0"/>
        </w:numPr>
      </w:pPr>
      <w:bookmarkStart w:id="28" w:name="_Toc118905017"/>
      <w:bookmarkStart w:id="29" w:name="_Toc119418669"/>
      <w:r w:rsidRPr="0002572C">
        <w:lastRenderedPageBreak/>
        <w:t>Appendix A – New and Continued Findings and Recommendations</w:t>
      </w:r>
      <w:bookmarkEnd w:id="28"/>
      <w:bookmarkEnd w:id="29"/>
    </w:p>
    <w:p w14:paraId="670F195C" w14:textId="3827229A" w:rsidR="00B6741C" w:rsidRDefault="00B6741C" w:rsidP="00B6741C">
      <w:r>
        <w:t xml:space="preserve">FY 2022 </w:t>
      </w:r>
      <w:r w:rsidR="00DA5EFC" w:rsidRPr="00DA5EFC">
        <w:t>W</w:t>
      </w:r>
      <w:r w:rsidR="00402B12">
        <w:t>yoming</w:t>
      </w:r>
      <w:r w:rsidR="00DA5EFC" w:rsidRPr="00DA5EFC">
        <w:t xml:space="preserve"> OSHA</w:t>
      </w:r>
      <w:r w:rsidRPr="00DA5EFC">
        <w:t xml:space="preserve"> </w:t>
      </w:r>
      <w:r>
        <w:t>Follow-up FAME Report</w:t>
      </w:r>
    </w:p>
    <w:p w14:paraId="77980CE2" w14:textId="3BDEE528" w:rsidR="000A134A" w:rsidRDefault="000A134A" w:rsidP="007A71AC">
      <w:pPr>
        <w:widowControl/>
        <w:tabs>
          <w:tab w:val="left" w:pos="3630"/>
        </w:tabs>
        <w:autoSpaceDE/>
        <w:autoSpaceDN/>
        <w:adjustRightInd/>
        <w:rPr>
          <w:rFonts w:cs="Calibri"/>
        </w:rPr>
      </w:pPr>
    </w:p>
    <w:p w14:paraId="710A14E8" w14:textId="77777777" w:rsidR="00AE7DB5" w:rsidRPr="001C1E47" w:rsidRDefault="00AE7DB5" w:rsidP="007A71AC">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40"/>
        <w:gridCol w:w="4721"/>
        <w:gridCol w:w="4819"/>
        <w:gridCol w:w="1890"/>
      </w:tblGrid>
      <w:tr w:rsidR="00185C7D" w:rsidRPr="001C1E47" w14:paraId="0F6BB42C" w14:textId="77777777" w:rsidTr="00185C7D">
        <w:trPr>
          <w:trHeight w:val="350"/>
        </w:trPr>
        <w:tc>
          <w:tcPr>
            <w:tcW w:w="1440" w:type="dxa"/>
          </w:tcPr>
          <w:p w14:paraId="1F333F67" w14:textId="52440FB4" w:rsidR="000A134A" w:rsidRPr="001C1E47" w:rsidRDefault="000A134A" w:rsidP="00D45B6D">
            <w:pPr>
              <w:widowControl/>
              <w:autoSpaceDE/>
              <w:autoSpaceDN/>
              <w:adjustRightInd/>
              <w:rPr>
                <w:rFonts w:cs="Calibri"/>
                <w:b/>
              </w:rPr>
            </w:pPr>
            <w:r w:rsidRPr="001C1E47">
              <w:rPr>
                <w:rFonts w:cs="Calibri"/>
                <w:b/>
              </w:rPr>
              <w:t xml:space="preserve">FY </w:t>
            </w:r>
            <w:r w:rsidR="00DC4A62" w:rsidRPr="001C1E47">
              <w:rPr>
                <w:rFonts w:cs="Calibri"/>
                <w:b/>
              </w:rPr>
              <w:t>20</w:t>
            </w:r>
            <w:r w:rsidR="00DA5EFC">
              <w:rPr>
                <w:rFonts w:cs="Calibri"/>
                <w:b/>
              </w:rPr>
              <w:t>22</w:t>
            </w:r>
            <w:r w:rsidRPr="001C1E47">
              <w:rPr>
                <w:rFonts w:cs="Calibri"/>
                <w:b/>
              </w:rPr>
              <w:t>-</w:t>
            </w:r>
            <w:r w:rsidR="00BB0343" w:rsidRPr="001C1E47">
              <w:rPr>
                <w:rFonts w:cs="Calibri"/>
                <w:b/>
              </w:rPr>
              <w:t>#</w:t>
            </w:r>
          </w:p>
        </w:tc>
        <w:tc>
          <w:tcPr>
            <w:tcW w:w="4721" w:type="dxa"/>
          </w:tcPr>
          <w:p w14:paraId="0C140B4B" w14:textId="77777777" w:rsidR="000A134A" w:rsidRPr="001C1E47" w:rsidRDefault="000A134A" w:rsidP="00D45B6D">
            <w:pPr>
              <w:widowControl/>
              <w:autoSpaceDE/>
              <w:autoSpaceDN/>
              <w:adjustRightInd/>
              <w:rPr>
                <w:rFonts w:cs="Calibri"/>
                <w:b/>
              </w:rPr>
            </w:pPr>
            <w:r w:rsidRPr="001C1E47">
              <w:rPr>
                <w:rFonts w:cs="Calibri"/>
                <w:b/>
              </w:rPr>
              <w:t>Finding</w:t>
            </w:r>
          </w:p>
        </w:tc>
        <w:tc>
          <w:tcPr>
            <w:tcW w:w="4819" w:type="dxa"/>
          </w:tcPr>
          <w:p w14:paraId="7801EA8C" w14:textId="77777777" w:rsidR="000A134A" w:rsidRPr="001C1E47" w:rsidRDefault="000A134A" w:rsidP="00D45B6D">
            <w:pPr>
              <w:widowControl/>
              <w:autoSpaceDE/>
              <w:autoSpaceDN/>
              <w:adjustRightInd/>
              <w:rPr>
                <w:rFonts w:cs="Calibri"/>
                <w:b/>
              </w:rPr>
            </w:pPr>
            <w:r w:rsidRPr="001C1E47">
              <w:rPr>
                <w:rFonts w:cs="Calibri"/>
                <w:b/>
              </w:rPr>
              <w:t>Recommendation</w:t>
            </w:r>
          </w:p>
        </w:tc>
        <w:tc>
          <w:tcPr>
            <w:tcW w:w="1890" w:type="dxa"/>
          </w:tcPr>
          <w:p w14:paraId="7C9006CD" w14:textId="6369AB42" w:rsidR="00BB0343" w:rsidRPr="001C1E47" w:rsidRDefault="00BB0343" w:rsidP="00D45B6D">
            <w:pPr>
              <w:widowControl/>
              <w:autoSpaceDE/>
              <w:autoSpaceDN/>
              <w:adjustRightInd/>
              <w:rPr>
                <w:rFonts w:cs="Calibri"/>
                <w:b/>
              </w:rPr>
            </w:pPr>
            <w:r w:rsidRPr="001C1E47">
              <w:rPr>
                <w:rFonts w:cs="Calibri"/>
                <w:b/>
              </w:rPr>
              <w:t xml:space="preserve">FY </w:t>
            </w:r>
            <w:r w:rsidR="00DC4A62" w:rsidRPr="001C1E47">
              <w:rPr>
                <w:rFonts w:cs="Calibri"/>
                <w:b/>
              </w:rPr>
              <w:t>20</w:t>
            </w:r>
            <w:r w:rsidR="00DA5EFC">
              <w:rPr>
                <w:rFonts w:cs="Calibri"/>
                <w:b/>
              </w:rPr>
              <w:t>21</w:t>
            </w:r>
            <w:r w:rsidRPr="001C1E47">
              <w:rPr>
                <w:rFonts w:cs="Calibri"/>
                <w:b/>
              </w:rPr>
              <w:t xml:space="preserve">-# or </w:t>
            </w:r>
          </w:p>
          <w:p w14:paraId="3C61CFBF" w14:textId="0219FC40" w:rsidR="000A134A" w:rsidRPr="001C1E47" w:rsidRDefault="00BB0343" w:rsidP="00D45B6D">
            <w:pPr>
              <w:widowControl/>
              <w:autoSpaceDE/>
              <w:autoSpaceDN/>
              <w:adjustRightInd/>
              <w:rPr>
                <w:rFonts w:cs="Calibri"/>
                <w:b/>
              </w:rPr>
            </w:pPr>
            <w:r w:rsidRPr="001C1E47">
              <w:rPr>
                <w:rFonts w:cs="Calibri"/>
                <w:b/>
              </w:rPr>
              <w:t xml:space="preserve">FY </w:t>
            </w:r>
            <w:r w:rsidR="00DC4A62" w:rsidRPr="001C1E47">
              <w:rPr>
                <w:rFonts w:cs="Calibri"/>
                <w:b/>
              </w:rPr>
              <w:t>20</w:t>
            </w:r>
            <w:r w:rsidR="00DA5EFC">
              <w:rPr>
                <w:rFonts w:cs="Calibri"/>
                <w:b/>
              </w:rPr>
              <w:t>21</w:t>
            </w:r>
            <w:r w:rsidRPr="001C1E47">
              <w:rPr>
                <w:rFonts w:cs="Calibri"/>
                <w:b/>
              </w:rPr>
              <w:t>-OB-#</w:t>
            </w:r>
          </w:p>
        </w:tc>
      </w:tr>
      <w:tr w:rsidR="000A134A" w:rsidRPr="001C1E47" w14:paraId="5368CE16" w14:textId="77777777" w:rsidTr="00185C7D">
        <w:tc>
          <w:tcPr>
            <w:tcW w:w="1440" w:type="dxa"/>
          </w:tcPr>
          <w:p w14:paraId="39F370D3" w14:textId="6E9BC7F4" w:rsidR="000A134A" w:rsidRPr="00D45B6D" w:rsidRDefault="000A134A" w:rsidP="007A71AC">
            <w:pPr>
              <w:widowControl/>
              <w:autoSpaceDE/>
              <w:autoSpaceDN/>
              <w:adjustRightInd/>
              <w:rPr>
                <w:rFonts w:cs="Calibri"/>
              </w:rPr>
            </w:pPr>
            <w:r w:rsidRPr="00D45B6D">
              <w:rPr>
                <w:rFonts w:cs="Calibri"/>
              </w:rPr>
              <w:t xml:space="preserve"> </w:t>
            </w:r>
            <w:r w:rsidR="000D7AEF" w:rsidRPr="00D45B6D">
              <w:rPr>
                <w:rFonts w:cs="Calibri"/>
              </w:rPr>
              <w:t>FY 2022-01</w:t>
            </w:r>
          </w:p>
        </w:tc>
        <w:tc>
          <w:tcPr>
            <w:tcW w:w="4721" w:type="dxa"/>
          </w:tcPr>
          <w:p w14:paraId="4B3C1E3A" w14:textId="3BBBB954" w:rsidR="000A134A" w:rsidRPr="00D45B6D" w:rsidRDefault="000D7AEF" w:rsidP="007A71AC">
            <w:pPr>
              <w:widowControl/>
              <w:autoSpaceDE/>
              <w:autoSpaceDN/>
              <w:adjustRightInd/>
              <w:rPr>
                <w:rFonts w:cs="Calibri"/>
              </w:rPr>
            </w:pPr>
            <w:r w:rsidRPr="00D45B6D">
              <w:rPr>
                <w:rFonts w:asciiTheme="minorHAnsi" w:hAnsiTheme="minorHAnsi" w:cstheme="minorHAnsi"/>
              </w:rPr>
              <w:t>The State Plan did not obtain complete abatement and review the abatement for phone/fax investigations to ensure timely closure of complaints.  Twenty-three of 107 (21.4%) phone/fax investigations that had been open for at least 30 days and remained open at the end of FY 2021 did not have complete abatement, with 10 (9.3%) of those investigations being open since FY 2017 through FY 2020.</w:t>
            </w:r>
            <w:r w:rsidRPr="00D45B6D">
              <w:rPr>
                <w:rFonts w:asciiTheme="minorHAnsi" w:eastAsia="PMingLiU" w:hAnsiTheme="minorHAnsi" w:cstheme="minorHAnsi"/>
                <w:b/>
              </w:rPr>
              <w:t> </w:t>
            </w:r>
          </w:p>
        </w:tc>
        <w:tc>
          <w:tcPr>
            <w:tcW w:w="4819" w:type="dxa"/>
          </w:tcPr>
          <w:p w14:paraId="5C606D29" w14:textId="20A36165" w:rsidR="000A134A" w:rsidRPr="00D45B6D" w:rsidRDefault="001F392F" w:rsidP="007A71AC">
            <w:pPr>
              <w:widowControl/>
              <w:autoSpaceDE/>
              <w:autoSpaceDN/>
              <w:adjustRightInd/>
              <w:rPr>
                <w:rFonts w:cs="Calibri"/>
              </w:rPr>
            </w:pPr>
            <w:r w:rsidRPr="00D45B6D">
              <w:rPr>
                <w:rFonts w:asciiTheme="minorHAnsi" w:hAnsiTheme="minorHAnsi" w:cstheme="minorHAnsi"/>
              </w:rPr>
              <w:t xml:space="preserve">The State Plan should evaluate the existing process for receiving and reviewing abatement to determine appropriate short-term and long-term modifications to expedite abatement and closure.  </w:t>
            </w:r>
            <w:r w:rsidRPr="00D45B6D">
              <w:rPr>
                <w:rFonts w:asciiTheme="minorHAnsi" w:eastAsia="PMingLiU" w:hAnsiTheme="minorHAnsi" w:cstheme="minorHAnsi"/>
                <w:b/>
              </w:rPr>
              <w:t> </w:t>
            </w:r>
          </w:p>
          <w:p w14:paraId="7A48B2C8" w14:textId="77777777" w:rsidR="000A134A" w:rsidRPr="00D45B6D" w:rsidRDefault="000A134A" w:rsidP="007A71AC">
            <w:pPr>
              <w:widowControl/>
              <w:autoSpaceDE/>
              <w:autoSpaceDN/>
              <w:adjustRightInd/>
              <w:rPr>
                <w:rFonts w:cs="Calibri"/>
              </w:rPr>
            </w:pPr>
          </w:p>
        </w:tc>
        <w:tc>
          <w:tcPr>
            <w:tcW w:w="1890" w:type="dxa"/>
          </w:tcPr>
          <w:p w14:paraId="51FF8A48" w14:textId="07FBE967" w:rsidR="000A134A" w:rsidRPr="00D45B6D" w:rsidRDefault="000A134A" w:rsidP="007A71AC">
            <w:pPr>
              <w:widowControl/>
              <w:autoSpaceDE/>
              <w:autoSpaceDN/>
              <w:adjustRightInd/>
              <w:rPr>
                <w:rFonts w:cs="Calibri"/>
              </w:rPr>
            </w:pPr>
            <w:r w:rsidRPr="00D45B6D">
              <w:rPr>
                <w:rFonts w:cs="Calibri"/>
              </w:rPr>
              <w:t xml:space="preserve"> </w:t>
            </w:r>
            <w:r w:rsidR="000D7AEF" w:rsidRPr="00D45B6D">
              <w:rPr>
                <w:rFonts w:cs="Calibri"/>
              </w:rPr>
              <w:t>FY 2021-01</w:t>
            </w:r>
          </w:p>
        </w:tc>
      </w:tr>
      <w:tr w:rsidR="000A134A" w:rsidRPr="001C1E47" w14:paraId="103CA6F2" w14:textId="77777777" w:rsidTr="00185C7D">
        <w:tc>
          <w:tcPr>
            <w:tcW w:w="1440" w:type="dxa"/>
          </w:tcPr>
          <w:p w14:paraId="76B70B57" w14:textId="22F7261B" w:rsidR="000A134A" w:rsidRPr="00D45B6D" w:rsidRDefault="000A134A" w:rsidP="007A71AC">
            <w:pPr>
              <w:widowControl/>
              <w:autoSpaceDE/>
              <w:autoSpaceDN/>
              <w:adjustRightInd/>
              <w:rPr>
                <w:rFonts w:cs="Calibri"/>
              </w:rPr>
            </w:pPr>
            <w:r w:rsidRPr="00D45B6D">
              <w:rPr>
                <w:rFonts w:cs="Calibri"/>
              </w:rPr>
              <w:t xml:space="preserve"> </w:t>
            </w:r>
            <w:r w:rsidR="000D7AEF" w:rsidRPr="00D45B6D">
              <w:rPr>
                <w:rFonts w:cs="Calibri"/>
              </w:rPr>
              <w:t>FY 2022-02</w:t>
            </w:r>
          </w:p>
          <w:p w14:paraId="673AF147" w14:textId="77777777" w:rsidR="000A134A" w:rsidRPr="00D45B6D" w:rsidRDefault="000A134A" w:rsidP="007A71AC">
            <w:pPr>
              <w:widowControl/>
              <w:autoSpaceDE/>
              <w:autoSpaceDN/>
              <w:adjustRightInd/>
              <w:rPr>
                <w:rFonts w:cs="Calibri"/>
              </w:rPr>
            </w:pPr>
          </w:p>
        </w:tc>
        <w:tc>
          <w:tcPr>
            <w:tcW w:w="4721" w:type="dxa"/>
          </w:tcPr>
          <w:p w14:paraId="53C5489A" w14:textId="28F2A606" w:rsidR="000A134A" w:rsidRPr="00D45B6D" w:rsidRDefault="000D7AEF" w:rsidP="007A71AC">
            <w:pPr>
              <w:widowControl/>
              <w:autoSpaceDE/>
              <w:autoSpaceDN/>
              <w:adjustRightInd/>
              <w:rPr>
                <w:rFonts w:cs="Calibri"/>
              </w:rPr>
            </w:pPr>
            <w:r w:rsidRPr="00D45B6D">
              <w:rPr>
                <w:rFonts w:asciiTheme="minorHAnsi" w:hAnsiTheme="minorHAnsi" w:cstheme="minorHAnsi"/>
              </w:rPr>
              <w:t>The number of open, non-contested cases with abatement incomplete for more than 60 calendar days has remained significantly high with 56 cases in 2019, 70 cases in 2020, and 49 cases in 2021.</w:t>
            </w:r>
          </w:p>
        </w:tc>
        <w:tc>
          <w:tcPr>
            <w:tcW w:w="4819" w:type="dxa"/>
          </w:tcPr>
          <w:p w14:paraId="527F29DD" w14:textId="688EF71E" w:rsidR="000A134A" w:rsidRPr="00D45B6D" w:rsidRDefault="001F392F" w:rsidP="007A71AC">
            <w:pPr>
              <w:widowControl/>
              <w:autoSpaceDE/>
              <w:autoSpaceDN/>
              <w:adjustRightInd/>
              <w:rPr>
                <w:rFonts w:cs="Calibri"/>
              </w:rPr>
            </w:pPr>
            <w:r w:rsidRPr="00D45B6D">
              <w:rPr>
                <w:rFonts w:asciiTheme="minorHAnsi" w:hAnsiTheme="minorHAnsi" w:cstheme="minorHAnsi"/>
              </w:rPr>
              <w:t xml:space="preserve">The State Plan should evaluate the existing process for receiving and reviewing abatement to determine appropriate short-term and long-term modifications to expedite abatement and closure.  </w:t>
            </w:r>
            <w:r w:rsidRPr="00D45B6D">
              <w:rPr>
                <w:rFonts w:asciiTheme="minorHAnsi" w:eastAsia="PMingLiU" w:hAnsiTheme="minorHAnsi" w:cstheme="minorHAnsi"/>
                <w:b/>
              </w:rPr>
              <w:t> </w:t>
            </w:r>
          </w:p>
          <w:p w14:paraId="7375EF07" w14:textId="77777777" w:rsidR="000A134A" w:rsidRPr="00D45B6D" w:rsidRDefault="000A134A" w:rsidP="007A71AC">
            <w:pPr>
              <w:widowControl/>
              <w:autoSpaceDE/>
              <w:autoSpaceDN/>
              <w:adjustRightInd/>
              <w:rPr>
                <w:rFonts w:cs="Calibri"/>
              </w:rPr>
            </w:pPr>
          </w:p>
        </w:tc>
        <w:tc>
          <w:tcPr>
            <w:tcW w:w="1890" w:type="dxa"/>
          </w:tcPr>
          <w:p w14:paraId="0E5FE764" w14:textId="7CC08400" w:rsidR="000A134A" w:rsidRPr="00D45B6D" w:rsidRDefault="000A134A" w:rsidP="007A71AC">
            <w:pPr>
              <w:widowControl/>
              <w:autoSpaceDE/>
              <w:autoSpaceDN/>
              <w:adjustRightInd/>
              <w:rPr>
                <w:rFonts w:cs="Calibri"/>
              </w:rPr>
            </w:pPr>
            <w:r w:rsidRPr="00D45B6D">
              <w:rPr>
                <w:rFonts w:cs="Calibri"/>
              </w:rPr>
              <w:t xml:space="preserve"> </w:t>
            </w:r>
            <w:r w:rsidR="000D7AEF" w:rsidRPr="00D45B6D">
              <w:rPr>
                <w:rFonts w:cs="Calibri"/>
              </w:rPr>
              <w:t>FY 2021-02</w:t>
            </w:r>
          </w:p>
        </w:tc>
      </w:tr>
    </w:tbl>
    <w:p w14:paraId="3C1E0E19" w14:textId="77777777" w:rsidR="000A134A" w:rsidRPr="001C1E47" w:rsidRDefault="000A134A" w:rsidP="007A71AC">
      <w:pPr>
        <w:widowControl/>
        <w:autoSpaceDE/>
        <w:autoSpaceDN/>
        <w:adjustRightInd/>
        <w:rPr>
          <w:rFonts w:cs="Calibri"/>
        </w:rPr>
      </w:pPr>
    </w:p>
    <w:p w14:paraId="7C19C4AE" w14:textId="4FAB305C" w:rsidR="00D86879" w:rsidRDefault="00D86879" w:rsidP="007A71AC">
      <w:pPr>
        <w:widowControl/>
        <w:autoSpaceDE/>
        <w:autoSpaceDN/>
        <w:adjustRightInd/>
        <w:rPr>
          <w:rFonts w:cs="Calibri"/>
          <w:iCs/>
          <w:color w:val="0070C0"/>
        </w:rPr>
      </w:pPr>
    </w:p>
    <w:p w14:paraId="756B19ED" w14:textId="28CE9781" w:rsidR="001F392F" w:rsidRDefault="001F392F" w:rsidP="007A71AC">
      <w:pPr>
        <w:widowControl/>
        <w:autoSpaceDE/>
        <w:autoSpaceDN/>
        <w:adjustRightInd/>
        <w:rPr>
          <w:rFonts w:cs="Calibri"/>
          <w:iCs/>
          <w:color w:val="0070C0"/>
        </w:rPr>
      </w:pPr>
    </w:p>
    <w:p w14:paraId="1896F3D3" w14:textId="7214B5D3" w:rsidR="001F392F" w:rsidRDefault="001F392F" w:rsidP="007A71AC">
      <w:pPr>
        <w:widowControl/>
        <w:autoSpaceDE/>
        <w:autoSpaceDN/>
        <w:adjustRightInd/>
        <w:rPr>
          <w:rFonts w:cs="Calibri"/>
          <w:iCs/>
          <w:color w:val="0070C0"/>
        </w:rPr>
      </w:pPr>
    </w:p>
    <w:p w14:paraId="1F904721" w14:textId="7D0590FB" w:rsidR="001F392F" w:rsidRDefault="001F392F" w:rsidP="007A71AC">
      <w:pPr>
        <w:widowControl/>
        <w:autoSpaceDE/>
        <w:autoSpaceDN/>
        <w:adjustRightInd/>
        <w:rPr>
          <w:rFonts w:cs="Calibri"/>
          <w:iCs/>
          <w:color w:val="0070C0"/>
        </w:rPr>
      </w:pPr>
    </w:p>
    <w:p w14:paraId="5997DEC6" w14:textId="324A39DB" w:rsidR="001F392F" w:rsidRDefault="001F392F" w:rsidP="007A71AC">
      <w:pPr>
        <w:widowControl/>
        <w:autoSpaceDE/>
        <w:autoSpaceDN/>
        <w:adjustRightInd/>
        <w:rPr>
          <w:rFonts w:cs="Calibri"/>
          <w:iCs/>
          <w:color w:val="0070C0"/>
        </w:rPr>
      </w:pPr>
    </w:p>
    <w:p w14:paraId="649A5DEC" w14:textId="11121EFF" w:rsidR="001F392F" w:rsidRDefault="001F392F" w:rsidP="007A71AC">
      <w:pPr>
        <w:widowControl/>
        <w:autoSpaceDE/>
        <w:autoSpaceDN/>
        <w:adjustRightInd/>
        <w:rPr>
          <w:rFonts w:cs="Calibri"/>
          <w:iCs/>
          <w:color w:val="0070C0"/>
        </w:rPr>
      </w:pPr>
    </w:p>
    <w:p w14:paraId="7F3BE490" w14:textId="37BC76E7" w:rsidR="001F392F" w:rsidRDefault="001F392F" w:rsidP="007A71AC">
      <w:pPr>
        <w:widowControl/>
        <w:autoSpaceDE/>
        <w:autoSpaceDN/>
        <w:adjustRightInd/>
        <w:rPr>
          <w:rFonts w:cs="Calibri"/>
          <w:iCs/>
          <w:color w:val="0070C0"/>
        </w:rPr>
      </w:pPr>
    </w:p>
    <w:p w14:paraId="542A48DE" w14:textId="753A5B64" w:rsidR="001F392F" w:rsidRDefault="001F392F" w:rsidP="007A71AC">
      <w:pPr>
        <w:widowControl/>
        <w:autoSpaceDE/>
        <w:autoSpaceDN/>
        <w:adjustRightInd/>
        <w:rPr>
          <w:rFonts w:cs="Calibri"/>
          <w:iCs/>
          <w:color w:val="0070C0"/>
        </w:rPr>
      </w:pPr>
    </w:p>
    <w:p w14:paraId="72DA695E" w14:textId="77777777" w:rsidR="00B6741C" w:rsidRPr="0002572C" w:rsidRDefault="00B6741C" w:rsidP="000F63C1">
      <w:pPr>
        <w:pStyle w:val="Heading3"/>
        <w:numPr>
          <w:ilvl w:val="0"/>
          <w:numId w:val="0"/>
        </w:numPr>
      </w:pPr>
      <w:bookmarkStart w:id="30" w:name="_Toc118905018"/>
      <w:bookmarkStart w:id="31" w:name="_Toc119418670"/>
      <w:r w:rsidRPr="0002572C">
        <w:lastRenderedPageBreak/>
        <w:t>Appendix B – Observations Subject to Continued Monitoring</w:t>
      </w:r>
      <w:bookmarkEnd w:id="30"/>
      <w:bookmarkEnd w:id="31"/>
    </w:p>
    <w:p w14:paraId="73014EBD" w14:textId="46A47126" w:rsidR="00B6741C" w:rsidRPr="00F0678A" w:rsidRDefault="00B6741C" w:rsidP="0002572C">
      <w:r>
        <w:t>FY 20</w:t>
      </w:r>
      <w:r w:rsidR="00DA5EFC">
        <w:t>22</w:t>
      </w:r>
      <w:r>
        <w:t xml:space="preserve"> </w:t>
      </w:r>
      <w:r w:rsidR="00DA5EFC" w:rsidRPr="00DA5EFC">
        <w:t>W</w:t>
      </w:r>
      <w:r w:rsidR="00402B12">
        <w:t>yoming</w:t>
      </w:r>
      <w:r w:rsidR="00DA5EFC" w:rsidRPr="00DA5EFC">
        <w:t xml:space="preserve"> OSHA</w:t>
      </w:r>
      <w:r w:rsidRPr="00DA5EFC">
        <w:t xml:space="preserve"> </w:t>
      </w:r>
      <w:r>
        <w:t>Follow-up FAME Report</w:t>
      </w:r>
    </w:p>
    <w:p w14:paraId="75823E10" w14:textId="77777777" w:rsidR="00D86879" w:rsidRPr="001C1E47" w:rsidRDefault="00D86879" w:rsidP="007A71AC">
      <w:pPr>
        <w:widowControl/>
        <w:autoSpaceDE/>
        <w:autoSpaceDN/>
        <w:adjustRightInd/>
        <w:rPr>
          <w:rFonts w:cs="Calibri"/>
          <w:i/>
        </w:rPr>
      </w:pPr>
    </w:p>
    <w:p w14:paraId="2093D22B" w14:textId="77777777" w:rsidR="00D86879" w:rsidRPr="001C1E47" w:rsidRDefault="00D86879" w:rsidP="007A71AC">
      <w:pPr>
        <w:widowControl/>
        <w:autoSpaceDE/>
        <w:autoSpaceDN/>
        <w:adjustRightInd/>
        <w:rPr>
          <w:rFonts w:cs="Calibri"/>
          <w:i/>
        </w:rPr>
      </w:pPr>
    </w:p>
    <w:p w14:paraId="61F273E4" w14:textId="4BA1F7A9" w:rsidR="00492379" w:rsidRPr="001C1E47" w:rsidRDefault="00492379" w:rsidP="007A71AC">
      <w:pPr>
        <w:widowControl/>
        <w:autoSpaceDE/>
        <w:autoSpaceDN/>
        <w:adjustRightInd/>
        <w:rPr>
          <w:rFonts w:cs="Calibri"/>
          <w:i/>
        </w:rPr>
        <w:sectPr w:rsidR="00492379" w:rsidRPr="001C1E47" w:rsidSect="00DD7206">
          <w:headerReference w:type="default" r:id="rId12"/>
          <w:footerReference w:type="default" r:id="rId13"/>
          <w:headerReference w:type="first" r:id="rId14"/>
          <w:footerReference w:type="first" r:id="rId15"/>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2657"/>
        <w:gridCol w:w="2690"/>
        <w:gridCol w:w="2657"/>
        <w:gridCol w:w="2630"/>
        <w:gridCol w:w="2316"/>
      </w:tblGrid>
      <w:tr w:rsidR="00B6741C" w:rsidRPr="00D45B6D" w14:paraId="266E8016" w14:textId="4E26EFF8" w:rsidTr="00B6741C">
        <w:trPr>
          <w:cantSplit/>
          <w:tblHeader/>
        </w:trPr>
        <w:tc>
          <w:tcPr>
            <w:tcW w:w="2657" w:type="dxa"/>
          </w:tcPr>
          <w:p w14:paraId="5950BEA4" w14:textId="77777777" w:rsidR="00B6741C" w:rsidRPr="00D45B6D" w:rsidRDefault="00B6741C" w:rsidP="00B6741C">
            <w:pPr>
              <w:widowControl/>
              <w:autoSpaceDE/>
              <w:autoSpaceDN/>
              <w:adjustRightInd/>
              <w:rPr>
                <w:rFonts w:cs="Calibri"/>
                <w:b/>
              </w:rPr>
            </w:pPr>
            <w:r w:rsidRPr="00D45B6D">
              <w:rPr>
                <w:rFonts w:cs="Calibri"/>
                <w:b/>
              </w:rPr>
              <w:t>Observation #</w:t>
            </w:r>
          </w:p>
          <w:p w14:paraId="09AE72D2" w14:textId="5C5A7FF9" w:rsidR="00B6741C" w:rsidRPr="00D45B6D" w:rsidRDefault="00B6741C" w:rsidP="00B6741C">
            <w:pPr>
              <w:widowControl/>
              <w:autoSpaceDE/>
              <w:autoSpaceDN/>
              <w:adjustRightInd/>
              <w:rPr>
                <w:rFonts w:cs="Calibri"/>
                <w:b/>
              </w:rPr>
            </w:pPr>
            <w:r w:rsidRPr="00D45B6D">
              <w:rPr>
                <w:rFonts w:cs="Calibri"/>
                <w:b/>
              </w:rPr>
              <w:t>FY 20</w:t>
            </w:r>
            <w:r w:rsidR="00DA5EFC" w:rsidRPr="00D45B6D">
              <w:rPr>
                <w:rFonts w:cs="Calibri"/>
                <w:b/>
              </w:rPr>
              <w:t>22</w:t>
            </w:r>
            <w:r w:rsidRPr="00D45B6D">
              <w:rPr>
                <w:rFonts w:cs="Calibri"/>
                <w:b/>
              </w:rPr>
              <w:t>-OB-#</w:t>
            </w:r>
          </w:p>
          <w:p w14:paraId="07702D17" w14:textId="77777777" w:rsidR="00B6741C" w:rsidRPr="00D45B6D" w:rsidRDefault="00B6741C" w:rsidP="00B6741C">
            <w:pPr>
              <w:widowControl/>
              <w:autoSpaceDE/>
              <w:autoSpaceDN/>
              <w:adjustRightInd/>
              <w:rPr>
                <w:rFonts w:cs="Calibri"/>
                <w:i/>
              </w:rPr>
            </w:pPr>
          </w:p>
        </w:tc>
        <w:tc>
          <w:tcPr>
            <w:tcW w:w="2690" w:type="dxa"/>
          </w:tcPr>
          <w:p w14:paraId="5B8F9311" w14:textId="77777777" w:rsidR="00B6741C" w:rsidRPr="00D45B6D" w:rsidRDefault="00B6741C" w:rsidP="00B6741C">
            <w:pPr>
              <w:widowControl/>
              <w:autoSpaceDE/>
              <w:autoSpaceDN/>
              <w:adjustRightInd/>
              <w:rPr>
                <w:rFonts w:cs="Calibri"/>
                <w:b/>
              </w:rPr>
            </w:pPr>
            <w:r w:rsidRPr="00D45B6D">
              <w:rPr>
                <w:rFonts w:cs="Calibri"/>
                <w:b/>
              </w:rPr>
              <w:t>Observation#</w:t>
            </w:r>
          </w:p>
          <w:p w14:paraId="757E85A6" w14:textId="6796A4E2" w:rsidR="00B6741C" w:rsidRPr="00D45B6D" w:rsidRDefault="00B6741C" w:rsidP="00B6741C">
            <w:pPr>
              <w:widowControl/>
              <w:autoSpaceDE/>
              <w:autoSpaceDN/>
              <w:adjustRightInd/>
              <w:rPr>
                <w:rFonts w:cs="Calibri"/>
                <w:i/>
              </w:rPr>
            </w:pPr>
            <w:r w:rsidRPr="00D45B6D">
              <w:rPr>
                <w:rFonts w:cs="Calibri"/>
                <w:b/>
              </w:rPr>
              <w:t>FY 20</w:t>
            </w:r>
            <w:r w:rsidR="00DA5EFC" w:rsidRPr="00D45B6D">
              <w:rPr>
                <w:rFonts w:cs="Calibri"/>
                <w:b/>
              </w:rPr>
              <w:t>21</w:t>
            </w:r>
            <w:r w:rsidRPr="00D45B6D">
              <w:rPr>
                <w:rFonts w:cs="Calibri"/>
                <w:b/>
              </w:rPr>
              <w:t>-OB-# or FY 20</w:t>
            </w:r>
            <w:r w:rsidR="00DA5EFC" w:rsidRPr="00D45B6D">
              <w:rPr>
                <w:rFonts w:cs="Calibri"/>
                <w:b/>
              </w:rPr>
              <w:t>21</w:t>
            </w:r>
            <w:r w:rsidRPr="00D45B6D">
              <w:rPr>
                <w:rFonts w:cs="Calibri"/>
                <w:b/>
              </w:rPr>
              <w:t>-#</w:t>
            </w:r>
          </w:p>
        </w:tc>
        <w:tc>
          <w:tcPr>
            <w:tcW w:w="2657" w:type="dxa"/>
          </w:tcPr>
          <w:p w14:paraId="11DA1749" w14:textId="7AE042CC" w:rsidR="00B6741C" w:rsidRPr="00D45B6D" w:rsidRDefault="00B6741C" w:rsidP="00B6741C">
            <w:pPr>
              <w:widowControl/>
              <w:autoSpaceDE/>
              <w:autoSpaceDN/>
              <w:adjustRightInd/>
              <w:rPr>
                <w:rFonts w:cs="Calibri"/>
                <w:i/>
              </w:rPr>
            </w:pPr>
            <w:r w:rsidRPr="00D45B6D">
              <w:rPr>
                <w:rFonts w:cs="Calibri"/>
                <w:b/>
              </w:rPr>
              <w:t>Observation</w:t>
            </w:r>
          </w:p>
        </w:tc>
        <w:tc>
          <w:tcPr>
            <w:tcW w:w="2630" w:type="dxa"/>
          </w:tcPr>
          <w:p w14:paraId="76BC073C" w14:textId="70BBC1B0" w:rsidR="00B6741C" w:rsidRPr="00D45B6D" w:rsidRDefault="00B6741C" w:rsidP="00B6741C">
            <w:pPr>
              <w:widowControl/>
              <w:autoSpaceDE/>
              <w:autoSpaceDN/>
              <w:adjustRightInd/>
              <w:rPr>
                <w:rFonts w:cs="Calibri"/>
                <w:i/>
              </w:rPr>
            </w:pPr>
            <w:r w:rsidRPr="00D45B6D">
              <w:rPr>
                <w:rFonts w:cs="Calibri"/>
                <w:b/>
              </w:rPr>
              <w:t>Federal Monitoring Plan</w:t>
            </w:r>
          </w:p>
        </w:tc>
        <w:tc>
          <w:tcPr>
            <w:tcW w:w="2316" w:type="dxa"/>
          </w:tcPr>
          <w:p w14:paraId="46D0EE63" w14:textId="4A2BA825" w:rsidR="00B6741C" w:rsidRPr="00D45B6D" w:rsidRDefault="00B6741C" w:rsidP="00B6741C">
            <w:pPr>
              <w:widowControl/>
              <w:autoSpaceDE/>
              <w:autoSpaceDN/>
              <w:adjustRightInd/>
              <w:rPr>
                <w:rFonts w:cs="Calibri"/>
                <w:b/>
              </w:rPr>
            </w:pPr>
            <w:r w:rsidRPr="00D45B6D">
              <w:rPr>
                <w:rFonts w:cs="Calibri"/>
                <w:b/>
              </w:rPr>
              <w:t>Current Status</w:t>
            </w:r>
          </w:p>
        </w:tc>
      </w:tr>
      <w:tr w:rsidR="00B6741C" w:rsidRPr="00D45B6D" w14:paraId="715083EB" w14:textId="58561804" w:rsidTr="00B6741C">
        <w:trPr>
          <w:cantSplit/>
        </w:trPr>
        <w:tc>
          <w:tcPr>
            <w:tcW w:w="2657" w:type="dxa"/>
          </w:tcPr>
          <w:p w14:paraId="514C1621" w14:textId="04B1B537" w:rsidR="00B6741C" w:rsidRPr="00D45B6D" w:rsidRDefault="00B6741C" w:rsidP="00B6741C">
            <w:pPr>
              <w:widowControl/>
              <w:autoSpaceDE/>
              <w:autoSpaceDN/>
              <w:adjustRightInd/>
              <w:rPr>
                <w:rFonts w:asciiTheme="minorHAnsi" w:hAnsiTheme="minorHAnsi" w:cstheme="minorHAnsi"/>
                <w:iCs/>
              </w:rPr>
            </w:pPr>
            <w:r w:rsidRPr="00D45B6D">
              <w:rPr>
                <w:rFonts w:asciiTheme="minorHAnsi" w:hAnsiTheme="minorHAnsi" w:cstheme="minorHAnsi"/>
                <w:iCs/>
              </w:rPr>
              <w:t>FY 20</w:t>
            </w:r>
            <w:r w:rsidR="00EC2AF2" w:rsidRPr="00D45B6D">
              <w:rPr>
                <w:rFonts w:asciiTheme="minorHAnsi" w:hAnsiTheme="minorHAnsi" w:cstheme="minorHAnsi"/>
                <w:iCs/>
              </w:rPr>
              <w:t>22</w:t>
            </w:r>
            <w:r w:rsidRPr="00D45B6D">
              <w:rPr>
                <w:rFonts w:asciiTheme="minorHAnsi" w:hAnsiTheme="minorHAnsi" w:cstheme="minorHAnsi"/>
                <w:iCs/>
              </w:rPr>
              <w:t>-OB-01</w:t>
            </w:r>
          </w:p>
          <w:p w14:paraId="7834860F" w14:textId="77777777" w:rsidR="00B6741C" w:rsidRPr="00D45B6D" w:rsidRDefault="00B6741C" w:rsidP="00B6741C">
            <w:pPr>
              <w:widowControl/>
              <w:autoSpaceDE/>
              <w:autoSpaceDN/>
              <w:adjustRightInd/>
              <w:rPr>
                <w:rFonts w:asciiTheme="minorHAnsi" w:hAnsiTheme="minorHAnsi" w:cstheme="minorHAnsi"/>
                <w:iCs/>
                <w:color w:val="0070C0"/>
              </w:rPr>
            </w:pPr>
          </w:p>
        </w:tc>
        <w:tc>
          <w:tcPr>
            <w:tcW w:w="2690" w:type="dxa"/>
          </w:tcPr>
          <w:p w14:paraId="0828C6CB" w14:textId="77777777" w:rsidR="00527453" w:rsidRPr="00D45B6D" w:rsidRDefault="00527453" w:rsidP="00EC2AF2">
            <w:r w:rsidRPr="00D45B6D">
              <w:t xml:space="preserve">FY 2021-OB-01 </w:t>
            </w:r>
          </w:p>
          <w:p w14:paraId="66F268FE" w14:textId="77777777" w:rsidR="00527453" w:rsidRPr="00D45B6D" w:rsidRDefault="00527453" w:rsidP="00EC2AF2">
            <w:r w:rsidRPr="00D45B6D">
              <w:t xml:space="preserve">FY 2020-OB-04 </w:t>
            </w:r>
          </w:p>
          <w:p w14:paraId="7AA27C2E" w14:textId="08E57CD3" w:rsidR="00527453" w:rsidRPr="00D45B6D" w:rsidRDefault="00527453" w:rsidP="00EC2AF2">
            <w:r w:rsidRPr="00D45B6D">
              <w:t xml:space="preserve">FY 2019-OB-04 </w:t>
            </w:r>
          </w:p>
          <w:p w14:paraId="1207E4E3" w14:textId="77777777" w:rsidR="00B6741C" w:rsidRPr="00D45B6D" w:rsidRDefault="00B6741C" w:rsidP="00B6741C">
            <w:pPr>
              <w:widowControl/>
              <w:autoSpaceDE/>
              <w:autoSpaceDN/>
              <w:adjustRightInd/>
              <w:rPr>
                <w:rFonts w:asciiTheme="minorHAnsi" w:hAnsiTheme="minorHAnsi" w:cstheme="minorHAnsi"/>
                <w:iCs/>
                <w:color w:val="0070C0"/>
              </w:rPr>
            </w:pPr>
          </w:p>
        </w:tc>
        <w:tc>
          <w:tcPr>
            <w:tcW w:w="2657" w:type="dxa"/>
          </w:tcPr>
          <w:p w14:paraId="59AFF5D3" w14:textId="77777777" w:rsidR="00527453" w:rsidRPr="00D45B6D" w:rsidRDefault="00527453" w:rsidP="00862EB9">
            <w:r w:rsidRPr="00D45B6D">
              <w:t xml:space="preserve">In FY 2021, the State Plan did not conduct follow-up inspections to confirm abatement for fatality inspections. </w:t>
            </w:r>
          </w:p>
          <w:p w14:paraId="53E4A09F" w14:textId="31DF47CC" w:rsidR="00B6741C" w:rsidRPr="00D45B6D" w:rsidRDefault="00B6741C" w:rsidP="00B6741C">
            <w:pPr>
              <w:widowControl/>
              <w:autoSpaceDE/>
              <w:autoSpaceDN/>
              <w:adjustRightInd/>
              <w:rPr>
                <w:rFonts w:asciiTheme="minorHAnsi" w:hAnsiTheme="minorHAnsi" w:cstheme="minorHAnsi"/>
                <w:iCs/>
                <w:color w:val="0070C0"/>
              </w:rPr>
            </w:pPr>
          </w:p>
        </w:tc>
        <w:tc>
          <w:tcPr>
            <w:tcW w:w="2630" w:type="dxa"/>
          </w:tcPr>
          <w:p w14:paraId="04F2CA88" w14:textId="155A5B72" w:rsidR="00B6741C" w:rsidRPr="00D45B6D" w:rsidRDefault="00766BB5" w:rsidP="00527453">
            <w:pPr>
              <w:widowControl/>
              <w:autoSpaceDE/>
              <w:autoSpaceDN/>
              <w:adjustRightInd/>
              <w:rPr>
                <w:rFonts w:asciiTheme="minorHAnsi" w:hAnsiTheme="minorHAnsi" w:cstheme="minorHAnsi"/>
                <w:iCs/>
                <w:color w:val="0070C0"/>
              </w:rPr>
            </w:pPr>
            <w:r>
              <w:rPr>
                <w:rFonts w:asciiTheme="minorHAnsi" w:hAnsiTheme="minorHAnsi" w:cstheme="minorHAnsi"/>
                <w:iCs/>
              </w:rPr>
              <w:t xml:space="preserve">The </w:t>
            </w:r>
            <w:r w:rsidR="00A80CE2">
              <w:rPr>
                <w:rFonts w:asciiTheme="minorHAnsi" w:hAnsiTheme="minorHAnsi" w:cstheme="minorHAnsi"/>
                <w:iCs/>
              </w:rPr>
              <w:t xml:space="preserve">OSHA </w:t>
            </w:r>
            <w:r>
              <w:rPr>
                <w:rFonts w:asciiTheme="minorHAnsi" w:hAnsiTheme="minorHAnsi" w:cstheme="minorHAnsi"/>
                <w:iCs/>
              </w:rPr>
              <w:t>Region</w:t>
            </w:r>
            <w:r w:rsidR="00A80CE2">
              <w:rPr>
                <w:rFonts w:asciiTheme="minorHAnsi" w:hAnsiTheme="minorHAnsi" w:cstheme="minorHAnsi"/>
                <w:iCs/>
              </w:rPr>
              <w:t>al Office</w:t>
            </w:r>
            <w:r>
              <w:rPr>
                <w:rFonts w:asciiTheme="minorHAnsi" w:hAnsiTheme="minorHAnsi" w:cstheme="minorHAnsi"/>
                <w:iCs/>
              </w:rPr>
              <w:t xml:space="preserve"> will monitor Wyoming OSHA on a quarterly basis throughout FY 2023 to ensure the State Plan conducts follow-up inspections to confirm abatement for fatality inspections.</w:t>
            </w:r>
            <w:r w:rsidR="00C05858" w:rsidRPr="00D45B6D">
              <w:rPr>
                <w:rFonts w:asciiTheme="minorHAnsi" w:hAnsiTheme="minorHAnsi" w:cstheme="minorHAnsi"/>
                <w:iCs/>
              </w:rPr>
              <w:t xml:space="preserve">  </w:t>
            </w:r>
          </w:p>
        </w:tc>
        <w:tc>
          <w:tcPr>
            <w:tcW w:w="2316" w:type="dxa"/>
          </w:tcPr>
          <w:p w14:paraId="79E4394D" w14:textId="4E97A2DE" w:rsidR="00B6741C" w:rsidRPr="00D45B6D" w:rsidRDefault="00BD0872" w:rsidP="00B6741C">
            <w:pPr>
              <w:widowControl/>
              <w:autoSpaceDE/>
              <w:autoSpaceDN/>
              <w:adjustRightInd/>
              <w:rPr>
                <w:rFonts w:asciiTheme="minorHAnsi" w:hAnsiTheme="minorHAnsi" w:cstheme="minorHAnsi"/>
                <w:iCs/>
                <w:color w:val="0070C0"/>
              </w:rPr>
            </w:pPr>
            <w:r w:rsidRPr="00D45B6D">
              <w:rPr>
                <w:rFonts w:asciiTheme="minorHAnsi" w:hAnsiTheme="minorHAnsi" w:cstheme="minorHAnsi"/>
                <w:iCs/>
              </w:rPr>
              <w:t>C</w:t>
            </w:r>
            <w:r w:rsidR="001F392F" w:rsidRPr="00D45B6D">
              <w:rPr>
                <w:rFonts w:asciiTheme="minorHAnsi" w:hAnsiTheme="minorHAnsi" w:cstheme="minorHAnsi"/>
                <w:iCs/>
              </w:rPr>
              <w:t>ontinued</w:t>
            </w:r>
          </w:p>
        </w:tc>
      </w:tr>
      <w:tr w:rsidR="00B6741C" w:rsidRPr="00D45B6D" w14:paraId="414575F4" w14:textId="437735BC" w:rsidTr="00B6741C">
        <w:trPr>
          <w:cantSplit/>
        </w:trPr>
        <w:tc>
          <w:tcPr>
            <w:tcW w:w="2657" w:type="dxa"/>
          </w:tcPr>
          <w:p w14:paraId="38E1B745" w14:textId="77777777" w:rsidR="00B6741C" w:rsidRPr="00D45B6D" w:rsidRDefault="00B6741C" w:rsidP="00527453">
            <w:pPr>
              <w:widowControl/>
              <w:autoSpaceDE/>
              <w:autoSpaceDN/>
              <w:adjustRightInd/>
              <w:rPr>
                <w:rFonts w:asciiTheme="minorHAnsi" w:hAnsiTheme="minorHAnsi" w:cstheme="minorHAnsi"/>
                <w:iCs/>
                <w:color w:val="0070C0"/>
              </w:rPr>
            </w:pPr>
          </w:p>
        </w:tc>
        <w:tc>
          <w:tcPr>
            <w:tcW w:w="2690" w:type="dxa"/>
          </w:tcPr>
          <w:p w14:paraId="110348C8" w14:textId="77777777" w:rsidR="00527453" w:rsidRPr="00D45B6D" w:rsidRDefault="00527453" w:rsidP="003B1EFA">
            <w:r w:rsidRPr="00D45B6D">
              <w:t xml:space="preserve">FY 2021-OB-02 </w:t>
            </w:r>
          </w:p>
          <w:p w14:paraId="4640B74B" w14:textId="16F26B2C" w:rsidR="00B6741C" w:rsidRPr="00D45B6D" w:rsidRDefault="00B6741C" w:rsidP="00B6741C">
            <w:pPr>
              <w:widowControl/>
              <w:autoSpaceDE/>
              <w:autoSpaceDN/>
              <w:adjustRightInd/>
              <w:rPr>
                <w:rFonts w:asciiTheme="minorHAnsi" w:hAnsiTheme="minorHAnsi" w:cstheme="minorHAnsi"/>
                <w:iCs/>
                <w:color w:val="0070C0"/>
              </w:rPr>
            </w:pPr>
          </w:p>
        </w:tc>
        <w:tc>
          <w:tcPr>
            <w:tcW w:w="2657" w:type="dxa"/>
          </w:tcPr>
          <w:p w14:paraId="0647B111" w14:textId="7984DB2E" w:rsidR="00527453" w:rsidRPr="00D45B6D" w:rsidRDefault="00527453" w:rsidP="00527453">
            <w:pPr>
              <w:widowControl/>
              <w:autoSpaceDE/>
              <w:autoSpaceDN/>
              <w:adjustRightInd/>
              <w:rPr>
                <w:rFonts w:asciiTheme="minorHAnsi" w:hAnsiTheme="minorHAnsi" w:cstheme="minorHAnsi"/>
                <w:iCs/>
                <w:color w:val="0070C0"/>
              </w:rPr>
            </w:pPr>
            <w:r w:rsidRPr="00D45B6D">
              <w:rPr>
                <w:rFonts w:asciiTheme="minorHAnsi" w:hAnsiTheme="minorHAnsi" w:cstheme="minorHAnsi"/>
              </w:rPr>
              <w:t xml:space="preserve">The State Plan does not have an adequate SIEP, as required by Chapter 6, Section III.B.1. of the State Plan Policies and Procedures Manual. </w:t>
            </w:r>
          </w:p>
          <w:p w14:paraId="3BC4A14C" w14:textId="644D363F" w:rsidR="00B6741C" w:rsidRPr="00D45B6D" w:rsidRDefault="00B6741C" w:rsidP="00B6741C">
            <w:pPr>
              <w:widowControl/>
              <w:autoSpaceDE/>
              <w:autoSpaceDN/>
              <w:adjustRightInd/>
              <w:rPr>
                <w:rFonts w:asciiTheme="minorHAnsi" w:hAnsiTheme="minorHAnsi" w:cstheme="minorHAnsi"/>
                <w:iCs/>
                <w:color w:val="0070C0"/>
              </w:rPr>
            </w:pPr>
          </w:p>
        </w:tc>
        <w:tc>
          <w:tcPr>
            <w:tcW w:w="2630" w:type="dxa"/>
          </w:tcPr>
          <w:p w14:paraId="016CAD6A" w14:textId="70624FF4" w:rsidR="00B6741C" w:rsidRPr="00D45B6D" w:rsidRDefault="00B6741C" w:rsidP="00B6741C">
            <w:pPr>
              <w:widowControl/>
              <w:autoSpaceDE/>
              <w:autoSpaceDN/>
              <w:adjustRightInd/>
              <w:rPr>
                <w:rFonts w:asciiTheme="minorHAnsi" w:hAnsiTheme="minorHAnsi" w:cstheme="minorHAnsi"/>
                <w:iCs/>
                <w:color w:val="0070C0"/>
              </w:rPr>
            </w:pPr>
          </w:p>
        </w:tc>
        <w:tc>
          <w:tcPr>
            <w:tcW w:w="2316" w:type="dxa"/>
          </w:tcPr>
          <w:p w14:paraId="4F554364" w14:textId="0A7AD353" w:rsidR="00B6741C" w:rsidRPr="00D45B6D" w:rsidRDefault="00527453" w:rsidP="00B6741C">
            <w:pPr>
              <w:widowControl/>
              <w:autoSpaceDE/>
              <w:autoSpaceDN/>
              <w:adjustRightInd/>
              <w:rPr>
                <w:rFonts w:asciiTheme="minorHAnsi" w:hAnsiTheme="minorHAnsi" w:cstheme="minorHAnsi"/>
                <w:iCs/>
                <w:color w:val="0070C0"/>
              </w:rPr>
            </w:pPr>
            <w:r w:rsidRPr="00D45B6D">
              <w:rPr>
                <w:rFonts w:asciiTheme="minorHAnsi" w:hAnsiTheme="minorHAnsi" w:cstheme="minorHAnsi"/>
                <w:iCs/>
              </w:rPr>
              <w:t>C</w:t>
            </w:r>
            <w:r w:rsidR="001F392F" w:rsidRPr="00D45B6D">
              <w:rPr>
                <w:rFonts w:asciiTheme="minorHAnsi" w:hAnsiTheme="minorHAnsi" w:cstheme="minorHAnsi"/>
                <w:iCs/>
              </w:rPr>
              <w:t>losed</w:t>
            </w:r>
          </w:p>
        </w:tc>
      </w:tr>
      <w:tr w:rsidR="00527453" w:rsidRPr="00D45B6D" w14:paraId="3DE9D615" w14:textId="77777777" w:rsidTr="00B6741C">
        <w:trPr>
          <w:cantSplit/>
        </w:trPr>
        <w:tc>
          <w:tcPr>
            <w:tcW w:w="2657" w:type="dxa"/>
          </w:tcPr>
          <w:p w14:paraId="20FDB7D1" w14:textId="77777777" w:rsidR="00527453" w:rsidRPr="00D45B6D" w:rsidRDefault="00527453" w:rsidP="00527453">
            <w:pPr>
              <w:widowControl/>
              <w:autoSpaceDE/>
              <w:autoSpaceDN/>
              <w:adjustRightInd/>
              <w:rPr>
                <w:rFonts w:asciiTheme="minorHAnsi" w:hAnsiTheme="minorHAnsi" w:cstheme="minorHAnsi"/>
                <w:iCs/>
                <w:color w:val="0070C0"/>
              </w:rPr>
            </w:pPr>
          </w:p>
        </w:tc>
        <w:tc>
          <w:tcPr>
            <w:tcW w:w="2690" w:type="dxa"/>
          </w:tcPr>
          <w:p w14:paraId="408198D4" w14:textId="22BC14C5" w:rsidR="00527453" w:rsidRPr="00D45B6D" w:rsidRDefault="00527453" w:rsidP="003B1EFA">
            <w:pPr>
              <w:rPr>
                <w:color w:val="FF0000"/>
              </w:rPr>
            </w:pPr>
            <w:r w:rsidRPr="00D45B6D">
              <w:t>FY 2021-OB-03</w:t>
            </w:r>
          </w:p>
        </w:tc>
        <w:tc>
          <w:tcPr>
            <w:tcW w:w="2657" w:type="dxa"/>
          </w:tcPr>
          <w:p w14:paraId="46D0D6EE" w14:textId="136B50DB" w:rsidR="00527453" w:rsidRPr="00D45B6D" w:rsidRDefault="00527453" w:rsidP="00527453">
            <w:pPr>
              <w:widowControl/>
              <w:autoSpaceDE/>
              <w:autoSpaceDN/>
              <w:adjustRightInd/>
              <w:rPr>
                <w:rFonts w:asciiTheme="minorHAnsi" w:hAnsiTheme="minorHAnsi" w:cstheme="minorHAnsi"/>
                <w:color w:val="FF0000"/>
              </w:rPr>
            </w:pPr>
            <w:r w:rsidRPr="00D45B6D">
              <w:rPr>
                <w:rFonts w:asciiTheme="minorHAnsi" w:hAnsiTheme="minorHAnsi" w:cstheme="minorHAnsi"/>
              </w:rPr>
              <w:t>The State Plan did not ensure that settlement case files included documentation regarding why the settlement was fair and equitable in six (75%) of eight settled cases, as required by Chapter 6, Section XII of the Whistleblower Investigations Manual.</w:t>
            </w:r>
          </w:p>
        </w:tc>
        <w:tc>
          <w:tcPr>
            <w:tcW w:w="2630" w:type="dxa"/>
          </w:tcPr>
          <w:p w14:paraId="54D2411A" w14:textId="77777777" w:rsidR="00527453" w:rsidRPr="00D45B6D" w:rsidRDefault="00527453" w:rsidP="00B6741C">
            <w:pPr>
              <w:widowControl/>
              <w:autoSpaceDE/>
              <w:autoSpaceDN/>
              <w:adjustRightInd/>
              <w:rPr>
                <w:rFonts w:asciiTheme="minorHAnsi" w:hAnsiTheme="minorHAnsi" w:cstheme="minorHAnsi"/>
                <w:iCs/>
                <w:color w:val="0070C0"/>
              </w:rPr>
            </w:pPr>
          </w:p>
        </w:tc>
        <w:tc>
          <w:tcPr>
            <w:tcW w:w="2316" w:type="dxa"/>
          </w:tcPr>
          <w:p w14:paraId="211857B7" w14:textId="3EBB18D0" w:rsidR="00527453" w:rsidRPr="00D45B6D" w:rsidRDefault="00C00D5D" w:rsidP="00B6741C">
            <w:pPr>
              <w:widowControl/>
              <w:autoSpaceDE/>
              <w:autoSpaceDN/>
              <w:adjustRightInd/>
              <w:rPr>
                <w:rFonts w:asciiTheme="minorHAnsi" w:hAnsiTheme="minorHAnsi" w:cstheme="minorHAnsi"/>
                <w:iCs/>
                <w:color w:val="0070C0"/>
              </w:rPr>
            </w:pPr>
            <w:r w:rsidRPr="00D45B6D">
              <w:rPr>
                <w:rFonts w:asciiTheme="minorHAnsi" w:hAnsiTheme="minorHAnsi" w:cstheme="minorHAnsi"/>
                <w:iCs/>
              </w:rPr>
              <w:t>Closed</w:t>
            </w:r>
          </w:p>
        </w:tc>
      </w:tr>
    </w:tbl>
    <w:p w14:paraId="66464679" w14:textId="77777777" w:rsidR="004148C0" w:rsidRPr="00476C08" w:rsidRDefault="004148C0" w:rsidP="007A71AC">
      <w:pPr>
        <w:widowControl/>
        <w:autoSpaceDE/>
        <w:autoSpaceDN/>
        <w:adjustRightInd/>
        <w:rPr>
          <w:rFonts w:cs="Calibri"/>
          <w:b/>
          <w:iCs/>
          <w:color w:val="0070C0"/>
        </w:rPr>
      </w:pPr>
    </w:p>
    <w:p w14:paraId="70B4EDC6" w14:textId="77777777" w:rsidR="000A134A" w:rsidRPr="00476C08" w:rsidRDefault="000A134A" w:rsidP="007A71AC">
      <w:pPr>
        <w:widowControl/>
        <w:autoSpaceDE/>
        <w:autoSpaceDN/>
        <w:adjustRightInd/>
        <w:rPr>
          <w:rFonts w:cs="Calibri"/>
          <w:b/>
          <w:iCs/>
          <w:color w:val="0070C0"/>
        </w:rPr>
      </w:pPr>
    </w:p>
    <w:p w14:paraId="033D154E" w14:textId="59301F50" w:rsidR="000A134A" w:rsidRPr="00476C08" w:rsidRDefault="000A134A" w:rsidP="007A3548">
      <w:pPr>
        <w:widowControl/>
        <w:autoSpaceDE/>
        <w:autoSpaceDN/>
        <w:adjustRightInd/>
        <w:rPr>
          <w:rFonts w:cs="Calibri"/>
          <w:iCs/>
          <w:color w:val="0070C0"/>
        </w:rPr>
      </w:pPr>
    </w:p>
    <w:p w14:paraId="5966FA9F" w14:textId="77777777" w:rsidR="000A134A" w:rsidRPr="001C1E47" w:rsidRDefault="000A134A" w:rsidP="007A71AC">
      <w:pPr>
        <w:widowControl/>
        <w:autoSpaceDE/>
        <w:autoSpaceDN/>
        <w:adjustRightInd/>
        <w:rPr>
          <w:rFonts w:cs="Calibri"/>
          <w:i/>
          <w:sz w:val="22"/>
          <w:szCs w:val="22"/>
        </w:rPr>
        <w:sectPr w:rsidR="000A134A" w:rsidRPr="001C1E47" w:rsidSect="00476C08">
          <w:headerReference w:type="first" r:id="rId16"/>
          <w:footerReference w:type="first" r:id="rId17"/>
          <w:type w:val="continuous"/>
          <w:pgSz w:w="15840" w:h="12240" w:orient="landscape"/>
          <w:pgMar w:top="1440" w:right="1440" w:bottom="1440" w:left="1440" w:header="720" w:footer="720" w:gutter="0"/>
          <w:cols w:space="720"/>
          <w:titlePg/>
          <w:docGrid w:linePitch="360"/>
        </w:sectPr>
      </w:pPr>
    </w:p>
    <w:p w14:paraId="01176981" w14:textId="799A8830" w:rsidR="00747710" w:rsidRDefault="00747710" w:rsidP="000F63C1">
      <w:pPr>
        <w:pStyle w:val="Heading3"/>
        <w:numPr>
          <w:ilvl w:val="0"/>
          <w:numId w:val="0"/>
        </w:numPr>
      </w:pPr>
      <w:bookmarkStart w:id="32" w:name="_Toc118905019"/>
      <w:bookmarkStart w:id="33" w:name="_Toc119418671"/>
      <w:r w:rsidRPr="00747710">
        <w:lastRenderedPageBreak/>
        <w:t>Appendix C - Status of FY 20</w:t>
      </w:r>
      <w:r w:rsidR="00DA5EFC">
        <w:t>21</w:t>
      </w:r>
      <w:r w:rsidRPr="00747710">
        <w:t xml:space="preserve"> Findings and Recommendations</w:t>
      </w:r>
      <w:bookmarkEnd w:id="32"/>
      <w:bookmarkEnd w:id="33"/>
    </w:p>
    <w:p w14:paraId="45E6B5CB" w14:textId="4B2EB712" w:rsidR="005367D5" w:rsidRPr="00527453" w:rsidRDefault="00747710" w:rsidP="00527453">
      <w:r w:rsidRPr="00747710">
        <w:t xml:space="preserve">FY 2022 </w:t>
      </w:r>
      <w:r w:rsidR="00DA5EFC" w:rsidRPr="00DA5EFC">
        <w:t>W</w:t>
      </w:r>
      <w:r w:rsidR="00402B12">
        <w:t>yoming</w:t>
      </w:r>
      <w:r w:rsidR="00DA5EFC" w:rsidRPr="00DA5EFC">
        <w:t xml:space="preserve"> OSHA</w:t>
      </w:r>
      <w:r w:rsidRPr="00DA5EFC">
        <w:t xml:space="preserve"> </w:t>
      </w:r>
      <w:r w:rsidRPr="00747710">
        <w:t>Follow-up FAME Report</w:t>
      </w:r>
    </w:p>
    <w:tbl>
      <w:tblPr>
        <w:tblStyle w:val="TableGridLight"/>
        <w:tblpPr w:leftFromText="180" w:rightFromText="180" w:vertAnchor="page" w:horzAnchor="page" w:tblpX="1202" w:tblpY="2409"/>
        <w:tblW w:w="13585" w:type="dxa"/>
        <w:tblLayout w:type="fixed"/>
        <w:tblLook w:val="00A0" w:firstRow="1" w:lastRow="0" w:firstColumn="1" w:lastColumn="0" w:noHBand="0" w:noVBand="0"/>
      </w:tblPr>
      <w:tblGrid>
        <w:gridCol w:w="1435"/>
        <w:gridCol w:w="2098"/>
        <w:gridCol w:w="2250"/>
        <w:gridCol w:w="3960"/>
        <w:gridCol w:w="1592"/>
        <w:gridCol w:w="2250"/>
      </w:tblGrid>
      <w:tr w:rsidR="005367D5" w:rsidRPr="005C6278" w14:paraId="04152CB8" w14:textId="77777777" w:rsidTr="00D93CB3">
        <w:trPr>
          <w:trHeight w:val="412"/>
        </w:trPr>
        <w:tc>
          <w:tcPr>
            <w:tcW w:w="1435" w:type="dxa"/>
          </w:tcPr>
          <w:p w14:paraId="0FAB4AA2" w14:textId="2E69F605" w:rsidR="005367D5" w:rsidRPr="005C6278" w:rsidRDefault="005367D5" w:rsidP="00D93CB3">
            <w:pPr>
              <w:rPr>
                <w:rFonts w:cs="Calibri"/>
                <w:b/>
                <w:sz w:val="20"/>
                <w:szCs w:val="20"/>
              </w:rPr>
            </w:pPr>
            <w:r w:rsidRPr="005C6278">
              <w:rPr>
                <w:rFonts w:cs="Calibri"/>
                <w:b/>
                <w:sz w:val="20"/>
                <w:szCs w:val="20"/>
              </w:rPr>
              <w:t>FY 20</w:t>
            </w:r>
            <w:r w:rsidR="00DA5EFC" w:rsidRPr="005C6278">
              <w:rPr>
                <w:rFonts w:cs="Calibri"/>
                <w:b/>
                <w:sz w:val="20"/>
                <w:szCs w:val="20"/>
              </w:rPr>
              <w:t>21</w:t>
            </w:r>
            <w:r w:rsidRPr="005C6278">
              <w:rPr>
                <w:rFonts w:cs="Calibri"/>
                <w:b/>
                <w:sz w:val="20"/>
                <w:szCs w:val="20"/>
              </w:rPr>
              <w:t>-#</w:t>
            </w:r>
          </w:p>
        </w:tc>
        <w:tc>
          <w:tcPr>
            <w:tcW w:w="2098" w:type="dxa"/>
          </w:tcPr>
          <w:p w14:paraId="395AE41F" w14:textId="77777777" w:rsidR="005367D5" w:rsidRPr="005C6278" w:rsidRDefault="005367D5" w:rsidP="00D93CB3">
            <w:pPr>
              <w:rPr>
                <w:rFonts w:cs="Calibri"/>
                <w:b/>
                <w:sz w:val="20"/>
                <w:szCs w:val="20"/>
              </w:rPr>
            </w:pPr>
            <w:r w:rsidRPr="005C6278">
              <w:rPr>
                <w:rFonts w:cs="Calibri"/>
                <w:b/>
                <w:sz w:val="20"/>
                <w:szCs w:val="20"/>
              </w:rPr>
              <w:t>Finding</w:t>
            </w:r>
          </w:p>
        </w:tc>
        <w:tc>
          <w:tcPr>
            <w:tcW w:w="2250" w:type="dxa"/>
          </w:tcPr>
          <w:p w14:paraId="6EEE46BC" w14:textId="77777777" w:rsidR="005367D5" w:rsidRPr="005C6278" w:rsidRDefault="005367D5" w:rsidP="00D93CB3">
            <w:pPr>
              <w:rPr>
                <w:rFonts w:cs="Calibri"/>
                <w:b/>
                <w:sz w:val="20"/>
                <w:szCs w:val="20"/>
              </w:rPr>
            </w:pPr>
            <w:r w:rsidRPr="005C6278">
              <w:rPr>
                <w:rFonts w:cs="Calibri"/>
                <w:b/>
                <w:sz w:val="20"/>
                <w:szCs w:val="20"/>
              </w:rPr>
              <w:t>Recommendation</w:t>
            </w:r>
          </w:p>
        </w:tc>
        <w:tc>
          <w:tcPr>
            <w:tcW w:w="3960" w:type="dxa"/>
          </w:tcPr>
          <w:p w14:paraId="461C9375" w14:textId="77777777" w:rsidR="005367D5" w:rsidRPr="005C6278" w:rsidRDefault="005367D5" w:rsidP="00D93CB3">
            <w:pPr>
              <w:rPr>
                <w:rFonts w:cs="Calibri"/>
                <w:b/>
                <w:sz w:val="20"/>
                <w:szCs w:val="20"/>
              </w:rPr>
            </w:pPr>
            <w:r w:rsidRPr="005C6278">
              <w:rPr>
                <w:rFonts w:cs="Calibri"/>
                <w:b/>
                <w:sz w:val="20"/>
                <w:szCs w:val="20"/>
              </w:rPr>
              <w:t>State Plan Corrective Action</w:t>
            </w:r>
          </w:p>
        </w:tc>
        <w:tc>
          <w:tcPr>
            <w:tcW w:w="1592" w:type="dxa"/>
          </w:tcPr>
          <w:p w14:paraId="5151BE67" w14:textId="77777777" w:rsidR="005367D5" w:rsidRPr="005C6278" w:rsidRDefault="005367D5" w:rsidP="00D93CB3">
            <w:pPr>
              <w:rPr>
                <w:rFonts w:cs="Calibri"/>
                <w:b/>
                <w:sz w:val="20"/>
                <w:szCs w:val="20"/>
              </w:rPr>
            </w:pPr>
            <w:r w:rsidRPr="005C6278">
              <w:rPr>
                <w:rFonts w:cs="Calibri"/>
                <w:b/>
                <w:sz w:val="20"/>
                <w:szCs w:val="20"/>
              </w:rPr>
              <w:t>Completion Date</w:t>
            </w:r>
          </w:p>
        </w:tc>
        <w:tc>
          <w:tcPr>
            <w:tcW w:w="2250" w:type="dxa"/>
          </w:tcPr>
          <w:p w14:paraId="48025986" w14:textId="77777777" w:rsidR="005367D5" w:rsidRPr="005C6278" w:rsidRDefault="005367D5" w:rsidP="00D93CB3">
            <w:pPr>
              <w:rPr>
                <w:rFonts w:cs="Calibri"/>
                <w:b/>
                <w:sz w:val="20"/>
                <w:szCs w:val="20"/>
              </w:rPr>
            </w:pPr>
            <w:r w:rsidRPr="005C6278">
              <w:rPr>
                <w:rFonts w:cs="Calibri"/>
                <w:b/>
                <w:sz w:val="20"/>
                <w:szCs w:val="20"/>
              </w:rPr>
              <w:t xml:space="preserve">Current Status </w:t>
            </w:r>
          </w:p>
          <w:p w14:paraId="1D3136EF" w14:textId="77777777" w:rsidR="005367D5" w:rsidRPr="005C6278" w:rsidRDefault="005367D5" w:rsidP="00D93CB3">
            <w:pPr>
              <w:rPr>
                <w:rFonts w:cs="Calibri"/>
                <w:b/>
                <w:sz w:val="20"/>
                <w:szCs w:val="20"/>
              </w:rPr>
            </w:pPr>
            <w:r w:rsidRPr="005C6278">
              <w:rPr>
                <w:rFonts w:cs="Calibri"/>
                <w:b/>
                <w:sz w:val="20"/>
                <w:szCs w:val="20"/>
              </w:rPr>
              <w:t>and Date</w:t>
            </w:r>
          </w:p>
        </w:tc>
      </w:tr>
      <w:tr w:rsidR="005367D5" w:rsidRPr="005C6278" w14:paraId="7244A508" w14:textId="77777777" w:rsidTr="00D93CB3">
        <w:trPr>
          <w:trHeight w:val="412"/>
        </w:trPr>
        <w:tc>
          <w:tcPr>
            <w:tcW w:w="1435" w:type="dxa"/>
          </w:tcPr>
          <w:p w14:paraId="3B6143AB" w14:textId="69F12487" w:rsidR="005367D5" w:rsidRPr="00516EB0" w:rsidRDefault="000243FB" w:rsidP="000243F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516EB0">
              <w:rPr>
                <w:rFonts w:asciiTheme="minorHAnsi" w:hAnsiTheme="minorHAnsi" w:cstheme="minorHAnsi"/>
                <w:sz w:val="22"/>
                <w:szCs w:val="22"/>
              </w:rPr>
              <w:t>FY 2021-01</w:t>
            </w:r>
            <w:r w:rsidR="005367D5" w:rsidRPr="00516EB0">
              <w:rPr>
                <w:rFonts w:asciiTheme="minorHAnsi" w:eastAsia="PMingLiU" w:hAnsiTheme="minorHAnsi" w:cstheme="minorHAnsi"/>
                <w:b/>
                <w:bCs/>
                <w:sz w:val="22"/>
                <w:szCs w:val="22"/>
              </w:rPr>
              <w:t> </w:t>
            </w:r>
          </w:p>
        </w:tc>
        <w:tc>
          <w:tcPr>
            <w:tcW w:w="2098" w:type="dxa"/>
          </w:tcPr>
          <w:p w14:paraId="1D6DD323" w14:textId="61DA8B30" w:rsidR="005367D5" w:rsidRPr="00516EB0" w:rsidRDefault="000243FB" w:rsidP="000243F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r w:rsidRPr="00516EB0">
              <w:rPr>
                <w:rFonts w:asciiTheme="minorHAnsi" w:hAnsiTheme="minorHAnsi" w:cstheme="minorHAnsi"/>
                <w:sz w:val="22"/>
                <w:szCs w:val="22"/>
              </w:rPr>
              <w:t>The State Plan did not obtain complete abatement and review the abatement for phone/fax investigations to ensure timely closure of complaints.  Twenty-three of 107 (21.4%) phone/fax investigations that had been open for at least 30 days and remained open at the end of FY 2021 did not have complete abatement, with 10 (9.3%) of those investigations being open since FY 2017 through FY 2020.</w:t>
            </w:r>
            <w:r w:rsidR="005367D5" w:rsidRPr="00516EB0">
              <w:rPr>
                <w:rFonts w:asciiTheme="minorHAnsi" w:eastAsia="PMingLiU" w:hAnsiTheme="minorHAnsi" w:cstheme="minorHAnsi"/>
                <w:b/>
                <w:sz w:val="22"/>
                <w:szCs w:val="22"/>
              </w:rPr>
              <w:t> </w:t>
            </w:r>
          </w:p>
        </w:tc>
        <w:tc>
          <w:tcPr>
            <w:tcW w:w="2250" w:type="dxa"/>
          </w:tcPr>
          <w:p w14:paraId="19499B4B" w14:textId="3B2B4C6F" w:rsidR="005367D5" w:rsidRPr="00516EB0" w:rsidRDefault="000243FB" w:rsidP="000243F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r w:rsidRPr="00516EB0">
              <w:rPr>
                <w:rFonts w:asciiTheme="minorHAnsi" w:hAnsiTheme="minorHAnsi" w:cstheme="minorHAnsi"/>
                <w:sz w:val="22"/>
                <w:szCs w:val="22"/>
              </w:rPr>
              <w:t xml:space="preserve">The State Plan should evaluate the existing process for receiving and reviewing abatement to determine appropriate short-term and long-term modifications to expedite abatement and closure.  </w:t>
            </w:r>
            <w:r w:rsidR="005367D5" w:rsidRPr="00516EB0">
              <w:rPr>
                <w:rFonts w:asciiTheme="minorHAnsi" w:eastAsia="PMingLiU" w:hAnsiTheme="minorHAnsi" w:cstheme="minorHAnsi"/>
                <w:b/>
                <w:sz w:val="22"/>
                <w:szCs w:val="22"/>
              </w:rPr>
              <w:t> </w:t>
            </w:r>
          </w:p>
        </w:tc>
        <w:tc>
          <w:tcPr>
            <w:tcW w:w="3960" w:type="dxa"/>
          </w:tcPr>
          <w:p w14:paraId="3917CB2A" w14:textId="6A175248" w:rsidR="000243FB" w:rsidRPr="00516EB0" w:rsidRDefault="000243FB" w:rsidP="00201C67">
            <w:pPr>
              <w:rPr>
                <w:rFonts w:asciiTheme="minorHAnsi" w:hAnsiTheme="minorHAnsi" w:cstheme="minorHAnsi"/>
                <w:sz w:val="22"/>
                <w:szCs w:val="22"/>
              </w:rPr>
            </w:pPr>
            <w:r w:rsidRPr="00516EB0">
              <w:rPr>
                <w:rFonts w:asciiTheme="minorHAnsi" w:hAnsiTheme="minorHAnsi" w:cstheme="minorHAnsi"/>
                <w:sz w:val="22"/>
                <w:szCs w:val="22"/>
              </w:rPr>
              <w:t xml:space="preserve">In July 2022, the State Plan began reviewing supporting OIS reports, such as the UPA Auditing Report, the UPA Tracking Report, and the SIR, on a weekly basis. </w:t>
            </w:r>
            <w:r w:rsidR="00EA6FAC" w:rsidRPr="00516EB0">
              <w:rPr>
                <w:rFonts w:asciiTheme="minorHAnsi" w:hAnsiTheme="minorHAnsi" w:cstheme="minorHAnsi"/>
                <w:sz w:val="22"/>
                <w:szCs w:val="22"/>
              </w:rPr>
              <w:t xml:space="preserve"> </w:t>
            </w:r>
            <w:r w:rsidRPr="00516EB0">
              <w:rPr>
                <w:rFonts w:asciiTheme="minorHAnsi" w:hAnsiTheme="minorHAnsi" w:cstheme="minorHAnsi"/>
                <w:sz w:val="22"/>
                <w:szCs w:val="22"/>
              </w:rPr>
              <w:t xml:space="preserve">The State Plan </w:t>
            </w:r>
            <w:r w:rsidR="0094682E" w:rsidRPr="00516EB0">
              <w:rPr>
                <w:rFonts w:asciiTheme="minorHAnsi" w:hAnsiTheme="minorHAnsi" w:cstheme="minorHAnsi"/>
                <w:sz w:val="22"/>
                <w:szCs w:val="22"/>
              </w:rPr>
              <w:t xml:space="preserve">also </w:t>
            </w:r>
            <w:r w:rsidR="00101BEF" w:rsidRPr="00516EB0">
              <w:rPr>
                <w:rFonts w:asciiTheme="minorHAnsi" w:hAnsiTheme="minorHAnsi" w:cstheme="minorHAnsi"/>
                <w:sz w:val="22"/>
                <w:szCs w:val="22"/>
              </w:rPr>
              <w:t>trained</w:t>
            </w:r>
            <w:r w:rsidRPr="00516EB0">
              <w:rPr>
                <w:rFonts w:asciiTheme="minorHAnsi" w:hAnsiTheme="minorHAnsi" w:cstheme="minorHAnsi"/>
                <w:sz w:val="22"/>
                <w:szCs w:val="22"/>
              </w:rPr>
              <w:t xml:space="preserve"> its CSHOs on the guidance in its ROPP and the OSHA FOM.</w:t>
            </w:r>
          </w:p>
          <w:p w14:paraId="37D73ADA" w14:textId="77777777" w:rsidR="005367D5" w:rsidRPr="00516EB0"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sz w:val="22"/>
                <w:szCs w:val="22"/>
              </w:rPr>
            </w:pPr>
            <w:r w:rsidRPr="00516EB0">
              <w:rPr>
                <w:rFonts w:asciiTheme="minorHAnsi" w:eastAsia="PMingLiU" w:hAnsiTheme="minorHAnsi" w:cstheme="minorHAnsi"/>
                <w:b/>
                <w:sz w:val="22"/>
                <w:szCs w:val="22"/>
              </w:rPr>
              <w:t> </w:t>
            </w:r>
          </w:p>
        </w:tc>
        <w:tc>
          <w:tcPr>
            <w:tcW w:w="1592" w:type="dxa"/>
          </w:tcPr>
          <w:p w14:paraId="56F99649" w14:textId="76F4AE01" w:rsidR="005367D5" w:rsidRPr="00516EB0" w:rsidRDefault="00EB6379" w:rsidP="008D719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sz w:val="22"/>
                <w:szCs w:val="22"/>
              </w:rPr>
            </w:pPr>
            <w:r w:rsidRPr="00516EB0">
              <w:rPr>
                <w:rFonts w:eastAsia="PMingLiU" w:cs="Calibri"/>
                <w:bCs/>
                <w:sz w:val="22"/>
                <w:szCs w:val="22"/>
              </w:rPr>
              <w:t>February 22, 2023</w:t>
            </w:r>
            <w:r w:rsidR="005367D5" w:rsidRPr="00516EB0">
              <w:rPr>
                <w:rFonts w:eastAsia="PMingLiU" w:cs="Calibri"/>
                <w:bCs/>
                <w:sz w:val="22"/>
                <w:szCs w:val="22"/>
              </w:rPr>
              <w:t> </w:t>
            </w:r>
          </w:p>
        </w:tc>
        <w:tc>
          <w:tcPr>
            <w:tcW w:w="2250" w:type="dxa"/>
          </w:tcPr>
          <w:p w14:paraId="4007473C" w14:textId="7DFD46FD" w:rsidR="005367D5" w:rsidRPr="00516EB0" w:rsidRDefault="001F392F" w:rsidP="00201C6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sz w:val="22"/>
                <w:szCs w:val="22"/>
              </w:rPr>
            </w:pPr>
            <w:r w:rsidRPr="00516EB0">
              <w:rPr>
                <w:rFonts w:eastAsia="PMingLiU" w:cs="Calibri"/>
                <w:bCs/>
                <w:sz w:val="22"/>
                <w:szCs w:val="22"/>
              </w:rPr>
              <w:t>Awaiting Verification</w:t>
            </w:r>
            <w:r w:rsidR="000B476F" w:rsidRPr="00516EB0">
              <w:rPr>
                <w:rFonts w:eastAsia="PMingLiU" w:cs="Calibri"/>
                <w:bCs/>
                <w:sz w:val="22"/>
                <w:szCs w:val="22"/>
              </w:rPr>
              <w:t xml:space="preserve">, </w:t>
            </w:r>
            <w:r w:rsidR="00EB6379" w:rsidRPr="00516EB0">
              <w:rPr>
                <w:rFonts w:eastAsia="PMingLiU" w:cs="Calibri"/>
                <w:bCs/>
                <w:sz w:val="22"/>
                <w:szCs w:val="22"/>
              </w:rPr>
              <w:t>March</w:t>
            </w:r>
            <w:r w:rsidR="000B476F" w:rsidRPr="00516EB0">
              <w:rPr>
                <w:rFonts w:eastAsia="PMingLiU" w:cs="Calibri"/>
                <w:bCs/>
                <w:sz w:val="22"/>
                <w:szCs w:val="22"/>
              </w:rPr>
              <w:t xml:space="preserve"> 2023</w:t>
            </w:r>
            <w:r w:rsidR="005367D5" w:rsidRPr="00516EB0">
              <w:rPr>
                <w:rFonts w:eastAsia="PMingLiU" w:cs="Calibri"/>
                <w:bCs/>
                <w:sz w:val="22"/>
                <w:szCs w:val="22"/>
              </w:rPr>
              <w:t> </w:t>
            </w:r>
          </w:p>
        </w:tc>
      </w:tr>
      <w:tr w:rsidR="005367D5" w:rsidRPr="005C6278" w14:paraId="4703F521" w14:textId="77777777" w:rsidTr="00D93CB3">
        <w:trPr>
          <w:trHeight w:val="385"/>
        </w:trPr>
        <w:tc>
          <w:tcPr>
            <w:tcW w:w="1435" w:type="dxa"/>
          </w:tcPr>
          <w:p w14:paraId="4E7C14BF" w14:textId="1BFD5AE0" w:rsidR="005367D5" w:rsidRPr="00516EB0" w:rsidRDefault="000243FB" w:rsidP="000243F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516EB0">
              <w:rPr>
                <w:rFonts w:asciiTheme="minorHAnsi" w:hAnsiTheme="minorHAnsi" w:cstheme="minorHAnsi"/>
                <w:sz w:val="22"/>
                <w:szCs w:val="22"/>
              </w:rPr>
              <w:t>FY 2021-02</w:t>
            </w:r>
            <w:r w:rsidR="005367D5" w:rsidRPr="00516EB0">
              <w:rPr>
                <w:rFonts w:asciiTheme="minorHAnsi" w:eastAsia="PMingLiU" w:hAnsiTheme="minorHAnsi" w:cstheme="minorHAnsi"/>
                <w:b/>
                <w:bCs/>
                <w:sz w:val="22"/>
                <w:szCs w:val="22"/>
              </w:rPr>
              <w:t> </w:t>
            </w:r>
          </w:p>
        </w:tc>
        <w:tc>
          <w:tcPr>
            <w:tcW w:w="2098" w:type="dxa"/>
          </w:tcPr>
          <w:p w14:paraId="0934D282" w14:textId="13B8137A" w:rsidR="005367D5" w:rsidRPr="00516EB0" w:rsidRDefault="000243FB" w:rsidP="000243F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bookmarkStart w:id="34" w:name="_Hlk101862953"/>
            <w:r w:rsidRPr="00516EB0">
              <w:rPr>
                <w:rFonts w:asciiTheme="minorHAnsi" w:hAnsiTheme="minorHAnsi" w:cstheme="minorHAnsi"/>
                <w:sz w:val="22"/>
                <w:szCs w:val="22"/>
              </w:rPr>
              <w:t xml:space="preserve">The number of open, non-contested cases with abatement incomplete for more </w:t>
            </w:r>
            <w:r w:rsidRPr="00516EB0">
              <w:rPr>
                <w:rFonts w:asciiTheme="minorHAnsi" w:hAnsiTheme="minorHAnsi" w:cstheme="minorHAnsi"/>
                <w:sz w:val="22"/>
                <w:szCs w:val="22"/>
              </w:rPr>
              <w:lastRenderedPageBreak/>
              <w:t>than 60 calendar days has remained significantly high with 56 cases in 2019, 70 cases in 2020, and 49 cases in 2021.</w:t>
            </w:r>
            <w:bookmarkEnd w:id="34"/>
          </w:p>
        </w:tc>
        <w:tc>
          <w:tcPr>
            <w:tcW w:w="2250" w:type="dxa"/>
          </w:tcPr>
          <w:p w14:paraId="4A7C8703" w14:textId="111FF1B9" w:rsidR="005367D5" w:rsidRPr="00516EB0" w:rsidRDefault="000243FB" w:rsidP="000243F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r w:rsidRPr="00516EB0">
              <w:rPr>
                <w:rFonts w:asciiTheme="minorHAnsi" w:hAnsiTheme="minorHAnsi" w:cstheme="minorHAnsi"/>
                <w:sz w:val="22"/>
                <w:szCs w:val="22"/>
              </w:rPr>
              <w:lastRenderedPageBreak/>
              <w:t xml:space="preserve">The State Plan should evaluate the existing process for receiving and reviewing abatement to </w:t>
            </w:r>
            <w:r w:rsidRPr="00516EB0">
              <w:rPr>
                <w:rFonts w:asciiTheme="minorHAnsi" w:hAnsiTheme="minorHAnsi" w:cstheme="minorHAnsi"/>
                <w:sz w:val="22"/>
                <w:szCs w:val="22"/>
              </w:rPr>
              <w:lastRenderedPageBreak/>
              <w:t xml:space="preserve">determine appropriate short-term and long-term modifications to expedite abatement and closure.  </w:t>
            </w:r>
            <w:r w:rsidR="005367D5" w:rsidRPr="00516EB0">
              <w:rPr>
                <w:rFonts w:asciiTheme="minorHAnsi" w:eastAsia="PMingLiU" w:hAnsiTheme="minorHAnsi" w:cstheme="minorHAnsi"/>
                <w:b/>
                <w:sz w:val="22"/>
                <w:szCs w:val="22"/>
              </w:rPr>
              <w:t> </w:t>
            </w:r>
          </w:p>
        </w:tc>
        <w:tc>
          <w:tcPr>
            <w:tcW w:w="3960" w:type="dxa"/>
          </w:tcPr>
          <w:p w14:paraId="26546A5D" w14:textId="26E16E19" w:rsidR="005367D5" w:rsidRPr="00516EB0" w:rsidRDefault="000243FB" w:rsidP="000243F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bookmarkStart w:id="35" w:name="_Hlk126154052"/>
            <w:r w:rsidRPr="00516EB0">
              <w:rPr>
                <w:rFonts w:asciiTheme="minorHAnsi" w:hAnsiTheme="minorHAnsi" w:cstheme="minorHAnsi"/>
                <w:color w:val="000000"/>
                <w:sz w:val="22"/>
                <w:szCs w:val="22"/>
              </w:rPr>
              <w:lastRenderedPageBreak/>
              <w:t>In July 2022, the State Plan began reviewing supporting OIS reports, such as the Abatement Tracking Report</w:t>
            </w:r>
            <w:r w:rsidR="00766BB5" w:rsidRPr="00516EB0">
              <w:rPr>
                <w:rFonts w:asciiTheme="minorHAnsi" w:hAnsiTheme="minorHAnsi" w:cstheme="minorHAnsi"/>
                <w:color w:val="000000"/>
                <w:sz w:val="22"/>
                <w:szCs w:val="22"/>
              </w:rPr>
              <w:t xml:space="preserve"> and</w:t>
            </w:r>
            <w:r w:rsidRPr="00516EB0">
              <w:rPr>
                <w:rFonts w:asciiTheme="minorHAnsi" w:hAnsiTheme="minorHAnsi" w:cstheme="minorHAnsi"/>
                <w:color w:val="000000"/>
                <w:sz w:val="22"/>
                <w:szCs w:val="22"/>
              </w:rPr>
              <w:t xml:space="preserve"> the SIR, as well as the Open Inspection Report, on a weekly basis to manage </w:t>
            </w:r>
            <w:r w:rsidRPr="00516EB0">
              <w:rPr>
                <w:rFonts w:asciiTheme="minorHAnsi" w:hAnsiTheme="minorHAnsi" w:cstheme="minorHAnsi"/>
                <w:color w:val="000000"/>
                <w:sz w:val="22"/>
                <w:szCs w:val="22"/>
              </w:rPr>
              <w:lastRenderedPageBreak/>
              <w:t>abatement.  The State Plan</w:t>
            </w:r>
            <w:r w:rsidR="0094682E" w:rsidRPr="00516EB0">
              <w:rPr>
                <w:rFonts w:asciiTheme="minorHAnsi" w:hAnsiTheme="minorHAnsi" w:cstheme="minorHAnsi"/>
                <w:color w:val="000000"/>
                <w:sz w:val="22"/>
                <w:szCs w:val="22"/>
              </w:rPr>
              <w:t xml:space="preserve"> also</w:t>
            </w:r>
            <w:r w:rsidRPr="00516EB0">
              <w:rPr>
                <w:rFonts w:asciiTheme="minorHAnsi" w:hAnsiTheme="minorHAnsi" w:cstheme="minorHAnsi"/>
                <w:color w:val="000000"/>
                <w:sz w:val="22"/>
                <w:szCs w:val="22"/>
              </w:rPr>
              <w:t xml:space="preserve"> </w:t>
            </w:r>
            <w:r w:rsidR="00101BEF" w:rsidRPr="00516EB0">
              <w:rPr>
                <w:rFonts w:asciiTheme="minorHAnsi" w:hAnsiTheme="minorHAnsi" w:cstheme="minorHAnsi"/>
                <w:color w:val="000000"/>
                <w:sz w:val="22"/>
                <w:szCs w:val="22"/>
              </w:rPr>
              <w:t>trained</w:t>
            </w:r>
            <w:r w:rsidRPr="00516EB0">
              <w:rPr>
                <w:rFonts w:asciiTheme="minorHAnsi" w:hAnsiTheme="minorHAnsi" w:cstheme="minorHAnsi"/>
                <w:color w:val="000000"/>
                <w:sz w:val="22"/>
                <w:szCs w:val="22"/>
              </w:rPr>
              <w:t xml:space="preserve"> its CSHOs on the guidance in its ROPP and Chapters 3, 6, and 7 of the OSHA FOM.</w:t>
            </w:r>
            <w:r w:rsidR="005367D5" w:rsidRPr="00516EB0">
              <w:rPr>
                <w:rFonts w:asciiTheme="minorHAnsi" w:eastAsia="PMingLiU" w:hAnsiTheme="minorHAnsi" w:cstheme="minorHAnsi"/>
                <w:b/>
                <w:sz w:val="22"/>
                <w:szCs w:val="22"/>
              </w:rPr>
              <w:t> </w:t>
            </w:r>
            <w:bookmarkEnd w:id="35"/>
          </w:p>
        </w:tc>
        <w:tc>
          <w:tcPr>
            <w:tcW w:w="1592" w:type="dxa"/>
          </w:tcPr>
          <w:p w14:paraId="0F813752" w14:textId="6C9893CE" w:rsidR="005367D5" w:rsidRPr="00516EB0" w:rsidRDefault="00EB6379" w:rsidP="008D719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sz w:val="22"/>
                <w:szCs w:val="22"/>
              </w:rPr>
            </w:pPr>
            <w:r w:rsidRPr="00516EB0">
              <w:rPr>
                <w:rFonts w:eastAsia="PMingLiU" w:cs="Calibri"/>
                <w:bCs/>
                <w:sz w:val="22"/>
                <w:szCs w:val="22"/>
              </w:rPr>
              <w:lastRenderedPageBreak/>
              <w:t>February 22, 2023 </w:t>
            </w:r>
            <w:r w:rsidR="005367D5" w:rsidRPr="00516EB0">
              <w:rPr>
                <w:rFonts w:eastAsia="PMingLiU" w:cs="Calibri"/>
                <w:b/>
                <w:sz w:val="22"/>
                <w:szCs w:val="22"/>
              </w:rPr>
              <w:t> </w:t>
            </w:r>
          </w:p>
        </w:tc>
        <w:tc>
          <w:tcPr>
            <w:tcW w:w="2250" w:type="dxa"/>
          </w:tcPr>
          <w:p w14:paraId="6B340DD8" w14:textId="7B77814F" w:rsidR="005367D5" w:rsidRPr="00516EB0" w:rsidRDefault="001F392F" w:rsidP="00201C6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sz w:val="22"/>
                <w:szCs w:val="22"/>
              </w:rPr>
            </w:pPr>
            <w:r w:rsidRPr="00516EB0">
              <w:rPr>
                <w:rFonts w:eastAsia="PMingLiU" w:cs="Calibri"/>
                <w:bCs/>
                <w:sz w:val="22"/>
                <w:szCs w:val="22"/>
              </w:rPr>
              <w:t>Awaiting Verification</w:t>
            </w:r>
            <w:r w:rsidR="000B476F" w:rsidRPr="00516EB0">
              <w:rPr>
                <w:rFonts w:eastAsia="PMingLiU" w:cs="Calibri"/>
                <w:bCs/>
                <w:sz w:val="22"/>
                <w:szCs w:val="22"/>
              </w:rPr>
              <w:t xml:space="preserve">, </w:t>
            </w:r>
            <w:r w:rsidR="00EB6379" w:rsidRPr="00516EB0">
              <w:rPr>
                <w:rFonts w:eastAsia="PMingLiU" w:cs="Calibri"/>
                <w:bCs/>
                <w:sz w:val="22"/>
                <w:szCs w:val="22"/>
              </w:rPr>
              <w:t>March</w:t>
            </w:r>
            <w:r w:rsidR="000B476F" w:rsidRPr="00516EB0">
              <w:rPr>
                <w:rFonts w:eastAsia="PMingLiU" w:cs="Calibri"/>
                <w:bCs/>
                <w:sz w:val="22"/>
                <w:szCs w:val="22"/>
              </w:rPr>
              <w:t xml:space="preserve"> 2023</w:t>
            </w:r>
            <w:r w:rsidR="005367D5" w:rsidRPr="00516EB0">
              <w:rPr>
                <w:rFonts w:eastAsia="PMingLiU" w:cs="Calibri"/>
                <w:b/>
                <w:sz w:val="22"/>
                <w:szCs w:val="22"/>
              </w:rPr>
              <w:t> </w:t>
            </w:r>
          </w:p>
        </w:tc>
      </w:tr>
    </w:tbl>
    <w:p w14:paraId="5A163C8E" w14:textId="2A3F1B4C" w:rsidR="000A134A" w:rsidRPr="008164E8" w:rsidRDefault="000A134A" w:rsidP="000B476F">
      <w:pPr>
        <w:widowControl/>
        <w:tabs>
          <w:tab w:val="left" w:pos="630"/>
        </w:tabs>
        <w:autoSpaceDE/>
        <w:autoSpaceDN/>
        <w:adjustRightInd/>
        <w:rPr>
          <w:rFonts w:cs="Calibri"/>
          <w:iCs/>
          <w:color w:val="0070C0"/>
        </w:rPr>
        <w:sectPr w:rsidR="000A134A" w:rsidRPr="008164E8" w:rsidSect="00476C08">
          <w:headerReference w:type="default" r:id="rId18"/>
          <w:headerReference w:type="first" r:id="rId19"/>
          <w:footerReference w:type="first" r:id="rId20"/>
          <w:pgSz w:w="15840" w:h="12240" w:orient="landscape"/>
          <w:pgMar w:top="1440" w:right="1440" w:bottom="1440" w:left="1440" w:header="630" w:footer="720" w:gutter="0"/>
          <w:cols w:space="720"/>
          <w:titlePg/>
          <w:docGrid w:linePitch="360"/>
        </w:sectPr>
      </w:pPr>
    </w:p>
    <w:p w14:paraId="2858AFDA" w14:textId="77777777" w:rsidR="00EA6FAC" w:rsidRDefault="00EA6FAC" w:rsidP="000F63C1">
      <w:pPr>
        <w:pStyle w:val="Heading3"/>
        <w:numPr>
          <w:ilvl w:val="0"/>
          <w:numId w:val="0"/>
        </w:numPr>
      </w:pPr>
      <w:bookmarkStart w:id="36" w:name="_Toc119418672"/>
    </w:p>
    <w:p w14:paraId="1B0B407C" w14:textId="1BBC781D" w:rsidR="00690C0D" w:rsidRPr="00E11541" w:rsidRDefault="00690C0D" w:rsidP="000F63C1">
      <w:pPr>
        <w:pStyle w:val="Heading3"/>
        <w:numPr>
          <w:ilvl w:val="0"/>
          <w:numId w:val="0"/>
        </w:numPr>
        <w:rPr>
          <w:color w:val="0070C0"/>
        </w:rPr>
      </w:pPr>
      <w:r w:rsidRPr="00E11541">
        <w:t xml:space="preserve">Appendix D – </w:t>
      </w:r>
      <w:bookmarkStart w:id="37" w:name="_Hlk119349018"/>
      <w:r w:rsidRPr="00E11541">
        <w:t>FY 2022 State Activity Mandated Measures (SAMM) Report</w:t>
      </w:r>
      <w:bookmarkEnd w:id="36"/>
      <w:bookmarkEnd w:id="37"/>
    </w:p>
    <w:p w14:paraId="19B594E3" w14:textId="660DA8D8" w:rsidR="00690C0D" w:rsidRPr="00E11541" w:rsidRDefault="00690C0D" w:rsidP="00F36076">
      <w:r w:rsidRPr="00E11541">
        <w:t xml:space="preserve">FY 2022 </w:t>
      </w:r>
      <w:r w:rsidR="00265624" w:rsidRPr="00E11541">
        <w:t>W</w:t>
      </w:r>
      <w:r w:rsidR="00402B12">
        <w:t>yoming</w:t>
      </w:r>
      <w:r w:rsidR="00265624" w:rsidRPr="00E11541">
        <w:t xml:space="preserve"> OSHA</w:t>
      </w:r>
      <w:r w:rsidRPr="00E11541">
        <w:rPr>
          <w:color w:val="0070C0"/>
        </w:rPr>
        <w:t xml:space="preserve"> </w:t>
      </w:r>
      <w:r w:rsidRPr="00E11541">
        <w:t>Follow-up FAME Report</w:t>
      </w:r>
    </w:p>
    <w:p w14:paraId="3C8350EA" w14:textId="77777777" w:rsidR="00CD107E" w:rsidRPr="00E11541" w:rsidRDefault="00CD107E" w:rsidP="007A71AC">
      <w:pPr>
        <w:widowControl/>
        <w:autoSpaceDE/>
        <w:autoSpaceDN/>
        <w:adjustRightInd/>
        <w:rPr>
          <w:rFonts w:asciiTheme="minorHAnsi" w:hAnsiTheme="minorHAnsi" w:cstheme="minorHAnsi"/>
          <w:b/>
          <w:color w:val="1F497D"/>
          <w:sz w:val="28"/>
          <w:szCs w:val="28"/>
        </w:rPr>
      </w:pPr>
    </w:p>
    <w:tbl>
      <w:tblPr>
        <w:tblStyle w:val="GridTable4"/>
        <w:tblW w:w="10350" w:type="dxa"/>
        <w:tblInd w:w="-365" w:type="dxa"/>
        <w:tblLook w:val="06A0" w:firstRow="1" w:lastRow="0" w:firstColumn="1" w:lastColumn="0" w:noHBand="1" w:noVBand="1"/>
        <w:tblCaption w:val="FY 20XX SAMM Report"/>
        <w:tblDescription w:val="Appendix D"/>
      </w:tblPr>
      <w:tblGrid>
        <w:gridCol w:w="1034"/>
        <w:gridCol w:w="2370"/>
        <w:gridCol w:w="1275"/>
        <w:gridCol w:w="1292"/>
        <w:gridCol w:w="4379"/>
      </w:tblGrid>
      <w:tr w:rsidR="00634539" w:rsidRPr="00E11541" w14:paraId="4B607DC1" w14:textId="77777777" w:rsidTr="73BB70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hemeColor="text1"/>
            </w:tcBorders>
            <w:shd w:val="clear" w:color="auto" w:fill="auto"/>
          </w:tcPr>
          <w:p w14:paraId="57458A14" w14:textId="77777777" w:rsidR="00634539" w:rsidRPr="00E11541"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val="0"/>
                <w:color w:val="000000" w:themeColor="text1"/>
              </w:rPr>
            </w:pPr>
            <w:r w:rsidRPr="00E11541">
              <w:rPr>
                <w:rFonts w:asciiTheme="minorHAnsi" w:eastAsia="PMingLiU" w:hAnsiTheme="minorHAnsi" w:cstheme="minorHAnsi"/>
                <w:bCs w:val="0"/>
                <w:color w:val="000000" w:themeColor="text1"/>
              </w:rPr>
              <w:t>SAMM Number</w:t>
            </w:r>
          </w:p>
        </w:tc>
        <w:tc>
          <w:tcPr>
            <w:tcW w:w="2370" w:type="dxa"/>
            <w:tcBorders>
              <w:left w:val="single" w:sz="4" w:space="0" w:color="000000" w:themeColor="text1"/>
              <w:right w:val="single" w:sz="4" w:space="0" w:color="000000" w:themeColor="text1"/>
            </w:tcBorders>
            <w:shd w:val="clear" w:color="auto" w:fill="auto"/>
          </w:tcPr>
          <w:p w14:paraId="21CEF63D" w14:textId="77777777" w:rsidR="00634539" w:rsidRPr="00E11541"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E11541">
              <w:rPr>
                <w:rFonts w:asciiTheme="minorHAnsi" w:eastAsia="PMingLiU" w:hAnsiTheme="minorHAnsi" w:cstheme="minorHAnsi"/>
                <w:bCs w:val="0"/>
                <w:color w:val="000000" w:themeColor="text1"/>
              </w:rPr>
              <w:t>SAMM Name</w:t>
            </w:r>
          </w:p>
        </w:tc>
        <w:tc>
          <w:tcPr>
            <w:tcW w:w="1275" w:type="dxa"/>
            <w:tcBorders>
              <w:left w:val="single" w:sz="4" w:space="0" w:color="000000" w:themeColor="text1"/>
              <w:right w:val="single" w:sz="4" w:space="0" w:color="000000" w:themeColor="text1"/>
            </w:tcBorders>
            <w:shd w:val="clear" w:color="auto" w:fill="auto"/>
          </w:tcPr>
          <w:p w14:paraId="1BC934E4" w14:textId="77777777" w:rsidR="00634539" w:rsidRPr="00E11541"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E11541">
              <w:rPr>
                <w:rFonts w:asciiTheme="minorHAnsi" w:eastAsia="PMingLiU" w:hAnsiTheme="minorHAnsi" w:cstheme="minorHAnsi"/>
                <w:bCs w:val="0"/>
                <w:color w:val="000000" w:themeColor="text1"/>
              </w:rPr>
              <w:t>State Plan Data</w:t>
            </w:r>
          </w:p>
        </w:tc>
        <w:tc>
          <w:tcPr>
            <w:tcW w:w="1292" w:type="dxa"/>
            <w:tcBorders>
              <w:left w:val="single" w:sz="4" w:space="0" w:color="000000" w:themeColor="text1"/>
              <w:right w:val="single" w:sz="4" w:space="0" w:color="000000" w:themeColor="text1"/>
            </w:tcBorders>
            <w:shd w:val="clear" w:color="auto" w:fill="auto"/>
          </w:tcPr>
          <w:p w14:paraId="10FEC12F" w14:textId="77777777" w:rsidR="00634539" w:rsidRPr="00E11541"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E11541">
              <w:rPr>
                <w:rFonts w:asciiTheme="minorHAnsi" w:eastAsia="PMingLiU" w:hAnsiTheme="minorHAnsi" w:cstheme="minorHAnsi"/>
                <w:bCs w:val="0"/>
                <w:color w:val="000000" w:themeColor="text1"/>
              </w:rPr>
              <w:t>Further Review Level</w:t>
            </w:r>
          </w:p>
        </w:tc>
        <w:tc>
          <w:tcPr>
            <w:tcW w:w="4379" w:type="dxa"/>
            <w:tcBorders>
              <w:left w:val="single" w:sz="4" w:space="0" w:color="000000" w:themeColor="text1"/>
            </w:tcBorders>
            <w:shd w:val="clear" w:color="auto" w:fill="auto"/>
          </w:tcPr>
          <w:p w14:paraId="1845DDF3" w14:textId="77777777" w:rsidR="00634539" w:rsidRPr="00E11541"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E11541">
              <w:rPr>
                <w:rFonts w:asciiTheme="minorHAnsi" w:eastAsia="PMingLiU" w:hAnsiTheme="minorHAnsi" w:cstheme="minorHAnsi"/>
                <w:bCs w:val="0"/>
                <w:color w:val="000000" w:themeColor="text1"/>
              </w:rPr>
              <w:t>Notes</w:t>
            </w:r>
          </w:p>
        </w:tc>
      </w:tr>
      <w:tr w:rsidR="00634539" w:rsidRPr="00E11541" w14:paraId="23E15083" w14:textId="77777777" w:rsidTr="73BB70C5">
        <w:tc>
          <w:tcPr>
            <w:cnfStyle w:val="001000000000" w:firstRow="0" w:lastRow="0" w:firstColumn="1" w:lastColumn="0" w:oddVBand="0" w:evenVBand="0" w:oddHBand="0" w:evenHBand="0" w:firstRowFirstColumn="0" w:firstRowLastColumn="0" w:lastRowFirstColumn="0" w:lastRowLastColumn="0"/>
            <w:tcW w:w="1034" w:type="dxa"/>
          </w:tcPr>
          <w:p w14:paraId="4FC54415"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11541">
              <w:rPr>
                <w:rFonts w:asciiTheme="minorHAnsi" w:eastAsia="PMingLiU" w:hAnsiTheme="minorHAnsi" w:cstheme="minorHAnsi"/>
              </w:rPr>
              <w:t>1a</w:t>
            </w:r>
          </w:p>
        </w:tc>
        <w:tc>
          <w:tcPr>
            <w:tcW w:w="2370" w:type="dxa"/>
          </w:tcPr>
          <w:p w14:paraId="5DD1B3D7"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 xml:space="preserve">Average number of </w:t>
            </w:r>
            <w:proofErr w:type="gramStart"/>
            <w:r w:rsidRPr="00E11541">
              <w:rPr>
                <w:rFonts w:asciiTheme="minorHAnsi" w:hAnsiTheme="minorHAnsi" w:cstheme="minorHAnsi"/>
              </w:rPr>
              <w:t>work days</w:t>
            </w:r>
            <w:proofErr w:type="gramEnd"/>
            <w:r w:rsidRPr="00E11541">
              <w:rPr>
                <w:rFonts w:asciiTheme="minorHAnsi" w:hAnsiTheme="minorHAnsi" w:cstheme="minorHAnsi"/>
              </w:rPr>
              <w:t xml:space="preserve"> to initiate complaint inspections (state formula)</w:t>
            </w:r>
          </w:p>
        </w:tc>
        <w:tc>
          <w:tcPr>
            <w:tcW w:w="1275" w:type="dxa"/>
          </w:tcPr>
          <w:p w14:paraId="50ED339E" w14:textId="56C1E413" w:rsidR="00634539" w:rsidRPr="00E11541" w:rsidRDefault="000F27D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t>7.52</w:t>
            </w:r>
          </w:p>
        </w:tc>
        <w:tc>
          <w:tcPr>
            <w:tcW w:w="1292" w:type="dxa"/>
          </w:tcPr>
          <w:p w14:paraId="36E21F8C" w14:textId="6F200EA7" w:rsidR="00634539" w:rsidRPr="00E11541" w:rsidRDefault="000F27D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16</w:t>
            </w:r>
          </w:p>
        </w:tc>
        <w:tc>
          <w:tcPr>
            <w:tcW w:w="4379" w:type="dxa"/>
          </w:tcPr>
          <w:p w14:paraId="1BE10DF6"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The further review level is negotiated by OSHA and the State Plan.</w:t>
            </w:r>
          </w:p>
        </w:tc>
      </w:tr>
      <w:tr w:rsidR="00634539" w:rsidRPr="00E11541" w14:paraId="6E87F5F9" w14:textId="77777777" w:rsidTr="73BB70C5">
        <w:tc>
          <w:tcPr>
            <w:cnfStyle w:val="001000000000" w:firstRow="0" w:lastRow="0" w:firstColumn="1" w:lastColumn="0" w:oddVBand="0" w:evenVBand="0" w:oddHBand="0" w:evenHBand="0" w:firstRowFirstColumn="0" w:firstRowLastColumn="0" w:lastRowFirstColumn="0" w:lastRowLastColumn="0"/>
            <w:tcW w:w="1034" w:type="dxa"/>
          </w:tcPr>
          <w:p w14:paraId="15DA89A2"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11541">
              <w:rPr>
                <w:rFonts w:asciiTheme="minorHAnsi" w:eastAsia="PMingLiU" w:hAnsiTheme="minorHAnsi" w:cstheme="minorHAnsi"/>
              </w:rPr>
              <w:t>1b</w:t>
            </w:r>
          </w:p>
        </w:tc>
        <w:tc>
          <w:tcPr>
            <w:tcW w:w="2370" w:type="dxa"/>
          </w:tcPr>
          <w:p w14:paraId="7BDECFBC"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 xml:space="preserve">Average number of </w:t>
            </w:r>
            <w:proofErr w:type="gramStart"/>
            <w:r w:rsidRPr="00E11541">
              <w:rPr>
                <w:rFonts w:asciiTheme="minorHAnsi" w:hAnsiTheme="minorHAnsi" w:cstheme="minorHAnsi"/>
              </w:rPr>
              <w:t>work days</w:t>
            </w:r>
            <w:proofErr w:type="gramEnd"/>
            <w:r w:rsidRPr="00E11541">
              <w:rPr>
                <w:rFonts w:asciiTheme="minorHAnsi" w:hAnsiTheme="minorHAnsi" w:cstheme="minorHAnsi"/>
              </w:rPr>
              <w:t xml:space="preserve"> to initiate complaint inspections (federal formula)</w:t>
            </w:r>
          </w:p>
        </w:tc>
        <w:tc>
          <w:tcPr>
            <w:tcW w:w="1275" w:type="dxa"/>
          </w:tcPr>
          <w:p w14:paraId="2DD44EDE" w14:textId="581DF6B1" w:rsidR="00634539" w:rsidRPr="00E11541" w:rsidRDefault="000F27D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t>4.02</w:t>
            </w:r>
          </w:p>
        </w:tc>
        <w:tc>
          <w:tcPr>
            <w:tcW w:w="1292" w:type="dxa"/>
          </w:tcPr>
          <w:p w14:paraId="44E25FF5"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N/A</w:t>
            </w:r>
          </w:p>
        </w:tc>
        <w:tc>
          <w:tcPr>
            <w:tcW w:w="4379" w:type="dxa"/>
          </w:tcPr>
          <w:p w14:paraId="3B881485"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This measure is for informational purposes only and is not a mandated measure.</w:t>
            </w:r>
          </w:p>
        </w:tc>
      </w:tr>
      <w:tr w:rsidR="00634539" w:rsidRPr="00E11541" w14:paraId="7254895F" w14:textId="77777777" w:rsidTr="73BB70C5">
        <w:tc>
          <w:tcPr>
            <w:cnfStyle w:val="001000000000" w:firstRow="0" w:lastRow="0" w:firstColumn="1" w:lastColumn="0" w:oddVBand="0" w:evenVBand="0" w:oddHBand="0" w:evenHBand="0" w:firstRowFirstColumn="0" w:firstRowLastColumn="0" w:lastRowFirstColumn="0" w:lastRowLastColumn="0"/>
            <w:tcW w:w="1034" w:type="dxa"/>
          </w:tcPr>
          <w:p w14:paraId="70F4527B"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11541">
              <w:rPr>
                <w:rFonts w:asciiTheme="minorHAnsi" w:eastAsia="PMingLiU" w:hAnsiTheme="minorHAnsi" w:cstheme="minorHAnsi"/>
              </w:rPr>
              <w:t>2a</w:t>
            </w:r>
          </w:p>
        </w:tc>
        <w:tc>
          <w:tcPr>
            <w:tcW w:w="2370" w:type="dxa"/>
          </w:tcPr>
          <w:p w14:paraId="680D30CB"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 xml:space="preserve">Average number of </w:t>
            </w:r>
            <w:proofErr w:type="gramStart"/>
            <w:r w:rsidRPr="00E11541">
              <w:rPr>
                <w:rFonts w:asciiTheme="minorHAnsi" w:hAnsiTheme="minorHAnsi" w:cstheme="minorHAnsi"/>
              </w:rPr>
              <w:t>work days</w:t>
            </w:r>
            <w:proofErr w:type="gramEnd"/>
            <w:r w:rsidRPr="00E11541">
              <w:rPr>
                <w:rFonts w:asciiTheme="minorHAnsi" w:hAnsiTheme="minorHAnsi" w:cstheme="minorHAnsi"/>
              </w:rPr>
              <w:t xml:space="preserve"> to initiate complaint investigations (state formula)</w:t>
            </w:r>
          </w:p>
        </w:tc>
        <w:tc>
          <w:tcPr>
            <w:tcW w:w="1275" w:type="dxa"/>
          </w:tcPr>
          <w:p w14:paraId="5D15BC2D" w14:textId="1E07063B" w:rsidR="00634539" w:rsidRPr="00E11541" w:rsidRDefault="000F27D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t>5.20</w:t>
            </w:r>
          </w:p>
        </w:tc>
        <w:tc>
          <w:tcPr>
            <w:tcW w:w="1292" w:type="dxa"/>
          </w:tcPr>
          <w:p w14:paraId="25E101C9" w14:textId="4C3C994C" w:rsidR="00634539" w:rsidRPr="00E11541" w:rsidRDefault="000F27D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1</w:t>
            </w:r>
          </w:p>
        </w:tc>
        <w:tc>
          <w:tcPr>
            <w:tcW w:w="4379" w:type="dxa"/>
          </w:tcPr>
          <w:p w14:paraId="440E4407"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The further review level is negotiated by OSHA and the State Plan.</w:t>
            </w:r>
          </w:p>
        </w:tc>
      </w:tr>
      <w:tr w:rsidR="00634539" w:rsidRPr="00E11541" w14:paraId="43AA3020" w14:textId="77777777" w:rsidTr="73BB70C5">
        <w:tc>
          <w:tcPr>
            <w:cnfStyle w:val="001000000000" w:firstRow="0" w:lastRow="0" w:firstColumn="1" w:lastColumn="0" w:oddVBand="0" w:evenVBand="0" w:oddHBand="0" w:evenHBand="0" w:firstRowFirstColumn="0" w:firstRowLastColumn="0" w:lastRowFirstColumn="0" w:lastRowLastColumn="0"/>
            <w:tcW w:w="1034" w:type="dxa"/>
          </w:tcPr>
          <w:p w14:paraId="3026F0A2"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11541">
              <w:rPr>
                <w:rFonts w:asciiTheme="minorHAnsi" w:eastAsia="PMingLiU" w:hAnsiTheme="minorHAnsi" w:cstheme="minorHAnsi"/>
              </w:rPr>
              <w:t>2b</w:t>
            </w:r>
          </w:p>
        </w:tc>
        <w:tc>
          <w:tcPr>
            <w:tcW w:w="2370" w:type="dxa"/>
          </w:tcPr>
          <w:p w14:paraId="60EA38B6"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 xml:space="preserve">Average number of </w:t>
            </w:r>
            <w:proofErr w:type="gramStart"/>
            <w:r w:rsidRPr="00E11541">
              <w:rPr>
                <w:rFonts w:asciiTheme="minorHAnsi" w:hAnsiTheme="minorHAnsi" w:cstheme="minorHAnsi"/>
              </w:rPr>
              <w:t>work days</w:t>
            </w:r>
            <w:proofErr w:type="gramEnd"/>
            <w:r w:rsidRPr="00E11541">
              <w:rPr>
                <w:rFonts w:asciiTheme="minorHAnsi" w:hAnsiTheme="minorHAnsi" w:cstheme="minorHAnsi"/>
              </w:rPr>
              <w:t xml:space="preserve"> to initiate complaint investigations (federal formula)</w:t>
            </w:r>
          </w:p>
        </w:tc>
        <w:tc>
          <w:tcPr>
            <w:tcW w:w="1275" w:type="dxa"/>
          </w:tcPr>
          <w:p w14:paraId="148E915C" w14:textId="7E228E9C" w:rsidR="00634539" w:rsidRPr="00E11541" w:rsidRDefault="000F27D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t>4.58</w:t>
            </w:r>
          </w:p>
        </w:tc>
        <w:tc>
          <w:tcPr>
            <w:tcW w:w="1292" w:type="dxa"/>
          </w:tcPr>
          <w:p w14:paraId="3C6B37D6"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N/A</w:t>
            </w:r>
          </w:p>
        </w:tc>
        <w:tc>
          <w:tcPr>
            <w:tcW w:w="4379" w:type="dxa"/>
          </w:tcPr>
          <w:p w14:paraId="7849D62B"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This measure is for informational purposes only and is not a mandated measure.</w:t>
            </w:r>
          </w:p>
        </w:tc>
      </w:tr>
      <w:tr w:rsidR="00634539" w:rsidRPr="00E11541" w14:paraId="463E07C8" w14:textId="77777777" w:rsidTr="73BB70C5">
        <w:tc>
          <w:tcPr>
            <w:cnfStyle w:val="001000000000" w:firstRow="0" w:lastRow="0" w:firstColumn="1" w:lastColumn="0" w:oddVBand="0" w:evenVBand="0" w:oddHBand="0" w:evenHBand="0" w:firstRowFirstColumn="0" w:firstRowLastColumn="0" w:lastRowFirstColumn="0" w:lastRowLastColumn="0"/>
            <w:tcW w:w="1034" w:type="dxa"/>
          </w:tcPr>
          <w:p w14:paraId="730502E1"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11541">
              <w:rPr>
                <w:rFonts w:asciiTheme="minorHAnsi" w:eastAsia="PMingLiU" w:hAnsiTheme="minorHAnsi" w:cstheme="minorHAnsi"/>
              </w:rPr>
              <w:t>3</w:t>
            </w:r>
          </w:p>
        </w:tc>
        <w:tc>
          <w:tcPr>
            <w:tcW w:w="2370" w:type="dxa"/>
          </w:tcPr>
          <w:p w14:paraId="224C67FA"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Percent of complaints and referrals responded to within one workday (imminent danger)</w:t>
            </w:r>
          </w:p>
        </w:tc>
        <w:tc>
          <w:tcPr>
            <w:tcW w:w="1275" w:type="dxa"/>
          </w:tcPr>
          <w:p w14:paraId="683DAD92" w14:textId="1872821C" w:rsidR="00634539" w:rsidRPr="00E11541" w:rsidRDefault="000F27D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100</w:t>
            </w:r>
            <w:r w:rsidR="00634539" w:rsidRPr="00E11541">
              <w:rPr>
                <w:rFonts w:asciiTheme="minorHAnsi" w:hAnsiTheme="minorHAnsi" w:cstheme="minorHAnsi"/>
              </w:rPr>
              <w:t>%</w:t>
            </w:r>
          </w:p>
        </w:tc>
        <w:tc>
          <w:tcPr>
            <w:tcW w:w="1292" w:type="dxa"/>
          </w:tcPr>
          <w:p w14:paraId="2138AC62"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t>100%</w:t>
            </w:r>
          </w:p>
        </w:tc>
        <w:tc>
          <w:tcPr>
            <w:tcW w:w="4379" w:type="dxa"/>
          </w:tcPr>
          <w:p w14:paraId="1639E620"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The further review level is fixed for all State Plans.</w:t>
            </w:r>
          </w:p>
        </w:tc>
      </w:tr>
      <w:tr w:rsidR="00634539" w:rsidRPr="00E11541" w14:paraId="448E8EB5" w14:textId="77777777" w:rsidTr="73BB70C5">
        <w:tc>
          <w:tcPr>
            <w:cnfStyle w:val="001000000000" w:firstRow="0" w:lastRow="0" w:firstColumn="1" w:lastColumn="0" w:oddVBand="0" w:evenVBand="0" w:oddHBand="0" w:evenHBand="0" w:firstRowFirstColumn="0" w:firstRowLastColumn="0" w:lastRowFirstColumn="0" w:lastRowLastColumn="0"/>
            <w:tcW w:w="1034" w:type="dxa"/>
          </w:tcPr>
          <w:p w14:paraId="54BD594C"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11541">
              <w:rPr>
                <w:rFonts w:asciiTheme="minorHAnsi" w:eastAsia="PMingLiU" w:hAnsiTheme="minorHAnsi" w:cstheme="minorHAnsi"/>
              </w:rPr>
              <w:t>4</w:t>
            </w:r>
          </w:p>
        </w:tc>
        <w:tc>
          <w:tcPr>
            <w:tcW w:w="2370" w:type="dxa"/>
          </w:tcPr>
          <w:p w14:paraId="7F17AA0C"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Number of denials where entry not obtained</w:t>
            </w:r>
          </w:p>
        </w:tc>
        <w:tc>
          <w:tcPr>
            <w:tcW w:w="1275" w:type="dxa"/>
          </w:tcPr>
          <w:p w14:paraId="49E38EB6" w14:textId="7BF63D77" w:rsidR="00634539" w:rsidRPr="00E11541" w:rsidRDefault="000F27D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t>0</w:t>
            </w:r>
          </w:p>
        </w:tc>
        <w:tc>
          <w:tcPr>
            <w:tcW w:w="1292" w:type="dxa"/>
          </w:tcPr>
          <w:p w14:paraId="39E6BBCD"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0</w:t>
            </w:r>
          </w:p>
        </w:tc>
        <w:tc>
          <w:tcPr>
            <w:tcW w:w="4379" w:type="dxa"/>
          </w:tcPr>
          <w:p w14:paraId="63BF7F96"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The further review level is fixed for all State Plans.</w:t>
            </w:r>
          </w:p>
        </w:tc>
      </w:tr>
      <w:tr w:rsidR="00634539" w:rsidRPr="00E11541" w14:paraId="391899CE" w14:textId="77777777" w:rsidTr="73BB70C5">
        <w:trPr>
          <w:trHeight w:val="854"/>
        </w:trPr>
        <w:tc>
          <w:tcPr>
            <w:cnfStyle w:val="001000000000" w:firstRow="0" w:lastRow="0" w:firstColumn="1" w:lastColumn="0" w:oddVBand="0" w:evenVBand="0" w:oddHBand="0" w:evenHBand="0" w:firstRowFirstColumn="0" w:firstRowLastColumn="0" w:lastRowFirstColumn="0" w:lastRowLastColumn="0"/>
            <w:tcW w:w="1034" w:type="dxa"/>
          </w:tcPr>
          <w:p w14:paraId="2C05A134"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11541">
              <w:rPr>
                <w:rFonts w:asciiTheme="minorHAnsi" w:eastAsia="PMingLiU" w:hAnsiTheme="minorHAnsi" w:cstheme="minorHAnsi"/>
              </w:rPr>
              <w:t>5a</w:t>
            </w:r>
          </w:p>
        </w:tc>
        <w:tc>
          <w:tcPr>
            <w:tcW w:w="2370" w:type="dxa"/>
          </w:tcPr>
          <w:p w14:paraId="6F060D7F"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Average number of violations per inspection with violations by violation type (SWRU)</w:t>
            </w:r>
          </w:p>
        </w:tc>
        <w:tc>
          <w:tcPr>
            <w:tcW w:w="1275" w:type="dxa"/>
          </w:tcPr>
          <w:p w14:paraId="5640B786" w14:textId="00CEC416" w:rsidR="00634539" w:rsidRPr="00E11541" w:rsidRDefault="000F27D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t>1.72</w:t>
            </w:r>
          </w:p>
        </w:tc>
        <w:tc>
          <w:tcPr>
            <w:tcW w:w="1292" w:type="dxa"/>
          </w:tcPr>
          <w:p w14:paraId="0BCD6939" w14:textId="77777777" w:rsidR="00634539" w:rsidRPr="00E11541" w:rsidRDefault="00634539" w:rsidP="00814412">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+/- 20% of</w:t>
            </w:r>
          </w:p>
          <w:p w14:paraId="624A6581" w14:textId="4B750209" w:rsidR="00634539" w:rsidRPr="00E11541" w:rsidRDefault="00634539" w:rsidP="00814412">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1.7</w:t>
            </w:r>
            <w:r w:rsidR="000F27D9" w:rsidRPr="00E11541">
              <w:rPr>
                <w:rFonts w:asciiTheme="minorHAnsi" w:hAnsiTheme="minorHAnsi" w:cstheme="minorHAnsi"/>
              </w:rPr>
              <w:t>7</w:t>
            </w:r>
          </w:p>
          <w:p w14:paraId="5B24EFBC"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379" w:type="dxa"/>
          </w:tcPr>
          <w:p w14:paraId="330DF263" w14:textId="17ABCB8A"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t>The further review level is based on a three-year national average.  The range of acceptable data not requiring further review is from 1.42 to 2.1</w:t>
            </w:r>
            <w:r w:rsidR="000F27D9" w:rsidRPr="00E11541">
              <w:rPr>
                <w:rFonts w:asciiTheme="minorHAnsi" w:eastAsia="PMingLiU" w:hAnsiTheme="minorHAnsi" w:cstheme="minorHAnsi"/>
              </w:rPr>
              <w:t>2</w:t>
            </w:r>
            <w:r w:rsidRPr="00E11541">
              <w:rPr>
                <w:rFonts w:asciiTheme="minorHAnsi" w:eastAsia="PMingLiU" w:hAnsiTheme="minorHAnsi" w:cstheme="minorHAnsi"/>
              </w:rPr>
              <w:t xml:space="preserve"> for SWRU. </w:t>
            </w:r>
          </w:p>
        </w:tc>
      </w:tr>
      <w:tr w:rsidR="00634539" w:rsidRPr="00E11541" w14:paraId="0C0C34AD" w14:textId="77777777" w:rsidTr="73BB70C5">
        <w:tc>
          <w:tcPr>
            <w:cnfStyle w:val="001000000000" w:firstRow="0" w:lastRow="0" w:firstColumn="1" w:lastColumn="0" w:oddVBand="0" w:evenVBand="0" w:oddHBand="0" w:evenHBand="0" w:firstRowFirstColumn="0" w:firstRowLastColumn="0" w:lastRowFirstColumn="0" w:lastRowLastColumn="0"/>
            <w:tcW w:w="1034" w:type="dxa"/>
          </w:tcPr>
          <w:p w14:paraId="7FD14581"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11541">
              <w:rPr>
                <w:rFonts w:asciiTheme="minorHAnsi" w:eastAsia="PMingLiU" w:hAnsiTheme="minorHAnsi" w:cstheme="minorHAnsi"/>
              </w:rPr>
              <w:t>5b</w:t>
            </w:r>
          </w:p>
        </w:tc>
        <w:tc>
          <w:tcPr>
            <w:tcW w:w="2370" w:type="dxa"/>
          </w:tcPr>
          <w:p w14:paraId="1A64659E"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 xml:space="preserve">Average number of violations per inspection with violations by violation </w:t>
            </w:r>
            <w:r w:rsidRPr="00E11541">
              <w:rPr>
                <w:rFonts w:asciiTheme="minorHAnsi" w:hAnsiTheme="minorHAnsi" w:cstheme="minorHAnsi"/>
              </w:rPr>
              <w:lastRenderedPageBreak/>
              <w:t>type (other)</w:t>
            </w:r>
          </w:p>
        </w:tc>
        <w:tc>
          <w:tcPr>
            <w:tcW w:w="1275" w:type="dxa"/>
          </w:tcPr>
          <w:p w14:paraId="189B2CB4" w14:textId="0B653B79" w:rsidR="00634539" w:rsidRPr="00E11541" w:rsidRDefault="000F27D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lastRenderedPageBreak/>
              <w:t>0.49</w:t>
            </w:r>
          </w:p>
        </w:tc>
        <w:tc>
          <w:tcPr>
            <w:tcW w:w="1292" w:type="dxa"/>
          </w:tcPr>
          <w:p w14:paraId="140EA1C0" w14:textId="77777777" w:rsidR="00634539" w:rsidRPr="00E11541" w:rsidRDefault="00634539" w:rsidP="00814412">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+/- 20% of</w:t>
            </w:r>
          </w:p>
          <w:p w14:paraId="10600A9C" w14:textId="2BA54B84"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0.9</w:t>
            </w:r>
            <w:r w:rsidR="000F27D9" w:rsidRPr="00E11541">
              <w:rPr>
                <w:rFonts w:asciiTheme="minorHAnsi" w:hAnsiTheme="minorHAnsi" w:cstheme="minorHAnsi"/>
              </w:rPr>
              <w:t>0</w:t>
            </w:r>
          </w:p>
        </w:tc>
        <w:tc>
          <w:tcPr>
            <w:tcW w:w="4379" w:type="dxa"/>
          </w:tcPr>
          <w:p w14:paraId="4F83BD91" w14:textId="6DD574EE"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t>The further review level is based on a three-year national average.  The range of acceptable data not requiring further review is from 0.7</w:t>
            </w:r>
            <w:r w:rsidR="000F27D9" w:rsidRPr="00E11541">
              <w:rPr>
                <w:rFonts w:asciiTheme="minorHAnsi" w:eastAsia="PMingLiU" w:hAnsiTheme="minorHAnsi" w:cstheme="minorHAnsi"/>
              </w:rPr>
              <w:t>2</w:t>
            </w:r>
            <w:r w:rsidRPr="00E11541">
              <w:rPr>
                <w:rFonts w:asciiTheme="minorHAnsi" w:eastAsia="PMingLiU" w:hAnsiTheme="minorHAnsi" w:cstheme="minorHAnsi"/>
              </w:rPr>
              <w:t xml:space="preserve"> to 1.0</w:t>
            </w:r>
            <w:r w:rsidR="000F27D9" w:rsidRPr="00E11541">
              <w:rPr>
                <w:rFonts w:asciiTheme="minorHAnsi" w:eastAsia="PMingLiU" w:hAnsiTheme="minorHAnsi" w:cstheme="minorHAnsi"/>
              </w:rPr>
              <w:t>8</w:t>
            </w:r>
            <w:r w:rsidRPr="00E11541">
              <w:rPr>
                <w:rFonts w:asciiTheme="minorHAnsi" w:eastAsia="PMingLiU" w:hAnsiTheme="minorHAnsi" w:cstheme="minorHAnsi"/>
              </w:rPr>
              <w:t xml:space="preserve"> for OTS.</w:t>
            </w:r>
          </w:p>
        </w:tc>
      </w:tr>
      <w:tr w:rsidR="00634539" w:rsidRPr="00E11541" w14:paraId="73051CF9" w14:textId="77777777" w:rsidTr="73BB70C5">
        <w:tc>
          <w:tcPr>
            <w:cnfStyle w:val="001000000000" w:firstRow="0" w:lastRow="0" w:firstColumn="1" w:lastColumn="0" w:oddVBand="0" w:evenVBand="0" w:oddHBand="0" w:evenHBand="0" w:firstRowFirstColumn="0" w:firstRowLastColumn="0" w:lastRowFirstColumn="0" w:lastRowLastColumn="0"/>
            <w:tcW w:w="1034" w:type="dxa"/>
          </w:tcPr>
          <w:p w14:paraId="4B4D91E3"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11541">
              <w:rPr>
                <w:rFonts w:asciiTheme="minorHAnsi" w:eastAsia="PMingLiU" w:hAnsiTheme="minorHAnsi" w:cstheme="minorHAnsi"/>
              </w:rPr>
              <w:t>6</w:t>
            </w:r>
          </w:p>
        </w:tc>
        <w:tc>
          <w:tcPr>
            <w:tcW w:w="2370" w:type="dxa"/>
          </w:tcPr>
          <w:p w14:paraId="79E27E6A"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Percent of total inspections in state and local government workplaces</w:t>
            </w:r>
          </w:p>
        </w:tc>
        <w:tc>
          <w:tcPr>
            <w:tcW w:w="1275" w:type="dxa"/>
          </w:tcPr>
          <w:p w14:paraId="01189742" w14:textId="5265DEDB" w:rsidR="00634539" w:rsidRPr="00E11541" w:rsidRDefault="000F27D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2.87</w:t>
            </w:r>
            <w:r w:rsidR="00634539" w:rsidRPr="00E11541">
              <w:rPr>
                <w:rFonts w:asciiTheme="minorHAnsi" w:hAnsiTheme="minorHAnsi" w:cstheme="minorHAnsi"/>
              </w:rPr>
              <w:t>%</w:t>
            </w:r>
          </w:p>
        </w:tc>
        <w:tc>
          <w:tcPr>
            <w:tcW w:w="1292" w:type="dxa"/>
          </w:tcPr>
          <w:p w14:paraId="276F5E13" w14:textId="77777777" w:rsidR="00634539" w:rsidRPr="00E11541" w:rsidRDefault="00634539" w:rsidP="00814412">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+/- 5% of</w:t>
            </w:r>
          </w:p>
          <w:p w14:paraId="7678C0FD" w14:textId="0137E1D8" w:rsidR="00634539" w:rsidRPr="00E11541" w:rsidRDefault="000F27D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2.13</w:t>
            </w:r>
            <w:r w:rsidR="00634539" w:rsidRPr="00E11541">
              <w:rPr>
                <w:rFonts w:asciiTheme="minorHAnsi" w:hAnsiTheme="minorHAnsi" w:cstheme="minorHAnsi"/>
              </w:rPr>
              <w:t>%</w:t>
            </w:r>
          </w:p>
        </w:tc>
        <w:tc>
          <w:tcPr>
            <w:tcW w:w="4379" w:type="dxa"/>
          </w:tcPr>
          <w:p w14:paraId="11909732" w14:textId="409BA3F9"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t xml:space="preserve">The further review level is based on a number negotiated by OSHA and the State Plan through the grant application.  The range of acceptable data not requiring further review is from </w:t>
            </w:r>
            <w:r w:rsidR="000F27D9" w:rsidRPr="00E11541">
              <w:rPr>
                <w:rFonts w:asciiTheme="minorHAnsi" w:eastAsia="PMingLiU" w:hAnsiTheme="minorHAnsi" w:cstheme="minorHAnsi"/>
              </w:rPr>
              <w:t>2.02</w:t>
            </w:r>
            <w:r w:rsidRPr="00E11541">
              <w:rPr>
                <w:rFonts w:asciiTheme="minorHAnsi" w:eastAsia="PMingLiU" w:hAnsiTheme="minorHAnsi" w:cstheme="minorHAnsi"/>
              </w:rPr>
              <w:t xml:space="preserve">% to </w:t>
            </w:r>
            <w:r w:rsidR="000F27D9" w:rsidRPr="00E11541">
              <w:rPr>
                <w:rFonts w:asciiTheme="minorHAnsi" w:eastAsia="PMingLiU" w:hAnsiTheme="minorHAnsi" w:cstheme="minorHAnsi"/>
              </w:rPr>
              <w:t>2.23</w:t>
            </w:r>
            <w:r w:rsidRPr="00E11541">
              <w:rPr>
                <w:rFonts w:asciiTheme="minorHAnsi" w:eastAsia="PMingLiU" w:hAnsiTheme="minorHAnsi" w:cstheme="minorHAnsi"/>
              </w:rPr>
              <w:t>%.</w:t>
            </w:r>
          </w:p>
        </w:tc>
      </w:tr>
      <w:tr w:rsidR="00634539" w:rsidRPr="00E11541" w14:paraId="47E35DEE" w14:textId="77777777" w:rsidTr="73BB70C5">
        <w:tc>
          <w:tcPr>
            <w:cnfStyle w:val="001000000000" w:firstRow="0" w:lastRow="0" w:firstColumn="1" w:lastColumn="0" w:oddVBand="0" w:evenVBand="0" w:oddHBand="0" w:evenHBand="0" w:firstRowFirstColumn="0" w:firstRowLastColumn="0" w:lastRowFirstColumn="0" w:lastRowLastColumn="0"/>
            <w:tcW w:w="1034" w:type="dxa"/>
          </w:tcPr>
          <w:p w14:paraId="2635650F"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11541">
              <w:rPr>
                <w:rFonts w:asciiTheme="minorHAnsi" w:eastAsia="PMingLiU" w:hAnsiTheme="minorHAnsi" w:cstheme="minorHAnsi"/>
              </w:rPr>
              <w:t>7a</w:t>
            </w:r>
          </w:p>
        </w:tc>
        <w:tc>
          <w:tcPr>
            <w:tcW w:w="2370" w:type="dxa"/>
          </w:tcPr>
          <w:p w14:paraId="6972B9CD" w14:textId="3BED009A"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Planned v. actual inspections (safety)</w:t>
            </w:r>
          </w:p>
        </w:tc>
        <w:tc>
          <w:tcPr>
            <w:tcW w:w="1275" w:type="dxa"/>
          </w:tcPr>
          <w:p w14:paraId="714EE701" w14:textId="00859E61" w:rsidR="00634539" w:rsidRPr="00E11541" w:rsidRDefault="000F27D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t>163</w:t>
            </w:r>
          </w:p>
        </w:tc>
        <w:tc>
          <w:tcPr>
            <w:tcW w:w="1292" w:type="dxa"/>
          </w:tcPr>
          <w:p w14:paraId="7B010307" w14:textId="77777777" w:rsidR="00634539" w:rsidRPr="00E11541" w:rsidRDefault="00634539" w:rsidP="008144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 xml:space="preserve">+/- 5% of </w:t>
            </w:r>
          </w:p>
          <w:p w14:paraId="70DE1282" w14:textId="42155C18" w:rsidR="00634539" w:rsidRPr="00E11541" w:rsidRDefault="000F27D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173</w:t>
            </w:r>
          </w:p>
        </w:tc>
        <w:tc>
          <w:tcPr>
            <w:tcW w:w="4379" w:type="dxa"/>
          </w:tcPr>
          <w:p w14:paraId="127905E2" w14:textId="056675B5"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 xml:space="preserve">The further review level is based on a number negotiated by OSHA and the State Plan through the grant application.  The range of acceptable data not requiring further review is from </w:t>
            </w:r>
            <w:r w:rsidR="000F27D9" w:rsidRPr="00E11541">
              <w:rPr>
                <w:rFonts w:asciiTheme="minorHAnsi" w:hAnsiTheme="minorHAnsi" w:cstheme="minorHAnsi"/>
              </w:rPr>
              <w:t>164.35</w:t>
            </w:r>
            <w:r w:rsidRPr="00E11541">
              <w:rPr>
                <w:rFonts w:asciiTheme="minorHAnsi" w:hAnsiTheme="minorHAnsi" w:cstheme="minorHAnsi"/>
              </w:rPr>
              <w:t xml:space="preserve"> to </w:t>
            </w:r>
            <w:r w:rsidR="000F27D9" w:rsidRPr="00E11541">
              <w:rPr>
                <w:rFonts w:asciiTheme="minorHAnsi" w:hAnsiTheme="minorHAnsi" w:cstheme="minorHAnsi"/>
              </w:rPr>
              <w:t>181.65</w:t>
            </w:r>
            <w:r w:rsidRPr="00E11541">
              <w:rPr>
                <w:rFonts w:asciiTheme="minorHAnsi" w:hAnsiTheme="minorHAnsi" w:cstheme="minorHAnsi"/>
              </w:rPr>
              <w:t xml:space="preserve"> for safety.</w:t>
            </w:r>
          </w:p>
        </w:tc>
      </w:tr>
      <w:tr w:rsidR="00634539" w:rsidRPr="00E11541" w14:paraId="41D7E5AF" w14:textId="77777777" w:rsidTr="73BB70C5">
        <w:tc>
          <w:tcPr>
            <w:cnfStyle w:val="001000000000" w:firstRow="0" w:lastRow="0" w:firstColumn="1" w:lastColumn="0" w:oddVBand="0" w:evenVBand="0" w:oddHBand="0" w:evenHBand="0" w:firstRowFirstColumn="0" w:firstRowLastColumn="0" w:lastRowFirstColumn="0" w:lastRowLastColumn="0"/>
            <w:tcW w:w="1034" w:type="dxa"/>
          </w:tcPr>
          <w:p w14:paraId="78976174"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val="0"/>
              </w:rPr>
            </w:pPr>
            <w:r w:rsidRPr="00E11541">
              <w:rPr>
                <w:rFonts w:asciiTheme="minorHAnsi" w:eastAsia="PMingLiU" w:hAnsiTheme="minorHAnsi" w:cstheme="minorHAnsi"/>
              </w:rPr>
              <w:t>7b</w:t>
            </w:r>
          </w:p>
        </w:tc>
        <w:tc>
          <w:tcPr>
            <w:tcW w:w="2370" w:type="dxa"/>
          </w:tcPr>
          <w:p w14:paraId="628291DB" w14:textId="4C38D916"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Planned v. actual inspections (health)</w:t>
            </w:r>
          </w:p>
        </w:tc>
        <w:tc>
          <w:tcPr>
            <w:tcW w:w="1275" w:type="dxa"/>
          </w:tcPr>
          <w:p w14:paraId="46225BFE" w14:textId="6F6A3951" w:rsidR="00634539" w:rsidRPr="00E11541" w:rsidRDefault="000F27D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t>11</w:t>
            </w:r>
          </w:p>
        </w:tc>
        <w:tc>
          <w:tcPr>
            <w:tcW w:w="1292" w:type="dxa"/>
          </w:tcPr>
          <w:p w14:paraId="2F300C85" w14:textId="77777777" w:rsidR="00634539" w:rsidRPr="00E11541" w:rsidRDefault="00634539" w:rsidP="008144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 xml:space="preserve">+/- 5% of </w:t>
            </w:r>
          </w:p>
          <w:p w14:paraId="615D1DB6" w14:textId="29380941" w:rsidR="00634539" w:rsidRPr="00E11541" w:rsidRDefault="000F27D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15</w:t>
            </w:r>
          </w:p>
        </w:tc>
        <w:tc>
          <w:tcPr>
            <w:tcW w:w="4379" w:type="dxa"/>
          </w:tcPr>
          <w:p w14:paraId="4C49AF53" w14:textId="041915D4"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 xml:space="preserve">The further review level is based on a number negotiated by OSHA and the State Plan through the grant application.  The range of acceptable data not requiring further review is from </w:t>
            </w:r>
            <w:r w:rsidR="000F27D9" w:rsidRPr="00E11541">
              <w:rPr>
                <w:rFonts w:asciiTheme="minorHAnsi" w:hAnsiTheme="minorHAnsi" w:cstheme="minorHAnsi"/>
              </w:rPr>
              <w:t>14.25</w:t>
            </w:r>
            <w:r w:rsidRPr="00E11541">
              <w:rPr>
                <w:rFonts w:asciiTheme="minorHAnsi" w:hAnsiTheme="minorHAnsi" w:cstheme="minorHAnsi"/>
              </w:rPr>
              <w:t xml:space="preserve"> to </w:t>
            </w:r>
            <w:r w:rsidR="000F27D9" w:rsidRPr="00E11541">
              <w:rPr>
                <w:rFonts w:asciiTheme="minorHAnsi" w:hAnsiTheme="minorHAnsi" w:cstheme="minorHAnsi"/>
              </w:rPr>
              <w:t>15.75</w:t>
            </w:r>
            <w:r w:rsidRPr="00E11541">
              <w:rPr>
                <w:rFonts w:asciiTheme="minorHAnsi" w:hAnsiTheme="minorHAnsi" w:cstheme="minorHAnsi"/>
              </w:rPr>
              <w:t xml:space="preserve"> for health.</w:t>
            </w:r>
          </w:p>
        </w:tc>
      </w:tr>
      <w:tr w:rsidR="00634539" w:rsidRPr="00E11541" w14:paraId="19A930B8" w14:textId="77777777" w:rsidTr="73BB70C5">
        <w:tc>
          <w:tcPr>
            <w:cnfStyle w:val="001000000000" w:firstRow="0" w:lastRow="0" w:firstColumn="1" w:lastColumn="0" w:oddVBand="0" w:evenVBand="0" w:oddHBand="0" w:evenHBand="0" w:firstRowFirstColumn="0" w:firstRowLastColumn="0" w:lastRowFirstColumn="0" w:lastRowLastColumn="0"/>
            <w:tcW w:w="1034" w:type="dxa"/>
          </w:tcPr>
          <w:p w14:paraId="12933EF2"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11541">
              <w:rPr>
                <w:rFonts w:asciiTheme="minorHAnsi" w:eastAsia="PMingLiU" w:hAnsiTheme="minorHAnsi" w:cstheme="minorHAnsi"/>
              </w:rPr>
              <w:t>8</w:t>
            </w:r>
          </w:p>
        </w:tc>
        <w:tc>
          <w:tcPr>
            <w:tcW w:w="2370" w:type="dxa"/>
          </w:tcPr>
          <w:p w14:paraId="35E2919F"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Average current serious penalty in private sector - total (1 to greater than 250 workers)</w:t>
            </w:r>
          </w:p>
        </w:tc>
        <w:tc>
          <w:tcPr>
            <w:tcW w:w="1275" w:type="dxa"/>
          </w:tcPr>
          <w:p w14:paraId="4FF95415" w14:textId="3B605D93"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t>$</w:t>
            </w:r>
            <w:r w:rsidR="00C515C6" w:rsidRPr="00E11541">
              <w:rPr>
                <w:rFonts w:asciiTheme="minorHAnsi" w:eastAsia="PMingLiU" w:hAnsiTheme="minorHAnsi" w:cstheme="minorHAnsi"/>
              </w:rPr>
              <w:t>3,838.67</w:t>
            </w:r>
          </w:p>
        </w:tc>
        <w:tc>
          <w:tcPr>
            <w:tcW w:w="1292" w:type="dxa"/>
          </w:tcPr>
          <w:p w14:paraId="2B1B82DF" w14:textId="77777777" w:rsidR="00634539" w:rsidRPr="00E11541" w:rsidRDefault="00634539" w:rsidP="008144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 xml:space="preserve">+/- 25% of </w:t>
            </w:r>
          </w:p>
          <w:p w14:paraId="5978654D" w14:textId="01094529" w:rsidR="00634539" w:rsidRPr="00E11541" w:rsidRDefault="00634539" w:rsidP="00814412">
            <w:pPr>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t>$</w:t>
            </w:r>
            <w:r w:rsidR="00C1346D" w:rsidRPr="00E11541">
              <w:rPr>
                <w:rFonts w:asciiTheme="minorHAnsi" w:eastAsia="PMingLiU" w:hAnsiTheme="minorHAnsi" w:cstheme="minorHAnsi"/>
              </w:rPr>
              <w:t>3,259.35</w:t>
            </w:r>
          </w:p>
          <w:p w14:paraId="7AD30EF7"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379" w:type="dxa"/>
          </w:tcPr>
          <w:p w14:paraId="0DF20B53" w14:textId="0B256179" w:rsidR="00634539" w:rsidRPr="00E11541" w:rsidRDefault="00634539" w:rsidP="00AC16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The further review level is based on a three-year national average.  The range of acceptable data not requiring further review is from $2,</w:t>
            </w:r>
            <w:r w:rsidR="00C515C6" w:rsidRPr="00E11541">
              <w:rPr>
                <w:rFonts w:asciiTheme="minorHAnsi" w:hAnsiTheme="minorHAnsi" w:cstheme="minorHAnsi"/>
              </w:rPr>
              <w:t>444.51</w:t>
            </w:r>
            <w:r w:rsidRPr="00E11541">
              <w:rPr>
                <w:rFonts w:asciiTheme="minorHAnsi" w:hAnsiTheme="minorHAnsi" w:cstheme="minorHAnsi"/>
              </w:rPr>
              <w:t xml:space="preserve"> to $</w:t>
            </w:r>
            <w:r w:rsidR="00C515C6" w:rsidRPr="00E11541">
              <w:rPr>
                <w:rFonts w:asciiTheme="minorHAnsi" w:hAnsiTheme="minorHAnsi" w:cstheme="minorHAnsi"/>
              </w:rPr>
              <w:t>4,074.19</w:t>
            </w:r>
            <w:r w:rsidRPr="00E11541">
              <w:rPr>
                <w:rFonts w:asciiTheme="minorHAnsi" w:hAnsiTheme="minorHAnsi" w:cstheme="minorHAnsi"/>
              </w:rPr>
              <w:t>.</w:t>
            </w:r>
          </w:p>
        </w:tc>
      </w:tr>
      <w:tr w:rsidR="00634539" w:rsidRPr="00E11541" w14:paraId="4CF9D609" w14:textId="77777777" w:rsidTr="73BB70C5">
        <w:tc>
          <w:tcPr>
            <w:cnfStyle w:val="001000000000" w:firstRow="0" w:lastRow="0" w:firstColumn="1" w:lastColumn="0" w:oddVBand="0" w:evenVBand="0" w:oddHBand="0" w:evenHBand="0" w:firstRowFirstColumn="0" w:firstRowLastColumn="0" w:lastRowFirstColumn="0" w:lastRowLastColumn="0"/>
            <w:tcW w:w="1034" w:type="dxa"/>
          </w:tcPr>
          <w:p w14:paraId="0ABEB3DA"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val="0"/>
              </w:rPr>
            </w:pPr>
          </w:p>
        </w:tc>
        <w:tc>
          <w:tcPr>
            <w:tcW w:w="2370" w:type="dxa"/>
          </w:tcPr>
          <w:p w14:paraId="51065DBA" w14:textId="77777777" w:rsidR="00634539" w:rsidRPr="00E11541" w:rsidRDefault="00634539" w:rsidP="008144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b/>
              </w:rPr>
              <w:t>a</w:t>
            </w:r>
            <w:r w:rsidRPr="00E11541">
              <w:rPr>
                <w:rFonts w:asciiTheme="minorHAnsi" w:hAnsiTheme="minorHAnsi" w:cstheme="minorHAnsi"/>
              </w:rPr>
              <w:t>.  Average current serious penalty in private sector</w:t>
            </w:r>
          </w:p>
          <w:p w14:paraId="7C4696DD"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 xml:space="preserve"> (1-25 workers)</w:t>
            </w:r>
          </w:p>
        </w:tc>
        <w:tc>
          <w:tcPr>
            <w:tcW w:w="1275" w:type="dxa"/>
          </w:tcPr>
          <w:p w14:paraId="3B168483" w14:textId="4FB2914A"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t>$</w:t>
            </w:r>
            <w:r w:rsidR="00C1346D" w:rsidRPr="00E11541">
              <w:rPr>
                <w:rFonts w:asciiTheme="minorHAnsi" w:eastAsia="PMingLiU" w:hAnsiTheme="minorHAnsi" w:cstheme="minorHAnsi"/>
              </w:rPr>
              <w:t>3,026.00</w:t>
            </w:r>
          </w:p>
        </w:tc>
        <w:tc>
          <w:tcPr>
            <w:tcW w:w="1292" w:type="dxa"/>
          </w:tcPr>
          <w:p w14:paraId="69E6628A" w14:textId="77777777" w:rsidR="00634539" w:rsidRPr="00E11541" w:rsidRDefault="00634539" w:rsidP="008144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 xml:space="preserve">+/- 25% of </w:t>
            </w:r>
          </w:p>
          <w:p w14:paraId="465F36E0" w14:textId="5AAAEDB4" w:rsidR="00634539" w:rsidRPr="00E11541" w:rsidRDefault="00634539" w:rsidP="008144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w:t>
            </w:r>
            <w:r w:rsidR="00C1346D" w:rsidRPr="00E11541">
              <w:rPr>
                <w:rFonts w:asciiTheme="minorHAnsi" w:hAnsiTheme="minorHAnsi" w:cstheme="minorHAnsi"/>
              </w:rPr>
              <w:t>2,145.46</w:t>
            </w:r>
          </w:p>
          <w:p w14:paraId="4DC91B0C"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379" w:type="dxa"/>
          </w:tcPr>
          <w:p w14:paraId="371F75E0" w14:textId="210353B5"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 xml:space="preserve">The further review level is based on a three-year national average.  The range of acceptable data not requiring further review is from </w:t>
            </w:r>
            <w:r w:rsidR="00C1346D" w:rsidRPr="00E11541">
              <w:rPr>
                <w:rFonts w:asciiTheme="minorHAnsi" w:hAnsiTheme="minorHAnsi" w:cstheme="minorHAnsi"/>
              </w:rPr>
              <w:t>$1,609.10 to $2,681.83.</w:t>
            </w:r>
          </w:p>
        </w:tc>
      </w:tr>
      <w:tr w:rsidR="00634539" w:rsidRPr="00E11541" w14:paraId="2F293093" w14:textId="77777777" w:rsidTr="73BB70C5">
        <w:tc>
          <w:tcPr>
            <w:cnfStyle w:val="001000000000" w:firstRow="0" w:lastRow="0" w:firstColumn="1" w:lastColumn="0" w:oddVBand="0" w:evenVBand="0" w:oddHBand="0" w:evenHBand="0" w:firstRowFirstColumn="0" w:firstRowLastColumn="0" w:lastRowFirstColumn="0" w:lastRowLastColumn="0"/>
            <w:tcW w:w="1034" w:type="dxa"/>
          </w:tcPr>
          <w:p w14:paraId="2794F1EF"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val="0"/>
              </w:rPr>
            </w:pPr>
          </w:p>
        </w:tc>
        <w:tc>
          <w:tcPr>
            <w:tcW w:w="2370" w:type="dxa"/>
          </w:tcPr>
          <w:p w14:paraId="18122F6D" w14:textId="77777777" w:rsidR="00634539" w:rsidRPr="00E11541" w:rsidRDefault="00634539" w:rsidP="008144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b/>
              </w:rPr>
              <w:t>b</w:t>
            </w:r>
            <w:r w:rsidRPr="00E11541">
              <w:rPr>
                <w:rFonts w:asciiTheme="minorHAnsi" w:hAnsiTheme="minorHAnsi" w:cstheme="minorHAnsi"/>
              </w:rPr>
              <w:t xml:space="preserve">. Average current serious penalty in private sector </w:t>
            </w:r>
          </w:p>
          <w:p w14:paraId="0CB214A9"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(26-100 workers</w:t>
            </w:r>
            <w:r w:rsidRPr="00E11541">
              <w:rPr>
                <w:rFonts w:asciiTheme="minorHAnsi" w:hAnsiTheme="minorHAnsi" w:cstheme="minorHAnsi"/>
                <w:b/>
              </w:rPr>
              <w:t>)</w:t>
            </w:r>
          </w:p>
        </w:tc>
        <w:tc>
          <w:tcPr>
            <w:tcW w:w="1275" w:type="dxa"/>
          </w:tcPr>
          <w:p w14:paraId="26CF4361" w14:textId="31A90D93"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t>$</w:t>
            </w:r>
            <w:r w:rsidR="00C1346D" w:rsidRPr="00E11541">
              <w:rPr>
                <w:rFonts w:asciiTheme="minorHAnsi" w:eastAsia="PMingLiU" w:hAnsiTheme="minorHAnsi" w:cstheme="minorHAnsi"/>
              </w:rPr>
              <w:t>5,319.57</w:t>
            </w:r>
          </w:p>
        </w:tc>
        <w:tc>
          <w:tcPr>
            <w:tcW w:w="1292" w:type="dxa"/>
          </w:tcPr>
          <w:p w14:paraId="7858AB9D" w14:textId="77777777" w:rsidR="00634539" w:rsidRPr="00E11541" w:rsidRDefault="00634539" w:rsidP="008144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 xml:space="preserve">+/- 25% of </w:t>
            </w:r>
          </w:p>
          <w:p w14:paraId="7CBC9BE5" w14:textId="207F20E1" w:rsidR="00634539" w:rsidRPr="00E11541" w:rsidRDefault="00634539" w:rsidP="008144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w:t>
            </w:r>
            <w:r w:rsidR="00C1346D" w:rsidRPr="00E11541">
              <w:rPr>
                <w:rFonts w:asciiTheme="minorHAnsi" w:hAnsiTheme="minorHAnsi" w:cstheme="minorHAnsi"/>
              </w:rPr>
              <w:t>3,818.56</w:t>
            </w:r>
          </w:p>
          <w:p w14:paraId="6AB595C0"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379" w:type="dxa"/>
          </w:tcPr>
          <w:p w14:paraId="533EE6CD" w14:textId="25A40F29"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The further review level is based on a three-year national average.  The range of acceptable data not requiring further review is from $</w:t>
            </w:r>
            <w:r w:rsidR="00C1346D" w:rsidRPr="00E11541">
              <w:rPr>
                <w:rFonts w:asciiTheme="minorHAnsi" w:hAnsiTheme="minorHAnsi" w:cstheme="minorHAnsi"/>
              </w:rPr>
              <w:t>2,863.92 to $4,773.20.</w:t>
            </w:r>
          </w:p>
        </w:tc>
      </w:tr>
      <w:tr w:rsidR="00634539" w:rsidRPr="00E11541" w14:paraId="786F3F1A" w14:textId="77777777" w:rsidTr="73BB70C5">
        <w:tc>
          <w:tcPr>
            <w:cnfStyle w:val="001000000000" w:firstRow="0" w:lastRow="0" w:firstColumn="1" w:lastColumn="0" w:oddVBand="0" w:evenVBand="0" w:oddHBand="0" w:evenHBand="0" w:firstRowFirstColumn="0" w:firstRowLastColumn="0" w:lastRowFirstColumn="0" w:lastRowLastColumn="0"/>
            <w:tcW w:w="1034" w:type="dxa"/>
          </w:tcPr>
          <w:p w14:paraId="5A3932AB"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val="0"/>
              </w:rPr>
            </w:pPr>
          </w:p>
        </w:tc>
        <w:tc>
          <w:tcPr>
            <w:tcW w:w="2370" w:type="dxa"/>
          </w:tcPr>
          <w:p w14:paraId="5F59BDF5" w14:textId="77777777" w:rsidR="00634539" w:rsidRPr="00E11541" w:rsidRDefault="00634539" w:rsidP="008144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b/>
              </w:rPr>
              <w:t>c</w:t>
            </w:r>
            <w:r w:rsidRPr="00E11541">
              <w:rPr>
                <w:rFonts w:asciiTheme="minorHAnsi" w:hAnsiTheme="minorHAnsi" w:cstheme="minorHAnsi"/>
              </w:rPr>
              <w:t>. Average current serious penalty in private sector</w:t>
            </w:r>
          </w:p>
          <w:p w14:paraId="10D9592B"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(101-250 workers)</w:t>
            </w:r>
          </w:p>
        </w:tc>
        <w:tc>
          <w:tcPr>
            <w:tcW w:w="1275" w:type="dxa"/>
          </w:tcPr>
          <w:p w14:paraId="7D3E6F14" w14:textId="005CCC1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t>$</w:t>
            </w:r>
            <w:r w:rsidR="00C1346D" w:rsidRPr="00E11541">
              <w:rPr>
                <w:rFonts w:asciiTheme="minorHAnsi" w:eastAsia="PMingLiU" w:hAnsiTheme="minorHAnsi" w:cstheme="minorHAnsi"/>
              </w:rPr>
              <w:t>0.00</w:t>
            </w:r>
          </w:p>
        </w:tc>
        <w:tc>
          <w:tcPr>
            <w:tcW w:w="1292" w:type="dxa"/>
          </w:tcPr>
          <w:p w14:paraId="5F3855C3" w14:textId="77777777" w:rsidR="00634539" w:rsidRPr="00E11541" w:rsidRDefault="00634539" w:rsidP="008144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 xml:space="preserve">+/- 25% of </w:t>
            </w:r>
          </w:p>
          <w:p w14:paraId="0F3F11A7" w14:textId="3098BEC2" w:rsidR="00634539" w:rsidRPr="00E11541" w:rsidRDefault="00634539" w:rsidP="008144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w:t>
            </w:r>
            <w:r w:rsidR="00C1346D" w:rsidRPr="00E11541">
              <w:rPr>
                <w:rFonts w:asciiTheme="minorHAnsi" w:hAnsiTheme="minorHAnsi" w:cstheme="minorHAnsi"/>
              </w:rPr>
              <w:t>5,469.60</w:t>
            </w:r>
          </w:p>
          <w:p w14:paraId="0194F828"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379" w:type="dxa"/>
          </w:tcPr>
          <w:p w14:paraId="4B00CAC2" w14:textId="486E08B3"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The further review level is based on a three-year national average.  The range of acceptable data not requiring further review is from $</w:t>
            </w:r>
            <w:r w:rsidR="00C1346D" w:rsidRPr="00E11541">
              <w:rPr>
                <w:rFonts w:asciiTheme="minorHAnsi" w:hAnsiTheme="minorHAnsi" w:cstheme="minorHAnsi"/>
              </w:rPr>
              <w:t>4,102.20 to $6,837.00.</w:t>
            </w:r>
          </w:p>
        </w:tc>
      </w:tr>
      <w:tr w:rsidR="00634539" w:rsidRPr="00E11541" w14:paraId="44B346AD" w14:textId="77777777" w:rsidTr="73BB70C5">
        <w:tc>
          <w:tcPr>
            <w:cnfStyle w:val="001000000000" w:firstRow="0" w:lastRow="0" w:firstColumn="1" w:lastColumn="0" w:oddVBand="0" w:evenVBand="0" w:oddHBand="0" w:evenHBand="0" w:firstRowFirstColumn="0" w:firstRowLastColumn="0" w:lastRowFirstColumn="0" w:lastRowLastColumn="0"/>
            <w:tcW w:w="1034" w:type="dxa"/>
          </w:tcPr>
          <w:p w14:paraId="5ED4D0D0"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val="0"/>
              </w:rPr>
            </w:pPr>
          </w:p>
        </w:tc>
        <w:tc>
          <w:tcPr>
            <w:tcW w:w="2370" w:type="dxa"/>
          </w:tcPr>
          <w:p w14:paraId="255BABE2" w14:textId="77777777" w:rsidR="00634539" w:rsidRPr="00E11541" w:rsidRDefault="00634539" w:rsidP="008144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b/>
              </w:rPr>
              <w:t>d</w:t>
            </w:r>
            <w:r w:rsidRPr="00E11541">
              <w:rPr>
                <w:rFonts w:asciiTheme="minorHAnsi" w:hAnsiTheme="minorHAnsi" w:cstheme="minorHAnsi"/>
              </w:rPr>
              <w:t>. Average current serious penalty in private sector</w:t>
            </w:r>
          </w:p>
          <w:p w14:paraId="48DDBB4B"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w:t>
            </w:r>
            <w:proofErr w:type="gramStart"/>
            <w:r w:rsidRPr="00E11541">
              <w:rPr>
                <w:rFonts w:asciiTheme="minorHAnsi" w:hAnsiTheme="minorHAnsi" w:cstheme="minorHAnsi"/>
              </w:rPr>
              <w:t>greater</w:t>
            </w:r>
            <w:proofErr w:type="gramEnd"/>
            <w:r w:rsidRPr="00E11541">
              <w:rPr>
                <w:rFonts w:asciiTheme="minorHAnsi" w:hAnsiTheme="minorHAnsi" w:cstheme="minorHAnsi"/>
              </w:rPr>
              <w:t xml:space="preserve"> than 250 workers)</w:t>
            </w:r>
          </w:p>
        </w:tc>
        <w:tc>
          <w:tcPr>
            <w:tcW w:w="1275" w:type="dxa"/>
          </w:tcPr>
          <w:p w14:paraId="7D66FCF1" w14:textId="5BAC3500"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t>$</w:t>
            </w:r>
            <w:r w:rsidR="00C1346D" w:rsidRPr="00E11541">
              <w:rPr>
                <w:rFonts w:asciiTheme="minorHAnsi" w:eastAsia="PMingLiU" w:hAnsiTheme="minorHAnsi" w:cstheme="minorHAnsi"/>
              </w:rPr>
              <w:t>6,879.67</w:t>
            </w:r>
          </w:p>
        </w:tc>
        <w:tc>
          <w:tcPr>
            <w:tcW w:w="1292" w:type="dxa"/>
          </w:tcPr>
          <w:p w14:paraId="73029B70" w14:textId="77777777" w:rsidR="00634539" w:rsidRPr="00E11541" w:rsidRDefault="00634539" w:rsidP="008144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 xml:space="preserve">+/- 25% of </w:t>
            </w:r>
          </w:p>
          <w:p w14:paraId="46121B7C" w14:textId="7B00254B" w:rsidR="00634539" w:rsidRPr="00E11541" w:rsidRDefault="00634539" w:rsidP="008144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w:t>
            </w:r>
            <w:r w:rsidR="00C1346D" w:rsidRPr="00E11541">
              <w:rPr>
                <w:rFonts w:asciiTheme="minorHAnsi" w:hAnsiTheme="minorHAnsi" w:cstheme="minorHAnsi"/>
              </w:rPr>
              <w:t>6,725.78</w:t>
            </w:r>
          </w:p>
          <w:p w14:paraId="3FB5515E"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379" w:type="dxa"/>
          </w:tcPr>
          <w:p w14:paraId="29FF5D83" w14:textId="5F5B345C"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The further review level is based on a three-year national average.  The range of acceptable data not requiring further review is from $</w:t>
            </w:r>
            <w:r w:rsidR="00C1346D" w:rsidRPr="00E11541">
              <w:rPr>
                <w:rFonts w:asciiTheme="minorHAnsi" w:hAnsiTheme="minorHAnsi" w:cstheme="minorHAnsi"/>
              </w:rPr>
              <w:t>5,044.34 to $8,407.23.</w:t>
            </w:r>
          </w:p>
        </w:tc>
      </w:tr>
      <w:tr w:rsidR="00634539" w:rsidRPr="00E11541" w14:paraId="6F99001F" w14:textId="77777777" w:rsidTr="73BB70C5">
        <w:tc>
          <w:tcPr>
            <w:cnfStyle w:val="001000000000" w:firstRow="0" w:lastRow="0" w:firstColumn="1" w:lastColumn="0" w:oddVBand="0" w:evenVBand="0" w:oddHBand="0" w:evenHBand="0" w:firstRowFirstColumn="0" w:firstRowLastColumn="0" w:lastRowFirstColumn="0" w:lastRowLastColumn="0"/>
            <w:tcW w:w="1034" w:type="dxa"/>
          </w:tcPr>
          <w:p w14:paraId="2CAB3DC1"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11541">
              <w:rPr>
                <w:rFonts w:asciiTheme="minorHAnsi" w:eastAsia="PMingLiU" w:hAnsiTheme="minorHAnsi" w:cstheme="minorHAnsi"/>
              </w:rPr>
              <w:lastRenderedPageBreak/>
              <w:t>9a</w:t>
            </w:r>
          </w:p>
        </w:tc>
        <w:tc>
          <w:tcPr>
            <w:tcW w:w="2370" w:type="dxa"/>
          </w:tcPr>
          <w:p w14:paraId="406CE5F6"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Percent in compliance (safety)</w:t>
            </w:r>
          </w:p>
        </w:tc>
        <w:tc>
          <w:tcPr>
            <w:tcW w:w="1275" w:type="dxa"/>
          </w:tcPr>
          <w:p w14:paraId="2CBEE7D5" w14:textId="07D68118" w:rsidR="00634539" w:rsidRPr="00E11541" w:rsidRDefault="00AC16C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t>55.92</w:t>
            </w:r>
            <w:r w:rsidR="00634539" w:rsidRPr="00E11541">
              <w:rPr>
                <w:rFonts w:asciiTheme="minorHAnsi" w:eastAsia="PMingLiU" w:hAnsiTheme="minorHAnsi" w:cstheme="minorHAnsi"/>
              </w:rPr>
              <w:t>%</w:t>
            </w:r>
          </w:p>
        </w:tc>
        <w:tc>
          <w:tcPr>
            <w:tcW w:w="1292" w:type="dxa"/>
          </w:tcPr>
          <w:p w14:paraId="32D0AB93" w14:textId="77777777" w:rsidR="00634539" w:rsidRPr="00E11541" w:rsidRDefault="00634539" w:rsidP="008144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+/- 20% of</w:t>
            </w:r>
          </w:p>
          <w:p w14:paraId="0A52EE0A" w14:textId="1741DC8E" w:rsidR="00634539" w:rsidRPr="00E11541" w:rsidRDefault="0043560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32.25</w:t>
            </w:r>
            <w:r w:rsidR="00634539" w:rsidRPr="00E11541">
              <w:rPr>
                <w:rFonts w:asciiTheme="minorHAnsi" w:hAnsiTheme="minorHAnsi" w:cstheme="minorHAnsi"/>
              </w:rPr>
              <w:t>%</w:t>
            </w:r>
          </w:p>
        </w:tc>
        <w:tc>
          <w:tcPr>
            <w:tcW w:w="4379" w:type="dxa"/>
          </w:tcPr>
          <w:p w14:paraId="2A829BA0" w14:textId="05057D14"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The further review level is based on a three-year national average.  The range of acceptable data not requiring further review is from 25.</w:t>
            </w:r>
            <w:r w:rsidR="0043560A" w:rsidRPr="00E11541">
              <w:rPr>
                <w:rFonts w:asciiTheme="minorHAnsi" w:hAnsiTheme="minorHAnsi" w:cstheme="minorHAnsi"/>
              </w:rPr>
              <w:t>80</w:t>
            </w:r>
            <w:r w:rsidRPr="00E11541">
              <w:rPr>
                <w:rFonts w:asciiTheme="minorHAnsi" w:hAnsiTheme="minorHAnsi" w:cstheme="minorHAnsi"/>
              </w:rPr>
              <w:t xml:space="preserve">% to </w:t>
            </w:r>
            <w:r w:rsidR="0043560A" w:rsidRPr="00E11541">
              <w:rPr>
                <w:rFonts w:asciiTheme="minorHAnsi" w:hAnsiTheme="minorHAnsi" w:cstheme="minorHAnsi"/>
              </w:rPr>
              <w:t>38.70</w:t>
            </w:r>
            <w:r w:rsidRPr="00E11541">
              <w:rPr>
                <w:rFonts w:asciiTheme="minorHAnsi" w:hAnsiTheme="minorHAnsi" w:cstheme="minorHAnsi"/>
              </w:rPr>
              <w:t>% for safety.</w:t>
            </w:r>
          </w:p>
        </w:tc>
      </w:tr>
      <w:tr w:rsidR="00634539" w:rsidRPr="00E11541" w14:paraId="3EB76E55" w14:textId="77777777" w:rsidTr="73BB70C5">
        <w:tc>
          <w:tcPr>
            <w:cnfStyle w:val="001000000000" w:firstRow="0" w:lastRow="0" w:firstColumn="1" w:lastColumn="0" w:oddVBand="0" w:evenVBand="0" w:oddHBand="0" w:evenHBand="0" w:firstRowFirstColumn="0" w:firstRowLastColumn="0" w:lastRowFirstColumn="0" w:lastRowLastColumn="0"/>
            <w:tcW w:w="1034" w:type="dxa"/>
          </w:tcPr>
          <w:p w14:paraId="5BA68B8A"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11541">
              <w:rPr>
                <w:rFonts w:asciiTheme="minorHAnsi" w:eastAsia="PMingLiU" w:hAnsiTheme="minorHAnsi" w:cstheme="minorHAnsi"/>
              </w:rPr>
              <w:t>9b</w:t>
            </w:r>
          </w:p>
        </w:tc>
        <w:tc>
          <w:tcPr>
            <w:tcW w:w="2370" w:type="dxa"/>
          </w:tcPr>
          <w:p w14:paraId="1F4404BA"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Percent in compliance (health)</w:t>
            </w:r>
          </w:p>
        </w:tc>
        <w:tc>
          <w:tcPr>
            <w:tcW w:w="1275" w:type="dxa"/>
          </w:tcPr>
          <w:p w14:paraId="0F761403" w14:textId="2C51EDAA" w:rsidR="00634539" w:rsidRPr="00E11541" w:rsidRDefault="0043560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t>66.67</w:t>
            </w:r>
            <w:r w:rsidR="00634539" w:rsidRPr="00E11541">
              <w:rPr>
                <w:rFonts w:asciiTheme="minorHAnsi" w:eastAsia="PMingLiU" w:hAnsiTheme="minorHAnsi" w:cstheme="minorHAnsi"/>
              </w:rPr>
              <w:t>%</w:t>
            </w:r>
          </w:p>
        </w:tc>
        <w:tc>
          <w:tcPr>
            <w:tcW w:w="1292" w:type="dxa"/>
          </w:tcPr>
          <w:p w14:paraId="3FEA72A8" w14:textId="77777777" w:rsidR="00634539" w:rsidRPr="00E11541" w:rsidRDefault="00634539" w:rsidP="008144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+/- 20% of</w:t>
            </w:r>
          </w:p>
          <w:p w14:paraId="203D8062" w14:textId="6A52C718" w:rsidR="00634539" w:rsidRPr="00E11541" w:rsidRDefault="0043560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44.42</w:t>
            </w:r>
            <w:r w:rsidR="00634539" w:rsidRPr="00E11541">
              <w:rPr>
                <w:rFonts w:asciiTheme="minorHAnsi" w:hAnsiTheme="minorHAnsi" w:cstheme="minorHAnsi"/>
              </w:rPr>
              <w:t>%</w:t>
            </w:r>
          </w:p>
        </w:tc>
        <w:tc>
          <w:tcPr>
            <w:tcW w:w="4379" w:type="dxa"/>
          </w:tcPr>
          <w:p w14:paraId="7272F1E9" w14:textId="0CD1E643"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 xml:space="preserve">The further review level is based on a three-year national average.  The range of acceptable data not requiring further review is from </w:t>
            </w:r>
            <w:r w:rsidR="0043560A" w:rsidRPr="00E11541">
              <w:rPr>
                <w:rFonts w:asciiTheme="minorHAnsi" w:hAnsiTheme="minorHAnsi" w:cstheme="minorHAnsi"/>
              </w:rPr>
              <w:t>35.54</w:t>
            </w:r>
            <w:r w:rsidRPr="00E11541">
              <w:rPr>
                <w:rFonts w:asciiTheme="minorHAnsi" w:hAnsiTheme="minorHAnsi" w:cstheme="minorHAnsi"/>
              </w:rPr>
              <w:t xml:space="preserve">% to </w:t>
            </w:r>
            <w:r w:rsidR="0043560A" w:rsidRPr="00E11541">
              <w:rPr>
                <w:rFonts w:asciiTheme="minorHAnsi" w:hAnsiTheme="minorHAnsi" w:cstheme="minorHAnsi"/>
              </w:rPr>
              <w:t>53.30</w:t>
            </w:r>
            <w:r w:rsidRPr="00E11541">
              <w:rPr>
                <w:rFonts w:asciiTheme="minorHAnsi" w:hAnsiTheme="minorHAnsi" w:cstheme="minorHAnsi"/>
              </w:rPr>
              <w:t>% for health.</w:t>
            </w:r>
          </w:p>
        </w:tc>
      </w:tr>
      <w:tr w:rsidR="00634539" w:rsidRPr="00E11541" w14:paraId="6BD622B6" w14:textId="77777777" w:rsidTr="73BB70C5">
        <w:tc>
          <w:tcPr>
            <w:cnfStyle w:val="001000000000" w:firstRow="0" w:lastRow="0" w:firstColumn="1" w:lastColumn="0" w:oddVBand="0" w:evenVBand="0" w:oddHBand="0" w:evenHBand="0" w:firstRowFirstColumn="0" w:firstRowLastColumn="0" w:lastRowFirstColumn="0" w:lastRowLastColumn="0"/>
            <w:tcW w:w="1034" w:type="dxa"/>
          </w:tcPr>
          <w:p w14:paraId="1E1081EE"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11541">
              <w:rPr>
                <w:rFonts w:asciiTheme="minorHAnsi" w:eastAsia="PMingLiU" w:hAnsiTheme="minorHAnsi" w:cstheme="minorHAnsi"/>
              </w:rPr>
              <w:t>10</w:t>
            </w:r>
          </w:p>
        </w:tc>
        <w:tc>
          <w:tcPr>
            <w:tcW w:w="2370" w:type="dxa"/>
          </w:tcPr>
          <w:p w14:paraId="7A555323"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Percent of work-related fatalities responded to in one workday</w:t>
            </w:r>
          </w:p>
        </w:tc>
        <w:tc>
          <w:tcPr>
            <w:tcW w:w="1275" w:type="dxa"/>
          </w:tcPr>
          <w:p w14:paraId="36635117" w14:textId="6D3C6577" w:rsidR="00634539" w:rsidRPr="00E11541" w:rsidRDefault="0043560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t>66.67</w:t>
            </w:r>
            <w:r w:rsidR="00634539" w:rsidRPr="00E11541">
              <w:rPr>
                <w:rFonts w:asciiTheme="minorHAnsi" w:eastAsia="PMingLiU" w:hAnsiTheme="minorHAnsi" w:cstheme="minorHAnsi"/>
              </w:rPr>
              <w:t>%</w:t>
            </w:r>
          </w:p>
        </w:tc>
        <w:tc>
          <w:tcPr>
            <w:tcW w:w="1292" w:type="dxa"/>
          </w:tcPr>
          <w:p w14:paraId="1B2A9E13"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t>100%</w:t>
            </w:r>
          </w:p>
        </w:tc>
        <w:tc>
          <w:tcPr>
            <w:tcW w:w="4379" w:type="dxa"/>
          </w:tcPr>
          <w:p w14:paraId="4CFEF3A7"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The further review level is fixed for all State Plans.</w:t>
            </w:r>
          </w:p>
        </w:tc>
      </w:tr>
      <w:tr w:rsidR="00634539" w:rsidRPr="00E11541" w14:paraId="2893D3CE" w14:textId="77777777" w:rsidTr="73BB70C5">
        <w:tc>
          <w:tcPr>
            <w:cnfStyle w:val="001000000000" w:firstRow="0" w:lastRow="0" w:firstColumn="1" w:lastColumn="0" w:oddVBand="0" w:evenVBand="0" w:oddHBand="0" w:evenHBand="0" w:firstRowFirstColumn="0" w:firstRowLastColumn="0" w:lastRowFirstColumn="0" w:lastRowLastColumn="0"/>
            <w:tcW w:w="1034" w:type="dxa"/>
          </w:tcPr>
          <w:p w14:paraId="10FE802E"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11541">
              <w:rPr>
                <w:rFonts w:asciiTheme="minorHAnsi" w:eastAsia="PMingLiU" w:hAnsiTheme="minorHAnsi" w:cstheme="minorHAnsi"/>
              </w:rPr>
              <w:t>11a</w:t>
            </w:r>
          </w:p>
        </w:tc>
        <w:tc>
          <w:tcPr>
            <w:tcW w:w="2370" w:type="dxa"/>
          </w:tcPr>
          <w:p w14:paraId="0E881318"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Average lapse time (safety)</w:t>
            </w:r>
          </w:p>
        </w:tc>
        <w:tc>
          <w:tcPr>
            <w:tcW w:w="1275" w:type="dxa"/>
          </w:tcPr>
          <w:p w14:paraId="155143E8" w14:textId="0BFD6011" w:rsidR="00634539" w:rsidRPr="00E11541" w:rsidRDefault="0043560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t>54.12</w:t>
            </w:r>
          </w:p>
        </w:tc>
        <w:tc>
          <w:tcPr>
            <w:tcW w:w="1292" w:type="dxa"/>
          </w:tcPr>
          <w:p w14:paraId="69A6D9FE" w14:textId="77777777" w:rsidR="00634539" w:rsidRPr="00E11541" w:rsidRDefault="00634539" w:rsidP="008144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 xml:space="preserve">+/- 20% of </w:t>
            </w:r>
          </w:p>
          <w:p w14:paraId="4105E6C0" w14:textId="12B7B41C"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5</w:t>
            </w:r>
            <w:r w:rsidR="0043560A" w:rsidRPr="00E11541">
              <w:rPr>
                <w:rFonts w:asciiTheme="minorHAnsi" w:hAnsiTheme="minorHAnsi" w:cstheme="minorHAnsi"/>
              </w:rPr>
              <w:t>4</w:t>
            </w:r>
            <w:r w:rsidRPr="00E11541">
              <w:rPr>
                <w:rFonts w:asciiTheme="minorHAnsi" w:hAnsiTheme="minorHAnsi" w:cstheme="minorHAnsi"/>
              </w:rPr>
              <w:t>.</w:t>
            </w:r>
            <w:r w:rsidR="0043560A" w:rsidRPr="00E11541">
              <w:rPr>
                <w:rFonts w:asciiTheme="minorHAnsi" w:hAnsiTheme="minorHAnsi" w:cstheme="minorHAnsi"/>
              </w:rPr>
              <w:t>58</w:t>
            </w:r>
          </w:p>
        </w:tc>
        <w:tc>
          <w:tcPr>
            <w:tcW w:w="4379" w:type="dxa"/>
          </w:tcPr>
          <w:p w14:paraId="1A7228CC" w14:textId="4053B7B4" w:rsidR="00634539" w:rsidRPr="00E11541" w:rsidRDefault="00634539" w:rsidP="00AC16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The further review level is</w:t>
            </w:r>
            <w:r w:rsidR="00AC16CE" w:rsidRPr="00E11541">
              <w:rPr>
                <w:rFonts w:asciiTheme="minorHAnsi" w:hAnsiTheme="minorHAnsi" w:cstheme="minorHAnsi"/>
              </w:rPr>
              <w:t xml:space="preserve"> </w:t>
            </w:r>
            <w:r w:rsidRPr="00E11541">
              <w:rPr>
                <w:rFonts w:asciiTheme="minorHAnsi" w:hAnsiTheme="minorHAnsi" w:cstheme="minorHAnsi"/>
              </w:rPr>
              <w:t xml:space="preserve">based on a three-year national average.  The range of acceptable data not requiring further review is from </w:t>
            </w:r>
            <w:r w:rsidR="0043560A" w:rsidRPr="00E11541">
              <w:rPr>
                <w:rFonts w:asciiTheme="minorHAnsi" w:hAnsiTheme="minorHAnsi" w:cstheme="minorHAnsi"/>
              </w:rPr>
              <w:t>43.66</w:t>
            </w:r>
            <w:r w:rsidRPr="00E11541">
              <w:rPr>
                <w:rFonts w:asciiTheme="minorHAnsi" w:hAnsiTheme="minorHAnsi" w:cstheme="minorHAnsi"/>
              </w:rPr>
              <w:t xml:space="preserve"> to </w:t>
            </w:r>
            <w:r w:rsidR="0043560A" w:rsidRPr="00E11541">
              <w:rPr>
                <w:rFonts w:asciiTheme="minorHAnsi" w:hAnsiTheme="minorHAnsi" w:cstheme="minorHAnsi"/>
              </w:rPr>
              <w:t>65.50</w:t>
            </w:r>
            <w:r w:rsidRPr="00E11541">
              <w:rPr>
                <w:rFonts w:asciiTheme="minorHAnsi" w:hAnsiTheme="minorHAnsi" w:cstheme="minorHAnsi"/>
              </w:rPr>
              <w:t xml:space="preserve"> for safety.</w:t>
            </w:r>
          </w:p>
        </w:tc>
      </w:tr>
      <w:tr w:rsidR="00634539" w:rsidRPr="00E11541" w14:paraId="71994532" w14:textId="77777777" w:rsidTr="73BB70C5">
        <w:tc>
          <w:tcPr>
            <w:cnfStyle w:val="001000000000" w:firstRow="0" w:lastRow="0" w:firstColumn="1" w:lastColumn="0" w:oddVBand="0" w:evenVBand="0" w:oddHBand="0" w:evenHBand="0" w:firstRowFirstColumn="0" w:firstRowLastColumn="0" w:lastRowFirstColumn="0" w:lastRowLastColumn="0"/>
            <w:tcW w:w="1034" w:type="dxa"/>
          </w:tcPr>
          <w:p w14:paraId="4A315A6E"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11541">
              <w:rPr>
                <w:rFonts w:asciiTheme="minorHAnsi" w:eastAsia="PMingLiU" w:hAnsiTheme="minorHAnsi" w:cstheme="minorHAnsi"/>
              </w:rPr>
              <w:t>11b</w:t>
            </w:r>
          </w:p>
        </w:tc>
        <w:tc>
          <w:tcPr>
            <w:tcW w:w="2370" w:type="dxa"/>
          </w:tcPr>
          <w:p w14:paraId="62670A92"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Average lapse time (health)</w:t>
            </w:r>
          </w:p>
        </w:tc>
        <w:tc>
          <w:tcPr>
            <w:tcW w:w="1275" w:type="dxa"/>
          </w:tcPr>
          <w:p w14:paraId="260D705D" w14:textId="08E09635" w:rsidR="00634539" w:rsidRPr="00E11541" w:rsidRDefault="0043560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t>76.44</w:t>
            </w:r>
          </w:p>
        </w:tc>
        <w:tc>
          <w:tcPr>
            <w:tcW w:w="1292" w:type="dxa"/>
          </w:tcPr>
          <w:p w14:paraId="6C9C53C8" w14:textId="77777777" w:rsidR="00634539" w:rsidRPr="00E11541" w:rsidRDefault="00634539" w:rsidP="008144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 xml:space="preserve">+/- 20% of </w:t>
            </w:r>
          </w:p>
          <w:p w14:paraId="4447221B" w14:textId="5A4EA72C" w:rsidR="00634539" w:rsidRPr="00E11541" w:rsidRDefault="0043560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69.03</w:t>
            </w:r>
          </w:p>
        </w:tc>
        <w:tc>
          <w:tcPr>
            <w:tcW w:w="4379" w:type="dxa"/>
          </w:tcPr>
          <w:p w14:paraId="77F448C9" w14:textId="3CC34CF0"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 xml:space="preserve">The further review level is based on a three-year national average.  The range of acceptable data not requiring further review is from </w:t>
            </w:r>
            <w:r w:rsidR="0043560A" w:rsidRPr="00E11541">
              <w:rPr>
                <w:rFonts w:asciiTheme="minorHAnsi" w:hAnsiTheme="minorHAnsi" w:cstheme="minorHAnsi"/>
              </w:rPr>
              <w:t>55.22</w:t>
            </w:r>
            <w:r w:rsidRPr="00E11541">
              <w:rPr>
                <w:rFonts w:asciiTheme="minorHAnsi" w:hAnsiTheme="minorHAnsi" w:cstheme="minorHAnsi"/>
              </w:rPr>
              <w:t xml:space="preserve"> to </w:t>
            </w:r>
            <w:r w:rsidR="0043560A" w:rsidRPr="00E11541">
              <w:rPr>
                <w:rFonts w:asciiTheme="minorHAnsi" w:hAnsiTheme="minorHAnsi" w:cstheme="minorHAnsi"/>
              </w:rPr>
              <w:t>82.84</w:t>
            </w:r>
            <w:r w:rsidRPr="00E11541">
              <w:rPr>
                <w:rFonts w:asciiTheme="minorHAnsi" w:hAnsiTheme="minorHAnsi" w:cstheme="minorHAnsi"/>
              </w:rPr>
              <w:t xml:space="preserve"> for health.</w:t>
            </w:r>
          </w:p>
        </w:tc>
      </w:tr>
      <w:tr w:rsidR="00634539" w:rsidRPr="00E11541" w14:paraId="13BCA211" w14:textId="77777777" w:rsidTr="73BB70C5">
        <w:tc>
          <w:tcPr>
            <w:cnfStyle w:val="001000000000" w:firstRow="0" w:lastRow="0" w:firstColumn="1" w:lastColumn="0" w:oddVBand="0" w:evenVBand="0" w:oddHBand="0" w:evenHBand="0" w:firstRowFirstColumn="0" w:firstRowLastColumn="0" w:lastRowFirstColumn="0" w:lastRowLastColumn="0"/>
            <w:tcW w:w="1034" w:type="dxa"/>
          </w:tcPr>
          <w:p w14:paraId="20008ADF"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11541">
              <w:rPr>
                <w:rFonts w:asciiTheme="minorHAnsi" w:eastAsia="PMingLiU" w:hAnsiTheme="minorHAnsi" w:cstheme="minorHAnsi"/>
              </w:rPr>
              <w:t>12</w:t>
            </w:r>
          </w:p>
        </w:tc>
        <w:tc>
          <w:tcPr>
            <w:tcW w:w="2370" w:type="dxa"/>
          </w:tcPr>
          <w:p w14:paraId="4FDC62A7"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Percent penalty retained</w:t>
            </w:r>
          </w:p>
        </w:tc>
        <w:tc>
          <w:tcPr>
            <w:tcW w:w="1275" w:type="dxa"/>
          </w:tcPr>
          <w:p w14:paraId="54C1921C" w14:textId="2F6719B2" w:rsidR="00634539" w:rsidRPr="00E11541" w:rsidRDefault="0043560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96.77</w:t>
            </w:r>
            <w:r w:rsidR="00634539" w:rsidRPr="00E11541">
              <w:rPr>
                <w:rFonts w:asciiTheme="minorHAnsi" w:hAnsiTheme="minorHAnsi" w:cstheme="minorHAnsi"/>
              </w:rPr>
              <w:t>%</w:t>
            </w:r>
          </w:p>
        </w:tc>
        <w:tc>
          <w:tcPr>
            <w:tcW w:w="1292" w:type="dxa"/>
          </w:tcPr>
          <w:p w14:paraId="210F162A" w14:textId="77777777" w:rsidR="00634539" w:rsidRPr="00E11541" w:rsidRDefault="00634539" w:rsidP="008144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+/- 15% of</w:t>
            </w:r>
          </w:p>
          <w:p w14:paraId="5AD20280" w14:textId="420F27C8" w:rsidR="00634539" w:rsidRPr="00E11541" w:rsidRDefault="0043560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69.97</w:t>
            </w:r>
            <w:r w:rsidR="00634539" w:rsidRPr="00E11541">
              <w:rPr>
                <w:rFonts w:asciiTheme="minorHAnsi" w:hAnsiTheme="minorHAnsi" w:cstheme="minorHAnsi"/>
              </w:rPr>
              <w:t>%</w:t>
            </w:r>
          </w:p>
        </w:tc>
        <w:tc>
          <w:tcPr>
            <w:tcW w:w="4379" w:type="dxa"/>
          </w:tcPr>
          <w:p w14:paraId="45B6E003" w14:textId="435E293F"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 xml:space="preserve">The further review level is based on a three-year national average.  The range of acceptable data not requiring further review is from </w:t>
            </w:r>
            <w:r w:rsidR="0043560A" w:rsidRPr="00E11541">
              <w:rPr>
                <w:rFonts w:asciiTheme="minorHAnsi" w:hAnsiTheme="minorHAnsi" w:cstheme="minorHAnsi"/>
              </w:rPr>
              <w:t>59.47</w:t>
            </w:r>
            <w:r w:rsidRPr="00E11541">
              <w:rPr>
                <w:rFonts w:asciiTheme="minorHAnsi" w:hAnsiTheme="minorHAnsi" w:cstheme="minorHAnsi"/>
              </w:rPr>
              <w:t xml:space="preserve">% to </w:t>
            </w:r>
            <w:r w:rsidR="0043560A" w:rsidRPr="00E11541">
              <w:rPr>
                <w:rFonts w:asciiTheme="minorHAnsi" w:hAnsiTheme="minorHAnsi" w:cstheme="minorHAnsi"/>
              </w:rPr>
              <w:t>80.47</w:t>
            </w:r>
            <w:r w:rsidRPr="00E11541">
              <w:rPr>
                <w:rFonts w:asciiTheme="minorHAnsi" w:hAnsiTheme="minorHAnsi" w:cstheme="minorHAnsi"/>
              </w:rPr>
              <w:t>%.</w:t>
            </w:r>
          </w:p>
        </w:tc>
      </w:tr>
      <w:tr w:rsidR="00634539" w:rsidRPr="00E11541" w14:paraId="2EAC34D6" w14:textId="77777777" w:rsidTr="73BB70C5">
        <w:tc>
          <w:tcPr>
            <w:cnfStyle w:val="001000000000" w:firstRow="0" w:lastRow="0" w:firstColumn="1" w:lastColumn="0" w:oddVBand="0" w:evenVBand="0" w:oddHBand="0" w:evenHBand="0" w:firstRowFirstColumn="0" w:firstRowLastColumn="0" w:lastRowFirstColumn="0" w:lastRowLastColumn="0"/>
            <w:tcW w:w="1034" w:type="dxa"/>
          </w:tcPr>
          <w:p w14:paraId="46A22AE3"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11541">
              <w:rPr>
                <w:rFonts w:asciiTheme="minorHAnsi" w:eastAsia="PMingLiU" w:hAnsiTheme="minorHAnsi" w:cstheme="minorHAnsi"/>
              </w:rPr>
              <w:t>13</w:t>
            </w:r>
          </w:p>
        </w:tc>
        <w:tc>
          <w:tcPr>
            <w:tcW w:w="2370" w:type="dxa"/>
          </w:tcPr>
          <w:p w14:paraId="56540F98"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Percent of initial inspections with worker walk-around representation or worker interview</w:t>
            </w:r>
          </w:p>
        </w:tc>
        <w:tc>
          <w:tcPr>
            <w:tcW w:w="1275" w:type="dxa"/>
          </w:tcPr>
          <w:p w14:paraId="71E71ED8" w14:textId="4FC28C54" w:rsidR="00634539" w:rsidRPr="00E11541" w:rsidRDefault="0043560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100</w:t>
            </w:r>
            <w:r w:rsidR="00634539" w:rsidRPr="00E11541">
              <w:rPr>
                <w:rFonts w:asciiTheme="minorHAnsi" w:hAnsiTheme="minorHAnsi" w:cstheme="minorHAnsi"/>
              </w:rPr>
              <w:t>%</w:t>
            </w:r>
          </w:p>
        </w:tc>
        <w:tc>
          <w:tcPr>
            <w:tcW w:w="1292" w:type="dxa"/>
          </w:tcPr>
          <w:p w14:paraId="4A97427F"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100%</w:t>
            </w:r>
          </w:p>
        </w:tc>
        <w:tc>
          <w:tcPr>
            <w:tcW w:w="4379" w:type="dxa"/>
          </w:tcPr>
          <w:p w14:paraId="27DEF00F"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The further review level is fixed for all State Plans.</w:t>
            </w:r>
          </w:p>
        </w:tc>
      </w:tr>
      <w:tr w:rsidR="0043560A" w:rsidRPr="00E11541" w14:paraId="0083664F" w14:textId="77777777" w:rsidTr="73BB70C5">
        <w:tc>
          <w:tcPr>
            <w:cnfStyle w:val="001000000000" w:firstRow="0" w:lastRow="0" w:firstColumn="1" w:lastColumn="0" w:oddVBand="0" w:evenVBand="0" w:oddHBand="0" w:evenHBand="0" w:firstRowFirstColumn="0" w:firstRowLastColumn="0" w:lastRowFirstColumn="0" w:lastRowLastColumn="0"/>
            <w:tcW w:w="1034" w:type="dxa"/>
          </w:tcPr>
          <w:p w14:paraId="1F73B0DD" w14:textId="77777777" w:rsidR="0043560A" w:rsidRPr="00E11541" w:rsidRDefault="0043560A" w:rsidP="0043560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11541">
              <w:rPr>
                <w:rFonts w:asciiTheme="minorHAnsi" w:eastAsia="PMingLiU" w:hAnsiTheme="minorHAnsi" w:cstheme="minorHAnsi"/>
              </w:rPr>
              <w:t>14</w:t>
            </w:r>
          </w:p>
        </w:tc>
        <w:tc>
          <w:tcPr>
            <w:tcW w:w="2370" w:type="dxa"/>
          </w:tcPr>
          <w:p w14:paraId="3454CDD3" w14:textId="77777777" w:rsidR="0043560A" w:rsidRPr="00E11541" w:rsidRDefault="0043560A" w:rsidP="0043560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Percent of 11(c) investigations completed within 90 days</w:t>
            </w:r>
          </w:p>
        </w:tc>
        <w:tc>
          <w:tcPr>
            <w:tcW w:w="1275" w:type="dxa"/>
          </w:tcPr>
          <w:p w14:paraId="3468F2B1" w14:textId="5820A92E" w:rsidR="0043560A" w:rsidRPr="00E11541" w:rsidRDefault="0043560A" w:rsidP="0043560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N/A*</w:t>
            </w:r>
          </w:p>
        </w:tc>
        <w:tc>
          <w:tcPr>
            <w:tcW w:w="1292" w:type="dxa"/>
          </w:tcPr>
          <w:p w14:paraId="39333E60" w14:textId="45E89E84" w:rsidR="0043560A" w:rsidRPr="00E11541" w:rsidRDefault="0043560A" w:rsidP="0043560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t>N/A*</w:t>
            </w:r>
          </w:p>
        </w:tc>
        <w:tc>
          <w:tcPr>
            <w:tcW w:w="4379" w:type="dxa"/>
          </w:tcPr>
          <w:p w14:paraId="7DECCD0D" w14:textId="252C9DBF" w:rsidR="0043560A" w:rsidRPr="00E11541" w:rsidRDefault="0043560A" w:rsidP="0043560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t xml:space="preserve">This measure is not being reported for FY 2022. </w:t>
            </w:r>
            <w:r w:rsidR="006D5B35">
              <w:rPr>
                <w:rFonts w:asciiTheme="minorHAnsi" w:eastAsia="PMingLiU" w:hAnsiTheme="minorHAnsi" w:cstheme="minorHAnsi"/>
              </w:rPr>
              <w:t xml:space="preserve"> </w:t>
            </w:r>
            <w:r w:rsidRPr="00E11541">
              <w:rPr>
                <w:rFonts w:asciiTheme="minorHAnsi" w:eastAsia="PMingLiU" w:hAnsiTheme="minorHAnsi" w:cstheme="minorHAnsi"/>
              </w:rPr>
              <w:t>Please see note below.</w:t>
            </w:r>
          </w:p>
        </w:tc>
      </w:tr>
      <w:tr w:rsidR="0043560A" w:rsidRPr="00E11541" w14:paraId="570F3912" w14:textId="77777777" w:rsidTr="73BB70C5">
        <w:tc>
          <w:tcPr>
            <w:cnfStyle w:val="001000000000" w:firstRow="0" w:lastRow="0" w:firstColumn="1" w:lastColumn="0" w:oddVBand="0" w:evenVBand="0" w:oddHBand="0" w:evenHBand="0" w:firstRowFirstColumn="0" w:firstRowLastColumn="0" w:lastRowFirstColumn="0" w:lastRowLastColumn="0"/>
            <w:tcW w:w="1034" w:type="dxa"/>
          </w:tcPr>
          <w:p w14:paraId="4BF89E78" w14:textId="77777777" w:rsidR="0043560A" w:rsidRPr="00E11541" w:rsidRDefault="0043560A" w:rsidP="0043560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11541">
              <w:rPr>
                <w:rFonts w:asciiTheme="minorHAnsi" w:eastAsia="PMingLiU" w:hAnsiTheme="minorHAnsi" w:cstheme="minorHAnsi"/>
              </w:rPr>
              <w:t>15</w:t>
            </w:r>
          </w:p>
        </w:tc>
        <w:tc>
          <w:tcPr>
            <w:tcW w:w="2370" w:type="dxa"/>
          </w:tcPr>
          <w:p w14:paraId="1BE43D29" w14:textId="77777777" w:rsidR="0043560A" w:rsidRPr="00E11541" w:rsidRDefault="0043560A" w:rsidP="0043560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Percent of 11(c) complaints that are meritorious</w:t>
            </w:r>
          </w:p>
        </w:tc>
        <w:tc>
          <w:tcPr>
            <w:tcW w:w="1275" w:type="dxa"/>
          </w:tcPr>
          <w:p w14:paraId="1E0B0B7D" w14:textId="58D7B29C" w:rsidR="0043560A" w:rsidRPr="00E11541" w:rsidRDefault="0043560A" w:rsidP="0043560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N/A*</w:t>
            </w:r>
          </w:p>
        </w:tc>
        <w:tc>
          <w:tcPr>
            <w:tcW w:w="1292" w:type="dxa"/>
          </w:tcPr>
          <w:p w14:paraId="147E9AB5" w14:textId="2781B20E" w:rsidR="0043560A" w:rsidRPr="00E11541" w:rsidRDefault="0043560A" w:rsidP="0043560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t>N/A*</w:t>
            </w:r>
          </w:p>
        </w:tc>
        <w:tc>
          <w:tcPr>
            <w:tcW w:w="4379" w:type="dxa"/>
          </w:tcPr>
          <w:p w14:paraId="5801C5D4" w14:textId="279CC063" w:rsidR="0043560A" w:rsidRPr="00E11541" w:rsidRDefault="0043560A" w:rsidP="0043560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t xml:space="preserve">This measure is not being reported for FY 2022. </w:t>
            </w:r>
            <w:r w:rsidR="006D5B35">
              <w:rPr>
                <w:rFonts w:asciiTheme="minorHAnsi" w:eastAsia="PMingLiU" w:hAnsiTheme="minorHAnsi" w:cstheme="minorHAnsi"/>
              </w:rPr>
              <w:t xml:space="preserve"> </w:t>
            </w:r>
            <w:r w:rsidRPr="00E11541">
              <w:rPr>
                <w:rFonts w:asciiTheme="minorHAnsi" w:eastAsia="PMingLiU" w:hAnsiTheme="minorHAnsi" w:cstheme="minorHAnsi"/>
              </w:rPr>
              <w:t>Please see note below.</w:t>
            </w:r>
          </w:p>
        </w:tc>
      </w:tr>
      <w:tr w:rsidR="0043560A" w:rsidRPr="00E11541" w14:paraId="06EFF7B6" w14:textId="77777777" w:rsidTr="73BB70C5">
        <w:tc>
          <w:tcPr>
            <w:cnfStyle w:val="001000000000" w:firstRow="0" w:lastRow="0" w:firstColumn="1" w:lastColumn="0" w:oddVBand="0" w:evenVBand="0" w:oddHBand="0" w:evenHBand="0" w:firstRowFirstColumn="0" w:firstRowLastColumn="0" w:lastRowFirstColumn="0" w:lastRowLastColumn="0"/>
            <w:tcW w:w="1034" w:type="dxa"/>
          </w:tcPr>
          <w:p w14:paraId="7E0D4652" w14:textId="77777777" w:rsidR="0043560A" w:rsidRPr="00E11541" w:rsidRDefault="0043560A" w:rsidP="0043560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11541">
              <w:rPr>
                <w:rFonts w:asciiTheme="minorHAnsi" w:eastAsia="PMingLiU" w:hAnsiTheme="minorHAnsi" w:cstheme="minorHAnsi"/>
              </w:rPr>
              <w:t>16</w:t>
            </w:r>
          </w:p>
        </w:tc>
        <w:tc>
          <w:tcPr>
            <w:tcW w:w="2370" w:type="dxa"/>
          </w:tcPr>
          <w:p w14:paraId="5E4FAF60" w14:textId="77777777" w:rsidR="0043560A" w:rsidRPr="00E11541" w:rsidRDefault="0043560A" w:rsidP="0043560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 xml:space="preserve">Average number of calendar days to </w:t>
            </w:r>
            <w:r w:rsidRPr="00E11541">
              <w:rPr>
                <w:rFonts w:asciiTheme="minorHAnsi" w:hAnsiTheme="minorHAnsi" w:cstheme="minorHAnsi"/>
              </w:rPr>
              <w:lastRenderedPageBreak/>
              <w:t>complete an 11(c) investigation</w:t>
            </w:r>
          </w:p>
        </w:tc>
        <w:tc>
          <w:tcPr>
            <w:tcW w:w="1275" w:type="dxa"/>
          </w:tcPr>
          <w:p w14:paraId="3207CBD2" w14:textId="7A4239A7" w:rsidR="0043560A" w:rsidRPr="00E11541" w:rsidRDefault="0043560A" w:rsidP="0043560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lastRenderedPageBreak/>
              <w:t>N/A*</w:t>
            </w:r>
          </w:p>
        </w:tc>
        <w:tc>
          <w:tcPr>
            <w:tcW w:w="1292" w:type="dxa"/>
          </w:tcPr>
          <w:p w14:paraId="7022F7E0" w14:textId="03F962BA" w:rsidR="0043560A" w:rsidRPr="00E11541" w:rsidRDefault="0043560A" w:rsidP="0043560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t>N/A*</w:t>
            </w:r>
          </w:p>
        </w:tc>
        <w:tc>
          <w:tcPr>
            <w:tcW w:w="4379" w:type="dxa"/>
          </w:tcPr>
          <w:p w14:paraId="088C3C3F" w14:textId="46D1D40D" w:rsidR="0043560A" w:rsidRPr="00E11541" w:rsidRDefault="0043560A" w:rsidP="0043560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eastAsia="PMingLiU" w:hAnsiTheme="minorHAnsi" w:cstheme="minorHAnsi"/>
              </w:rPr>
              <w:t xml:space="preserve">This measure is not being reported for FY 2022. </w:t>
            </w:r>
            <w:r w:rsidR="006D5B35">
              <w:rPr>
                <w:rFonts w:asciiTheme="minorHAnsi" w:eastAsia="PMingLiU" w:hAnsiTheme="minorHAnsi" w:cstheme="minorHAnsi"/>
              </w:rPr>
              <w:t xml:space="preserve"> </w:t>
            </w:r>
            <w:r w:rsidRPr="00E11541">
              <w:rPr>
                <w:rFonts w:asciiTheme="minorHAnsi" w:eastAsia="PMingLiU" w:hAnsiTheme="minorHAnsi" w:cstheme="minorHAnsi"/>
              </w:rPr>
              <w:t>Please see note below.</w:t>
            </w:r>
          </w:p>
        </w:tc>
      </w:tr>
      <w:tr w:rsidR="00634539" w:rsidRPr="00E11541" w14:paraId="464BCA80" w14:textId="77777777" w:rsidTr="73BB70C5">
        <w:tc>
          <w:tcPr>
            <w:cnfStyle w:val="001000000000" w:firstRow="0" w:lastRow="0" w:firstColumn="1" w:lastColumn="0" w:oddVBand="0" w:evenVBand="0" w:oddHBand="0" w:evenHBand="0" w:firstRowFirstColumn="0" w:firstRowLastColumn="0" w:lastRowFirstColumn="0" w:lastRowLastColumn="0"/>
            <w:tcW w:w="1034" w:type="dxa"/>
          </w:tcPr>
          <w:p w14:paraId="3EFEA4C9"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E11541">
              <w:rPr>
                <w:rFonts w:asciiTheme="minorHAnsi" w:eastAsia="PMingLiU" w:hAnsiTheme="minorHAnsi" w:cstheme="minorHAnsi"/>
              </w:rPr>
              <w:t>17</w:t>
            </w:r>
          </w:p>
        </w:tc>
        <w:tc>
          <w:tcPr>
            <w:tcW w:w="2370" w:type="dxa"/>
          </w:tcPr>
          <w:p w14:paraId="4A04782E" w14:textId="77777777"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Percent of enforcement presence</w:t>
            </w:r>
          </w:p>
        </w:tc>
        <w:tc>
          <w:tcPr>
            <w:tcW w:w="1275" w:type="dxa"/>
          </w:tcPr>
          <w:p w14:paraId="2883494A" w14:textId="1BBE589F" w:rsidR="00634539" w:rsidRPr="00E11541" w:rsidRDefault="0043560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1.01</w:t>
            </w:r>
            <w:r w:rsidR="00634539" w:rsidRPr="00E11541">
              <w:rPr>
                <w:rFonts w:asciiTheme="minorHAnsi" w:hAnsiTheme="minorHAnsi" w:cstheme="minorHAnsi"/>
              </w:rPr>
              <w:t>%</w:t>
            </w:r>
          </w:p>
        </w:tc>
        <w:tc>
          <w:tcPr>
            <w:tcW w:w="1292" w:type="dxa"/>
          </w:tcPr>
          <w:p w14:paraId="4F9F67C9" w14:textId="77777777" w:rsidR="00634539" w:rsidRPr="00E11541" w:rsidRDefault="00634539" w:rsidP="008144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541">
              <w:rPr>
                <w:rFonts w:asciiTheme="minorHAnsi" w:hAnsiTheme="minorHAnsi" w:cstheme="minorHAnsi"/>
              </w:rPr>
              <w:t>+/- 25% of</w:t>
            </w:r>
          </w:p>
          <w:p w14:paraId="315D63EF" w14:textId="33500447" w:rsidR="00634539" w:rsidRPr="00E11541" w:rsidRDefault="0043560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1.64</w:t>
            </w:r>
            <w:r w:rsidR="00634539" w:rsidRPr="00E11541">
              <w:rPr>
                <w:rFonts w:asciiTheme="minorHAnsi" w:hAnsiTheme="minorHAnsi" w:cstheme="minorHAnsi"/>
              </w:rPr>
              <w:t>%</w:t>
            </w:r>
          </w:p>
        </w:tc>
        <w:tc>
          <w:tcPr>
            <w:tcW w:w="4379" w:type="dxa"/>
          </w:tcPr>
          <w:p w14:paraId="66CFA076" w14:textId="2E91422E" w:rsidR="00634539" w:rsidRPr="00E11541"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11541">
              <w:rPr>
                <w:rFonts w:asciiTheme="minorHAnsi" w:hAnsiTheme="minorHAnsi" w:cstheme="minorHAnsi"/>
              </w:rPr>
              <w:t xml:space="preserve">The further review level is based on a three-year national average.  The range of acceptable data not requiring further review is from </w:t>
            </w:r>
            <w:r w:rsidR="0043560A" w:rsidRPr="00E11541">
              <w:rPr>
                <w:rFonts w:asciiTheme="minorHAnsi" w:hAnsiTheme="minorHAnsi" w:cstheme="minorHAnsi"/>
              </w:rPr>
              <w:t>1.23</w:t>
            </w:r>
            <w:r w:rsidRPr="00E11541">
              <w:rPr>
                <w:rFonts w:asciiTheme="minorHAnsi" w:hAnsiTheme="minorHAnsi" w:cstheme="minorHAnsi"/>
              </w:rPr>
              <w:t xml:space="preserve">% to </w:t>
            </w:r>
            <w:r w:rsidR="0043560A" w:rsidRPr="00E11541">
              <w:rPr>
                <w:rFonts w:asciiTheme="minorHAnsi" w:hAnsiTheme="minorHAnsi" w:cstheme="minorHAnsi"/>
              </w:rPr>
              <w:t>2.05</w:t>
            </w:r>
            <w:r w:rsidRPr="00E11541">
              <w:rPr>
                <w:rFonts w:asciiTheme="minorHAnsi" w:hAnsiTheme="minorHAnsi" w:cstheme="minorHAnsi"/>
              </w:rPr>
              <w:t>%.</w:t>
            </w:r>
          </w:p>
        </w:tc>
      </w:tr>
    </w:tbl>
    <w:p w14:paraId="723E33DA" w14:textId="77777777" w:rsidR="005128CD" w:rsidRPr="00E11541" w:rsidRDefault="005128CD" w:rsidP="007A71AC">
      <w:pPr>
        <w:widowControl/>
        <w:autoSpaceDE/>
        <w:autoSpaceDN/>
        <w:adjustRightInd/>
        <w:rPr>
          <w:rFonts w:asciiTheme="minorHAnsi" w:hAnsiTheme="minorHAnsi" w:cstheme="minorHAnsi"/>
          <w:b/>
          <w:color w:val="1F497D"/>
          <w:sz w:val="28"/>
          <w:szCs w:val="28"/>
        </w:rPr>
      </w:pPr>
    </w:p>
    <w:p w14:paraId="58D452A4" w14:textId="579ABD22" w:rsidR="0043560A" w:rsidRPr="00E11541" w:rsidRDefault="0043560A" w:rsidP="0043560A">
      <w:pPr>
        <w:rPr>
          <w:rFonts w:asciiTheme="minorHAnsi" w:hAnsiTheme="minorHAnsi" w:cstheme="minorHAnsi"/>
        </w:rPr>
      </w:pPr>
      <w:r w:rsidRPr="00E11541">
        <w:rPr>
          <w:rFonts w:asciiTheme="minorHAnsi" w:hAnsiTheme="minorHAnsi" w:cstheme="minorHAnsi"/>
        </w:rPr>
        <w:t>NOTE:  The national averages in this report are three-year rolling averages.  Unless otherwise noted, the data contained in this Appendix D are pulled from the State Activity Mandated Measures (SAMM) Report in OIS run on November 14, 2022, as part of OSHA’s official end-of-year data run.</w:t>
      </w:r>
    </w:p>
    <w:p w14:paraId="6656A335" w14:textId="77777777" w:rsidR="00C03250" w:rsidRPr="00E11541" w:rsidRDefault="00C03250" w:rsidP="0043560A">
      <w:pPr>
        <w:rPr>
          <w:rFonts w:asciiTheme="minorHAnsi" w:hAnsiTheme="minorHAnsi" w:cstheme="minorHAnsi"/>
        </w:rPr>
      </w:pPr>
    </w:p>
    <w:p w14:paraId="647347C0" w14:textId="77777777" w:rsidR="0043560A" w:rsidRPr="00E11541" w:rsidRDefault="0043560A" w:rsidP="0043560A">
      <w:pPr>
        <w:rPr>
          <w:rFonts w:asciiTheme="minorHAnsi" w:hAnsiTheme="minorHAnsi" w:cstheme="minorHAnsi"/>
        </w:rPr>
      </w:pPr>
      <w:r w:rsidRPr="00E11541">
        <w:rPr>
          <w:rFonts w:asciiTheme="minorHAnsi" w:hAnsiTheme="minorHAnsi" w:cstheme="minorHAnsi"/>
        </w:rPr>
        <w:t xml:space="preserve">*Due to the transition of 11(c) data from IMIS to OIS, SAMMs 14, 15, and 16 are not being reported for FY 2022. </w:t>
      </w:r>
    </w:p>
    <w:p w14:paraId="575825F5" w14:textId="77777777" w:rsidR="005128CD" w:rsidRPr="001C1E47" w:rsidRDefault="005128CD" w:rsidP="007A71AC">
      <w:pPr>
        <w:widowControl/>
        <w:autoSpaceDE/>
        <w:autoSpaceDN/>
        <w:adjustRightInd/>
        <w:rPr>
          <w:rFonts w:cs="Calibri"/>
          <w:b/>
          <w:color w:val="1F497D"/>
          <w:sz w:val="28"/>
          <w:szCs w:val="28"/>
        </w:rPr>
      </w:pPr>
    </w:p>
    <w:p w14:paraId="325D26EC" w14:textId="77777777" w:rsidR="00E950BC" w:rsidRPr="001C1E47" w:rsidRDefault="00E950BC" w:rsidP="00634539">
      <w:pPr>
        <w:widowControl/>
        <w:autoSpaceDE/>
        <w:autoSpaceDN/>
        <w:adjustRightInd/>
        <w:rPr>
          <w:rFonts w:cs="Calibri"/>
          <w:i/>
        </w:rPr>
      </w:pPr>
    </w:p>
    <w:p w14:paraId="4A00AD13" w14:textId="77777777" w:rsidR="000A134A" w:rsidRPr="001C1E47" w:rsidRDefault="000A134A" w:rsidP="007A71AC">
      <w:pPr>
        <w:widowControl/>
        <w:autoSpaceDE/>
        <w:autoSpaceDN/>
        <w:adjustRightInd/>
        <w:rPr>
          <w:rFonts w:cs="Calibri"/>
          <w:i/>
        </w:rPr>
      </w:pPr>
    </w:p>
    <w:p w14:paraId="16FC8813" w14:textId="4409C04D" w:rsidR="0092646E" w:rsidRPr="00476C08" w:rsidRDefault="000A134A" w:rsidP="00F40413">
      <w:pPr>
        <w:widowControl/>
        <w:autoSpaceDE/>
        <w:autoSpaceDN/>
        <w:adjustRightInd/>
        <w:ind w:left="1080"/>
        <w:rPr>
          <w:rFonts w:cs="Calibri"/>
          <w:iCs/>
          <w:color w:val="0070C0"/>
        </w:rPr>
      </w:pPr>
      <w:r w:rsidRPr="00476C08">
        <w:rPr>
          <w:rFonts w:cs="Calibri"/>
          <w:iCs/>
          <w:color w:val="0070C0"/>
        </w:rPr>
        <w:t xml:space="preserve">                             </w:t>
      </w:r>
    </w:p>
    <w:p w14:paraId="70FCF008" w14:textId="77777777" w:rsidR="0016336D" w:rsidRPr="001C1E47" w:rsidRDefault="0016336D" w:rsidP="00F40413">
      <w:pPr>
        <w:widowControl/>
        <w:autoSpaceDE/>
        <w:autoSpaceDN/>
        <w:adjustRightInd/>
        <w:ind w:left="1080"/>
        <w:rPr>
          <w:rFonts w:cs="Calibri"/>
        </w:rPr>
      </w:pPr>
    </w:p>
    <w:p w14:paraId="3291466A" w14:textId="77777777" w:rsidR="005F128A" w:rsidRPr="001C1E47" w:rsidRDefault="005F128A" w:rsidP="00F40413">
      <w:pPr>
        <w:widowControl/>
        <w:autoSpaceDE/>
        <w:autoSpaceDN/>
        <w:adjustRightInd/>
        <w:ind w:left="1080"/>
        <w:rPr>
          <w:rFonts w:cs="Calibri"/>
        </w:rPr>
      </w:pPr>
    </w:p>
    <w:p w14:paraId="0A470C61" w14:textId="77777777" w:rsidR="005128CD" w:rsidRPr="001C1E47" w:rsidRDefault="005128CD" w:rsidP="00634539">
      <w:pPr>
        <w:widowControl/>
        <w:autoSpaceDE/>
        <w:autoSpaceDN/>
        <w:adjustRightInd/>
        <w:rPr>
          <w:rFonts w:cs="Calibri"/>
        </w:rPr>
        <w:sectPr w:rsidR="005128CD" w:rsidRPr="001C1E47" w:rsidSect="00476C08">
          <w:headerReference w:type="default" r:id="rId21"/>
          <w:footerReference w:type="default" r:id="rId22"/>
          <w:pgSz w:w="12240" w:h="15840" w:code="1"/>
          <w:pgMar w:top="1440" w:right="1440" w:bottom="1440" w:left="1440" w:header="720" w:footer="720" w:gutter="0"/>
          <w:cols w:space="720"/>
          <w:noEndnote/>
          <w:docGrid w:linePitch="326"/>
        </w:sectPr>
      </w:pPr>
    </w:p>
    <w:p w14:paraId="52265BF8" w14:textId="77777777" w:rsidR="005F128A" w:rsidRPr="001C1E47" w:rsidRDefault="005F128A" w:rsidP="00634539">
      <w:pPr>
        <w:widowControl/>
        <w:autoSpaceDE/>
        <w:autoSpaceDN/>
        <w:adjustRightInd/>
        <w:rPr>
          <w:rFonts w:cs="Calibri"/>
        </w:rPr>
      </w:pPr>
    </w:p>
    <w:p w14:paraId="24A311E3" w14:textId="77777777" w:rsidR="005F128A" w:rsidRPr="001C1E47" w:rsidRDefault="005F128A" w:rsidP="00F40413">
      <w:pPr>
        <w:widowControl/>
        <w:autoSpaceDE/>
        <w:autoSpaceDN/>
        <w:adjustRightInd/>
        <w:ind w:left="1080"/>
        <w:rPr>
          <w:rFonts w:cs="Calibri"/>
        </w:rPr>
      </w:pPr>
    </w:p>
    <w:p w14:paraId="1EF1EE4F" w14:textId="77777777" w:rsidR="005F128A" w:rsidRPr="001C1E47" w:rsidRDefault="005F128A" w:rsidP="00F40413">
      <w:pPr>
        <w:widowControl/>
        <w:autoSpaceDE/>
        <w:autoSpaceDN/>
        <w:adjustRightInd/>
        <w:ind w:left="1080"/>
        <w:rPr>
          <w:rFonts w:cs="Calibri"/>
        </w:rPr>
      </w:pPr>
    </w:p>
    <w:p w14:paraId="6573BAF6" w14:textId="3FAD77B0" w:rsidR="00634539" w:rsidRPr="001C1E47" w:rsidRDefault="00634539" w:rsidP="00634539">
      <w:pPr>
        <w:tabs>
          <w:tab w:val="left" w:pos="3405"/>
        </w:tabs>
        <w:rPr>
          <w:rFonts w:cs="Calibri"/>
        </w:rPr>
      </w:pPr>
    </w:p>
    <w:sectPr w:rsidR="00634539" w:rsidRPr="001C1E47" w:rsidSect="005128CD">
      <w:headerReference w:type="default" r:id="rId23"/>
      <w:footerReference w:type="default" r:id="rId24"/>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8EAA1" w14:textId="77777777" w:rsidR="00F329A9" w:rsidRDefault="00F329A9" w:rsidP="00C872A0">
      <w:r>
        <w:separator/>
      </w:r>
    </w:p>
  </w:endnote>
  <w:endnote w:type="continuationSeparator" w:id="0">
    <w:p w14:paraId="5B08CFCE" w14:textId="77777777" w:rsidR="00F329A9" w:rsidRDefault="00F329A9" w:rsidP="00C872A0">
      <w:r>
        <w:continuationSeparator/>
      </w:r>
    </w:p>
  </w:endnote>
  <w:endnote w:type="continuationNotice" w:id="1">
    <w:p w14:paraId="66045BC3" w14:textId="77777777" w:rsidR="00F329A9" w:rsidRDefault="00F329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432793"/>
      <w:docPartObj>
        <w:docPartGallery w:val="Page Numbers (Bottom of Page)"/>
        <w:docPartUnique/>
      </w:docPartObj>
    </w:sdtPr>
    <w:sdtEndPr>
      <w:rPr>
        <w:noProof/>
      </w:rPr>
    </w:sdtEndPr>
    <w:sdtContent>
      <w:p w14:paraId="11289CDA" w14:textId="504CB050" w:rsidR="002648FC" w:rsidRDefault="00264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502FAB5" w:rsidR="00780E29" w:rsidRDefault="00780E2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4D72" w14:textId="77777777" w:rsidR="00780E29" w:rsidRDefault="00780E29">
    <w:pPr>
      <w:pStyle w:val="Footer"/>
      <w:jc w:val="center"/>
    </w:pPr>
  </w:p>
  <w:p w14:paraId="0AB20AA6" w14:textId="77777777" w:rsidR="00780E29" w:rsidRDefault="00780E29"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48562"/>
      <w:docPartObj>
        <w:docPartGallery w:val="Page Numbers (Bottom of Page)"/>
        <w:docPartUnique/>
      </w:docPartObj>
    </w:sdtPr>
    <w:sdtEndPr>
      <w:rPr>
        <w:noProof/>
      </w:rPr>
    </w:sdtEndPr>
    <w:sdtContent>
      <w:p w14:paraId="4BC72A5B" w14:textId="406F7F50"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6DEBE" w14:textId="77777777" w:rsidR="00E61319" w:rsidRDefault="00E6131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6706" w14:textId="58BDEC49"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p w14:paraId="59B6D71E" w14:textId="77777777" w:rsidR="00780E29" w:rsidRDefault="00780E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0D64" w14:textId="77777777" w:rsidR="00780E29" w:rsidRDefault="00780E29">
    <w:pPr>
      <w:pStyle w:val="Footer"/>
      <w:jc w:val="center"/>
    </w:pPr>
    <w:r>
      <w:t>B-1</w:t>
    </w:r>
  </w:p>
  <w:p w14:paraId="1056AAF8" w14:textId="77777777" w:rsidR="00780E29" w:rsidRDefault="00780E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F5BF" w14:textId="25062137"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p w14:paraId="2409E6FE" w14:textId="77777777" w:rsidR="00780E29" w:rsidRDefault="00780E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475891"/>
      <w:docPartObj>
        <w:docPartGallery w:val="Page Numbers (Bottom of Page)"/>
        <w:docPartUnique/>
      </w:docPartObj>
    </w:sdtPr>
    <w:sdtEndPr>
      <w:rPr>
        <w:noProof/>
      </w:rPr>
    </w:sdtEndPr>
    <w:sdtContent>
      <w:p w14:paraId="2EB48E40" w14:textId="55C41B5C"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3659E" w14:textId="1668AEAF" w:rsidR="00780E29" w:rsidRPr="00E20610" w:rsidRDefault="00780E29" w:rsidP="00E2061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AADA" w14:textId="7AB042DC" w:rsidR="00780E29" w:rsidRPr="000E07E7" w:rsidRDefault="00780E29"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96110" w14:textId="77777777" w:rsidR="00F329A9" w:rsidRDefault="00F329A9" w:rsidP="00C872A0">
      <w:r>
        <w:separator/>
      </w:r>
    </w:p>
  </w:footnote>
  <w:footnote w:type="continuationSeparator" w:id="0">
    <w:p w14:paraId="40765CC9" w14:textId="77777777" w:rsidR="00F329A9" w:rsidRDefault="00F329A9" w:rsidP="00C872A0">
      <w:r>
        <w:continuationSeparator/>
      </w:r>
    </w:p>
  </w:footnote>
  <w:footnote w:type="continuationNotice" w:id="1">
    <w:p w14:paraId="7F9924E4" w14:textId="77777777" w:rsidR="00F329A9" w:rsidRDefault="00F329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59F0" w14:textId="574F2C4F" w:rsidR="00780E29" w:rsidRPr="00B6741C" w:rsidRDefault="00780E29" w:rsidP="00B67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A15F" w14:textId="0461E266" w:rsidR="00780E29" w:rsidRPr="00B6741C" w:rsidRDefault="00780E29" w:rsidP="00B67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CA39" w14:textId="77777777" w:rsidR="00780E29" w:rsidRPr="00283FF9" w:rsidRDefault="00780E29" w:rsidP="00476C08">
    <w:pPr>
      <w:pStyle w:val="Heading2"/>
    </w:pPr>
    <w:r w:rsidRPr="00283FF9">
      <w:t>Appendix B – Observations and Federal Monitoring Plans</w:t>
    </w:r>
  </w:p>
  <w:p w14:paraId="5EEDD947" w14:textId="7B32B4C1" w:rsidR="00780E29" w:rsidRDefault="00780E29" w:rsidP="000A134A">
    <w:pPr>
      <w:jc w:val="center"/>
    </w:pPr>
    <w:r>
      <w:t>FY 20</w:t>
    </w:r>
    <w:r w:rsidR="00F54BE0">
      <w:t>22</w:t>
    </w:r>
    <w:r>
      <w:t xml:space="preserve"> [</w:t>
    </w:r>
    <w:r>
      <w:rPr>
        <w:i/>
      </w:rPr>
      <w:t>State Plan Name</w:t>
    </w:r>
    <w:r w:rsidRPr="001056A7">
      <w:t>]</w:t>
    </w:r>
    <w:r w:rsidRPr="003E7A6E">
      <w:t xml:space="preserve"> </w:t>
    </w:r>
    <w:r>
      <w:t>Follow-up FAME Report</w:t>
    </w:r>
  </w:p>
  <w:p w14:paraId="65B55A33" w14:textId="77777777" w:rsidR="00780E29" w:rsidRDefault="00780E29" w:rsidP="000A134A">
    <w:pPr>
      <w:jc w:val="center"/>
    </w:pPr>
  </w:p>
  <w:p w14:paraId="79523575" w14:textId="77777777" w:rsidR="00780E29" w:rsidRDefault="00780E29" w:rsidP="000A134A">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B8D7" w14:textId="77777777" w:rsidR="00780E29" w:rsidRDefault="00780E29" w:rsidP="009A2ED6">
    <w:pPr>
      <w:pStyle w:val="Header"/>
      <w:jc w:val="center"/>
      <w:rPr>
        <w:b/>
      </w:rPr>
    </w:pPr>
  </w:p>
  <w:p w14:paraId="2DCFF2A3" w14:textId="77777777" w:rsidR="00780E29" w:rsidRPr="009A2ED6" w:rsidRDefault="00780E29" w:rsidP="009A2ED6">
    <w:pPr>
      <w:pStyle w:val="Header"/>
      <w:jc w:val="center"/>
      <w:rPr>
        <w:b/>
      </w:rPr>
    </w:pPr>
  </w:p>
  <w:p w14:paraId="1D9C2B96" w14:textId="77777777" w:rsidR="00780E29" w:rsidRPr="000767C0" w:rsidRDefault="00780E29" w:rsidP="009A2ED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92CC" w14:textId="0A117B51" w:rsidR="00780E29" w:rsidRPr="006F2309" w:rsidRDefault="00780E29" w:rsidP="006F2309">
    <w:pPr>
      <w:pStyle w:val="Header"/>
    </w:pPr>
    <w:r w:rsidRPr="006F2309">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A0A7" w14:textId="11A2137F" w:rsidR="00780E29" w:rsidRPr="00D2585B" w:rsidRDefault="00780E29" w:rsidP="00D258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E7B3" w14:textId="2FA7B352" w:rsidR="00780E29" w:rsidRPr="000767C0" w:rsidRDefault="00780E29"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E8935DA"/>
    <w:multiLevelType w:val="hybridMultilevel"/>
    <w:tmpl w:val="78248694"/>
    <w:lvl w:ilvl="0" w:tplc="26E6AB72">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B477B"/>
    <w:multiLevelType w:val="hybridMultilevel"/>
    <w:tmpl w:val="AEE28388"/>
    <w:lvl w:ilvl="0" w:tplc="97CE5A9C">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2E6033"/>
    <w:multiLevelType w:val="hybridMultilevel"/>
    <w:tmpl w:val="9D46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1"/>
  </w:num>
  <w:num w:numId="5" w16cid:durableId="437339714">
    <w:abstractNumId w:val="28"/>
  </w:num>
  <w:num w:numId="6" w16cid:durableId="1373268660">
    <w:abstractNumId w:val="25"/>
  </w:num>
  <w:num w:numId="7" w16cid:durableId="1614284284">
    <w:abstractNumId w:val="26"/>
  </w:num>
  <w:num w:numId="8" w16cid:durableId="1901401974">
    <w:abstractNumId w:val="29"/>
  </w:num>
  <w:num w:numId="9" w16cid:durableId="340623116">
    <w:abstractNumId w:val="27"/>
  </w:num>
  <w:num w:numId="10" w16cid:durableId="1713532647">
    <w:abstractNumId w:val="32"/>
  </w:num>
  <w:num w:numId="11" w16cid:durableId="247546233">
    <w:abstractNumId w:val="23"/>
  </w:num>
  <w:num w:numId="12" w16cid:durableId="1587691524">
    <w:abstractNumId w:val="24"/>
  </w:num>
  <w:num w:numId="13" w16cid:durableId="1585917603">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1DF"/>
    <w:rsid w:val="0000201A"/>
    <w:rsid w:val="00002B73"/>
    <w:rsid w:val="00002D37"/>
    <w:rsid w:val="000033EA"/>
    <w:rsid w:val="000036AB"/>
    <w:rsid w:val="00004200"/>
    <w:rsid w:val="00007781"/>
    <w:rsid w:val="000116C0"/>
    <w:rsid w:val="00014C7A"/>
    <w:rsid w:val="00016214"/>
    <w:rsid w:val="00016803"/>
    <w:rsid w:val="0001706D"/>
    <w:rsid w:val="00017349"/>
    <w:rsid w:val="000175EB"/>
    <w:rsid w:val="00021274"/>
    <w:rsid w:val="000217D1"/>
    <w:rsid w:val="00021FE0"/>
    <w:rsid w:val="000221A4"/>
    <w:rsid w:val="00022BEE"/>
    <w:rsid w:val="00023E67"/>
    <w:rsid w:val="000243FB"/>
    <w:rsid w:val="000248F0"/>
    <w:rsid w:val="0002572C"/>
    <w:rsid w:val="00025F57"/>
    <w:rsid w:val="00026D63"/>
    <w:rsid w:val="00027093"/>
    <w:rsid w:val="0003442F"/>
    <w:rsid w:val="00034A4E"/>
    <w:rsid w:val="00035080"/>
    <w:rsid w:val="00035083"/>
    <w:rsid w:val="0003567C"/>
    <w:rsid w:val="00036865"/>
    <w:rsid w:val="00036BF8"/>
    <w:rsid w:val="00036EB4"/>
    <w:rsid w:val="00036F0D"/>
    <w:rsid w:val="00037F48"/>
    <w:rsid w:val="000404ED"/>
    <w:rsid w:val="00042327"/>
    <w:rsid w:val="00043515"/>
    <w:rsid w:val="00044436"/>
    <w:rsid w:val="000447C9"/>
    <w:rsid w:val="000449F8"/>
    <w:rsid w:val="00045479"/>
    <w:rsid w:val="00045BD6"/>
    <w:rsid w:val="00045C51"/>
    <w:rsid w:val="00046151"/>
    <w:rsid w:val="000468C6"/>
    <w:rsid w:val="00046BEE"/>
    <w:rsid w:val="00046E13"/>
    <w:rsid w:val="000470EE"/>
    <w:rsid w:val="0005007B"/>
    <w:rsid w:val="00050FEB"/>
    <w:rsid w:val="000517FA"/>
    <w:rsid w:val="00051B8D"/>
    <w:rsid w:val="00052B36"/>
    <w:rsid w:val="00053A2C"/>
    <w:rsid w:val="00053F2F"/>
    <w:rsid w:val="00054416"/>
    <w:rsid w:val="00054900"/>
    <w:rsid w:val="00055243"/>
    <w:rsid w:val="00055275"/>
    <w:rsid w:val="00055B40"/>
    <w:rsid w:val="00055F2C"/>
    <w:rsid w:val="00057840"/>
    <w:rsid w:val="00060D39"/>
    <w:rsid w:val="00060FBF"/>
    <w:rsid w:val="00061875"/>
    <w:rsid w:val="00062531"/>
    <w:rsid w:val="000625FB"/>
    <w:rsid w:val="0006398D"/>
    <w:rsid w:val="00065AB2"/>
    <w:rsid w:val="0006611A"/>
    <w:rsid w:val="00066A7B"/>
    <w:rsid w:val="00066C52"/>
    <w:rsid w:val="000701E4"/>
    <w:rsid w:val="0007073F"/>
    <w:rsid w:val="0007157F"/>
    <w:rsid w:val="00071E71"/>
    <w:rsid w:val="000724F1"/>
    <w:rsid w:val="0007306B"/>
    <w:rsid w:val="000743D1"/>
    <w:rsid w:val="00074876"/>
    <w:rsid w:val="000760CB"/>
    <w:rsid w:val="00076601"/>
    <w:rsid w:val="000767C0"/>
    <w:rsid w:val="000770C5"/>
    <w:rsid w:val="00077410"/>
    <w:rsid w:val="00083A76"/>
    <w:rsid w:val="00085230"/>
    <w:rsid w:val="000856B1"/>
    <w:rsid w:val="00086F2F"/>
    <w:rsid w:val="0008759E"/>
    <w:rsid w:val="00087EE9"/>
    <w:rsid w:val="00090155"/>
    <w:rsid w:val="000902ED"/>
    <w:rsid w:val="0009134A"/>
    <w:rsid w:val="00091ABD"/>
    <w:rsid w:val="00091AE2"/>
    <w:rsid w:val="00091B54"/>
    <w:rsid w:val="000923E0"/>
    <w:rsid w:val="00092555"/>
    <w:rsid w:val="000929B5"/>
    <w:rsid w:val="00092F1B"/>
    <w:rsid w:val="00093239"/>
    <w:rsid w:val="0009535D"/>
    <w:rsid w:val="0009583F"/>
    <w:rsid w:val="000969E2"/>
    <w:rsid w:val="000A134A"/>
    <w:rsid w:val="000A1CE9"/>
    <w:rsid w:val="000A2DE7"/>
    <w:rsid w:val="000A3878"/>
    <w:rsid w:val="000A3E04"/>
    <w:rsid w:val="000A40EC"/>
    <w:rsid w:val="000A55DB"/>
    <w:rsid w:val="000A658C"/>
    <w:rsid w:val="000A7279"/>
    <w:rsid w:val="000A7A05"/>
    <w:rsid w:val="000B07D7"/>
    <w:rsid w:val="000B1A5B"/>
    <w:rsid w:val="000B1ECC"/>
    <w:rsid w:val="000B22E4"/>
    <w:rsid w:val="000B3A37"/>
    <w:rsid w:val="000B440B"/>
    <w:rsid w:val="000B476F"/>
    <w:rsid w:val="000B4852"/>
    <w:rsid w:val="000B6969"/>
    <w:rsid w:val="000B6A8A"/>
    <w:rsid w:val="000C04C6"/>
    <w:rsid w:val="000C0E15"/>
    <w:rsid w:val="000C12C6"/>
    <w:rsid w:val="000C1882"/>
    <w:rsid w:val="000C1ED8"/>
    <w:rsid w:val="000C2118"/>
    <w:rsid w:val="000C295F"/>
    <w:rsid w:val="000C2A4C"/>
    <w:rsid w:val="000C2E74"/>
    <w:rsid w:val="000C368E"/>
    <w:rsid w:val="000C38BD"/>
    <w:rsid w:val="000C4141"/>
    <w:rsid w:val="000C43DE"/>
    <w:rsid w:val="000C46E4"/>
    <w:rsid w:val="000C49EE"/>
    <w:rsid w:val="000C5C82"/>
    <w:rsid w:val="000C7C9A"/>
    <w:rsid w:val="000C7D17"/>
    <w:rsid w:val="000D1B9D"/>
    <w:rsid w:val="000D2D28"/>
    <w:rsid w:val="000D343F"/>
    <w:rsid w:val="000D4560"/>
    <w:rsid w:val="000D4A64"/>
    <w:rsid w:val="000D750A"/>
    <w:rsid w:val="000D7AAD"/>
    <w:rsid w:val="000D7AEF"/>
    <w:rsid w:val="000E0408"/>
    <w:rsid w:val="000E07E7"/>
    <w:rsid w:val="000E0DD1"/>
    <w:rsid w:val="000E1877"/>
    <w:rsid w:val="000E1AA2"/>
    <w:rsid w:val="000E20A2"/>
    <w:rsid w:val="000E337E"/>
    <w:rsid w:val="000E46F3"/>
    <w:rsid w:val="000E5C64"/>
    <w:rsid w:val="000E6466"/>
    <w:rsid w:val="000E7F42"/>
    <w:rsid w:val="000F1D68"/>
    <w:rsid w:val="000F1E49"/>
    <w:rsid w:val="000F23D3"/>
    <w:rsid w:val="000F27D9"/>
    <w:rsid w:val="000F46ED"/>
    <w:rsid w:val="000F4DA3"/>
    <w:rsid w:val="000F5631"/>
    <w:rsid w:val="000F5A36"/>
    <w:rsid w:val="000F63C1"/>
    <w:rsid w:val="000F6A5C"/>
    <w:rsid w:val="000F7ECC"/>
    <w:rsid w:val="00101BEF"/>
    <w:rsid w:val="001023C6"/>
    <w:rsid w:val="001026B3"/>
    <w:rsid w:val="0010270A"/>
    <w:rsid w:val="00102B8A"/>
    <w:rsid w:val="001039FA"/>
    <w:rsid w:val="0010494E"/>
    <w:rsid w:val="001056A7"/>
    <w:rsid w:val="001063D4"/>
    <w:rsid w:val="0011011A"/>
    <w:rsid w:val="00110CB0"/>
    <w:rsid w:val="001113A1"/>
    <w:rsid w:val="00112C81"/>
    <w:rsid w:val="0011326F"/>
    <w:rsid w:val="0011522A"/>
    <w:rsid w:val="00115B48"/>
    <w:rsid w:val="00115DF5"/>
    <w:rsid w:val="00116055"/>
    <w:rsid w:val="001170E4"/>
    <w:rsid w:val="00117115"/>
    <w:rsid w:val="001174A0"/>
    <w:rsid w:val="001206B1"/>
    <w:rsid w:val="0012164B"/>
    <w:rsid w:val="00122228"/>
    <w:rsid w:val="0012279E"/>
    <w:rsid w:val="00122839"/>
    <w:rsid w:val="00122BD3"/>
    <w:rsid w:val="00123AC4"/>
    <w:rsid w:val="00125065"/>
    <w:rsid w:val="00125345"/>
    <w:rsid w:val="00125C8A"/>
    <w:rsid w:val="00126880"/>
    <w:rsid w:val="00132862"/>
    <w:rsid w:val="00132F71"/>
    <w:rsid w:val="001330E6"/>
    <w:rsid w:val="001341FE"/>
    <w:rsid w:val="00134F5C"/>
    <w:rsid w:val="00134F5D"/>
    <w:rsid w:val="00135328"/>
    <w:rsid w:val="001358F0"/>
    <w:rsid w:val="00136DA3"/>
    <w:rsid w:val="001376D1"/>
    <w:rsid w:val="00140C21"/>
    <w:rsid w:val="00141097"/>
    <w:rsid w:val="00141758"/>
    <w:rsid w:val="0014199D"/>
    <w:rsid w:val="00142198"/>
    <w:rsid w:val="00143ACD"/>
    <w:rsid w:val="0014420A"/>
    <w:rsid w:val="00144A53"/>
    <w:rsid w:val="00145BC1"/>
    <w:rsid w:val="001469F6"/>
    <w:rsid w:val="001471B8"/>
    <w:rsid w:val="00147B01"/>
    <w:rsid w:val="00147F8B"/>
    <w:rsid w:val="00150F03"/>
    <w:rsid w:val="001515BB"/>
    <w:rsid w:val="00151CFD"/>
    <w:rsid w:val="00152207"/>
    <w:rsid w:val="00155591"/>
    <w:rsid w:val="00156673"/>
    <w:rsid w:val="00156CD6"/>
    <w:rsid w:val="00156E0C"/>
    <w:rsid w:val="00157520"/>
    <w:rsid w:val="00161740"/>
    <w:rsid w:val="0016336D"/>
    <w:rsid w:val="00163E90"/>
    <w:rsid w:val="00172085"/>
    <w:rsid w:val="00173853"/>
    <w:rsid w:val="0017552C"/>
    <w:rsid w:val="00176BE2"/>
    <w:rsid w:val="00176DF8"/>
    <w:rsid w:val="00177A1E"/>
    <w:rsid w:val="00177D70"/>
    <w:rsid w:val="00180E0F"/>
    <w:rsid w:val="00182B5C"/>
    <w:rsid w:val="00182CE0"/>
    <w:rsid w:val="001843E2"/>
    <w:rsid w:val="00184E43"/>
    <w:rsid w:val="00185C7D"/>
    <w:rsid w:val="001861B8"/>
    <w:rsid w:val="00187065"/>
    <w:rsid w:val="00187182"/>
    <w:rsid w:val="001902FE"/>
    <w:rsid w:val="001927A4"/>
    <w:rsid w:val="00192881"/>
    <w:rsid w:val="00192C14"/>
    <w:rsid w:val="00192C52"/>
    <w:rsid w:val="0019388F"/>
    <w:rsid w:val="00193E53"/>
    <w:rsid w:val="001941DE"/>
    <w:rsid w:val="00195153"/>
    <w:rsid w:val="001958C8"/>
    <w:rsid w:val="001A2967"/>
    <w:rsid w:val="001A335E"/>
    <w:rsid w:val="001A3671"/>
    <w:rsid w:val="001A438F"/>
    <w:rsid w:val="001A6B79"/>
    <w:rsid w:val="001A7BB9"/>
    <w:rsid w:val="001A7F60"/>
    <w:rsid w:val="001B0219"/>
    <w:rsid w:val="001B02D7"/>
    <w:rsid w:val="001B0632"/>
    <w:rsid w:val="001B0AF1"/>
    <w:rsid w:val="001B160F"/>
    <w:rsid w:val="001B284A"/>
    <w:rsid w:val="001B346B"/>
    <w:rsid w:val="001B57AF"/>
    <w:rsid w:val="001B6663"/>
    <w:rsid w:val="001B6DA7"/>
    <w:rsid w:val="001B77A2"/>
    <w:rsid w:val="001C154D"/>
    <w:rsid w:val="001C1E47"/>
    <w:rsid w:val="001C2B11"/>
    <w:rsid w:val="001C3276"/>
    <w:rsid w:val="001C44E8"/>
    <w:rsid w:val="001C560E"/>
    <w:rsid w:val="001C58C2"/>
    <w:rsid w:val="001C620B"/>
    <w:rsid w:val="001C776E"/>
    <w:rsid w:val="001D1819"/>
    <w:rsid w:val="001D1A16"/>
    <w:rsid w:val="001D38A5"/>
    <w:rsid w:val="001D3E42"/>
    <w:rsid w:val="001D5AF4"/>
    <w:rsid w:val="001D6530"/>
    <w:rsid w:val="001D681F"/>
    <w:rsid w:val="001D6D59"/>
    <w:rsid w:val="001D7428"/>
    <w:rsid w:val="001D7613"/>
    <w:rsid w:val="001E0EFF"/>
    <w:rsid w:val="001E1B35"/>
    <w:rsid w:val="001E1C5D"/>
    <w:rsid w:val="001E1FD1"/>
    <w:rsid w:val="001E2D62"/>
    <w:rsid w:val="001E2FBB"/>
    <w:rsid w:val="001E3088"/>
    <w:rsid w:val="001E4AB4"/>
    <w:rsid w:val="001E4F8A"/>
    <w:rsid w:val="001E5ABD"/>
    <w:rsid w:val="001E5C43"/>
    <w:rsid w:val="001E5FE4"/>
    <w:rsid w:val="001E71BA"/>
    <w:rsid w:val="001E7A1B"/>
    <w:rsid w:val="001F0B51"/>
    <w:rsid w:val="001F16E0"/>
    <w:rsid w:val="001F1D8A"/>
    <w:rsid w:val="001F359C"/>
    <w:rsid w:val="001F3750"/>
    <w:rsid w:val="001F392F"/>
    <w:rsid w:val="001F40E1"/>
    <w:rsid w:val="001F58B8"/>
    <w:rsid w:val="001F6B86"/>
    <w:rsid w:val="00200D27"/>
    <w:rsid w:val="002011AC"/>
    <w:rsid w:val="00201C67"/>
    <w:rsid w:val="00201EB9"/>
    <w:rsid w:val="00202BD7"/>
    <w:rsid w:val="00203F30"/>
    <w:rsid w:val="002048CC"/>
    <w:rsid w:val="0020506D"/>
    <w:rsid w:val="00205391"/>
    <w:rsid w:val="00205A99"/>
    <w:rsid w:val="00205B95"/>
    <w:rsid w:val="00206F3E"/>
    <w:rsid w:val="0020733F"/>
    <w:rsid w:val="00207B94"/>
    <w:rsid w:val="00210E15"/>
    <w:rsid w:val="00211626"/>
    <w:rsid w:val="00211BC6"/>
    <w:rsid w:val="0021277A"/>
    <w:rsid w:val="00212BC7"/>
    <w:rsid w:val="0021380C"/>
    <w:rsid w:val="00213FCA"/>
    <w:rsid w:val="00216010"/>
    <w:rsid w:val="00216621"/>
    <w:rsid w:val="00216B0E"/>
    <w:rsid w:val="00217433"/>
    <w:rsid w:val="00217437"/>
    <w:rsid w:val="002206E8"/>
    <w:rsid w:val="00221761"/>
    <w:rsid w:val="00221883"/>
    <w:rsid w:val="00222350"/>
    <w:rsid w:val="002231D3"/>
    <w:rsid w:val="002235F3"/>
    <w:rsid w:val="0022379E"/>
    <w:rsid w:val="002247E7"/>
    <w:rsid w:val="0022537C"/>
    <w:rsid w:val="00225C9D"/>
    <w:rsid w:val="0022685E"/>
    <w:rsid w:val="00227854"/>
    <w:rsid w:val="00227868"/>
    <w:rsid w:val="00230915"/>
    <w:rsid w:val="00230D53"/>
    <w:rsid w:val="0023191B"/>
    <w:rsid w:val="00231A4A"/>
    <w:rsid w:val="002337B2"/>
    <w:rsid w:val="00233C64"/>
    <w:rsid w:val="00236A58"/>
    <w:rsid w:val="002404BA"/>
    <w:rsid w:val="00241F5E"/>
    <w:rsid w:val="002427F7"/>
    <w:rsid w:val="00243015"/>
    <w:rsid w:val="0024338F"/>
    <w:rsid w:val="002511A8"/>
    <w:rsid w:val="002511E9"/>
    <w:rsid w:val="002512E8"/>
    <w:rsid w:val="00251FA2"/>
    <w:rsid w:val="002523FB"/>
    <w:rsid w:val="002529E8"/>
    <w:rsid w:val="00253249"/>
    <w:rsid w:val="002536CB"/>
    <w:rsid w:val="0025526A"/>
    <w:rsid w:val="002556F1"/>
    <w:rsid w:val="00255EA4"/>
    <w:rsid w:val="00260A89"/>
    <w:rsid w:val="00260C9F"/>
    <w:rsid w:val="00261A11"/>
    <w:rsid w:val="00262A51"/>
    <w:rsid w:val="00262DDC"/>
    <w:rsid w:val="002648FC"/>
    <w:rsid w:val="00265624"/>
    <w:rsid w:val="00265778"/>
    <w:rsid w:val="002658D0"/>
    <w:rsid w:val="00266627"/>
    <w:rsid w:val="002679E5"/>
    <w:rsid w:val="00270695"/>
    <w:rsid w:val="002707B8"/>
    <w:rsid w:val="0027084D"/>
    <w:rsid w:val="002725BC"/>
    <w:rsid w:val="002731DE"/>
    <w:rsid w:val="002735F9"/>
    <w:rsid w:val="00273CD1"/>
    <w:rsid w:val="00274463"/>
    <w:rsid w:val="0027502F"/>
    <w:rsid w:val="00276275"/>
    <w:rsid w:val="00277C24"/>
    <w:rsid w:val="00280BFD"/>
    <w:rsid w:val="0028166F"/>
    <w:rsid w:val="00281733"/>
    <w:rsid w:val="0028174D"/>
    <w:rsid w:val="00281A30"/>
    <w:rsid w:val="00281EE0"/>
    <w:rsid w:val="002823D9"/>
    <w:rsid w:val="002831C6"/>
    <w:rsid w:val="00283FF9"/>
    <w:rsid w:val="00290B29"/>
    <w:rsid w:val="00292313"/>
    <w:rsid w:val="00294168"/>
    <w:rsid w:val="00294245"/>
    <w:rsid w:val="002948AE"/>
    <w:rsid w:val="00294FD0"/>
    <w:rsid w:val="002954DC"/>
    <w:rsid w:val="0029647F"/>
    <w:rsid w:val="00296A57"/>
    <w:rsid w:val="00296B1E"/>
    <w:rsid w:val="0029729F"/>
    <w:rsid w:val="00297ABC"/>
    <w:rsid w:val="002A2421"/>
    <w:rsid w:val="002A40A1"/>
    <w:rsid w:val="002A43CD"/>
    <w:rsid w:val="002A4594"/>
    <w:rsid w:val="002A4934"/>
    <w:rsid w:val="002A50A7"/>
    <w:rsid w:val="002A65C4"/>
    <w:rsid w:val="002A6CAA"/>
    <w:rsid w:val="002A6EA8"/>
    <w:rsid w:val="002A70D4"/>
    <w:rsid w:val="002B020A"/>
    <w:rsid w:val="002B334F"/>
    <w:rsid w:val="002B3E37"/>
    <w:rsid w:val="002B4100"/>
    <w:rsid w:val="002B4250"/>
    <w:rsid w:val="002B429D"/>
    <w:rsid w:val="002B43F3"/>
    <w:rsid w:val="002B4830"/>
    <w:rsid w:val="002B4F49"/>
    <w:rsid w:val="002B63FA"/>
    <w:rsid w:val="002B6A3D"/>
    <w:rsid w:val="002B7D36"/>
    <w:rsid w:val="002C0115"/>
    <w:rsid w:val="002C1E78"/>
    <w:rsid w:val="002C21A1"/>
    <w:rsid w:val="002C4E8C"/>
    <w:rsid w:val="002C579F"/>
    <w:rsid w:val="002C65D1"/>
    <w:rsid w:val="002D0261"/>
    <w:rsid w:val="002D1D1E"/>
    <w:rsid w:val="002D473A"/>
    <w:rsid w:val="002D4F37"/>
    <w:rsid w:val="002D54B7"/>
    <w:rsid w:val="002D5D23"/>
    <w:rsid w:val="002D6142"/>
    <w:rsid w:val="002D61CE"/>
    <w:rsid w:val="002D6E03"/>
    <w:rsid w:val="002E030B"/>
    <w:rsid w:val="002E211F"/>
    <w:rsid w:val="002E397D"/>
    <w:rsid w:val="002E43B7"/>
    <w:rsid w:val="002E4405"/>
    <w:rsid w:val="002E4FDC"/>
    <w:rsid w:val="002E50F9"/>
    <w:rsid w:val="002E516E"/>
    <w:rsid w:val="002E5F0C"/>
    <w:rsid w:val="002E6386"/>
    <w:rsid w:val="002E6E73"/>
    <w:rsid w:val="002E799C"/>
    <w:rsid w:val="002F140C"/>
    <w:rsid w:val="002F313C"/>
    <w:rsid w:val="002F4FA0"/>
    <w:rsid w:val="002F5F07"/>
    <w:rsid w:val="002F78C9"/>
    <w:rsid w:val="002F7F47"/>
    <w:rsid w:val="0030105C"/>
    <w:rsid w:val="00301321"/>
    <w:rsid w:val="00301420"/>
    <w:rsid w:val="00304846"/>
    <w:rsid w:val="00304930"/>
    <w:rsid w:val="0030523E"/>
    <w:rsid w:val="00306137"/>
    <w:rsid w:val="00312D97"/>
    <w:rsid w:val="00312FDE"/>
    <w:rsid w:val="0031493F"/>
    <w:rsid w:val="00315E58"/>
    <w:rsid w:val="00315ECD"/>
    <w:rsid w:val="00320A32"/>
    <w:rsid w:val="003218F1"/>
    <w:rsid w:val="00322518"/>
    <w:rsid w:val="00322C51"/>
    <w:rsid w:val="003235C8"/>
    <w:rsid w:val="003249AC"/>
    <w:rsid w:val="0032597C"/>
    <w:rsid w:val="00326E26"/>
    <w:rsid w:val="00327926"/>
    <w:rsid w:val="00327E12"/>
    <w:rsid w:val="00327E23"/>
    <w:rsid w:val="003306BF"/>
    <w:rsid w:val="00331F49"/>
    <w:rsid w:val="00334155"/>
    <w:rsid w:val="0033550A"/>
    <w:rsid w:val="00336613"/>
    <w:rsid w:val="00336FF6"/>
    <w:rsid w:val="0033715B"/>
    <w:rsid w:val="003400CE"/>
    <w:rsid w:val="00340ED2"/>
    <w:rsid w:val="00341DD1"/>
    <w:rsid w:val="00343604"/>
    <w:rsid w:val="00344186"/>
    <w:rsid w:val="0034421B"/>
    <w:rsid w:val="00344D3F"/>
    <w:rsid w:val="0034504D"/>
    <w:rsid w:val="00345174"/>
    <w:rsid w:val="0034562A"/>
    <w:rsid w:val="003478A8"/>
    <w:rsid w:val="00347D69"/>
    <w:rsid w:val="00351ABE"/>
    <w:rsid w:val="00351DAD"/>
    <w:rsid w:val="00352829"/>
    <w:rsid w:val="0035483B"/>
    <w:rsid w:val="0035620E"/>
    <w:rsid w:val="0035765D"/>
    <w:rsid w:val="00360CDE"/>
    <w:rsid w:val="003625AF"/>
    <w:rsid w:val="00363176"/>
    <w:rsid w:val="00363AF6"/>
    <w:rsid w:val="0036420B"/>
    <w:rsid w:val="00366FCA"/>
    <w:rsid w:val="003675BA"/>
    <w:rsid w:val="00371330"/>
    <w:rsid w:val="00373067"/>
    <w:rsid w:val="00373624"/>
    <w:rsid w:val="00373CA8"/>
    <w:rsid w:val="00374643"/>
    <w:rsid w:val="00374E61"/>
    <w:rsid w:val="0037554E"/>
    <w:rsid w:val="003759CE"/>
    <w:rsid w:val="00375AFE"/>
    <w:rsid w:val="00380246"/>
    <w:rsid w:val="0038038C"/>
    <w:rsid w:val="00380DBE"/>
    <w:rsid w:val="003810F0"/>
    <w:rsid w:val="003822A8"/>
    <w:rsid w:val="00382632"/>
    <w:rsid w:val="00383151"/>
    <w:rsid w:val="00383223"/>
    <w:rsid w:val="00384D3F"/>
    <w:rsid w:val="003861AB"/>
    <w:rsid w:val="0038622A"/>
    <w:rsid w:val="00386A92"/>
    <w:rsid w:val="00386DBC"/>
    <w:rsid w:val="00387B03"/>
    <w:rsid w:val="00387C8A"/>
    <w:rsid w:val="0039036E"/>
    <w:rsid w:val="00391D6F"/>
    <w:rsid w:val="00392C0A"/>
    <w:rsid w:val="00394687"/>
    <w:rsid w:val="0039497C"/>
    <w:rsid w:val="00394DED"/>
    <w:rsid w:val="00394ECC"/>
    <w:rsid w:val="00395A18"/>
    <w:rsid w:val="0039632A"/>
    <w:rsid w:val="00396CFB"/>
    <w:rsid w:val="003A15AE"/>
    <w:rsid w:val="003A1B33"/>
    <w:rsid w:val="003A1E5E"/>
    <w:rsid w:val="003A1F58"/>
    <w:rsid w:val="003A206D"/>
    <w:rsid w:val="003A20DA"/>
    <w:rsid w:val="003A2119"/>
    <w:rsid w:val="003A4F3E"/>
    <w:rsid w:val="003A53CD"/>
    <w:rsid w:val="003A6DB0"/>
    <w:rsid w:val="003A79DB"/>
    <w:rsid w:val="003B1EFA"/>
    <w:rsid w:val="003B2977"/>
    <w:rsid w:val="003B3314"/>
    <w:rsid w:val="003B3D85"/>
    <w:rsid w:val="003B3DD0"/>
    <w:rsid w:val="003B572B"/>
    <w:rsid w:val="003B5B99"/>
    <w:rsid w:val="003B7931"/>
    <w:rsid w:val="003C24E4"/>
    <w:rsid w:val="003C25AC"/>
    <w:rsid w:val="003C45C1"/>
    <w:rsid w:val="003C553A"/>
    <w:rsid w:val="003C5C8B"/>
    <w:rsid w:val="003C664A"/>
    <w:rsid w:val="003C70C3"/>
    <w:rsid w:val="003D0C21"/>
    <w:rsid w:val="003D248B"/>
    <w:rsid w:val="003D2F9B"/>
    <w:rsid w:val="003D4ED4"/>
    <w:rsid w:val="003D53B8"/>
    <w:rsid w:val="003D58B1"/>
    <w:rsid w:val="003D5D7B"/>
    <w:rsid w:val="003D6D33"/>
    <w:rsid w:val="003D750D"/>
    <w:rsid w:val="003E01A1"/>
    <w:rsid w:val="003E0E84"/>
    <w:rsid w:val="003E1251"/>
    <w:rsid w:val="003E2170"/>
    <w:rsid w:val="003E375A"/>
    <w:rsid w:val="003E4294"/>
    <w:rsid w:val="003E4B5E"/>
    <w:rsid w:val="003E6165"/>
    <w:rsid w:val="003E6A8F"/>
    <w:rsid w:val="003E6E8B"/>
    <w:rsid w:val="003E74EB"/>
    <w:rsid w:val="003E7A6E"/>
    <w:rsid w:val="003E7AEA"/>
    <w:rsid w:val="003F0994"/>
    <w:rsid w:val="003F0FB1"/>
    <w:rsid w:val="003F2C9D"/>
    <w:rsid w:val="003F2E2D"/>
    <w:rsid w:val="003F46FA"/>
    <w:rsid w:val="003F62C8"/>
    <w:rsid w:val="003F6C61"/>
    <w:rsid w:val="003F7844"/>
    <w:rsid w:val="003F78C1"/>
    <w:rsid w:val="003F7A1E"/>
    <w:rsid w:val="004007AC"/>
    <w:rsid w:val="00401DF0"/>
    <w:rsid w:val="0040227E"/>
    <w:rsid w:val="00402B12"/>
    <w:rsid w:val="00403973"/>
    <w:rsid w:val="00403ADC"/>
    <w:rsid w:val="0040424A"/>
    <w:rsid w:val="004103CD"/>
    <w:rsid w:val="00410A18"/>
    <w:rsid w:val="00410CBE"/>
    <w:rsid w:val="004117BE"/>
    <w:rsid w:val="004119E8"/>
    <w:rsid w:val="00411E44"/>
    <w:rsid w:val="004134D7"/>
    <w:rsid w:val="004138A5"/>
    <w:rsid w:val="00414227"/>
    <w:rsid w:val="00414885"/>
    <w:rsid w:val="004148C0"/>
    <w:rsid w:val="00414F98"/>
    <w:rsid w:val="0041560D"/>
    <w:rsid w:val="00416112"/>
    <w:rsid w:val="0042090D"/>
    <w:rsid w:val="00420D92"/>
    <w:rsid w:val="00422070"/>
    <w:rsid w:val="00423884"/>
    <w:rsid w:val="0042395F"/>
    <w:rsid w:val="0042568D"/>
    <w:rsid w:val="00425EE1"/>
    <w:rsid w:val="00426918"/>
    <w:rsid w:val="0042694A"/>
    <w:rsid w:val="00430741"/>
    <w:rsid w:val="00430C37"/>
    <w:rsid w:val="00431115"/>
    <w:rsid w:val="00431F6C"/>
    <w:rsid w:val="00434B95"/>
    <w:rsid w:val="00435253"/>
    <w:rsid w:val="0043560A"/>
    <w:rsid w:val="004359BB"/>
    <w:rsid w:val="00440DF1"/>
    <w:rsid w:val="004419F6"/>
    <w:rsid w:val="00443054"/>
    <w:rsid w:val="00443D46"/>
    <w:rsid w:val="00444982"/>
    <w:rsid w:val="004463B8"/>
    <w:rsid w:val="00446455"/>
    <w:rsid w:val="0045049B"/>
    <w:rsid w:val="00451D3D"/>
    <w:rsid w:val="00451DA6"/>
    <w:rsid w:val="00454277"/>
    <w:rsid w:val="00454FE1"/>
    <w:rsid w:val="00456A58"/>
    <w:rsid w:val="00456AB3"/>
    <w:rsid w:val="00456C45"/>
    <w:rsid w:val="00457149"/>
    <w:rsid w:val="0046047E"/>
    <w:rsid w:val="00464590"/>
    <w:rsid w:val="00464C75"/>
    <w:rsid w:val="004658D1"/>
    <w:rsid w:val="00466B8D"/>
    <w:rsid w:val="00470794"/>
    <w:rsid w:val="00470D4A"/>
    <w:rsid w:val="00471DCC"/>
    <w:rsid w:val="004729E0"/>
    <w:rsid w:val="00473850"/>
    <w:rsid w:val="00473A4D"/>
    <w:rsid w:val="00473DD7"/>
    <w:rsid w:val="00473E98"/>
    <w:rsid w:val="004740E8"/>
    <w:rsid w:val="004745DA"/>
    <w:rsid w:val="00474896"/>
    <w:rsid w:val="00475E79"/>
    <w:rsid w:val="0047657F"/>
    <w:rsid w:val="00476C08"/>
    <w:rsid w:val="0047789A"/>
    <w:rsid w:val="00480BEA"/>
    <w:rsid w:val="004811CE"/>
    <w:rsid w:val="00481596"/>
    <w:rsid w:val="004831F8"/>
    <w:rsid w:val="00483334"/>
    <w:rsid w:val="004834B7"/>
    <w:rsid w:val="00483779"/>
    <w:rsid w:val="0048380E"/>
    <w:rsid w:val="00486665"/>
    <w:rsid w:val="0048668C"/>
    <w:rsid w:val="00486971"/>
    <w:rsid w:val="00486BE3"/>
    <w:rsid w:val="00487D2D"/>
    <w:rsid w:val="00487D91"/>
    <w:rsid w:val="00490395"/>
    <w:rsid w:val="0049137F"/>
    <w:rsid w:val="00491ECF"/>
    <w:rsid w:val="00492379"/>
    <w:rsid w:val="004923EB"/>
    <w:rsid w:val="0049240B"/>
    <w:rsid w:val="0049342D"/>
    <w:rsid w:val="00493A2F"/>
    <w:rsid w:val="0049420B"/>
    <w:rsid w:val="0049474F"/>
    <w:rsid w:val="004954D4"/>
    <w:rsid w:val="00497316"/>
    <w:rsid w:val="00497C0D"/>
    <w:rsid w:val="00497CF7"/>
    <w:rsid w:val="004A17E0"/>
    <w:rsid w:val="004A3D2C"/>
    <w:rsid w:val="004A57F6"/>
    <w:rsid w:val="004A5A18"/>
    <w:rsid w:val="004A5A2F"/>
    <w:rsid w:val="004A613F"/>
    <w:rsid w:val="004B0B53"/>
    <w:rsid w:val="004B0D97"/>
    <w:rsid w:val="004B106A"/>
    <w:rsid w:val="004B31ED"/>
    <w:rsid w:val="004B3608"/>
    <w:rsid w:val="004B394F"/>
    <w:rsid w:val="004B3D81"/>
    <w:rsid w:val="004B6E55"/>
    <w:rsid w:val="004B799C"/>
    <w:rsid w:val="004C11DA"/>
    <w:rsid w:val="004C1432"/>
    <w:rsid w:val="004C3214"/>
    <w:rsid w:val="004C3ECD"/>
    <w:rsid w:val="004C4576"/>
    <w:rsid w:val="004C5E86"/>
    <w:rsid w:val="004C641B"/>
    <w:rsid w:val="004C7EFC"/>
    <w:rsid w:val="004D0505"/>
    <w:rsid w:val="004D05C8"/>
    <w:rsid w:val="004D0B18"/>
    <w:rsid w:val="004D0DD0"/>
    <w:rsid w:val="004D194A"/>
    <w:rsid w:val="004D45BA"/>
    <w:rsid w:val="004D4A2C"/>
    <w:rsid w:val="004D7611"/>
    <w:rsid w:val="004E11D8"/>
    <w:rsid w:val="004E22AA"/>
    <w:rsid w:val="004E3225"/>
    <w:rsid w:val="004E40FD"/>
    <w:rsid w:val="004E4C79"/>
    <w:rsid w:val="004E505A"/>
    <w:rsid w:val="004E58BC"/>
    <w:rsid w:val="004E6043"/>
    <w:rsid w:val="004E72DE"/>
    <w:rsid w:val="004E7417"/>
    <w:rsid w:val="004E7689"/>
    <w:rsid w:val="004F07BC"/>
    <w:rsid w:val="004F4B9A"/>
    <w:rsid w:val="004F4D6A"/>
    <w:rsid w:val="004F5900"/>
    <w:rsid w:val="004F5FF4"/>
    <w:rsid w:val="004F706D"/>
    <w:rsid w:val="004F7483"/>
    <w:rsid w:val="004F7758"/>
    <w:rsid w:val="0050077F"/>
    <w:rsid w:val="00500DEF"/>
    <w:rsid w:val="00501CB0"/>
    <w:rsid w:val="00502D50"/>
    <w:rsid w:val="00502FA2"/>
    <w:rsid w:val="005102A1"/>
    <w:rsid w:val="0051107A"/>
    <w:rsid w:val="00511BBB"/>
    <w:rsid w:val="00512339"/>
    <w:rsid w:val="005128CD"/>
    <w:rsid w:val="005129C3"/>
    <w:rsid w:val="005133E4"/>
    <w:rsid w:val="00513906"/>
    <w:rsid w:val="00513BF3"/>
    <w:rsid w:val="0051489E"/>
    <w:rsid w:val="00514AFF"/>
    <w:rsid w:val="00516517"/>
    <w:rsid w:val="00516EB0"/>
    <w:rsid w:val="005175EF"/>
    <w:rsid w:val="005179A1"/>
    <w:rsid w:val="00517FCC"/>
    <w:rsid w:val="00521191"/>
    <w:rsid w:val="005218C3"/>
    <w:rsid w:val="00522159"/>
    <w:rsid w:val="0052483D"/>
    <w:rsid w:val="00525623"/>
    <w:rsid w:val="0052604A"/>
    <w:rsid w:val="00527453"/>
    <w:rsid w:val="00530D42"/>
    <w:rsid w:val="00531978"/>
    <w:rsid w:val="0053212B"/>
    <w:rsid w:val="005322A0"/>
    <w:rsid w:val="005353EA"/>
    <w:rsid w:val="005362AC"/>
    <w:rsid w:val="005367D5"/>
    <w:rsid w:val="00536FF5"/>
    <w:rsid w:val="005372A5"/>
    <w:rsid w:val="00537E35"/>
    <w:rsid w:val="00540A1E"/>
    <w:rsid w:val="00540D4C"/>
    <w:rsid w:val="00541BE6"/>
    <w:rsid w:val="00542FFC"/>
    <w:rsid w:val="00543D20"/>
    <w:rsid w:val="00543F37"/>
    <w:rsid w:val="00545572"/>
    <w:rsid w:val="00545AD4"/>
    <w:rsid w:val="005460DD"/>
    <w:rsid w:val="005461C0"/>
    <w:rsid w:val="005473C0"/>
    <w:rsid w:val="00547B1C"/>
    <w:rsid w:val="005504BC"/>
    <w:rsid w:val="00550B8C"/>
    <w:rsid w:val="00551791"/>
    <w:rsid w:val="00552EB3"/>
    <w:rsid w:val="00553AA5"/>
    <w:rsid w:val="005543E0"/>
    <w:rsid w:val="00555259"/>
    <w:rsid w:val="005556B2"/>
    <w:rsid w:val="005579C4"/>
    <w:rsid w:val="00557C4E"/>
    <w:rsid w:val="00561459"/>
    <w:rsid w:val="00561B12"/>
    <w:rsid w:val="0056204C"/>
    <w:rsid w:val="00562433"/>
    <w:rsid w:val="00562F0E"/>
    <w:rsid w:val="00563D0E"/>
    <w:rsid w:val="005647C8"/>
    <w:rsid w:val="00565D72"/>
    <w:rsid w:val="00565F80"/>
    <w:rsid w:val="005660FD"/>
    <w:rsid w:val="005672B5"/>
    <w:rsid w:val="005700FC"/>
    <w:rsid w:val="00571660"/>
    <w:rsid w:val="0057283B"/>
    <w:rsid w:val="00575B51"/>
    <w:rsid w:val="0057615D"/>
    <w:rsid w:val="00576178"/>
    <w:rsid w:val="0057622E"/>
    <w:rsid w:val="0057789C"/>
    <w:rsid w:val="005819C5"/>
    <w:rsid w:val="00581DE9"/>
    <w:rsid w:val="005824E9"/>
    <w:rsid w:val="005837BD"/>
    <w:rsid w:val="0058464C"/>
    <w:rsid w:val="00584756"/>
    <w:rsid w:val="005860FD"/>
    <w:rsid w:val="00587EE4"/>
    <w:rsid w:val="00590091"/>
    <w:rsid w:val="0059072C"/>
    <w:rsid w:val="005915D6"/>
    <w:rsid w:val="00591960"/>
    <w:rsid w:val="00591A40"/>
    <w:rsid w:val="00591F96"/>
    <w:rsid w:val="00594B62"/>
    <w:rsid w:val="00594F37"/>
    <w:rsid w:val="005951D2"/>
    <w:rsid w:val="00597441"/>
    <w:rsid w:val="00597BBC"/>
    <w:rsid w:val="005A01FB"/>
    <w:rsid w:val="005A0888"/>
    <w:rsid w:val="005A1AFE"/>
    <w:rsid w:val="005A2058"/>
    <w:rsid w:val="005A2F63"/>
    <w:rsid w:val="005A2F6F"/>
    <w:rsid w:val="005A573D"/>
    <w:rsid w:val="005A59F4"/>
    <w:rsid w:val="005A5B9A"/>
    <w:rsid w:val="005A5C27"/>
    <w:rsid w:val="005A5EEE"/>
    <w:rsid w:val="005A6B9B"/>
    <w:rsid w:val="005A7708"/>
    <w:rsid w:val="005B0F17"/>
    <w:rsid w:val="005B0FBB"/>
    <w:rsid w:val="005B274F"/>
    <w:rsid w:val="005B31CA"/>
    <w:rsid w:val="005B331D"/>
    <w:rsid w:val="005B368D"/>
    <w:rsid w:val="005B3E85"/>
    <w:rsid w:val="005B43EC"/>
    <w:rsid w:val="005B50B8"/>
    <w:rsid w:val="005B5B2D"/>
    <w:rsid w:val="005B5BFC"/>
    <w:rsid w:val="005B7C09"/>
    <w:rsid w:val="005C138B"/>
    <w:rsid w:val="005C1BFC"/>
    <w:rsid w:val="005C3F96"/>
    <w:rsid w:val="005C489D"/>
    <w:rsid w:val="005C4D26"/>
    <w:rsid w:val="005C59CE"/>
    <w:rsid w:val="005C5F99"/>
    <w:rsid w:val="005C6278"/>
    <w:rsid w:val="005C6529"/>
    <w:rsid w:val="005C67C1"/>
    <w:rsid w:val="005D027D"/>
    <w:rsid w:val="005D111C"/>
    <w:rsid w:val="005D1B1B"/>
    <w:rsid w:val="005D1F76"/>
    <w:rsid w:val="005D1FFE"/>
    <w:rsid w:val="005D25EC"/>
    <w:rsid w:val="005D2ABC"/>
    <w:rsid w:val="005D2D13"/>
    <w:rsid w:val="005D5383"/>
    <w:rsid w:val="005D54CA"/>
    <w:rsid w:val="005D5717"/>
    <w:rsid w:val="005D5CD7"/>
    <w:rsid w:val="005D6827"/>
    <w:rsid w:val="005D7D4E"/>
    <w:rsid w:val="005D7E25"/>
    <w:rsid w:val="005D7FB3"/>
    <w:rsid w:val="005E038B"/>
    <w:rsid w:val="005E1543"/>
    <w:rsid w:val="005E18EB"/>
    <w:rsid w:val="005E1D1F"/>
    <w:rsid w:val="005E20BF"/>
    <w:rsid w:val="005E2179"/>
    <w:rsid w:val="005E2647"/>
    <w:rsid w:val="005E28CB"/>
    <w:rsid w:val="005E3B05"/>
    <w:rsid w:val="005E3EFB"/>
    <w:rsid w:val="005E56E6"/>
    <w:rsid w:val="005E61ED"/>
    <w:rsid w:val="005F128A"/>
    <w:rsid w:val="005F1373"/>
    <w:rsid w:val="005F1941"/>
    <w:rsid w:val="005F4085"/>
    <w:rsid w:val="005F4981"/>
    <w:rsid w:val="005F70AA"/>
    <w:rsid w:val="005F7FF5"/>
    <w:rsid w:val="00600B02"/>
    <w:rsid w:val="00600D22"/>
    <w:rsid w:val="00601444"/>
    <w:rsid w:val="006025A4"/>
    <w:rsid w:val="00602EF3"/>
    <w:rsid w:val="0060346C"/>
    <w:rsid w:val="00603501"/>
    <w:rsid w:val="006036FD"/>
    <w:rsid w:val="00603C2C"/>
    <w:rsid w:val="006049B0"/>
    <w:rsid w:val="0060768D"/>
    <w:rsid w:val="006109F6"/>
    <w:rsid w:val="0061177B"/>
    <w:rsid w:val="006124DB"/>
    <w:rsid w:val="0061276B"/>
    <w:rsid w:val="0061362E"/>
    <w:rsid w:val="00615341"/>
    <w:rsid w:val="0061616D"/>
    <w:rsid w:val="006163AE"/>
    <w:rsid w:val="00616ADA"/>
    <w:rsid w:val="006175A7"/>
    <w:rsid w:val="006204ED"/>
    <w:rsid w:val="006220FA"/>
    <w:rsid w:val="006239C7"/>
    <w:rsid w:val="00623BE6"/>
    <w:rsid w:val="0062454B"/>
    <w:rsid w:val="00624C7E"/>
    <w:rsid w:val="006252C6"/>
    <w:rsid w:val="0062576C"/>
    <w:rsid w:val="00626033"/>
    <w:rsid w:val="00630505"/>
    <w:rsid w:val="00630922"/>
    <w:rsid w:val="00630E11"/>
    <w:rsid w:val="00631143"/>
    <w:rsid w:val="00631459"/>
    <w:rsid w:val="00631C17"/>
    <w:rsid w:val="0063248E"/>
    <w:rsid w:val="006324CB"/>
    <w:rsid w:val="00632CF0"/>
    <w:rsid w:val="00632E7D"/>
    <w:rsid w:val="006331B0"/>
    <w:rsid w:val="0063415D"/>
    <w:rsid w:val="00634539"/>
    <w:rsid w:val="006345B2"/>
    <w:rsid w:val="006349CB"/>
    <w:rsid w:val="006360DB"/>
    <w:rsid w:val="00636B85"/>
    <w:rsid w:val="006375CA"/>
    <w:rsid w:val="00643DC9"/>
    <w:rsid w:val="006460B8"/>
    <w:rsid w:val="0064646B"/>
    <w:rsid w:val="006479EF"/>
    <w:rsid w:val="00650DB6"/>
    <w:rsid w:val="006514A3"/>
    <w:rsid w:val="006529AA"/>
    <w:rsid w:val="00654707"/>
    <w:rsid w:val="006558A7"/>
    <w:rsid w:val="00655C06"/>
    <w:rsid w:val="0066010E"/>
    <w:rsid w:val="00660AAE"/>
    <w:rsid w:val="00660D00"/>
    <w:rsid w:val="00661A54"/>
    <w:rsid w:val="00661D61"/>
    <w:rsid w:val="00664D23"/>
    <w:rsid w:val="0066658E"/>
    <w:rsid w:val="006667A2"/>
    <w:rsid w:val="006668D8"/>
    <w:rsid w:val="00666D5A"/>
    <w:rsid w:val="006672E3"/>
    <w:rsid w:val="00667656"/>
    <w:rsid w:val="00670051"/>
    <w:rsid w:val="00670523"/>
    <w:rsid w:val="00670587"/>
    <w:rsid w:val="00672CEA"/>
    <w:rsid w:val="00672D7A"/>
    <w:rsid w:val="00672F39"/>
    <w:rsid w:val="0067419C"/>
    <w:rsid w:val="006747BB"/>
    <w:rsid w:val="00675794"/>
    <w:rsid w:val="00676404"/>
    <w:rsid w:val="006765F9"/>
    <w:rsid w:val="00677A32"/>
    <w:rsid w:val="00680333"/>
    <w:rsid w:val="00680E08"/>
    <w:rsid w:val="00680F27"/>
    <w:rsid w:val="00681A78"/>
    <w:rsid w:val="00681DA9"/>
    <w:rsid w:val="00683C7D"/>
    <w:rsid w:val="006856D8"/>
    <w:rsid w:val="00685807"/>
    <w:rsid w:val="00686D1E"/>
    <w:rsid w:val="00686E4E"/>
    <w:rsid w:val="00687F36"/>
    <w:rsid w:val="00690C0D"/>
    <w:rsid w:val="006915C5"/>
    <w:rsid w:val="00692151"/>
    <w:rsid w:val="00692663"/>
    <w:rsid w:val="00692678"/>
    <w:rsid w:val="0069284D"/>
    <w:rsid w:val="00692B5D"/>
    <w:rsid w:val="00693E90"/>
    <w:rsid w:val="00694365"/>
    <w:rsid w:val="0069437A"/>
    <w:rsid w:val="00695011"/>
    <w:rsid w:val="00696B12"/>
    <w:rsid w:val="00696E76"/>
    <w:rsid w:val="00697198"/>
    <w:rsid w:val="006973DE"/>
    <w:rsid w:val="00697AE2"/>
    <w:rsid w:val="006A01D7"/>
    <w:rsid w:val="006A13FB"/>
    <w:rsid w:val="006A4204"/>
    <w:rsid w:val="006A424B"/>
    <w:rsid w:val="006A4460"/>
    <w:rsid w:val="006A57BB"/>
    <w:rsid w:val="006A61AE"/>
    <w:rsid w:val="006A6EF2"/>
    <w:rsid w:val="006A7B6C"/>
    <w:rsid w:val="006B16CD"/>
    <w:rsid w:val="006B22CB"/>
    <w:rsid w:val="006B2C36"/>
    <w:rsid w:val="006B4C20"/>
    <w:rsid w:val="006B5FC7"/>
    <w:rsid w:val="006B664F"/>
    <w:rsid w:val="006B72DC"/>
    <w:rsid w:val="006C0489"/>
    <w:rsid w:val="006C0DF1"/>
    <w:rsid w:val="006C19FF"/>
    <w:rsid w:val="006C2A38"/>
    <w:rsid w:val="006C38F1"/>
    <w:rsid w:val="006C4152"/>
    <w:rsid w:val="006C4B0D"/>
    <w:rsid w:val="006C5C95"/>
    <w:rsid w:val="006C70ED"/>
    <w:rsid w:val="006D045D"/>
    <w:rsid w:val="006D05F8"/>
    <w:rsid w:val="006D0909"/>
    <w:rsid w:val="006D1679"/>
    <w:rsid w:val="006D219A"/>
    <w:rsid w:val="006D2FCF"/>
    <w:rsid w:val="006D3126"/>
    <w:rsid w:val="006D3407"/>
    <w:rsid w:val="006D34ED"/>
    <w:rsid w:val="006D44D3"/>
    <w:rsid w:val="006D49F8"/>
    <w:rsid w:val="006D526E"/>
    <w:rsid w:val="006D52C6"/>
    <w:rsid w:val="006D5B35"/>
    <w:rsid w:val="006D64A8"/>
    <w:rsid w:val="006D68FE"/>
    <w:rsid w:val="006D6F0C"/>
    <w:rsid w:val="006E02C8"/>
    <w:rsid w:val="006E0832"/>
    <w:rsid w:val="006E11C5"/>
    <w:rsid w:val="006E1A69"/>
    <w:rsid w:val="006E2139"/>
    <w:rsid w:val="006E2E96"/>
    <w:rsid w:val="006E31DC"/>
    <w:rsid w:val="006E3539"/>
    <w:rsid w:val="006E4ADC"/>
    <w:rsid w:val="006E5B1C"/>
    <w:rsid w:val="006E6CC3"/>
    <w:rsid w:val="006F01DD"/>
    <w:rsid w:val="006F0AC4"/>
    <w:rsid w:val="006F10FB"/>
    <w:rsid w:val="006F1799"/>
    <w:rsid w:val="006F1912"/>
    <w:rsid w:val="006F22ED"/>
    <w:rsid w:val="006F2309"/>
    <w:rsid w:val="006F4D78"/>
    <w:rsid w:val="006F511E"/>
    <w:rsid w:val="006F5CBA"/>
    <w:rsid w:val="006F5D72"/>
    <w:rsid w:val="00700807"/>
    <w:rsid w:val="007013C1"/>
    <w:rsid w:val="007017C2"/>
    <w:rsid w:val="00702538"/>
    <w:rsid w:val="007025D9"/>
    <w:rsid w:val="0070369D"/>
    <w:rsid w:val="00704431"/>
    <w:rsid w:val="007052B7"/>
    <w:rsid w:val="00705A09"/>
    <w:rsid w:val="00710360"/>
    <w:rsid w:val="00711AAC"/>
    <w:rsid w:val="00714CC3"/>
    <w:rsid w:val="00716505"/>
    <w:rsid w:val="00716BCA"/>
    <w:rsid w:val="00717A7E"/>
    <w:rsid w:val="0072002A"/>
    <w:rsid w:val="0072015A"/>
    <w:rsid w:val="00720230"/>
    <w:rsid w:val="00720865"/>
    <w:rsid w:val="007208BF"/>
    <w:rsid w:val="00723121"/>
    <w:rsid w:val="007232E0"/>
    <w:rsid w:val="007249B2"/>
    <w:rsid w:val="00724A9A"/>
    <w:rsid w:val="00725BBB"/>
    <w:rsid w:val="007270F4"/>
    <w:rsid w:val="0072741B"/>
    <w:rsid w:val="00731276"/>
    <w:rsid w:val="0073328D"/>
    <w:rsid w:val="00733729"/>
    <w:rsid w:val="00733D36"/>
    <w:rsid w:val="00733E23"/>
    <w:rsid w:val="007340FB"/>
    <w:rsid w:val="00737B21"/>
    <w:rsid w:val="007408CB"/>
    <w:rsid w:val="00740F2A"/>
    <w:rsid w:val="0074312B"/>
    <w:rsid w:val="007443F6"/>
    <w:rsid w:val="007453B6"/>
    <w:rsid w:val="007458FA"/>
    <w:rsid w:val="007467DE"/>
    <w:rsid w:val="00747710"/>
    <w:rsid w:val="00747E84"/>
    <w:rsid w:val="00750ADF"/>
    <w:rsid w:val="00753357"/>
    <w:rsid w:val="00755256"/>
    <w:rsid w:val="007552CC"/>
    <w:rsid w:val="00755907"/>
    <w:rsid w:val="007562DA"/>
    <w:rsid w:val="0075756B"/>
    <w:rsid w:val="00757C70"/>
    <w:rsid w:val="00760291"/>
    <w:rsid w:val="0076059A"/>
    <w:rsid w:val="007609DB"/>
    <w:rsid w:val="007627D2"/>
    <w:rsid w:val="00762C7C"/>
    <w:rsid w:val="00762FBE"/>
    <w:rsid w:val="007634A9"/>
    <w:rsid w:val="0076356B"/>
    <w:rsid w:val="007651EA"/>
    <w:rsid w:val="007664E4"/>
    <w:rsid w:val="00766A7A"/>
    <w:rsid w:val="00766BB5"/>
    <w:rsid w:val="00771BAB"/>
    <w:rsid w:val="00771C54"/>
    <w:rsid w:val="0077237E"/>
    <w:rsid w:val="007740BD"/>
    <w:rsid w:val="007747BE"/>
    <w:rsid w:val="00775886"/>
    <w:rsid w:val="007768DF"/>
    <w:rsid w:val="007768FB"/>
    <w:rsid w:val="00776F99"/>
    <w:rsid w:val="00777111"/>
    <w:rsid w:val="00777C67"/>
    <w:rsid w:val="007802AD"/>
    <w:rsid w:val="0078047F"/>
    <w:rsid w:val="00780E29"/>
    <w:rsid w:val="00781203"/>
    <w:rsid w:val="00781312"/>
    <w:rsid w:val="00781F73"/>
    <w:rsid w:val="00782F9E"/>
    <w:rsid w:val="00782FF3"/>
    <w:rsid w:val="00783189"/>
    <w:rsid w:val="0078397D"/>
    <w:rsid w:val="007845E1"/>
    <w:rsid w:val="00784ACA"/>
    <w:rsid w:val="00784C55"/>
    <w:rsid w:val="00785927"/>
    <w:rsid w:val="00785982"/>
    <w:rsid w:val="00785B2E"/>
    <w:rsid w:val="007862A5"/>
    <w:rsid w:val="007872FF"/>
    <w:rsid w:val="00787686"/>
    <w:rsid w:val="00787E50"/>
    <w:rsid w:val="0079063F"/>
    <w:rsid w:val="00793D9F"/>
    <w:rsid w:val="00795EF2"/>
    <w:rsid w:val="007968B8"/>
    <w:rsid w:val="00796B1B"/>
    <w:rsid w:val="007A0B2C"/>
    <w:rsid w:val="007A0FEC"/>
    <w:rsid w:val="007A12C9"/>
    <w:rsid w:val="007A17BB"/>
    <w:rsid w:val="007A272C"/>
    <w:rsid w:val="007A2B3E"/>
    <w:rsid w:val="007A2EE6"/>
    <w:rsid w:val="007A3548"/>
    <w:rsid w:val="007A584C"/>
    <w:rsid w:val="007A6EEF"/>
    <w:rsid w:val="007A71AC"/>
    <w:rsid w:val="007A7AF1"/>
    <w:rsid w:val="007B18D0"/>
    <w:rsid w:val="007B1B43"/>
    <w:rsid w:val="007B1F3E"/>
    <w:rsid w:val="007B21AB"/>
    <w:rsid w:val="007B2E9D"/>
    <w:rsid w:val="007B5E8E"/>
    <w:rsid w:val="007B6843"/>
    <w:rsid w:val="007C0A36"/>
    <w:rsid w:val="007C0B6B"/>
    <w:rsid w:val="007C0D75"/>
    <w:rsid w:val="007C126B"/>
    <w:rsid w:val="007C13B8"/>
    <w:rsid w:val="007C2617"/>
    <w:rsid w:val="007C2FE3"/>
    <w:rsid w:val="007C3072"/>
    <w:rsid w:val="007C38C6"/>
    <w:rsid w:val="007C4D6B"/>
    <w:rsid w:val="007C4FEE"/>
    <w:rsid w:val="007C68B5"/>
    <w:rsid w:val="007C79A2"/>
    <w:rsid w:val="007D00C9"/>
    <w:rsid w:val="007D1457"/>
    <w:rsid w:val="007D1D5D"/>
    <w:rsid w:val="007D21C7"/>
    <w:rsid w:val="007D2511"/>
    <w:rsid w:val="007D3106"/>
    <w:rsid w:val="007D354A"/>
    <w:rsid w:val="007D41D8"/>
    <w:rsid w:val="007D4FDA"/>
    <w:rsid w:val="007D5AD8"/>
    <w:rsid w:val="007D6269"/>
    <w:rsid w:val="007D62F3"/>
    <w:rsid w:val="007D6425"/>
    <w:rsid w:val="007D7696"/>
    <w:rsid w:val="007E01D5"/>
    <w:rsid w:val="007E120E"/>
    <w:rsid w:val="007E45B9"/>
    <w:rsid w:val="007E48CF"/>
    <w:rsid w:val="007E6867"/>
    <w:rsid w:val="007F00FF"/>
    <w:rsid w:val="007F035B"/>
    <w:rsid w:val="007F1946"/>
    <w:rsid w:val="007F2D88"/>
    <w:rsid w:val="007F31B2"/>
    <w:rsid w:val="007F34B6"/>
    <w:rsid w:val="007F352D"/>
    <w:rsid w:val="007F446E"/>
    <w:rsid w:val="007F497E"/>
    <w:rsid w:val="007F549E"/>
    <w:rsid w:val="007F607A"/>
    <w:rsid w:val="007F6FB1"/>
    <w:rsid w:val="007F71DF"/>
    <w:rsid w:val="0080076A"/>
    <w:rsid w:val="00801EB3"/>
    <w:rsid w:val="00802763"/>
    <w:rsid w:val="008027D8"/>
    <w:rsid w:val="00803052"/>
    <w:rsid w:val="008033C2"/>
    <w:rsid w:val="0080342B"/>
    <w:rsid w:val="00803AF3"/>
    <w:rsid w:val="00803DB8"/>
    <w:rsid w:val="00804AA4"/>
    <w:rsid w:val="00805FBE"/>
    <w:rsid w:val="0080610B"/>
    <w:rsid w:val="00806A19"/>
    <w:rsid w:val="00806A3A"/>
    <w:rsid w:val="00810570"/>
    <w:rsid w:val="00811C25"/>
    <w:rsid w:val="00812232"/>
    <w:rsid w:val="00812AA1"/>
    <w:rsid w:val="008131FA"/>
    <w:rsid w:val="008133C0"/>
    <w:rsid w:val="00814A3A"/>
    <w:rsid w:val="00815158"/>
    <w:rsid w:val="00815A3E"/>
    <w:rsid w:val="008164E8"/>
    <w:rsid w:val="008177EE"/>
    <w:rsid w:val="00820BED"/>
    <w:rsid w:val="00821692"/>
    <w:rsid w:val="00821B54"/>
    <w:rsid w:val="00822091"/>
    <w:rsid w:val="00822725"/>
    <w:rsid w:val="00822A6D"/>
    <w:rsid w:val="00823311"/>
    <w:rsid w:val="00823C69"/>
    <w:rsid w:val="008246E3"/>
    <w:rsid w:val="008259CF"/>
    <w:rsid w:val="00825E35"/>
    <w:rsid w:val="00827686"/>
    <w:rsid w:val="00827EC4"/>
    <w:rsid w:val="00830CC4"/>
    <w:rsid w:val="0083168B"/>
    <w:rsid w:val="0083198B"/>
    <w:rsid w:val="00831D33"/>
    <w:rsid w:val="00832D88"/>
    <w:rsid w:val="00832F6E"/>
    <w:rsid w:val="0083338D"/>
    <w:rsid w:val="00833722"/>
    <w:rsid w:val="00833FB6"/>
    <w:rsid w:val="00834BC3"/>
    <w:rsid w:val="00836DA8"/>
    <w:rsid w:val="00842BDC"/>
    <w:rsid w:val="00842FE7"/>
    <w:rsid w:val="00844277"/>
    <w:rsid w:val="00844434"/>
    <w:rsid w:val="00844F3B"/>
    <w:rsid w:val="00844FFD"/>
    <w:rsid w:val="008455EF"/>
    <w:rsid w:val="00845891"/>
    <w:rsid w:val="0084695A"/>
    <w:rsid w:val="00850E16"/>
    <w:rsid w:val="00852018"/>
    <w:rsid w:val="008543E8"/>
    <w:rsid w:val="00856121"/>
    <w:rsid w:val="00860AF0"/>
    <w:rsid w:val="00861068"/>
    <w:rsid w:val="008618B2"/>
    <w:rsid w:val="008626CE"/>
    <w:rsid w:val="00862760"/>
    <w:rsid w:val="00862967"/>
    <w:rsid w:val="00862EB9"/>
    <w:rsid w:val="00867A25"/>
    <w:rsid w:val="008700BA"/>
    <w:rsid w:val="00873138"/>
    <w:rsid w:val="00873666"/>
    <w:rsid w:val="0087426E"/>
    <w:rsid w:val="008745B6"/>
    <w:rsid w:val="00874736"/>
    <w:rsid w:val="008748B4"/>
    <w:rsid w:val="008751F6"/>
    <w:rsid w:val="00875CD5"/>
    <w:rsid w:val="00876854"/>
    <w:rsid w:val="00876986"/>
    <w:rsid w:val="008769F5"/>
    <w:rsid w:val="008804BC"/>
    <w:rsid w:val="00880D1A"/>
    <w:rsid w:val="00880D91"/>
    <w:rsid w:val="00881B4B"/>
    <w:rsid w:val="00881D81"/>
    <w:rsid w:val="00881E2C"/>
    <w:rsid w:val="00882F2B"/>
    <w:rsid w:val="00883566"/>
    <w:rsid w:val="008849FF"/>
    <w:rsid w:val="00884ED9"/>
    <w:rsid w:val="008859AC"/>
    <w:rsid w:val="008869C8"/>
    <w:rsid w:val="00886AC3"/>
    <w:rsid w:val="00890ACF"/>
    <w:rsid w:val="00892A7A"/>
    <w:rsid w:val="00894976"/>
    <w:rsid w:val="00896300"/>
    <w:rsid w:val="00896574"/>
    <w:rsid w:val="0089719B"/>
    <w:rsid w:val="00897237"/>
    <w:rsid w:val="008979C1"/>
    <w:rsid w:val="008A0025"/>
    <w:rsid w:val="008A2094"/>
    <w:rsid w:val="008A2249"/>
    <w:rsid w:val="008A337D"/>
    <w:rsid w:val="008A338C"/>
    <w:rsid w:val="008A37BA"/>
    <w:rsid w:val="008A4178"/>
    <w:rsid w:val="008A4E18"/>
    <w:rsid w:val="008A51A6"/>
    <w:rsid w:val="008A571F"/>
    <w:rsid w:val="008A64F4"/>
    <w:rsid w:val="008A674D"/>
    <w:rsid w:val="008A78EC"/>
    <w:rsid w:val="008A7991"/>
    <w:rsid w:val="008A7C07"/>
    <w:rsid w:val="008B0B36"/>
    <w:rsid w:val="008B0E67"/>
    <w:rsid w:val="008B11C9"/>
    <w:rsid w:val="008B155F"/>
    <w:rsid w:val="008B1863"/>
    <w:rsid w:val="008B1BC6"/>
    <w:rsid w:val="008B30A9"/>
    <w:rsid w:val="008B3A85"/>
    <w:rsid w:val="008B3CC6"/>
    <w:rsid w:val="008B533F"/>
    <w:rsid w:val="008B5DC7"/>
    <w:rsid w:val="008B6B71"/>
    <w:rsid w:val="008C0158"/>
    <w:rsid w:val="008C174F"/>
    <w:rsid w:val="008C3F3A"/>
    <w:rsid w:val="008C4902"/>
    <w:rsid w:val="008C5042"/>
    <w:rsid w:val="008C544B"/>
    <w:rsid w:val="008D1581"/>
    <w:rsid w:val="008D1BAD"/>
    <w:rsid w:val="008D1C55"/>
    <w:rsid w:val="008D33E2"/>
    <w:rsid w:val="008D4019"/>
    <w:rsid w:val="008D4B41"/>
    <w:rsid w:val="008D51F3"/>
    <w:rsid w:val="008D7190"/>
    <w:rsid w:val="008E051D"/>
    <w:rsid w:val="008E0F34"/>
    <w:rsid w:val="008E1252"/>
    <w:rsid w:val="008E1E03"/>
    <w:rsid w:val="008E2AC4"/>
    <w:rsid w:val="008E2B3B"/>
    <w:rsid w:val="008E4A0D"/>
    <w:rsid w:val="008E7142"/>
    <w:rsid w:val="008F093F"/>
    <w:rsid w:val="008F1695"/>
    <w:rsid w:val="008F1B64"/>
    <w:rsid w:val="008F2A12"/>
    <w:rsid w:val="008F431C"/>
    <w:rsid w:val="008F43B7"/>
    <w:rsid w:val="008F4901"/>
    <w:rsid w:val="008F5289"/>
    <w:rsid w:val="008F5430"/>
    <w:rsid w:val="008F6AD8"/>
    <w:rsid w:val="008F79E8"/>
    <w:rsid w:val="0090016C"/>
    <w:rsid w:val="0090108A"/>
    <w:rsid w:val="00901219"/>
    <w:rsid w:val="00901BA6"/>
    <w:rsid w:val="009041F7"/>
    <w:rsid w:val="009042CC"/>
    <w:rsid w:val="00904571"/>
    <w:rsid w:val="00906134"/>
    <w:rsid w:val="00907160"/>
    <w:rsid w:val="009076A8"/>
    <w:rsid w:val="00907EF2"/>
    <w:rsid w:val="00910D95"/>
    <w:rsid w:val="009127A4"/>
    <w:rsid w:val="00912AE9"/>
    <w:rsid w:val="00913D5F"/>
    <w:rsid w:val="00914A3B"/>
    <w:rsid w:val="009159B2"/>
    <w:rsid w:val="009164BE"/>
    <w:rsid w:val="0091695C"/>
    <w:rsid w:val="00916A3B"/>
    <w:rsid w:val="009179D3"/>
    <w:rsid w:val="00917B96"/>
    <w:rsid w:val="00920BBD"/>
    <w:rsid w:val="0092134C"/>
    <w:rsid w:val="00921D13"/>
    <w:rsid w:val="00923073"/>
    <w:rsid w:val="00923CE6"/>
    <w:rsid w:val="00925513"/>
    <w:rsid w:val="00925876"/>
    <w:rsid w:val="0092646E"/>
    <w:rsid w:val="009310B5"/>
    <w:rsid w:val="00931611"/>
    <w:rsid w:val="009329AE"/>
    <w:rsid w:val="00933C53"/>
    <w:rsid w:val="00934C83"/>
    <w:rsid w:val="009369AE"/>
    <w:rsid w:val="0094216D"/>
    <w:rsid w:val="00942BBB"/>
    <w:rsid w:val="0094355B"/>
    <w:rsid w:val="0094439D"/>
    <w:rsid w:val="00944AFA"/>
    <w:rsid w:val="00945650"/>
    <w:rsid w:val="00945FE2"/>
    <w:rsid w:val="0094621D"/>
    <w:rsid w:val="0094682E"/>
    <w:rsid w:val="00950727"/>
    <w:rsid w:val="009508E4"/>
    <w:rsid w:val="00951FDB"/>
    <w:rsid w:val="009522DA"/>
    <w:rsid w:val="00952817"/>
    <w:rsid w:val="00953E02"/>
    <w:rsid w:val="00954323"/>
    <w:rsid w:val="00954BC2"/>
    <w:rsid w:val="009567B8"/>
    <w:rsid w:val="00957E7E"/>
    <w:rsid w:val="00960D34"/>
    <w:rsid w:val="009611D2"/>
    <w:rsid w:val="009621A0"/>
    <w:rsid w:val="00962BC2"/>
    <w:rsid w:val="00964224"/>
    <w:rsid w:val="0096696A"/>
    <w:rsid w:val="00967201"/>
    <w:rsid w:val="00967C74"/>
    <w:rsid w:val="00971FDA"/>
    <w:rsid w:val="009722A8"/>
    <w:rsid w:val="00972548"/>
    <w:rsid w:val="009728FF"/>
    <w:rsid w:val="00974888"/>
    <w:rsid w:val="00974B47"/>
    <w:rsid w:val="00974D53"/>
    <w:rsid w:val="00974D5D"/>
    <w:rsid w:val="009760C4"/>
    <w:rsid w:val="00976E27"/>
    <w:rsid w:val="009772A5"/>
    <w:rsid w:val="00977550"/>
    <w:rsid w:val="00980080"/>
    <w:rsid w:val="00980B5D"/>
    <w:rsid w:val="00981173"/>
    <w:rsid w:val="00981A75"/>
    <w:rsid w:val="00981F83"/>
    <w:rsid w:val="009841A8"/>
    <w:rsid w:val="009868BE"/>
    <w:rsid w:val="00986B64"/>
    <w:rsid w:val="00986EFA"/>
    <w:rsid w:val="00987070"/>
    <w:rsid w:val="009876A4"/>
    <w:rsid w:val="009917E9"/>
    <w:rsid w:val="00992416"/>
    <w:rsid w:val="00993789"/>
    <w:rsid w:val="00994B4C"/>
    <w:rsid w:val="00994F61"/>
    <w:rsid w:val="0099599C"/>
    <w:rsid w:val="00996057"/>
    <w:rsid w:val="00996394"/>
    <w:rsid w:val="00996C89"/>
    <w:rsid w:val="009979B9"/>
    <w:rsid w:val="009A03C7"/>
    <w:rsid w:val="009A0703"/>
    <w:rsid w:val="009A0C5E"/>
    <w:rsid w:val="009A1399"/>
    <w:rsid w:val="009A22FD"/>
    <w:rsid w:val="009A2ED6"/>
    <w:rsid w:val="009A31E7"/>
    <w:rsid w:val="009A4D20"/>
    <w:rsid w:val="009A546A"/>
    <w:rsid w:val="009A621C"/>
    <w:rsid w:val="009A6677"/>
    <w:rsid w:val="009A6C66"/>
    <w:rsid w:val="009A6EF9"/>
    <w:rsid w:val="009A7BBC"/>
    <w:rsid w:val="009B2A11"/>
    <w:rsid w:val="009B3C3D"/>
    <w:rsid w:val="009B5581"/>
    <w:rsid w:val="009B5940"/>
    <w:rsid w:val="009B63ED"/>
    <w:rsid w:val="009B710D"/>
    <w:rsid w:val="009C3862"/>
    <w:rsid w:val="009C4171"/>
    <w:rsid w:val="009C475C"/>
    <w:rsid w:val="009C5878"/>
    <w:rsid w:val="009C60A5"/>
    <w:rsid w:val="009C6114"/>
    <w:rsid w:val="009C75C9"/>
    <w:rsid w:val="009D11FC"/>
    <w:rsid w:val="009D1492"/>
    <w:rsid w:val="009D169E"/>
    <w:rsid w:val="009D17E7"/>
    <w:rsid w:val="009D2602"/>
    <w:rsid w:val="009D2C72"/>
    <w:rsid w:val="009D3234"/>
    <w:rsid w:val="009D3A10"/>
    <w:rsid w:val="009D418A"/>
    <w:rsid w:val="009D41B7"/>
    <w:rsid w:val="009D5CA7"/>
    <w:rsid w:val="009D65CD"/>
    <w:rsid w:val="009D6E2E"/>
    <w:rsid w:val="009D7298"/>
    <w:rsid w:val="009D7A35"/>
    <w:rsid w:val="009E03C7"/>
    <w:rsid w:val="009E12B5"/>
    <w:rsid w:val="009E3C1C"/>
    <w:rsid w:val="009E3F6F"/>
    <w:rsid w:val="009E67F0"/>
    <w:rsid w:val="009E6ACB"/>
    <w:rsid w:val="009E7105"/>
    <w:rsid w:val="009F1043"/>
    <w:rsid w:val="009F21E1"/>
    <w:rsid w:val="009F2D78"/>
    <w:rsid w:val="009F36CA"/>
    <w:rsid w:val="009F4FE2"/>
    <w:rsid w:val="009F58F9"/>
    <w:rsid w:val="009F6167"/>
    <w:rsid w:val="009F752A"/>
    <w:rsid w:val="00A003BE"/>
    <w:rsid w:val="00A00EE1"/>
    <w:rsid w:val="00A022AB"/>
    <w:rsid w:val="00A02B33"/>
    <w:rsid w:val="00A03435"/>
    <w:rsid w:val="00A034E0"/>
    <w:rsid w:val="00A03567"/>
    <w:rsid w:val="00A0385F"/>
    <w:rsid w:val="00A06C2D"/>
    <w:rsid w:val="00A079D0"/>
    <w:rsid w:val="00A11132"/>
    <w:rsid w:val="00A11756"/>
    <w:rsid w:val="00A11969"/>
    <w:rsid w:val="00A12F9C"/>
    <w:rsid w:val="00A14800"/>
    <w:rsid w:val="00A157B9"/>
    <w:rsid w:val="00A157DB"/>
    <w:rsid w:val="00A158FB"/>
    <w:rsid w:val="00A1712E"/>
    <w:rsid w:val="00A17739"/>
    <w:rsid w:val="00A17F2D"/>
    <w:rsid w:val="00A20667"/>
    <w:rsid w:val="00A22348"/>
    <w:rsid w:val="00A243D6"/>
    <w:rsid w:val="00A24C62"/>
    <w:rsid w:val="00A254EC"/>
    <w:rsid w:val="00A25F51"/>
    <w:rsid w:val="00A26182"/>
    <w:rsid w:val="00A2620B"/>
    <w:rsid w:val="00A30328"/>
    <w:rsid w:val="00A30382"/>
    <w:rsid w:val="00A30CEC"/>
    <w:rsid w:val="00A31B73"/>
    <w:rsid w:val="00A32604"/>
    <w:rsid w:val="00A32EF3"/>
    <w:rsid w:val="00A33959"/>
    <w:rsid w:val="00A35312"/>
    <w:rsid w:val="00A354C8"/>
    <w:rsid w:val="00A407E6"/>
    <w:rsid w:val="00A417AE"/>
    <w:rsid w:val="00A41F72"/>
    <w:rsid w:val="00A42CC5"/>
    <w:rsid w:val="00A43345"/>
    <w:rsid w:val="00A447E6"/>
    <w:rsid w:val="00A463E3"/>
    <w:rsid w:val="00A50A7D"/>
    <w:rsid w:val="00A50AD6"/>
    <w:rsid w:val="00A50D0F"/>
    <w:rsid w:val="00A50E2B"/>
    <w:rsid w:val="00A51495"/>
    <w:rsid w:val="00A538DE"/>
    <w:rsid w:val="00A54097"/>
    <w:rsid w:val="00A54746"/>
    <w:rsid w:val="00A57661"/>
    <w:rsid w:val="00A60140"/>
    <w:rsid w:val="00A602B3"/>
    <w:rsid w:val="00A60E34"/>
    <w:rsid w:val="00A62074"/>
    <w:rsid w:val="00A62606"/>
    <w:rsid w:val="00A62EA7"/>
    <w:rsid w:val="00A63D62"/>
    <w:rsid w:val="00A6459E"/>
    <w:rsid w:val="00A64686"/>
    <w:rsid w:val="00A64CAE"/>
    <w:rsid w:val="00A6578C"/>
    <w:rsid w:val="00A658CE"/>
    <w:rsid w:val="00A71594"/>
    <w:rsid w:val="00A71A0A"/>
    <w:rsid w:val="00A72227"/>
    <w:rsid w:val="00A72A98"/>
    <w:rsid w:val="00A72CC1"/>
    <w:rsid w:val="00A73E12"/>
    <w:rsid w:val="00A748F2"/>
    <w:rsid w:val="00A74939"/>
    <w:rsid w:val="00A76AED"/>
    <w:rsid w:val="00A77B52"/>
    <w:rsid w:val="00A77BE7"/>
    <w:rsid w:val="00A80044"/>
    <w:rsid w:val="00A806A4"/>
    <w:rsid w:val="00A80CE2"/>
    <w:rsid w:val="00A81845"/>
    <w:rsid w:val="00A823B9"/>
    <w:rsid w:val="00A8271D"/>
    <w:rsid w:val="00A82B34"/>
    <w:rsid w:val="00A83611"/>
    <w:rsid w:val="00A84B21"/>
    <w:rsid w:val="00A8580C"/>
    <w:rsid w:val="00A85A45"/>
    <w:rsid w:val="00A85F3E"/>
    <w:rsid w:val="00A86A92"/>
    <w:rsid w:val="00A86CEB"/>
    <w:rsid w:val="00A90AA5"/>
    <w:rsid w:val="00A912BA"/>
    <w:rsid w:val="00A913F8"/>
    <w:rsid w:val="00A924F3"/>
    <w:rsid w:val="00A92AF0"/>
    <w:rsid w:val="00A94369"/>
    <w:rsid w:val="00A94A5A"/>
    <w:rsid w:val="00A97923"/>
    <w:rsid w:val="00AA0E04"/>
    <w:rsid w:val="00AA0E31"/>
    <w:rsid w:val="00AA131B"/>
    <w:rsid w:val="00AA1803"/>
    <w:rsid w:val="00AA1E80"/>
    <w:rsid w:val="00AA20EA"/>
    <w:rsid w:val="00AA446F"/>
    <w:rsid w:val="00AA59A6"/>
    <w:rsid w:val="00AA6093"/>
    <w:rsid w:val="00AA739B"/>
    <w:rsid w:val="00AB0D80"/>
    <w:rsid w:val="00AB16D9"/>
    <w:rsid w:val="00AB1C49"/>
    <w:rsid w:val="00AB1FC8"/>
    <w:rsid w:val="00AB284D"/>
    <w:rsid w:val="00AB2F02"/>
    <w:rsid w:val="00AB304E"/>
    <w:rsid w:val="00AB40DA"/>
    <w:rsid w:val="00AB5F18"/>
    <w:rsid w:val="00AB6C17"/>
    <w:rsid w:val="00AB7320"/>
    <w:rsid w:val="00AB7883"/>
    <w:rsid w:val="00AB7C76"/>
    <w:rsid w:val="00AC006A"/>
    <w:rsid w:val="00AC0A9D"/>
    <w:rsid w:val="00AC0C9E"/>
    <w:rsid w:val="00AC1598"/>
    <w:rsid w:val="00AC16CE"/>
    <w:rsid w:val="00AC1D1C"/>
    <w:rsid w:val="00AC20C0"/>
    <w:rsid w:val="00AC2876"/>
    <w:rsid w:val="00AC3349"/>
    <w:rsid w:val="00AC33C8"/>
    <w:rsid w:val="00AC449A"/>
    <w:rsid w:val="00AC4C13"/>
    <w:rsid w:val="00AC4C74"/>
    <w:rsid w:val="00AC4CD2"/>
    <w:rsid w:val="00AC5D5B"/>
    <w:rsid w:val="00AC7BE1"/>
    <w:rsid w:val="00AD059B"/>
    <w:rsid w:val="00AD102A"/>
    <w:rsid w:val="00AD1502"/>
    <w:rsid w:val="00AD1796"/>
    <w:rsid w:val="00AD1974"/>
    <w:rsid w:val="00AD2353"/>
    <w:rsid w:val="00AD239A"/>
    <w:rsid w:val="00AD26D4"/>
    <w:rsid w:val="00AD3102"/>
    <w:rsid w:val="00AD3EDC"/>
    <w:rsid w:val="00AD46D0"/>
    <w:rsid w:val="00AD4BF1"/>
    <w:rsid w:val="00AD505E"/>
    <w:rsid w:val="00AD5CCC"/>
    <w:rsid w:val="00AD6CC5"/>
    <w:rsid w:val="00AD713A"/>
    <w:rsid w:val="00AD7E0B"/>
    <w:rsid w:val="00AE0E58"/>
    <w:rsid w:val="00AE11C8"/>
    <w:rsid w:val="00AE3A5F"/>
    <w:rsid w:val="00AE594A"/>
    <w:rsid w:val="00AE722B"/>
    <w:rsid w:val="00AE7DB5"/>
    <w:rsid w:val="00AF0189"/>
    <w:rsid w:val="00AF061D"/>
    <w:rsid w:val="00AF12CE"/>
    <w:rsid w:val="00AF3FE0"/>
    <w:rsid w:val="00AF45EB"/>
    <w:rsid w:val="00AF4794"/>
    <w:rsid w:val="00AF64B0"/>
    <w:rsid w:val="00AF695E"/>
    <w:rsid w:val="00AF7191"/>
    <w:rsid w:val="00AF7C74"/>
    <w:rsid w:val="00B001EB"/>
    <w:rsid w:val="00B004D7"/>
    <w:rsid w:val="00B00586"/>
    <w:rsid w:val="00B00972"/>
    <w:rsid w:val="00B0098B"/>
    <w:rsid w:val="00B01661"/>
    <w:rsid w:val="00B0271B"/>
    <w:rsid w:val="00B03B30"/>
    <w:rsid w:val="00B041BF"/>
    <w:rsid w:val="00B05FD2"/>
    <w:rsid w:val="00B06B70"/>
    <w:rsid w:val="00B16A33"/>
    <w:rsid w:val="00B17AC0"/>
    <w:rsid w:val="00B17B7B"/>
    <w:rsid w:val="00B17D41"/>
    <w:rsid w:val="00B21333"/>
    <w:rsid w:val="00B24AD9"/>
    <w:rsid w:val="00B25959"/>
    <w:rsid w:val="00B267CA"/>
    <w:rsid w:val="00B32A7C"/>
    <w:rsid w:val="00B3572E"/>
    <w:rsid w:val="00B37B12"/>
    <w:rsid w:val="00B40734"/>
    <w:rsid w:val="00B40C90"/>
    <w:rsid w:val="00B41FAA"/>
    <w:rsid w:val="00B41FE8"/>
    <w:rsid w:val="00B44EFF"/>
    <w:rsid w:val="00B46F12"/>
    <w:rsid w:val="00B5134D"/>
    <w:rsid w:val="00B516F5"/>
    <w:rsid w:val="00B5413B"/>
    <w:rsid w:val="00B54341"/>
    <w:rsid w:val="00B559F2"/>
    <w:rsid w:val="00B57130"/>
    <w:rsid w:val="00B57816"/>
    <w:rsid w:val="00B578D7"/>
    <w:rsid w:val="00B57D82"/>
    <w:rsid w:val="00B6087C"/>
    <w:rsid w:val="00B60E4E"/>
    <w:rsid w:val="00B61973"/>
    <w:rsid w:val="00B61ED6"/>
    <w:rsid w:val="00B62E41"/>
    <w:rsid w:val="00B6403E"/>
    <w:rsid w:val="00B6420A"/>
    <w:rsid w:val="00B65E5A"/>
    <w:rsid w:val="00B66C2A"/>
    <w:rsid w:val="00B6741C"/>
    <w:rsid w:val="00B70AD6"/>
    <w:rsid w:val="00B710C6"/>
    <w:rsid w:val="00B713BE"/>
    <w:rsid w:val="00B71940"/>
    <w:rsid w:val="00B72D36"/>
    <w:rsid w:val="00B735E5"/>
    <w:rsid w:val="00B73800"/>
    <w:rsid w:val="00B743E8"/>
    <w:rsid w:val="00B75FEC"/>
    <w:rsid w:val="00B76239"/>
    <w:rsid w:val="00B76896"/>
    <w:rsid w:val="00B775F5"/>
    <w:rsid w:val="00B808E4"/>
    <w:rsid w:val="00B810C9"/>
    <w:rsid w:val="00B81A7D"/>
    <w:rsid w:val="00B823A3"/>
    <w:rsid w:val="00B83729"/>
    <w:rsid w:val="00B839FB"/>
    <w:rsid w:val="00B83D93"/>
    <w:rsid w:val="00B83DFF"/>
    <w:rsid w:val="00B847B8"/>
    <w:rsid w:val="00B84A9F"/>
    <w:rsid w:val="00B85794"/>
    <w:rsid w:val="00B85C12"/>
    <w:rsid w:val="00B8620B"/>
    <w:rsid w:val="00B909F2"/>
    <w:rsid w:val="00B90AA0"/>
    <w:rsid w:val="00B928DE"/>
    <w:rsid w:val="00B92912"/>
    <w:rsid w:val="00B92BEA"/>
    <w:rsid w:val="00B95605"/>
    <w:rsid w:val="00B968AA"/>
    <w:rsid w:val="00B96B6A"/>
    <w:rsid w:val="00BA0943"/>
    <w:rsid w:val="00BA0C81"/>
    <w:rsid w:val="00BA1F04"/>
    <w:rsid w:val="00BA21E1"/>
    <w:rsid w:val="00BA23ED"/>
    <w:rsid w:val="00BA423F"/>
    <w:rsid w:val="00BA64E8"/>
    <w:rsid w:val="00BA6512"/>
    <w:rsid w:val="00BA75BB"/>
    <w:rsid w:val="00BA7CD8"/>
    <w:rsid w:val="00BB0343"/>
    <w:rsid w:val="00BB09F8"/>
    <w:rsid w:val="00BB0DDB"/>
    <w:rsid w:val="00BB235B"/>
    <w:rsid w:val="00BB27EB"/>
    <w:rsid w:val="00BB281E"/>
    <w:rsid w:val="00BB344E"/>
    <w:rsid w:val="00BB3CBD"/>
    <w:rsid w:val="00BB458D"/>
    <w:rsid w:val="00BB5CDE"/>
    <w:rsid w:val="00BB6000"/>
    <w:rsid w:val="00BB600D"/>
    <w:rsid w:val="00BB72F4"/>
    <w:rsid w:val="00BB7D5B"/>
    <w:rsid w:val="00BC0BB3"/>
    <w:rsid w:val="00BC0E8D"/>
    <w:rsid w:val="00BC10BC"/>
    <w:rsid w:val="00BC17C3"/>
    <w:rsid w:val="00BC23FB"/>
    <w:rsid w:val="00BC2458"/>
    <w:rsid w:val="00BC2E54"/>
    <w:rsid w:val="00BC6254"/>
    <w:rsid w:val="00BD05FC"/>
    <w:rsid w:val="00BD0872"/>
    <w:rsid w:val="00BD120F"/>
    <w:rsid w:val="00BD2B8D"/>
    <w:rsid w:val="00BD3834"/>
    <w:rsid w:val="00BD5923"/>
    <w:rsid w:val="00BD5B0A"/>
    <w:rsid w:val="00BD5ED8"/>
    <w:rsid w:val="00BD6750"/>
    <w:rsid w:val="00BD7018"/>
    <w:rsid w:val="00BD7A6B"/>
    <w:rsid w:val="00BD7D58"/>
    <w:rsid w:val="00BD7DD0"/>
    <w:rsid w:val="00BE0493"/>
    <w:rsid w:val="00BE5136"/>
    <w:rsid w:val="00BF0CF3"/>
    <w:rsid w:val="00BF4442"/>
    <w:rsid w:val="00BF487A"/>
    <w:rsid w:val="00BF5642"/>
    <w:rsid w:val="00BF640F"/>
    <w:rsid w:val="00BF7129"/>
    <w:rsid w:val="00C00D5D"/>
    <w:rsid w:val="00C01AD4"/>
    <w:rsid w:val="00C03250"/>
    <w:rsid w:val="00C033E7"/>
    <w:rsid w:val="00C04166"/>
    <w:rsid w:val="00C0460B"/>
    <w:rsid w:val="00C05858"/>
    <w:rsid w:val="00C07DF4"/>
    <w:rsid w:val="00C10836"/>
    <w:rsid w:val="00C11FD0"/>
    <w:rsid w:val="00C122BA"/>
    <w:rsid w:val="00C12D78"/>
    <w:rsid w:val="00C1346D"/>
    <w:rsid w:val="00C13ECE"/>
    <w:rsid w:val="00C14885"/>
    <w:rsid w:val="00C15234"/>
    <w:rsid w:val="00C15A52"/>
    <w:rsid w:val="00C15E83"/>
    <w:rsid w:val="00C1632D"/>
    <w:rsid w:val="00C170C0"/>
    <w:rsid w:val="00C17DE9"/>
    <w:rsid w:val="00C204A6"/>
    <w:rsid w:val="00C2197D"/>
    <w:rsid w:val="00C22DAC"/>
    <w:rsid w:val="00C2352A"/>
    <w:rsid w:val="00C23BD1"/>
    <w:rsid w:val="00C25454"/>
    <w:rsid w:val="00C300E4"/>
    <w:rsid w:val="00C303A9"/>
    <w:rsid w:val="00C303F0"/>
    <w:rsid w:val="00C306A7"/>
    <w:rsid w:val="00C30CD3"/>
    <w:rsid w:val="00C310C0"/>
    <w:rsid w:val="00C31569"/>
    <w:rsid w:val="00C31905"/>
    <w:rsid w:val="00C31AF7"/>
    <w:rsid w:val="00C33CFA"/>
    <w:rsid w:val="00C344E9"/>
    <w:rsid w:val="00C35F90"/>
    <w:rsid w:val="00C36BFD"/>
    <w:rsid w:val="00C37C60"/>
    <w:rsid w:val="00C42588"/>
    <w:rsid w:val="00C443EA"/>
    <w:rsid w:val="00C449C8"/>
    <w:rsid w:val="00C451D8"/>
    <w:rsid w:val="00C4636A"/>
    <w:rsid w:val="00C4663F"/>
    <w:rsid w:val="00C476A6"/>
    <w:rsid w:val="00C515C6"/>
    <w:rsid w:val="00C51EEC"/>
    <w:rsid w:val="00C5303D"/>
    <w:rsid w:val="00C53328"/>
    <w:rsid w:val="00C533DA"/>
    <w:rsid w:val="00C53BC4"/>
    <w:rsid w:val="00C55A51"/>
    <w:rsid w:val="00C55A71"/>
    <w:rsid w:val="00C56665"/>
    <w:rsid w:val="00C608B8"/>
    <w:rsid w:val="00C610FD"/>
    <w:rsid w:val="00C632AD"/>
    <w:rsid w:val="00C6348B"/>
    <w:rsid w:val="00C63620"/>
    <w:rsid w:val="00C66BC5"/>
    <w:rsid w:val="00C67434"/>
    <w:rsid w:val="00C70077"/>
    <w:rsid w:val="00C704AA"/>
    <w:rsid w:val="00C71652"/>
    <w:rsid w:val="00C7184D"/>
    <w:rsid w:val="00C72DC0"/>
    <w:rsid w:val="00C76AC4"/>
    <w:rsid w:val="00C779B2"/>
    <w:rsid w:val="00C77F54"/>
    <w:rsid w:val="00C80798"/>
    <w:rsid w:val="00C818BD"/>
    <w:rsid w:val="00C81B55"/>
    <w:rsid w:val="00C822E1"/>
    <w:rsid w:val="00C82687"/>
    <w:rsid w:val="00C82A5B"/>
    <w:rsid w:val="00C84DE1"/>
    <w:rsid w:val="00C8517B"/>
    <w:rsid w:val="00C85CAB"/>
    <w:rsid w:val="00C85F05"/>
    <w:rsid w:val="00C865A9"/>
    <w:rsid w:val="00C872A0"/>
    <w:rsid w:val="00C90EE5"/>
    <w:rsid w:val="00C92834"/>
    <w:rsid w:val="00C93677"/>
    <w:rsid w:val="00C94FA3"/>
    <w:rsid w:val="00C9589E"/>
    <w:rsid w:val="00C95F1F"/>
    <w:rsid w:val="00C95FC8"/>
    <w:rsid w:val="00C97809"/>
    <w:rsid w:val="00C97DDC"/>
    <w:rsid w:val="00C97DEE"/>
    <w:rsid w:val="00CA1905"/>
    <w:rsid w:val="00CA2E36"/>
    <w:rsid w:val="00CA396C"/>
    <w:rsid w:val="00CA3D17"/>
    <w:rsid w:val="00CA5380"/>
    <w:rsid w:val="00CA720B"/>
    <w:rsid w:val="00CB04A3"/>
    <w:rsid w:val="00CB0B25"/>
    <w:rsid w:val="00CB1B3B"/>
    <w:rsid w:val="00CB28CD"/>
    <w:rsid w:val="00CB5257"/>
    <w:rsid w:val="00CB52E3"/>
    <w:rsid w:val="00CB540B"/>
    <w:rsid w:val="00CB6442"/>
    <w:rsid w:val="00CB7235"/>
    <w:rsid w:val="00CC014E"/>
    <w:rsid w:val="00CC1054"/>
    <w:rsid w:val="00CC12BC"/>
    <w:rsid w:val="00CC22A8"/>
    <w:rsid w:val="00CC3455"/>
    <w:rsid w:val="00CC4104"/>
    <w:rsid w:val="00CC665E"/>
    <w:rsid w:val="00CC6E87"/>
    <w:rsid w:val="00CC79E0"/>
    <w:rsid w:val="00CD059B"/>
    <w:rsid w:val="00CD107E"/>
    <w:rsid w:val="00CD1748"/>
    <w:rsid w:val="00CD251B"/>
    <w:rsid w:val="00CD25B8"/>
    <w:rsid w:val="00CD5E06"/>
    <w:rsid w:val="00CD670F"/>
    <w:rsid w:val="00CD716F"/>
    <w:rsid w:val="00CE0290"/>
    <w:rsid w:val="00CE0BF0"/>
    <w:rsid w:val="00CE0EF4"/>
    <w:rsid w:val="00CE0FA9"/>
    <w:rsid w:val="00CE1258"/>
    <w:rsid w:val="00CE2BEB"/>
    <w:rsid w:val="00CE3842"/>
    <w:rsid w:val="00CE4800"/>
    <w:rsid w:val="00CE51EE"/>
    <w:rsid w:val="00CE57AA"/>
    <w:rsid w:val="00CE5D21"/>
    <w:rsid w:val="00CE6AF4"/>
    <w:rsid w:val="00CE7F54"/>
    <w:rsid w:val="00CF0BB6"/>
    <w:rsid w:val="00CF140D"/>
    <w:rsid w:val="00CF2BA3"/>
    <w:rsid w:val="00CF3423"/>
    <w:rsid w:val="00CF4C38"/>
    <w:rsid w:val="00D00330"/>
    <w:rsid w:val="00D0089D"/>
    <w:rsid w:val="00D00FD6"/>
    <w:rsid w:val="00D012B0"/>
    <w:rsid w:val="00D027E6"/>
    <w:rsid w:val="00D02E83"/>
    <w:rsid w:val="00D03079"/>
    <w:rsid w:val="00D03616"/>
    <w:rsid w:val="00D03F7E"/>
    <w:rsid w:val="00D05841"/>
    <w:rsid w:val="00D05C27"/>
    <w:rsid w:val="00D05D30"/>
    <w:rsid w:val="00D05F8E"/>
    <w:rsid w:val="00D069F7"/>
    <w:rsid w:val="00D07BB7"/>
    <w:rsid w:val="00D10BDF"/>
    <w:rsid w:val="00D110CF"/>
    <w:rsid w:val="00D1186B"/>
    <w:rsid w:val="00D11C10"/>
    <w:rsid w:val="00D12DCB"/>
    <w:rsid w:val="00D132FA"/>
    <w:rsid w:val="00D144D9"/>
    <w:rsid w:val="00D1582D"/>
    <w:rsid w:val="00D15D33"/>
    <w:rsid w:val="00D16569"/>
    <w:rsid w:val="00D1749C"/>
    <w:rsid w:val="00D202A1"/>
    <w:rsid w:val="00D20CE3"/>
    <w:rsid w:val="00D214C1"/>
    <w:rsid w:val="00D21EAF"/>
    <w:rsid w:val="00D228CE"/>
    <w:rsid w:val="00D22D60"/>
    <w:rsid w:val="00D23477"/>
    <w:rsid w:val="00D23754"/>
    <w:rsid w:val="00D24728"/>
    <w:rsid w:val="00D25027"/>
    <w:rsid w:val="00D254BA"/>
    <w:rsid w:val="00D256CC"/>
    <w:rsid w:val="00D2585B"/>
    <w:rsid w:val="00D305E7"/>
    <w:rsid w:val="00D30974"/>
    <w:rsid w:val="00D31519"/>
    <w:rsid w:val="00D31E7C"/>
    <w:rsid w:val="00D32C28"/>
    <w:rsid w:val="00D3428F"/>
    <w:rsid w:val="00D3493F"/>
    <w:rsid w:val="00D34D18"/>
    <w:rsid w:val="00D35071"/>
    <w:rsid w:val="00D37B8F"/>
    <w:rsid w:val="00D37D8A"/>
    <w:rsid w:val="00D40574"/>
    <w:rsid w:val="00D41A52"/>
    <w:rsid w:val="00D44789"/>
    <w:rsid w:val="00D45B6D"/>
    <w:rsid w:val="00D46800"/>
    <w:rsid w:val="00D46C7E"/>
    <w:rsid w:val="00D46D6E"/>
    <w:rsid w:val="00D4786B"/>
    <w:rsid w:val="00D50B41"/>
    <w:rsid w:val="00D50E0E"/>
    <w:rsid w:val="00D51662"/>
    <w:rsid w:val="00D519B7"/>
    <w:rsid w:val="00D51D7E"/>
    <w:rsid w:val="00D53920"/>
    <w:rsid w:val="00D54C49"/>
    <w:rsid w:val="00D55598"/>
    <w:rsid w:val="00D557BF"/>
    <w:rsid w:val="00D56517"/>
    <w:rsid w:val="00D571B4"/>
    <w:rsid w:val="00D60C9C"/>
    <w:rsid w:val="00D6289E"/>
    <w:rsid w:val="00D6337A"/>
    <w:rsid w:val="00D63C8B"/>
    <w:rsid w:val="00D63CFD"/>
    <w:rsid w:val="00D641D6"/>
    <w:rsid w:val="00D65888"/>
    <w:rsid w:val="00D66301"/>
    <w:rsid w:val="00D70152"/>
    <w:rsid w:val="00D701DD"/>
    <w:rsid w:val="00D70B1F"/>
    <w:rsid w:val="00D7143E"/>
    <w:rsid w:val="00D717AD"/>
    <w:rsid w:val="00D72659"/>
    <w:rsid w:val="00D72C6E"/>
    <w:rsid w:val="00D72DDD"/>
    <w:rsid w:val="00D73301"/>
    <w:rsid w:val="00D7419B"/>
    <w:rsid w:val="00D742B5"/>
    <w:rsid w:val="00D7654E"/>
    <w:rsid w:val="00D80209"/>
    <w:rsid w:val="00D8047B"/>
    <w:rsid w:val="00D81445"/>
    <w:rsid w:val="00D82509"/>
    <w:rsid w:val="00D825EA"/>
    <w:rsid w:val="00D82A17"/>
    <w:rsid w:val="00D83995"/>
    <w:rsid w:val="00D83CC0"/>
    <w:rsid w:val="00D83D8F"/>
    <w:rsid w:val="00D84607"/>
    <w:rsid w:val="00D84901"/>
    <w:rsid w:val="00D86250"/>
    <w:rsid w:val="00D8651C"/>
    <w:rsid w:val="00D86879"/>
    <w:rsid w:val="00D87EFC"/>
    <w:rsid w:val="00D90ECD"/>
    <w:rsid w:val="00D91654"/>
    <w:rsid w:val="00D93CB3"/>
    <w:rsid w:val="00D95665"/>
    <w:rsid w:val="00D9603E"/>
    <w:rsid w:val="00D96D6A"/>
    <w:rsid w:val="00D96F97"/>
    <w:rsid w:val="00D97421"/>
    <w:rsid w:val="00D97481"/>
    <w:rsid w:val="00D97C66"/>
    <w:rsid w:val="00DA10A4"/>
    <w:rsid w:val="00DA1540"/>
    <w:rsid w:val="00DA1B90"/>
    <w:rsid w:val="00DA2FE8"/>
    <w:rsid w:val="00DA42B5"/>
    <w:rsid w:val="00DA5B20"/>
    <w:rsid w:val="00DA5EFC"/>
    <w:rsid w:val="00DA70B4"/>
    <w:rsid w:val="00DA78F5"/>
    <w:rsid w:val="00DB0CC6"/>
    <w:rsid w:val="00DB32BF"/>
    <w:rsid w:val="00DB3ABE"/>
    <w:rsid w:val="00DB47E6"/>
    <w:rsid w:val="00DB5B03"/>
    <w:rsid w:val="00DB6078"/>
    <w:rsid w:val="00DB63A4"/>
    <w:rsid w:val="00DB76D9"/>
    <w:rsid w:val="00DB7A60"/>
    <w:rsid w:val="00DC0E99"/>
    <w:rsid w:val="00DC162F"/>
    <w:rsid w:val="00DC2272"/>
    <w:rsid w:val="00DC2E09"/>
    <w:rsid w:val="00DC330A"/>
    <w:rsid w:val="00DC4A62"/>
    <w:rsid w:val="00DC6559"/>
    <w:rsid w:val="00DC6563"/>
    <w:rsid w:val="00DC6A5E"/>
    <w:rsid w:val="00DC7221"/>
    <w:rsid w:val="00DD0ABF"/>
    <w:rsid w:val="00DD0F62"/>
    <w:rsid w:val="00DD20B7"/>
    <w:rsid w:val="00DD233A"/>
    <w:rsid w:val="00DD254F"/>
    <w:rsid w:val="00DD2820"/>
    <w:rsid w:val="00DD54CA"/>
    <w:rsid w:val="00DD57EB"/>
    <w:rsid w:val="00DD5DE3"/>
    <w:rsid w:val="00DD5F50"/>
    <w:rsid w:val="00DD7206"/>
    <w:rsid w:val="00DD7D54"/>
    <w:rsid w:val="00DE025B"/>
    <w:rsid w:val="00DE04F8"/>
    <w:rsid w:val="00DE069B"/>
    <w:rsid w:val="00DE096C"/>
    <w:rsid w:val="00DE1FFC"/>
    <w:rsid w:val="00DE2D03"/>
    <w:rsid w:val="00DE3240"/>
    <w:rsid w:val="00DE3378"/>
    <w:rsid w:val="00DE368D"/>
    <w:rsid w:val="00DE38DF"/>
    <w:rsid w:val="00DE3B47"/>
    <w:rsid w:val="00DE3D20"/>
    <w:rsid w:val="00DE4028"/>
    <w:rsid w:val="00DE43D9"/>
    <w:rsid w:val="00DE6CFB"/>
    <w:rsid w:val="00DE7017"/>
    <w:rsid w:val="00DE76B9"/>
    <w:rsid w:val="00DE78A0"/>
    <w:rsid w:val="00DF0540"/>
    <w:rsid w:val="00DF1356"/>
    <w:rsid w:val="00DF275F"/>
    <w:rsid w:val="00DF34D9"/>
    <w:rsid w:val="00DF3D3E"/>
    <w:rsid w:val="00DF505B"/>
    <w:rsid w:val="00DF631B"/>
    <w:rsid w:val="00DF78FB"/>
    <w:rsid w:val="00DF796B"/>
    <w:rsid w:val="00E005BB"/>
    <w:rsid w:val="00E006CC"/>
    <w:rsid w:val="00E00849"/>
    <w:rsid w:val="00E00874"/>
    <w:rsid w:val="00E019D5"/>
    <w:rsid w:val="00E02095"/>
    <w:rsid w:val="00E03181"/>
    <w:rsid w:val="00E05350"/>
    <w:rsid w:val="00E05851"/>
    <w:rsid w:val="00E05AD0"/>
    <w:rsid w:val="00E10542"/>
    <w:rsid w:val="00E11541"/>
    <w:rsid w:val="00E119D7"/>
    <w:rsid w:val="00E11F9C"/>
    <w:rsid w:val="00E125C6"/>
    <w:rsid w:val="00E162B6"/>
    <w:rsid w:val="00E1739F"/>
    <w:rsid w:val="00E1762B"/>
    <w:rsid w:val="00E179DC"/>
    <w:rsid w:val="00E20610"/>
    <w:rsid w:val="00E2240E"/>
    <w:rsid w:val="00E240A8"/>
    <w:rsid w:val="00E24AAC"/>
    <w:rsid w:val="00E258BC"/>
    <w:rsid w:val="00E25EE0"/>
    <w:rsid w:val="00E25FA3"/>
    <w:rsid w:val="00E261D3"/>
    <w:rsid w:val="00E27466"/>
    <w:rsid w:val="00E30C19"/>
    <w:rsid w:val="00E3116D"/>
    <w:rsid w:val="00E32016"/>
    <w:rsid w:val="00E35899"/>
    <w:rsid w:val="00E37663"/>
    <w:rsid w:val="00E3787C"/>
    <w:rsid w:val="00E37E61"/>
    <w:rsid w:val="00E43E68"/>
    <w:rsid w:val="00E44556"/>
    <w:rsid w:val="00E44D46"/>
    <w:rsid w:val="00E454E2"/>
    <w:rsid w:val="00E458FF"/>
    <w:rsid w:val="00E46472"/>
    <w:rsid w:val="00E46890"/>
    <w:rsid w:val="00E469BE"/>
    <w:rsid w:val="00E46E66"/>
    <w:rsid w:val="00E4787F"/>
    <w:rsid w:val="00E50592"/>
    <w:rsid w:val="00E50A96"/>
    <w:rsid w:val="00E50ECC"/>
    <w:rsid w:val="00E523AE"/>
    <w:rsid w:val="00E52E82"/>
    <w:rsid w:val="00E52F76"/>
    <w:rsid w:val="00E537FF"/>
    <w:rsid w:val="00E556FA"/>
    <w:rsid w:val="00E557C1"/>
    <w:rsid w:val="00E565FB"/>
    <w:rsid w:val="00E56885"/>
    <w:rsid w:val="00E56AC9"/>
    <w:rsid w:val="00E577BF"/>
    <w:rsid w:val="00E60DC6"/>
    <w:rsid w:val="00E61319"/>
    <w:rsid w:val="00E65DDE"/>
    <w:rsid w:val="00E669C4"/>
    <w:rsid w:val="00E66EAD"/>
    <w:rsid w:val="00E6740C"/>
    <w:rsid w:val="00E677E2"/>
    <w:rsid w:val="00E7030A"/>
    <w:rsid w:val="00E7082D"/>
    <w:rsid w:val="00E70D3F"/>
    <w:rsid w:val="00E70DF0"/>
    <w:rsid w:val="00E70E21"/>
    <w:rsid w:val="00E70FCB"/>
    <w:rsid w:val="00E71027"/>
    <w:rsid w:val="00E71691"/>
    <w:rsid w:val="00E71D99"/>
    <w:rsid w:val="00E71FB7"/>
    <w:rsid w:val="00E72466"/>
    <w:rsid w:val="00E725B6"/>
    <w:rsid w:val="00E72ED0"/>
    <w:rsid w:val="00E759AB"/>
    <w:rsid w:val="00E75ACD"/>
    <w:rsid w:val="00E76ADF"/>
    <w:rsid w:val="00E81AA1"/>
    <w:rsid w:val="00E821BF"/>
    <w:rsid w:val="00E835E9"/>
    <w:rsid w:val="00E840AA"/>
    <w:rsid w:val="00E85252"/>
    <w:rsid w:val="00E85665"/>
    <w:rsid w:val="00E858C0"/>
    <w:rsid w:val="00E8692D"/>
    <w:rsid w:val="00E87299"/>
    <w:rsid w:val="00E909DF"/>
    <w:rsid w:val="00E90B54"/>
    <w:rsid w:val="00E90EE0"/>
    <w:rsid w:val="00E913F8"/>
    <w:rsid w:val="00E92647"/>
    <w:rsid w:val="00E940B0"/>
    <w:rsid w:val="00E945E7"/>
    <w:rsid w:val="00E950BC"/>
    <w:rsid w:val="00E9513C"/>
    <w:rsid w:val="00E95510"/>
    <w:rsid w:val="00E95FC7"/>
    <w:rsid w:val="00E9718A"/>
    <w:rsid w:val="00EA100F"/>
    <w:rsid w:val="00EA120A"/>
    <w:rsid w:val="00EA1480"/>
    <w:rsid w:val="00EA2ABA"/>
    <w:rsid w:val="00EA2E7A"/>
    <w:rsid w:val="00EA3BAC"/>
    <w:rsid w:val="00EA4B05"/>
    <w:rsid w:val="00EA5046"/>
    <w:rsid w:val="00EA546C"/>
    <w:rsid w:val="00EA5653"/>
    <w:rsid w:val="00EA5B26"/>
    <w:rsid w:val="00EA5B42"/>
    <w:rsid w:val="00EA6FAC"/>
    <w:rsid w:val="00EA70FF"/>
    <w:rsid w:val="00EA7911"/>
    <w:rsid w:val="00EA7C36"/>
    <w:rsid w:val="00EA7D32"/>
    <w:rsid w:val="00EB1EB7"/>
    <w:rsid w:val="00EB264B"/>
    <w:rsid w:val="00EB267C"/>
    <w:rsid w:val="00EB30C9"/>
    <w:rsid w:val="00EB31F4"/>
    <w:rsid w:val="00EB37BB"/>
    <w:rsid w:val="00EB4370"/>
    <w:rsid w:val="00EB57DC"/>
    <w:rsid w:val="00EB5A71"/>
    <w:rsid w:val="00EB6379"/>
    <w:rsid w:val="00EB6D36"/>
    <w:rsid w:val="00EC26B0"/>
    <w:rsid w:val="00EC2AF2"/>
    <w:rsid w:val="00EC3897"/>
    <w:rsid w:val="00EC3E42"/>
    <w:rsid w:val="00EC3E4C"/>
    <w:rsid w:val="00EC4745"/>
    <w:rsid w:val="00EC4FED"/>
    <w:rsid w:val="00EC5A36"/>
    <w:rsid w:val="00EC6B24"/>
    <w:rsid w:val="00EC7073"/>
    <w:rsid w:val="00EC7600"/>
    <w:rsid w:val="00ED05DF"/>
    <w:rsid w:val="00ED3388"/>
    <w:rsid w:val="00ED440C"/>
    <w:rsid w:val="00ED6186"/>
    <w:rsid w:val="00ED6718"/>
    <w:rsid w:val="00ED6C30"/>
    <w:rsid w:val="00ED7A22"/>
    <w:rsid w:val="00EE15CE"/>
    <w:rsid w:val="00EE1C69"/>
    <w:rsid w:val="00EE2BC4"/>
    <w:rsid w:val="00EE3379"/>
    <w:rsid w:val="00EE337C"/>
    <w:rsid w:val="00EE387C"/>
    <w:rsid w:val="00EE4855"/>
    <w:rsid w:val="00EE52D6"/>
    <w:rsid w:val="00EE543B"/>
    <w:rsid w:val="00EE633B"/>
    <w:rsid w:val="00EE6C9E"/>
    <w:rsid w:val="00EE77F7"/>
    <w:rsid w:val="00EE7DB4"/>
    <w:rsid w:val="00EF0435"/>
    <w:rsid w:val="00EF11AE"/>
    <w:rsid w:val="00EF1969"/>
    <w:rsid w:val="00EF2589"/>
    <w:rsid w:val="00EF25EC"/>
    <w:rsid w:val="00EF34B9"/>
    <w:rsid w:val="00EF383F"/>
    <w:rsid w:val="00EF5378"/>
    <w:rsid w:val="00EF573C"/>
    <w:rsid w:val="00EF6541"/>
    <w:rsid w:val="00EF6550"/>
    <w:rsid w:val="00EF69DD"/>
    <w:rsid w:val="00EF7CC3"/>
    <w:rsid w:val="00EF7DEA"/>
    <w:rsid w:val="00F02B7B"/>
    <w:rsid w:val="00F03CF9"/>
    <w:rsid w:val="00F0678A"/>
    <w:rsid w:val="00F06D49"/>
    <w:rsid w:val="00F074BF"/>
    <w:rsid w:val="00F077A8"/>
    <w:rsid w:val="00F07B5E"/>
    <w:rsid w:val="00F102CD"/>
    <w:rsid w:val="00F1048B"/>
    <w:rsid w:val="00F10951"/>
    <w:rsid w:val="00F10B2B"/>
    <w:rsid w:val="00F10B61"/>
    <w:rsid w:val="00F132A8"/>
    <w:rsid w:val="00F1394D"/>
    <w:rsid w:val="00F142FD"/>
    <w:rsid w:val="00F15947"/>
    <w:rsid w:val="00F177C2"/>
    <w:rsid w:val="00F201B9"/>
    <w:rsid w:val="00F218B7"/>
    <w:rsid w:val="00F21A48"/>
    <w:rsid w:val="00F24C72"/>
    <w:rsid w:val="00F24E6F"/>
    <w:rsid w:val="00F25BBC"/>
    <w:rsid w:val="00F26294"/>
    <w:rsid w:val="00F267CB"/>
    <w:rsid w:val="00F305C0"/>
    <w:rsid w:val="00F31BDD"/>
    <w:rsid w:val="00F3285B"/>
    <w:rsid w:val="00F329A9"/>
    <w:rsid w:val="00F33550"/>
    <w:rsid w:val="00F338E7"/>
    <w:rsid w:val="00F33973"/>
    <w:rsid w:val="00F35F68"/>
    <w:rsid w:val="00F36076"/>
    <w:rsid w:val="00F3765A"/>
    <w:rsid w:val="00F376CB"/>
    <w:rsid w:val="00F40413"/>
    <w:rsid w:val="00F40E31"/>
    <w:rsid w:val="00F42E3D"/>
    <w:rsid w:val="00F43B23"/>
    <w:rsid w:val="00F44502"/>
    <w:rsid w:val="00F47EF8"/>
    <w:rsid w:val="00F5030C"/>
    <w:rsid w:val="00F52C95"/>
    <w:rsid w:val="00F5367B"/>
    <w:rsid w:val="00F5387B"/>
    <w:rsid w:val="00F54382"/>
    <w:rsid w:val="00F5467E"/>
    <w:rsid w:val="00F54BA5"/>
    <w:rsid w:val="00F54BE0"/>
    <w:rsid w:val="00F54FF0"/>
    <w:rsid w:val="00F57CFE"/>
    <w:rsid w:val="00F60A49"/>
    <w:rsid w:val="00F60F45"/>
    <w:rsid w:val="00F61B01"/>
    <w:rsid w:val="00F63864"/>
    <w:rsid w:val="00F6407E"/>
    <w:rsid w:val="00F651CF"/>
    <w:rsid w:val="00F66B63"/>
    <w:rsid w:val="00F66D2D"/>
    <w:rsid w:val="00F66FFE"/>
    <w:rsid w:val="00F67AD6"/>
    <w:rsid w:val="00F71596"/>
    <w:rsid w:val="00F72322"/>
    <w:rsid w:val="00F7399D"/>
    <w:rsid w:val="00F73E5E"/>
    <w:rsid w:val="00F74C40"/>
    <w:rsid w:val="00F76033"/>
    <w:rsid w:val="00F7618B"/>
    <w:rsid w:val="00F7699A"/>
    <w:rsid w:val="00F821DD"/>
    <w:rsid w:val="00F8252F"/>
    <w:rsid w:val="00F8300E"/>
    <w:rsid w:val="00F8391F"/>
    <w:rsid w:val="00F83B13"/>
    <w:rsid w:val="00F84339"/>
    <w:rsid w:val="00F846A9"/>
    <w:rsid w:val="00F8554C"/>
    <w:rsid w:val="00F856E9"/>
    <w:rsid w:val="00F85F2D"/>
    <w:rsid w:val="00F86190"/>
    <w:rsid w:val="00F862D0"/>
    <w:rsid w:val="00F86355"/>
    <w:rsid w:val="00F869A4"/>
    <w:rsid w:val="00F86D4B"/>
    <w:rsid w:val="00F90909"/>
    <w:rsid w:val="00F93B5C"/>
    <w:rsid w:val="00F94116"/>
    <w:rsid w:val="00F95126"/>
    <w:rsid w:val="00F95B7B"/>
    <w:rsid w:val="00F95D6A"/>
    <w:rsid w:val="00F962F3"/>
    <w:rsid w:val="00F96371"/>
    <w:rsid w:val="00F96718"/>
    <w:rsid w:val="00FA02C8"/>
    <w:rsid w:val="00FA04AD"/>
    <w:rsid w:val="00FA19CC"/>
    <w:rsid w:val="00FA1DC6"/>
    <w:rsid w:val="00FA2035"/>
    <w:rsid w:val="00FA296B"/>
    <w:rsid w:val="00FA2C37"/>
    <w:rsid w:val="00FA41CF"/>
    <w:rsid w:val="00FA467D"/>
    <w:rsid w:val="00FA49C3"/>
    <w:rsid w:val="00FA5701"/>
    <w:rsid w:val="00FA69A5"/>
    <w:rsid w:val="00FA6B86"/>
    <w:rsid w:val="00FA759D"/>
    <w:rsid w:val="00FB2C32"/>
    <w:rsid w:val="00FB37FF"/>
    <w:rsid w:val="00FB5436"/>
    <w:rsid w:val="00FB57A6"/>
    <w:rsid w:val="00FB5905"/>
    <w:rsid w:val="00FC0D89"/>
    <w:rsid w:val="00FC0FA3"/>
    <w:rsid w:val="00FC1E77"/>
    <w:rsid w:val="00FC3E1E"/>
    <w:rsid w:val="00FC41C1"/>
    <w:rsid w:val="00FC4360"/>
    <w:rsid w:val="00FC6328"/>
    <w:rsid w:val="00FC6FB3"/>
    <w:rsid w:val="00FC749D"/>
    <w:rsid w:val="00FD07E1"/>
    <w:rsid w:val="00FD0B7B"/>
    <w:rsid w:val="00FD1787"/>
    <w:rsid w:val="00FD20F9"/>
    <w:rsid w:val="00FD23DF"/>
    <w:rsid w:val="00FD2772"/>
    <w:rsid w:val="00FD31FF"/>
    <w:rsid w:val="00FD5A12"/>
    <w:rsid w:val="00FE00B5"/>
    <w:rsid w:val="00FE027F"/>
    <w:rsid w:val="00FE2EE5"/>
    <w:rsid w:val="00FE32C0"/>
    <w:rsid w:val="00FE4830"/>
    <w:rsid w:val="00FE6F63"/>
    <w:rsid w:val="00FE71B9"/>
    <w:rsid w:val="00FE76F1"/>
    <w:rsid w:val="00FF01BC"/>
    <w:rsid w:val="00FF15AD"/>
    <w:rsid w:val="00FF1BB7"/>
    <w:rsid w:val="00FF2778"/>
    <w:rsid w:val="00FF28C9"/>
    <w:rsid w:val="00FF2BC5"/>
    <w:rsid w:val="00FF3188"/>
    <w:rsid w:val="00FF4AE2"/>
    <w:rsid w:val="00FF50FC"/>
    <w:rsid w:val="00FF6828"/>
    <w:rsid w:val="00FF7058"/>
    <w:rsid w:val="00FF738C"/>
    <w:rsid w:val="00FF7B28"/>
    <w:rsid w:val="00FF7DEE"/>
    <w:rsid w:val="73BB7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A92907F9-3C28-471A-9C73-7A757ADC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CC5"/>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A41F72"/>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476C08"/>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61362E"/>
    <w:pPr>
      <w:keepNext/>
      <w:keepLines/>
      <w:numPr>
        <w:numId w:val="9"/>
      </w:numPr>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861068"/>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1F72"/>
    <w:rPr>
      <w:b/>
      <w:bCs/>
      <w:sz w:val="28"/>
      <w:szCs w:val="28"/>
    </w:rPr>
  </w:style>
  <w:style w:type="character" w:customStyle="1" w:styleId="Heading2Char">
    <w:name w:val="Heading 2 Char"/>
    <w:basedOn w:val="DefaultParagraphFont"/>
    <w:link w:val="Heading2"/>
    <w:uiPriority w:val="99"/>
    <w:locked/>
    <w:rsid w:val="00476C08"/>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61362E"/>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A41F72"/>
    <w:pPr>
      <w:tabs>
        <w:tab w:val="left" w:pos="480"/>
        <w:tab w:val="right" w:leader="dot" w:pos="9530"/>
      </w:tabs>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E469BE"/>
    <w:pPr>
      <w:tabs>
        <w:tab w:val="left" w:pos="720"/>
        <w:tab w:val="right" w:leader="dot" w:pos="9530"/>
      </w:tabs>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861068"/>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A41F72"/>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5394</Words>
  <Characters>30025</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dgibbs</dc:creator>
  <cp:lastModifiedBy>Eccles, Tanesha - OSHA</cp:lastModifiedBy>
  <cp:revision>2</cp:revision>
  <cp:lastPrinted>2017-07-11T15:59:00Z</cp:lastPrinted>
  <dcterms:created xsi:type="dcterms:W3CDTF">2023-06-05T16:32:00Z</dcterms:created>
  <dcterms:modified xsi:type="dcterms:W3CDTF">2023-06-05T16:32:00Z</dcterms:modified>
</cp:coreProperties>
</file>