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23E7" w14:textId="77777777" w:rsidR="005A77DB" w:rsidRPr="005A77DB" w:rsidRDefault="005A77DB" w:rsidP="004F2502">
      <w:pPr>
        <w:keepNext/>
        <w:outlineLvl w:val="1"/>
        <w:rPr>
          <w:b/>
          <w:sz w:val="36"/>
          <w:szCs w:val="20"/>
          <w:lang w:val="x-none" w:eastAsia="x-none"/>
        </w:rPr>
      </w:pPr>
    </w:p>
    <w:p w14:paraId="017D3DB8" w14:textId="0C61FC66" w:rsidR="005A77DB" w:rsidRPr="005A77DB" w:rsidRDefault="005A77DB" w:rsidP="005A77DB">
      <w:pPr>
        <w:widowControl w:val="0"/>
        <w:autoSpaceDE w:val="0"/>
        <w:autoSpaceDN w:val="0"/>
        <w:adjustRightInd w:val="0"/>
        <w:jc w:val="center"/>
        <w:rPr>
          <w:rFonts w:ascii="Tahoma" w:hAnsi="Tahoma" w:cs="Tahoma"/>
        </w:rPr>
      </w:pPr>
    </w:p>
    <w:p w14:paraId="3CB55E9C" w14:textId="7D08948A" w:rsidR="005A77DB" w:rsidRPr="005A77DB" w:rsidRDefault="005A77DB" w:rsidP="005A77DB">
      <w:pPr>
        <w:widowControl w:val="0"/>
        <w:autoSpaceDE w:val="0"/>
        <w:autoSpaceDN w:val="0"/>
        <w:adjustRightInd w:val="0"/>
        <w:rPr>
          <w:rFonts w:ascii="Tahoma" w:hAnsi="Tahoma" w:cs="Tahoma"/>
        </w:rPr>
      </w:pPr>
    </w:p>
    <w:p w14:paraId="14FB6B4E" w14:textId="261C8CCE" w:rsidR="005A77DB" w:rsidRPr="005A77DB" w:rsidRDefault="003C12DD" w:rsidP="005A77DB">
      <w:pPr>
        <w:widowControl w:val="0"/>
        <w:autoSpaceDE w:val="0"/>
        <w:autoSpaceDN w:val="0"/>
        <w:adjustRightInd w:val="0"/>
        <w:rPr>
          <w:rFonts w:ascii="Tahoma" w:hAnsi="Tahoma" w:cs="Tahoma"/>
        </w:rPr>
      </w:pPr>
      <w:r>
        <w:rPr>
          <w:noProof/>
        </w:rPr>
        <w:drawing>
          <wp:inline distT="0" distB="0" distL="0" distR="0" wp14:anchorId="42F03AB9" wp14:editId="149744C0">
            <wp:extent cx="1323975" cy="1333500"/>
            <wp:effectExtent l="0" t="0" r="9525" b="0"/>
            <wp:docPr id="2" name="Picture 2" descr="K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a:ln>
                      <a:noFill/>
                    </a:ln>
                  </pic:spPr>
                </pic:pic>
              </a:graphicData>
            </a:graphic>
          </wp:inline>
        </w:drawing>
      </w:r>
    </w:p>
    <w:p w14:paraId="0C504C1B" w14:textId="77777777" w:rsidR="005A77DB" w:rsidRPr="005A77DB" w:rsidRDefault="005A77DB" w:rsidP="005A77DB">
      <w:pPr>
        <w:widowControl w:val="0"/>
        <w:autoSpaceDE w:val="0"/>
        <w:autoSpaceDN w:val="0"/>
        <w:adjustRightInd w:val="0"/>
        <w:rPr>
          <w:rFonts w:ascii="Tahoma" w:hAnsi="Tahoma" w:cs="Tahoma"/>
        </w:rPr>
      </w:pPr>
    </w:p>
    <w:p w14:paraId="70A7BC22" w14:textId="77777777" w:rsidR="005A77DB" w:rsidRPr="005A77DB" w:rsidRDefault="005A77DB" w:rsidP="005A77DB">
      <w:pPr>
        <w:widowControl w:val="0"/>
        <w:autoSpaceDE w:val="0"/>
        <w:autoSpaceDN w:val="0"/>
        <w:adjustRightInd w:val="0"/>
        <w:jc w:val="center"/>
        <w:rPr>
          <w:sz w:val="56"/>
          <w:szCs w:val="56"/>
        </w:rPr>
      </w:pPr>
    </w:p>
    <w:p w14:paraId="6DE961DB" w14:textId="0B00825D" w:rsidR="005A77DB" w:rsidRPr="005A77DB" w:rsidRDefault="005A77DB" w:rsidP="005A77DB">
      <w:pPr>
        <w:widowControl w:val="0"/>
        <w:autoSpaceDE w:val="0"/>
        <w:autoSpaceDN w:val="0"/>
        <w:adjustRightInd w:val="0"/>
        <w:jc w:val="center"/>
        <w:rPr>
          <w:sz w:val="56"/>
          <w:szCs w:val="56"/>
        </w:rPr>
      </w:pPr>
      <w:r w:rsidRPr="005A77DB">
        <w:rPr>
          <w:sz w:val="56"/>
          <w:szCs w:val="56"/>
        </w:rPr>
        <w:t xml:space="preserve">Kentucky </w:t>
      </w:r>
      <w:r w:rsidR="0065631A">
        <w:rPr>
          <w:sz w:val="56"/>
          <w:szCs w:val="56"/>
        </w:rPr>
        <w:t xml:space="preserve">Education and </w:t>
      </w:r>
      <w:r w:rsidRPr="005A77DB">
        <w:rPr>
          <w:sz w:val="56"/>
          <w:szCs w:val="56"/>
        </w:rPr>
        <w:t>Labor Cabinet</w:t>
      </w:r>
    </w:p>
    <w:p w14:paraId="2D5BF1FD" w14:textId="77777777" w:rsidR="005A77DB" w:rsidRPr="005A77DB" w:rsidRDefault="005A77DB" w:rsidP="005A77DB">
      <w:pPr>
        <w:widowControl w:val="0"/>
        <w:autoSpaceDE w:val="0"/>
        <w:autoSpaceDN w:val="0"/>
        <w:adjustRightInd w:val="0"/>
        <w:jc w:val="center"/>
        <w:rPr>
          <w:sz w:val="48"/>
          <w:szCs w:val="48"/>
        </w:rPr>
      </w:pPr>
      <w:r w:rsidRPr="005A77DB">
        <w:rPr>
          <w:sz w:val="48"/>
          <w:szCs w:val="48"/>
        </w:rPr>
        <w:t>Occupational Safety and Health Program</w:t>
      </w:r>
    </w:p>
    <w:p w14:paraId="52E324D6" w14:textId="77777777" w:rsidR="005A77DB" w:rsidRPr="005A77DB" w:rsidRDefault="005A77DB" w:rsidP="005A77DB">
      <w:pPr>
        <w:keepNext/>
        <w:jc w:val="center"/>
        <w:outlineLvl w:val="1"/>
        <w:rPr>
          <w:b/>
          <w:sz w:val="28"/>
          <w:szCs w:val="28"/>
          <w:lang w:val="x-none" w:eastAsia="x-none"/>
        </w:rPr>
      </w:pPr>
    </w:p>
    <w:p w14:paraId="6F08F96F" w14:textId="77777777" w:rsidR="005A77DB" w:rsidRPr="005A77DB" w:rsidRDefault="005A77DB" w:rsidP="005A77DB">
      <w:pPr>
        <w:keepNext/>
        <w:jc w:val="center"/>
        <w:outlineLvl w:val="1"/>
        <w:rPr>
          <w:b/>
          <w:sz w:val="28"/>
          <w:szCs w:val="28"/>
          <w:lang w:val="x-none" w:eastAsia="x-none"/>
        </w:rPr>
      </w:pPr>
    </w:p>
    <w:p w14:paraId="46561368" w14:textId="77777777" w:rsidR="005A77DB" w:rsidRPr="00FA2D35" w:rsidRDefault="005A77DB" w:rsidP="005A77DB">
      <w:pPr>
        <w:widowControl w:val="0"/>
        <w:autoSpaceDE w:val="0"/>
        <w:autoSpaceDN w:val="0"/>
        <w:adjustRightInd w:val="0"/>
        <w:jc w:val="center"/>
        <w:outlineLvl w:val="0"/>
        <w:rPr>
          <w:sz w:val="32"/>
          <w:szCs w:val="32"/>
        </w:rPr>
      </w:pPr>
      <w:r w:rsidRPr="00FA2D35">
        <w:rPr>
          <w:sz w:val="32"/>
          <w:szCs w:val="32"/>
        </w:rPr>
        <w:t xml:space="preserve">RESPONSE </w:t>
      </w:r>
    </w:p>
    <w:p w14:paraId="6F334ED3" w14:textId="77777777" w:rsidR="005A77DB" w:rsidRPr="004B37CB" w:rsidRDefault="005A77DB" w:rsidP="005A77DB">
      <w:pPr>
        <w:widowControl w:val="0"/>
        <w:autoSpaceDE w:val="0"/>
        <w:autoSpaceDN w:val="0"/>
        <w:adjustRightInd w:val="0"/>
        <w:jc w:val="center"/>
        <w:outlineLvl w:val="0"/>
        <w:rPr>
          <w:sz w:val="28"/>
          <w:szCs w:val="28"/>
        </w:rPr>
      </w:pPr>
    </w:p>
    <w:p w14:paraId="1E63F0E3" w14:textId="77777777" w:rsidR="005A77DB" w:rsidRPr="00FA2D35" w:rsidRDefault="005A77DB" w:rsidP="005A77DB">
      <w:pPr>
        <w:widowControl w:val="0"/>
        <w:autoSpaceDE w:val="0"/>
        <w:autoSpaceDN w:val="0"/>
        <w:adjustRightInd w:val="0"/>
        <w:jc w:val="center"/>
        <w:outlineLvl w:val="0"/>
        <w:rPr>
          <w:sz w:val="32"/>
          <w:szCs w:val="32"/>
        </w:rPr>
      </w:pPr>
      <w:r w:rsidRPr="00FA2D35">
        <w:rPr>
          <w:sz w:val="32"/>
          <w:szCs w:val="32"/>
        </w:rPr>
        <w:t xml:space="preserve">to </w:t>
      </w:r>
    </w:p>
    <w:p w14:paraId="7B1CEE3B" w14:textId="77777777" w:rsidR="005A77DB" w:rsidRPr="004B37CB" w:rsidRDefault="005A77DB" w:rsidP="005A77DB">
      <w:pPr>
        <w:widowControl w:val="0"/>
        <w:autoSpaceDE w:val="0"/>
        <w:autoSpaceDN w:val="0"/>
        <w:adjustRightInd w:val="0"/>
        <w:jc w:val="center"/>
        <w:outlineLvl w:val="0"/>
        <w:rPr>
          <w:sz w:val="28"/>
          <w:szCs w:val="28"/>
        </w:rPr>
      </w:pPr>
    </w:p>
    <w:p w14:paraId="1FEC4F5D" w14:textId="77777777" w:rsidR="005A77DB" w:rsidRPr="00FA2D35" w:rsidRDefault="005A77DB" w:rsidP="005A77DB">
      <w:pPr>
        <w:widowControl w:val="0"/>
        <w:autoSpaceDE w:val="0"/>
        <w:autoSpaceDN w:val="0"/>
        <w:adjustRightInd w:val="0"/>
        <w:jc w:val="center"/>
        <w:outlineLvl w:val="0"/>
        <w:rPr>
          <w:sz w:val="32"/>
          <w:szCs w:val="32"/>
        </w:rPr>
      </w:pPr>
      <w:r w:rsidRPr="00FA2D35">
        <w:rPr>
          <w:sz w:val="32"/>
          <w:szCs w:val="32"/>
        </w:rPr>
        <w:t>FEDERAL ANNUAL MONITORING EVALUATION</w:t>
      </w:r>
    </w:p>
    <w:p w14:paraId="47AD5510" w14:textId="77777777" w:rsidR="005A77DB" w:rsidRPr="004B37CB" w:rsidRDefault="005A77DB" w:rsidP="005A77DB">
      <w:pPr>
        <w:widowControl w:val="0"/>
        <w:autoSpaceDE w:val="0"/>
        <w:autoSpaceDN w:val="0"/>
        <w:adjustRightInd w:val="0"/>
        <w:jc w:val="center"/>
        <w:rPr>
          <w:sz w:val="28"/>
          <w:szCs w:val="28"/>
        </w:rPr>
      </w:pPr>
    </w:p>
    <w:p w14:paraId="5FA51C14" w14:textId="77777777" w:rsidR="005A77DB" w:rsidRPr="00FA2D35" w:rsidRDefault="00B60CBA" w:rsidP="005A77DB">
      <w:pPr>
        <w:widowControl w:val="0"/>
        <w:autoSpaceDE w:val="0"/>
        <w:autoSpaceDN w:val="0"/>
        <w:adjustRightInd w:val="0"/>
        <w:jc w:val="center"/>
        <w:rPr>
          <w:sz w:val="28"/>
          <w:szCs w:val="28"/>
        </w:rPr>
      </w:pPr>
      <w:r w:rsidRPr="00FA2D35">
        <w:rPr>
          <w:sz w:val="28"/>
          <w:szCs w:val="28"/>
        </w:rPr>
        <w:t>f</w:t>
      </w:r>
      <w:r w:rsidR="005A77DB" w:rsidRPr="00FA2D35">
        <w:rPr>
          <w:sz w:val="28"/>
          <w:szCs w:val="28"/>
        </w:rPr>
        <w:t>or</w:t>
      </w:r>
    </w:p>
    <w:p w14:paraId="5C33203A" w14:textId="77777777" w:rsidR="00B60CBA" w:rsidRPr="004B37CB" w:rsidRDefault="00B60CBA" w:rsidP="005A77DB">
      <w:pPr>
        <w:widowControl w:val="0"/>
        <w:autoSpaceDE w:val="0"/>
        <w:autoSpaceDN w:val="0"/>
        <w:adjustRightInd w:val="0"/>
        <w:jc w:val="center"/>
        <w:rPr>
          <w:sz w:val="28"/>
          <w:szCs w:val="28"/>
        </w:rPr>
      </w:pPr>
    </w:p>
    <w:p w14:paraId="30683FAA" w14:textId="565FA4B6" w:rsidR="005A77DB" w:rsidRDefault="003F47EE" w:rsidP="00B60CBA">
      <w:pPr>
        <w:widowControl w:val="0"/>
        <w:autoSpaceDE w:val="0"/>
        <w:autoSpaceDN w:val="0"/>
        <w:adjustRightInd w:val="0"/>
        <w:jc w:val="center"/>
        <w:rPr>
          <w:sz w:val="32"/>
          <w:szCs w:val="32"/>
        </w:rPr>
      </w:pPr>
      <w:r>
        <w:rPr>
          <w:sz w:val="32"/>
          <w:szCs w:val="32"/>
        </w:rPr>
        <w:t>FEDERAL FISCAL YEAR 202</w:t>
      </w:r>
      <w:r w:rsidR="002E1078">
        <w:rPr>
          <w:sz w:val="32"/>
          <w:szCs w:val="32"/>
        </w:rPr>
        <w:t>2</w:t>
      </w:r>
    </w:p>
    <w:p w14:paraId="46FE7641" w14:textId="77777777" w:rsidR="001C5EF8" w:rsidRPr="00FA2D35" w:rsidRDefault="001C5EF8" w:rsidP="00B60CBA">
      <w:pPr>
        <w:widowControl w:val="0"/>
        <w:autoSpaceDE w:val="0"/>
        <w:autoSpaceDN w:val="0"/>
        <w:adjustRightInd w:val="0"/>
        <w:jc w:val="center"/>
        <w:rPr>
          <w:sz w:val="32"/>
          <w:szCs w:val="32"/>
        </w:rPr>
      </w:pPr>
    </w:p>
    <w:p w14:paraId="2A5F3A7F" w14:textId="16F8D69D" w:rsidR="005A77DB" w:rsidRPr="005A77DB" w:rsidRDefault="005D0D3F" w:rsidP="005A77DB">
      <w:pPr>
        <w:widowControl w:val="0"/>
        <w:autoSpaceDE w:val="0"/>
        <w:autoSpaceDN w:val="0"/>
        <w:adjustRightInd w:val="0"/>
        <w:jc w:val="center"/>
        <w:rPr>
          <w:sz w:val="36"/>
          <w:szCs w:val="36"/>
        </w:rPr>
      </w:pPr>
      <w:r>
        <w:rPr>
          <w:noProof/>
        </w:rPr>
        <w:drawing>
          <wp:inline distT="0" distB="0" distL="0" distR="0" wp14:anchorId="0C0A658D" wp14:editId="44BFC7FA">
            <wp:extent cx="2298700" cy="1200150"/>
            <wp:effectExtent l="0" t="0" r="635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1200150"/>
                    </a:xfrm>
                    <a:prstGeom prst="rect">
                      <a:avLst/>
                    </a:prstGeom>
                    <a:noFill/>
                    <a:ln>
                      <a:noFill/>
                    </a:ln>
                  </pic:spPr>
                </pic:pic>
              </a:graphicData>
            </a:graphic>
          </wp:inline>
        </w:drawing>
      </w:r>
    </w:p>
    <w:p w14:paraId="2253D688" w14:textId="4B53283B" w:rsidR="005A77DB" w:rsidRPr="005A77DB" w:rsidRDefault="005A77DB" w:rsidP="002E1078">
      <w:pPr>
        <w:widowControl w:val="0"/>
        <w:autoSpaceDE w:val="0"/>
        <w:autoSpaceDN w:val="0"/>
        <w:adjustRightInd w:val="0"/>
        <w:jc w:val="center"/>
        <w:rPr>
          <w:sz w:val="28"/>
          <w:szCs w:val="28"/>
        </w:rPr>
      </w:pPr>
    </w:p>
    <w:p w14:paraId="0559E252" w14:textId="7650DB45" w:rsidR="005A77DB" w:rsidRDefault="005A77DB" w:rsidP="005A77DB">
      <w:pPr>
        <w:spacing w:after="200" w:line="276" w:lineRule="auto"/>
        <w:rPr>
          <w:b/>
        </w:rPr>
      </w:pPr>
      <w:r w:rsidRPr="005A77DB">
        <w:rPr>
          <w:b/>
        </w:rPr>
        <w:br w:type="page"/>
      </w:r>
    </w:p>
    <w:p w14:paraId="644C1F21" w14:textId="77777777" w:rsidR="00D10AA0" w:rsidRPr="00D10AA0" w:rsidRDefault="00D10AA0" w:rsidP="00E960C2">
      <w:pPr>
        <w:pStyle w:val="NoSpacing"/>
        <w:rPr>
          <w:b/>
        </w:rPr>
      </w:pPr>
      <w:r w:rsidRPr="00D10AA0">
        <w:rPr>
          <w:b/>
        </w:rPr>
        <w:t xml:space="preserve">I. </w:t>
      </w:r>
      <w:r w:rsidR="00180B85">
        <w:rPr>
          <w:b/>
        </w:rPr>
        <w:t>COMMENT</w:t>
      </w:r>
      <w:r w:rsidRPr="00D10AA0">
        <w:rPr>
          <w:b/>
        </w:rPr>
        <w:t xml:space="preserve"> REGARDING FAME REPORT</w:t>
      </w:r>
    </w:p>
    <w:p w14:paraId="57532FCB" w14:textId="77777777" w:rsidR="00D10AA0" w:rsidRDefault="00D10AA0" w:rsidP="0013647B">
      <w:pPr>
        <w:pStyle w:val="NoSpacing"/>
      </w:pPr>
    </w:p>
    <w:p w14:paraId="2D5D73C9" w14:textId="31BCEF56" w:rsidR="0035634D" w:rsidRPr="006E1050" w:rsidRDefault="0013647B" w:rsidP="0013647B">
      <w:pPr>
        <w:pStyle w:val="NoSpacing"/>
      </w:pPr>
      <w:r w:rsidRPr="00E8773C">
        <w:t xml:space="preserve">OSHA’s </w:t>
      </w:r>
      <w:r w:rsidR="002E5403">
        <w:t xml:space="preserve">Federal </w:t>
      </w:r>
      <w:r w:rsidRPr="00E8773C">
        <w:t>F</w:t>
      </w:r>
      <w:r w:rsidR="002E5403">
        <w:t xml:space="preserve">iscal </w:t>
      </w:r>
      <w:r w:rsidRPr="00E8773C">
        <w:t>Y</w:t>
      </w:r>
      <w:r w:rsidR="002E5403">
        <w:t>ear (FFY)</w:t>
      </w:r>
      <w:r w:rsidRPr="00E8773C">
        <w:t xml:space="preserve"> 20</w:t>
      </w:r>
      <w:r w:rsidR="003F47EE">
        <w:t>2</w:t>
      </w:r>
      <w:r w:rsidR="002E1078">
        <w:t>2</w:t>
      </w:r>
      <w:r w:rsidRPr="00E8773C">
        <w:t xml:space="preserve"> </w:t>
      </w:r>
      <w:r w:rsidR="002E1078">
        <w:t xml:space="preserve">Follow-up </w:t>
      </w:r>
      <w:r w:rsidRPr="00E8773C">
        <w:t xml:space="preserve">Federal Annual Monitoring Evaluation (FAME) </w:t>
      </w:r>
      <w:r w:rsidR="002E1078">
        <w:t xml:space="preserve">Report continued </w:t>
      </w:r>
      <w:r w:rsidR="003F47EE">
        <w:t>f</w:t>
      </w:r>
      <w:r w:rsidR="00E82439">
        <w:t>ive</w:t>
      </w:r>
      <w:r w:rsidRPr="00E8773C">
        <w:t xml:space="preserve"> (</w:t>
      </w:r>
      <w:r w:rsidR="00E82439">
        <w:t>5</w:t>
      </w:r>
      <w:r w:rsidRPr="00E8773C">
        <w:t>) findings</w:t>
      </w:r>
      <w:r w:rsidR="006246BF" w:rsidRPr="00E8773C">
        <w:t xml:space="preserve"> and </w:t>
      </w:r>
      <w:r w:rsidR="00E82439">
        <w:t>two</w:t>
      </w:r>
      <w:r w:rsidRPr="00E8773C">
        <w:t xml:space="preserve"> (</w:t>
      </w:r>
      <w:r w:rsidR="00E82439">
        <w:t>2</w:t>
      </w:r>
      <w:r w:rsidRPr="00E8773C">
        <w:t xml:space="preserve">) </w:t>
      </w:r>
      <w:r w:rsidRPr="00542764">
        <w:t>observations</w:t>
      </w:r>
      <w:r w:rsidR="002E1078">
        <w:t xml:space="preserve"> from the FFY 2021 FAME</w:t>
      </w:r>
      <w:r w:rsidRPr="00542764">
        <w:t>.</w:t>
      </w:r>
      <w:r w:rsidR="006246BF" w:rsidRPr="00542764">
        <w:t xml:space="preserve">  </w:t>
      </w:r>
      <w:r w:rsidR="00DF2ED9">
        <w:t>Two (2) of the findings should have been closed during the FFY 2022 Follow-up FAME and both observations are not acceptable.</w:t>
      </w:r>
    </w:p>
    <w:p w14:paraId="752FB537" w14:textId="77777777" w:rsidR="00E07649" w:rsidRPr="0035634D" w:rsidRDefault="00E07649" w:rsidP="0035634D">
      <w:pPr>
        <w:pStyle w:val="NoSpacing"/>
      </w:pPr>
    </w:p>
    <w:p w14:paraId="4247FEF5" w14:textId="55E13751" w:rsidR="00F64F9F" w:rsidRDefault="00D10AA0" w:rsidP="0013647B">
      <w:pPr>
        <w:pStyle w:val="NoSpacing"/>
      </w:pPr>
      <w:r w:rsidRPr="009410CC">
        <w:rPr>
          <w:b/>
        </w:rPr>
        <w:t>II.</w:t>
      </w:r>
      <w:r w:rsidRPr="00BA40B3">
        <w:rPr>
          <w:b/>
        </w:rPr>
        <w:t xml:space="preserve"> </w:t>
      </w:r>
      <w:r>
        <w:rPr>
          <w:b/>
        </w:rPr>
        <w:t>OSHA</w:t>
      </w:r>
      <w:r w:rsidRPr="0049523F">
        <w:rPr>
          <w:b/>
        </w:rPr>
        <w:t xml:space="preserve"> </w:t>
      </w:r>
      <w:r>
        <w:rPr>
          <w:b/>
        </w:rPr>
        <w:t>FINDIN</w:t>
      </w:r>
      <w:r w:rsidRPr="004265FA">
        <w:rPr>
          <w:b/>
        </w:rPr>
        <w:t xml:space="preserve">GS, </w:t>
      </w:r>
      <w:r w:rsidR="004B37CB">
        <w:rPr>
          <w:b/>
        </w:rPr>
        <w:t xml:space="preserve">OBSERVATIONS, </w:t>
      </w:r>
      <w:r w:rsidR="00581F8A">
        <w:rPr>
          <w:b/>
        </w:rPr>
        <w:t xml:space="preserve">STATUS, </w:t>
      </w:r>
      <w:r w:rsidRPr="004265FA">
        <w:rPr>
          <w:b/>
        </w:rPr>
        <w:t>an</w:t>
      </w:r>
      <w:r w:rsidRPr="0049523F">
        <w:rPr>
          <w:b/>
        </w:rPr>
        <w:t xml:space="preserve">d </w:t>
      </w:r>
      <w:r>
        <w:rPr>
          <w:b/>
        </w:rPr>
        <w:t>KENTUCKY RESPONSES</w:t>
      </w:r>
    </w:p>
    <w:p w14:paraId="5F0CE022" w14:textId="77777777" w:rsidR="00F64F9F" w:rsidRDefault="00F64F9F" w:rsidP="0013647B">
      <w:pPr>
        <w:pStyle w:val="NoSpacing"/>
      </w:pPr>
    </w:p>
    <w:p w14:paraId="0BFF5E1C" w14:textId="6958F245" w:rsidR="0013647B" w:rsidRDefault="00D10AA0" w:rsidP="001A049F">
      <w:pPr>
        <w:rPr>
          <w:rFonts w:cstheme="minorBidi"/>
          <w:b/>
        </w:rPr>
      </w:pPr>
      <w:r w:rsidRPr="00543679">
        <w:rPr>
          <w:rFonts w:cstheme="minorBidi"/>
          <w:b/>
        </w:rPr>
        <w:t xml:space="preserve">OSHA </w:t>
      </w:r>
      <w:r w:rsidR="0013647B" w:rsidRPr="00543679">
        <w:rPr>
          <w:rFonts w:cstheme="minorBidi"/>
          <w:b/>
        </w:rPr>
        <w:t>Finding FY 20</w:t>
      </w:r>
      <w:r w:rsidR="005C7E46">
        <w:rPr>
          <w:rFonts w:cstheme="minorBidi"/>
          <w:b/>
        </w:rPr>
        <w:t>2</w:t>
      </w:r>
      <w:r w:rsidR="00AF7039">
        <w:rPr>
          <w:rFonts w:cstheme="minorBidi"/>
          <w:b/>
        </w:rPr>
        <w:t>1</w:t>
      </w:r>
      <w:r w:rsidR="0013647B" w:rsidRPr="00543679">
        <w:rPr>
          <w:rFonts w:cstheme="minorBidi"/>
          <w:b/>
        </w:rPr>
        <w:t>-</w:t>
      </w:r>
      <w:r w:rsidR="001A049F" w:rsidRPr="00543679">
        <w:rPr>
          <w:rFonts w:cstheme="minorBidi"/>
          <w:b/>
        </w:rPr>
        <w:t>1</w:t>
      </w:r>
      <w:r w:rsidR="0013647B" w:rsidRPr="00C56D59">
        <w:rPr>
          <w:rFonts w:cstheme="minorBidi"/>
          <w:b/>
        </w:rPr>
        <w:t xml:space="preserve"> </w:t>
      </w:r>
    </w:p>
    <w:p w14:paraId="3D24A9D8" w14:textId="7266440B" w:rsidR="00EC67D5" w:rsidRDefault="00EC67D5" w:rsidP="00EC67D5">
      <w:pPr>
        <w:pStyle w:val="BodyText"/>
        <w:ind w:right="581"/>
      </w:pPr>
      <w:r>
        <w:t xml:space="preserve">“In FY 2021, KY OSH conducted a total of six (1.9%) programmed health inspections out of 315 health inspections conducted, during that period.” </w:t>
      </w:r>
    </w:p>
    <w:p w14:paraId="4294A9D2" w14:textId="77777777" w:rsidR="00EC67D5" w:rsidRDefault="00EC67D5" w:rsidP="00EC67D5">
      <w:pPr>
        <w:pStyle w:val="BodyText"/>
        <w:ind w:right="581"/>
      </w:pPr>
    </w:p>
    <w:p w14:paraId="271D6FCC" w14:textId="52FDD7BF" w:rsidR="00EC67D5" w:rsidRPr="00EC67D5" w:rsidRDefault="00EC67D5" w:rsidP="00EC67D5">
      <w:pPr>
        <w:pStyle w:val="BodyText"/>
        <w:ind w:right="581"/>
        <w:rPr>
          <w:b/>
          <w:bCs/>
        </w:rPr>
      </w:pPr>
      <w:r w:rsidRPr="00EC67D5">
        <w:rPr>
          <w:b/>
          <w:bCs/>
        </w:rPr>
        <w:t>OSHA Status</w:t>
      </w:r>
    </w:p>
    <w:p w14:paraId="68287E96" w14:textId="278B5150" w:rsidR="00EC67D5" w:rsidRDefault="00EC67D5" w:rsidP="00EC67D5">
      <w:pPr>
        <w:pStyle w:val="BodyText"/>
        <w:ind w:right="581"/>
      </w:pPr>
      <w:r>
        <w:t>“During FY 2022, KY OSH conducted a total of six (1.83%) programmed health inspections out of 327 health inspections conducted, during this period. This finding remains open.”</w:t>
      </w:r>
    </w:p>
    <w:p w14:paraId="6714FF92" w14:textId="77777777" w:rsidR="00EC67D5" w:rsidRDefault="00EC67D5" w:rsidP="00303570">
      <w:pPr>
        <w:pStyle w:val="BodyText"/>
        <w:ind w:right="581"/>
      </w:pPr>
    </w:p>
    <w:p w14:paraId="3EA335CD" w14:textId="58ED6662" w:rsidR="00706F03" w:rsidRPr="00EC67D5" w:rsidRDefault="00706F03" w:rsidP="00706F03">
      <w:pPr>
        <w:tabs>
          <w:tab w:val="left" w:pos="1980"/>
        </w:tabs>
      </w:pPr>
      <w:r w:rsidRPr="001C0CAA">
        <w:rPr>
          <w:b/>
        </w:rPr>
        <w:t>OSHA Finding FY 20</w:t>
      </w:r>
      <w:r w:rsidR="005C7E46">
        <w:rPr>
          <w:b/>
        </w:rPr>
        <w:t>2</w:t>
      </w:r>
      <w:r w:rsidR="00AF7039">
        <w:rPr>
          <w:b/>
        </w:rPr>
        <w:t>1</w:t>
      </w:r>
      <w:r w:rsidRPr="001C0CAA">
        <w:rPr>
          <w:b/>
        </w:rPr>
        <w:t>-</w:t>
      </w:r>
      <w:r>
        <w:rPr>
          <w:b/>
        </w:rPr>
        <w:t>2</w:t>
      </w:r>
      <w:r>
        <w:t xml:space="preserve"> </w:t>
      </w:r>
    </w:p>
    <w:p w14:paraId="7426C044" w14:textId="39A4DC99" w:rsidR="00EC67D5" w:rsidRPr="00EC67D5" w:rsidRDefault="00EC67D5" w:rsidP="00706F03">
      <w:pPr>
        <w:pStyle w:val="NoSpacing"/>
      </w:pPr>
      <w:r>
        <w:rPr>
          <w:rFonts w:eastAsia="Calibri"/>
        </w:rPr>
        <w:t>“</w:t>
      </w:r>
      <w:r w:rsidRPr="00EC67D5">
        <w:rPr>
          <w:rFonts w:eastAsia="Calibri"/>
        </w:rPr>
        <w:t>In FY 2021, KY OSH conducted a total of 30 (5.5%) programmed safety inspections out of 549 safety inspections conducted, during that period.</w:t>
      </w:r>
      <w:r>
        <w:rPr>
          <w:rFonts w:eastAsia="Calibri"/>
        </w:rPr>
        <w:t>”</w:t>
      </w:r>
      <w:r w:rsidRPr="00EC67D5">
        <w:rPr>
          <w:rFonts w:eastAsia="Calibri"/>
        </w:rPr>
        <w:t xml:space="preserve">  </w:t>
      </w:r>
    </w:p>
    <w:p w14:paraId="71534CC0" w14:textId="77777777" w:rsidR="00EC67D5" w:rsidRDefault="00EC67D5" w:rsidP="00706F03">
      <w:pPr>
        <w:pStyle w:val="NoSpacing"/>
      </w:pPr>
    </w:p>
    <w:p w14:paraId="17ADB8C6" w14:textId="7E625150" w:rsidR="00706F03" w:rsidRPr="00506752" w:rsidRDefault="00706F03" w:rsidP="00706F03">
      <w:pPr>
        <w:pStyle w:val="NoSpacing"/>
        <w:rPr>
          <w:b/>
        </w:rPr>
      </w:pPr>
      <w:r w:rsidRPr="00506752">
        <w:rPr>
          <w:b/>
        </w:rPr>
        <w:t xml:space="preserve">OSHA </w:t>
      </w:r>
      <w:r w:rsidR="002E1078">
        <w:rPr>
          <w:b/>
        </w:rPr>
        <w:t>Status</w:t>
      </w:r>
    </w:p>
    <w:p w14:paraId="2F6CD0EE" w14:textId="21438C2B" w:rsidR="00EC67D5" w:rsidRPr="00EC67D5" w:rsidRDefault="00EC67D5" w:rsidP="00EC67D5">
      <w:pPr>
        <w:rPr>
          <w:rFonts w:eastAsia="Calibri"/>
        </w:rPr>
      </w:pPr>
      <w:r>
        <w:rPr>
          <w:rFonts w:eastAsia="Calibri"/>
        </w:rPr>
        <w:t>“</w:t>
      </w:r>
      <w:r w:rsidRPr="00EC67D5">
        <w:rPr>
          <w:rFonts w:eastAsia="Calibri"/>
        </w:rPr>
        <w:t xml:space="preserve">In FY 2022, KY OSH conducted 21 (3.14%) programmed safety inspections out of 669 planned safety inspections, during this period. This finding remains open.  </w:t>
      </w:r>
    </w:p>
    <w:p w14:paraId="625DD518" w14:textId="7F4CFF10" w:rsidR="00EC67D5" w:rsidRDefault="00EC67D5" w:rsidP="00EC67D5">
      <w:pPr>
        <w:rPr>
          <w:rFonts w:eastAsia="Calibri"/>
        </w:rPr>
      </w:pPr>
      <w:r w:rsidRPr="00EC67D5">
        <w:rPr>
          <w:rFonts w:eastAsia="Calibri"/>
        </w:rPr>
        <w:t>Kentucky provided that the SARS-CoV-2 pandemic continued to have a significant impact on the Kentucky OSH Program and adversely impacted their ability to conduct programmed inspections.  Additionally, inspections are conducted in the order of priority established in Kentucky’s Field Operations Manual. Other inspection types, such as imminent dangers, fatalities, hospitalizations, amputations, and complaints, are prioritized over programmed inspections.  OSHA is currently working with KY OSH to establish a new goal for programmed inspections.</w:t>
      </w:r>
      <w:r>
        <w:rPr>
          <w:rFonts w:eastAsia="Calibri"/>
        </w:rPr>
        <w:t>”</w:t>
      </w:r>
    </w:p>
    <w:p w14:paraId="1B8B6C15" w14:textId="1CD6725C" w:rsidR="00E82439" w:rsidRDefault="00E82439" w:rsidP="00706F03">
      <w:pPr>
        <w:pStyle w:val="NoSpacing"/>
      </w:pPr>
    </w:p>
    <w:p w14:paraId="462C2E1E" w14:textId="6E1A7273" w:rsidR="001A049F" w:rsidRPr="00345E56" w:rsidRDefault="001A049F" w:rsidP="001A049F">
      <w:pPr>
        <w:rPr>
          <w:b/>
        </w:rPr>
      </w:pPr>
      <w:r w:rsidRPr="00345E56">
        <w:rPr>
          <w:b/>
        </w:rPr>
        <w:t>State Response</w:t>
      </w:r>
      <w:r w:rsidR="00EB327A" w:rsidRPr="00345E56">
        <w:rPr>
          <w:b/>
        </w:rPr>
        <w:t xml:space="preserve"> to Finding FY 202</w:t>
      </w:r>
      <w:r w:rsidR="00AF7039" w:rsidRPr="00345E56">
        <w:rPr>
          <w:b/>
        </w:rPr>
        <w:t>1</w:t>
      </w:r>
      <w:r w:rsidR="00EB327A" w:rsidRPr="00345E56">
        <w:rPr>
          <w:b/>
        </w:rPr>
        <w:t>-1 and Finding FY 20</w:t>
      </w:r>
      <w:r w:rsidR="00AF7039" w:rsidRPr="00345E56">
        <w:rPr>
          <w:b/>
        </w:rPr>
        <w:t>21</w:t>
      </w:r>
      <w:r w:rsidR="00EB327A" w:rsidRPr="00345E56">
        <w:rPr>
          <w:b/>
        </w:rPr>
        <w:t>-2</w:t>
      </w:r>
    </w:p>
    <w:p w14:paraId="487909AD" w14:textId="6431C81B" w:rsidR="00E5236E" w:rsidRPr="00345E56" w:rsidRDefault="00D2380D" w:rsidP="00E5236E">
      <w:pPr>
        <w:pStyle w:val="NoSpacing"/>
      </w:pPr>
      <w:r w:rsidRPr="00345E56">
        <w:t xml:space="preserve">As OSHA notes, </w:t>
      </w:r>
      <w:r w:rsidR="00E5236E" w:rsidRPr="00345E56">
        <w:t xml:space="preserve">Kentucky inspections are conducted in the order of priority established in Kentucky’s Field Operations Manual.  </w:t>
      </w:r>
      <w:r w:rsidRPr="00345E56">
        <w:t>I</w:t>
      </w:r>
      <w:r w:rsidR="00E5236E" w:rsidRPr="00345E56">
        <w:t>mminent dangers, fatalit</w:t>
      </w:r>
      <w:r w:rsidRPr="00345E56">
        <w:t>y</w:t>
      </w:r>
      <w:r w:rsidR="00E5236E" w:rsidRPr="00345E56">
        <w:t>, hospitalization, amputation,</w:t>
      </w:r>
      <w:r w:rsidR="00345E56" w:rsidRPr="00345E56">
        <w:t xml:space="preserve"> loss of eye,</w:t>
      </w:r>
      <w:r w:rsidR="00E5236E" w:rsidRPr="00345E56">
        <w:t xml:space="preserve"> and complaint</w:t>
      </w:r>
      <w:r w:rsidR="00345E56" w:rsidRPr="00345E56">
        <w:t xml:space="preserve"> inspections</w:t>
      </w:r>
      <w:r w:rsidR="00E5236E" w:rsidRPr="00345E56">
        <w:t xml:space="preserve"> are prioritized over programmed inspections.</w:t>
      </w:r>
      <w:r w:rsidR="00345E56" w:rsidRPr="00345E56">
        <w:t xml:space="preserve">  OSHA is </w:t>
      </w:r>
      <w:r w:rsidR="0047706E">
        <w:t>a</w:t>
      </w:r>
      <w:r w:rsidR="00345E56" w:rsidRPr="00345E56">
        <w:t>ware Kentucky is bound to conduct inspections based on the order of priority established in Kentucky’s Field Operations Manual.</w:t>
      </w:r>
      <w:r w:rsidR="00E5236E" w:rsidRPr="00345E56">
        <w:t xml:space="preserve"> </w:t>
      </w:r>
    </w:p>
    <w:p w14:paraId="66750192" w14:textId="7A738F6D" w:rsidR="00E5236E" w:rsidRPr="00D2380D" w:rsidRDefault="00E5236E" w:rsidP="00E5236E">
      <w:pPr>
        <w:pStyle w:val="NoSpacing"/>
      </w:pPr>
    </w:p>
    <w:p w14:paraId="305BE780" w14:textId="6805EF1B" w:rsidR="00681F53" w:rsidRDefault="00345E56" w:rsidP="00D2380D">
      <w:pPr>
        <w:pStyle w:val="NoSpacing"/>
        <w:rPr>
          <w:highlight w:val="yellow"/>
        </w:rPr>
      </w:pPr>
      <w:r>
        <w:t xml:space="preserve">In the FFY 2021 FAME, </w:t>
      </w:r>
      <w:r w:rsidR="00D2380D" w:rsidRPr="00D2380D">
        <w:t>OSHA recommend</w:t>
      </w:r>
      <w:r>
        <w:t>ed</w:t>
      </w:r>
      <w:r w:rsidR="00D2380D" w:rsidRPr="00D2380D">
        <w:t xml:space="preserve"> </w:t>
      </w:r>
      <w:r w:rsidR="007117B4">
        <w:t>“</w:t>
      </w:r>
      <w:r w:rsidR="007117B4" w:rsidRPr="007117B4">
        <w:t xml:space="preserve">KY OSH should work with OSHA to negotiate a benchmark for programmed inspections and develop and implement </w:t>
      </w:r>
      <w:bookmarkStart w:id="0" w:name="_Hlk138749781"/>
      <w:r w:rsidR="007117B4" w:rsidRPr="007117B4">
        <w:t>a strategy to ensure a more representative number of programmed (planned) safety inspections are conducted</w:t>
      </w:r>
      <w:bookmarkEnd w:id="0"/>
      <w:r w:rsidR="007117B4" w:rsidRPr="007117B4">
        <w:t>.</w:t>
      </w:r>
      <w:r w:rsidR="007117B4">
        <w:t xml:space="preserve">”  </w:t>
      </w:r>
      <w:r>
        <w:t xml:space="preserve">Since the FFY 2021 FAME, </w:t>
      </w:r>
      <w:r w:rsidR="00D2380D" w:rsidRPr="00D2380D">
        <w:t xml:space="preserve">Kentucky worked with OSHA and </w:t>
      </w:r>
      <w:r>
        <w:t xml:space="preserve">successfully </w:t>
      </w:r>
      <w:r w:rsidR="00D2380D" w:rsidRPr="00D2380D">
        <w:t>negotiated a benchmark for programmed inspections</w:t>
      </w:r>
      <w:r w:rsidR="007117B4">
        <w:t xml:space="preserve">.  Kentucky also, as OSHA is aware, implemented </w:t>
      </w:r>
      <w:r w:rsidR="007117B4" w:rsidRPr="007117B4">
        <w:t>a strategy to ensure a more representative number of programmed (planned) safety inspections are conducted</w:t>
      </w:r>
      <w:r w:rsidR="007117B4">
        <w:t xml:space="preserve">.  </w:t>
      </w:r>
      <w:r w:rsidR="00D2380D" w:rsidRPr="007117B4">
        <w:t>Kentucky</w:t>
      </w:r>
      <w:r w:rsidRPr="007117B4">
        <w:t xml:space="preserve"> did </w:t>
      </w:r>
      <w:r w:rsidRPr="007117B4">
        <w:rPr>
          <w:i/>
          <w:iCs/>
        </w:rPr>
        <w:t>exactly</w:t>
      </w:r>
      <w:r w:rsidRPr="007117B4">
        <w:t xml:space="preserve"> as OSHA recommend.</w:t>
      </w:r>
      <w:r>
        <w:t xml:space="preserve">  Kentucky</w:t>
      </w:r>
      <w:r w:rsidR="00D2380D">
        <w:t xml:space="preserve"> </w:t>
      </w:r>
      <w:r w:rsidR="00D2380D" w:rsidRPr="00345E56">
        <w:rPr>
          <w:i/>
          <w:iCs/>
        </w:rPr>
        <w:t>fulfilled</w:t>
      </w:r>
      <w:r w:rsidR="00D2380D">
        <w:t xml:space="preserve"> OSHA’s recommendation yet OSHA </w:t>
      </w:r>
      <w:r>
        <w:t xml:space="preserve">continued the finding.  </w:t>
      </w:r>
      <w:r w:rsidR="00A72A06">
        <w:t xml:space="preserve">This finding </w:t>
      </w:r>
      <w:r w:rsidR="005907A5">
        <w:t xml:space="preserve">is </w:t>
      </w:r>
      <w:r w:rsidR="00045B57">
        <w:t xml:space="preserve">disingenuous and </w:t>
      </w:r>
      <w:proofErr w:type="spellStart"/>
      <w:r w:rsidR="005907A5">
        <w:t>and</w:t>
      </w:r>
      <w:proofErr w:type="spellEnd"/>
      <w:r w:rsidR="005907A5">
        <w:t xml:space="preserve"> </w:t>
      </w:r>
      <w:r w:rsidR="00A72A06">
        <w:t>should be closed.</w:t>
      </w:r>
    </w:p>
    <w:p w14:paraId="0200F7F7" w14:textId="45698456" w:rsidR="00D2380D" w:rsidRDefault="00D2380D" w:rsidP="00D2380D">
      <w:pPr>
        <w:pStyle w:val="NoSpacing"/>
        <w:rPr>
          <w:highlight w:val="yellow"/>
        </w:rPr>
      </w:pPr>
    </w:p>
    <w:p w14:paraId="57E9A30E" w14:textId="74F22D23" w:rsidR="004D7E1D" w:rsidRDefault="004D7E1D" w:rsidP="004D7E1D">
      <w:pPr>
        <w:tabs>
          <w:tab w:val="left" w:pos="720"/>
          <w:tab w:val="left" w:pos="1350"/>
        </w:tabs>
        <w:contextualSpacing/>
      </w:pPr>
      <w:r w:rsidRPr="001C0CAA">
        <w:rPr>
          <w:b/>
        </w:rPr>
        <w:t>OSHA Finding FY 20</w:t>
      </w:r>
      <w:r w:rsidR="005C7E46">
        <w:rPr>
          <w:b/>
        </w:rPr>
        <w:t>2</w:t>
      </w:r>
      <w:r w:rsidR="00AF7039">
        <w:rPr>
          <w:b/>
        </w:rPr>
        <w:t>1</w:t>
      </w:r>
      <w:r w:rsidRPr="001C0CAA">
        <w:rPr>
          <w:b/>
        </w:rPr>
        <w:t>-</w:t>
      </w:r>
      <w:r w:rsidR="00996FC3">
        <w:rPr>
          <w:b/>
        </w:rPr>
        <w:t>3</w:t>
      </w:r>
    </w:p>
    <w:p w14:paraId="042E8C6F" w14:textId="1373D9D6" w:rsidR="00AF7039" w:rsidRDefault="00AF7039" w:rsidP="004D7E1D">
      <w:pPr>
        <w:tabs>
          <w:tab w:val="left" w:pos="720"/>
          <w:tab w:val="left" w:pos="1350"/>
        </w:tabs>
        <w:contextualSpacing/>
      </w:pPr>
      <w:r>
        <w:t>“</w:t>
      </w:r>
      <w:r w:rsidRPr="00AF7039">
        <w:t>In FY 202</w:t>
      </w:r>
      <w:r w:rsidR="00896B22">
        <w:t>1</w:t>
      </w:r>
      <w:r w:rsidRPr="00AF7039">
        <w:t xml:space="preserve">, KY OSH had </w:t>
      </w:r>
      <w:r w:rsidR="00896B22">
        <w:t xml:space="preserve">a </w:t>
      </w:r>
      <w:r w:rsidRPr="00AF7039">
        <w:t>significantly high average citation issuance lapse time for safety and health inspections</w:t>
      </w:r>
      <w:r w:rsidR="002E1078">
        <w:t xml:space="preserve"> (SAMM 11a and 11b)</w:t>
      </w:r>
      <w:r w:rsidRPr="00AF7039">
        <w:t>, which were outside the FRLs.</w:t>
      </w:r>
      <w:r>
        <w:t>”</w:t>
      </w:r>
    </w:p>
    <w:p w14:paraId="6B6D3636" w14:textId="47E216E0" w:rsidR="00AF7039" w:rsidRDefault="00AF7039" w:rsidP="004D7E1D">
      <w:pPr>
        <w:tabs>
          <w:tab w:val="left" w:pos="720"/>
          <w:tab w:val="left" w:pos="1350"/>
        </w:tabs>
        <w:contextualSpacing/>
      </w:pPr>
    </w:p>
    <w:p w14:paraId="30842411" w14:textId="6AEAC111" w:rsidR="001C0CAA" w:rsidRDefault="004D7E1D" w:rsidP="004D7E1D">
      <w:pPr>
        <w:tabs>
          <w:tab w:val="left" w:pos="720"/>
          <w:tab w:val="left" w:pos="1170"/>
          <w:tab w:val="left" w:pos="1350"/>
        </w:tabs>
        <w:contextualSpacing/>
        <w:rPr>
          <w:b/>
        </w:rPr>
      </w:pPr>
      <w:r>
        <w:rPr>
          <w:b/>
        </w:rPr>
        <w:t xml:space="preserve">OSHA </w:t>
      </w:r>
      <w:r w:rsidR="002E1078">
        <w:rPr>
          <w:b/>
        </w:rPr>
        <w:t>Status</w:t>
      </w:r>
    </w:p>
    <w:p w14:paraId="61E81CF9" w14:textId="3DF63B21" w:rsidR="00EC67D5" w:rsidRPr="00C36305" w:rsidRDefault="00EC67D5" w:rsidP="002E1078">
      <w:pPr>
        <w:rPr>
          <w:rFonts w:eastAsia="Calibri"/>
        </w:rPr>
      </w:pPr>
      <w:r>
        <w:rPr>
          <w:rFonts w:eastAsia="Calibri"/>
        </w:rPr>
        <w:t>“</w:t>
      </w:r>
      <w:r w:rsidRPr="00EC67D5">
        <w:rPr>
          <w:rFonts w:eastAsia="Calibri"/>
        </w:rPr>
        <w:t xml:space="preserve">In FY 2022, KY OSH’s lapse time for safety inspections was 80.54 days and 100.61 for health inspections. Even though the average citation issuance lapse times showed improvement, the lapse times remain significantly higher than the three-year national averages (54.68 days for safety and 67.14 days for health) and the averages for all State Plans (49.37 days for safety and 63.77 days for health).  [Reference: SAMM 11a and 11b] Kentucky provided that the SARS-CoV-2 pandemic continued to have a profound effect on the Kentucky OSH Program and adversely impacted citation issuance lapse time for safety and health inspections during this period.  Improved lapse time is one of KY OSH’s top goals, and the State Plan is placing much </w:t>
      </w:r>
      <w:r w:rsidRPr="00C36305">
        <w:rPr>
          <w:rFonts w:eastAsia="Calibri"/>
        </w:rPr>
        <w:t>attention and emphasis on decreasing lapse times.”</w:t>
      </w:r>
    </w:p>
    <w:p w14:paraId="0FF8AD6B" w14:textId="77777777" w:rsidR="00EC67D5" w:rsidRPr="00C36305" w:rsidRDefault="00EC67D5" w:rsidP="002E1078">
      <w:pPr>
        <w:rPr>
          <w:rFonts w:eastAsia="Calibri"/>
        </w:rPr>
      </w:pPr>
    </w:p>
    <w:p w14:paraId="0D55906D" w14:textId="60BD2FAF" w:rsidR="004D7E1D" w:rsidRPr="00C36305" w:rsidRDefault="004D7E1D" w:rsidP="004D7E1D">
      <w:pPr>
        <w:tabs>
          <w:tab w:val="left" w:pos="720"/>
          <w:tab w:val="left" w:pos="1170"/>
          <w:tab w:val="left" w:pos="1350"/>
        </w:tabs>
        <w:contextualSpacing/>
        <w:rPr>
          <w:b/>
        </w:rPr>
      </w:pPr>
      <w:r w:rsidRPr="00C36305">
        <w:rPr>
          <w:b/>
        </w:rPr>
        <w:t>State Response</w:t>
      </w:r>
    </w:p>
    <w:p w14:paraId="26926A29" w14:textId="0DF0DB1A" w:rsidR="00516B48" w:rsidRDefault="00F31A3A" w:rsidP="007602CB">
      <w:pPr>
        <w:tabs>
          <w:tab w:val="left" w:pos="720"/>
          <w:tab w:val="left" w:pos="1170"/>
          <w:tab w:val="left" w:pos="1350"/>
        </w:tabs>
        <w:contextualSpacing/>
      </w:pPr>
      <w:r w:rsidRPr="00C36305">
        <w:rPr>
          <w:bCs/>
        </w:rPr>
        <w:t xml:space="preserve">Kentucky received 54%+ more complaints in FFY 2022 than FFY 2021, </w:t>
      </w:r>
      <w:r w:rsidR="007602CB" w:rsidRPr="00C36305">
        <w:rPr>
          <w:bCs/>
        </w:rPr>
        <w:t>conducted 28%+ more complaint inspections in FFY 2022 than in FFY 2021</w:t>
      </w:r>
      <w:r w:rsidR="007E4912" w:rsidRPr="00C36305">
        <w:rPr>
          <w:bCs/>
        </w:rPr>
        <w:t>, and conducted 15%+ more total inspections in FFY 2022 than FFY 2021</w:t>
      </w:r>
      <w:r w:rsidR="007602CB">
        <w:rPr>
          <w:bCs/>
        </w:rPr>
        <w:t xml:space="preserve">.  </w:t>
      </w:r>
      <w:r w:rsidR="007E4912">
        <w:rPr>
          <w:bCs/>
        </w:rPr>
        <w:t xml:space="preserve">It is important to note that </w:t>
      </w:r>
      <w:r w:rsidR="007602CB">
        <w:rPr>
          <w:bCs/>
        </w:rPr>
        <w:t xml:space="preserve">Kentucky’s increased activity in FFY 2022 was accomplished with less </w:t>
      </w:r>
      <w:r w:rsidR="0047706E">
        <w:rPr>
          <w:bCs/>
        </w:rPr>
        <w:t xml:space="preserve">enforcement </w:t>
      </w:r>
      <w:r w:rsidR="007602CB">
        <w:rPr>
          <w:bCs/>
        </w:rPr>
        <w:t>staff than in FFY 2021.  Like OSHA</w:t>
      </w:r>
      <w:r w:rsidR="0047706E">
        <w:rPr>
          <w:bCs/>
        </w:rPr>
        <w:t xml:space="preserve"> and other State Plans</w:t>
      </w:r>
      <w:r w:rsidR="007602CB">
        <w:rPr>
          <w:bCs/>
        </w:rPr>
        <w:t xml:space="preserve">, </w:t>
      </w:r>
      <w:r w:rsidR="0047706E">
        <w:rPr>
          <w:bCs/>
        </w:rPr>
        <w:t xml:space="preserve">enforcement </w:t>
      </w:r>
      <w:r w:rsidR="007602CB">
        <w:rPr>
          <w:bCs/>
        </w:rPr>
        <w:t xml:space="preserve">staff </w:t>
      </w:r>
      <w:r w:rsidR="0047706E">
        <w:rPr>
          <w:bCs/>
        </w:rPr>
        <w:t>r</w:t>
      </w:r>
      <w:r w:rsidR="007602CB">
        <w:rPr>
          <w:bCs/>
        </w:rPr>
        <w:t xml:space="preserve">etention </w:t>
      </w:r>
      <w:r w:rsidR="0047706E">
        <w:rPr>
          <w:bCs/>
        </w:rPr>
        <w:t xml:space="preserve">and recruitment </w:t>
      </w:r>
      <w:r w:rsidR="007602CB">
        <w:rPr>
          <w:bCs/>
        </w:rPr>
        <w:t xml:space="preserve">is a significant challenge.  The increased workload </w:t>
      </w:r>
      <w:r w:rsidR="007E4912">
        <w:rPr>
          <w:bCs/>
        </w:rPr>
        <w:t xml:space="preserve">carried </w:t>
      </w:r>
      <w:r w:rsidR="00090F0C">
        <w:rPr>
          <w:bCs/>
        </w:rPr>
        <w:t xml:space="preserve">by </w:t>
      </w:r>
      <w:r w:rsidR="007602CB">
        <w:rPr>
          <w:bCs/>
        </w:rPr>
        <w:t xml:space="preserve">decreased </w:t>
      </w:r>
      <w:r w:rsidR="0047706E">
        <w:rPr>
          <w:bCs/>
        </w:rPr>
        <w:t xml:space="preserve">enforcement </w:t>
      </w:r>
      <w:r w:rsidR="007602CB">
        <w:rPr>
          <w:bCs/>
        </w:rPr>
        <w:t>staff had a direct</w:t>
      </w:r>
      <w:r w:rsidR="007E4912">
        <w:rPr>
          <w:bCs/>
        </w:rPr>
        <w:t>, negative</w:t>
      </w:r>
      <w:r w:rsidR="007602CB">
        <w:rPr>
          <w:bCs/>
        </w:rPr>
        <w:t xml:space="preserve"> impact on lapse time</w:t>
      </w:r>
      <w:r w:rsidR="007E4912">
        <w:rPr>
          <w:bCs/>
        </w:rPr>
        <w:t xml:space="preserve">.  That impact will </w:t>
      </w:r>
      <w:r w:rsidR="0047706E">
        <w:rPr>
          <w:bCs/>
        </w:rPr>
        <w:t xml:space="preserve">most likely </w:t>
      </w:r>
      <w:r w:rsidR="007E4912">
        <w:rPr>
          <w:bCs/>
        </w:rPr>
        <w:t xml:space="preserve">continue </w:t>
      </w:r>
      <w:r w:rsidR="007602CB">
        <w:rPr>
          <w:bCs/>
        </w:rPr>
        <w:t>in FFY 2023.  Nonetheless, i</w:t>
      </w:r>
      <w:r w:rsidR="00D90FA1" w:rsidRPr="00045B57">
        <w:t>mproved</w:t>
      </w:r>
      <w:r w:rsidR="00516B48" w:rsidRPr="00045B57">
        <w:t xml:space="preserve"> lapse time </w:t>
      </w:r>
      <w:r w:rsidR="0041134B" w:rsidRPr="00045B57">
        <w:t>is one (1) of K</w:t>
      </w:r>
      <w:r w:rsidR="007C61C1" w:rsidRPr="00045B57">
        <w:t>entucky</w:t>
      </w:r>
      <w:r w:rsidR="00D90FA1" w:rsidRPr="00045B57">
        <w:t>’s top goals</w:t>
      </w:r>
      <w:r w:rsidR="0041134B" w:rsidRPr="00045B57">
        <w:t>.</w:t>
      </w:r>
      <w:r w:rsidR="0041134B" w:rsidRPr="00D90FA1">
        <w:t xml:space="preserve"> </w:t>
      </w:r>
    </w:p>
    <w:p w14:paraId="59FF6216" w14:textId="77777777" w:rsidR="00516B48" w:rsidRDefault="00516B48" w:rsidP="00516B48">
      <w:pPr>
        <w:pStyle w:val="NoSpacing"/>
      </w:pPr>
    </w:p>
    <w:p w14:paraId="3562D2DD" w14:textId="08C27994" w:rsidR="002D0CD7" w:rsidRDefault="004D7E1D" w:rsidP="004D7E1D">
      <w:pPr>
        <w:tabs>
          <w:tab w:val="left" w:pos="1260"/>
          <w:tab w:val="left" w:pos="1350"/>
        </w:tabs>
        <w:contextualSpacing/>
        <w:rPr>
          <w:b/>
        </w:rPr>
      </w:pPr>
      <w:r w:rsidRPr="001C0CAA">
        <w:rPr>
          <w:b/>
        </w:rPr>
        <w:t>OSHA Finding FY 20</w:t>
      </w:r>
      <w:r w:rsidR="005C7E46">
        <w:rPr>
          <w:b/>
        </w:rPr>
        <w:t>2</w:t>
      </w:r>
      <w:r w:rsidR="00AF7039">
        <w:rPr>
          <w:b/>
        </w:rPr>
        <w:t>1</w:t>
      </w:r>
      <w:r w:rsidRPr="001C0CAA">
        <w:rPr>
          <w:b/>
        </w:rPr>
        <w:t>-</w:t>
      </w:r>
      <w:r w:rsidR="00996FC3">
        <w:rPr>
          <w:b/>
        </w:rPr>
        <w:t>4</w:t>
      </w:r>
    </w:p>
    <w:p w14:paraId="35420C4C" w14:textId="23A7081D" w:rsidR="00015494" w:rsidRDefault="00015494" w:rsidP="00015494">
      <w:pPr>
        <w:rPr>
          <w:rFonts w:eastAsia="Calibri"/>
        </w:rPr>
      </w:pPr>
      <w:r>
        <w:rPr>
          <w:rFonts w:eastAsia="Calibri"/>
        </w:rPr>
        <w:t>“The Kentucky State Plan failed to adopt OSHA’s initial FY 2016 maximum and minimum penalty increase and subsequent annual penalty amount increases.</w:t>
      </w:r>
      <w:r w:rsidR="0086315D">
        <w:rPr>
          <w:rFonts w:eastAsia="Calibri"/>
        </w:rPr>
        <w:t>”</w:t>
      </w:r>
    </w:p>
    <w:p w14:paraId="229AA45F" w14:textId="77777777" w:rsidR="00287D22" w:rsidRDefault="00287D22" w:rsidP="00015494">
      <w:pPr>
        <w:tabs>
          <w:tab w:val="left" w:pos="1260"/>
          <w:tab w:val="left" w:pos="1350"/>
        </w:tabs>
        <w:contextualSpacing/>
        <w:rPr>
          <w:rFonts w:eastAsia="Calibri"/>
          <w:b/>
          <w:bCs/>
        </w:rPr>
      </w:pPr>
    </w:p>
    <w:p w14:paraId="24724F24" w14:textId="77777777" w:rsidR="00287D22" w:rsidRDefault="00287D22" w:rsidP="00015494">
      <w:pPr>
        <w:tabs>
          <w:tab w:val="left" w:pos="1260"/>
          <w:tab w:val="left" w:pos="1350"/>
        </w:tabs>
        <w:contextualSpacing/>
        <w:rPr>
          <w:rFonts w:eastAsia="Calibri"/>
          <w:b/>
          <w:bCs/>
        </w:rPr>
      </w:pPr>
      <w:r>
        <w:rPr>
          <w:rFonts w:eastAsia="Calibri"/>
          <w:b/>
          <w:bCs/>
        </w:rPr>
        <w:t xml:space="preserve">OSHA </w:t>
      </w:r>
      <w:r w:rsidR="00015494">
        <w:rPr>
          <w:rFonts w:eastAsia="Calibri"/>
          <w:b/>
          <w:bCs/>
        </w:rPr>
        <w:t>Status</w:t>
      </w:r>
    </w:p>
    <w:p w14:paraId="143DCDEA" w14:textId="64C41ECB" w:rsidR="00287D22" w:rsidRDefault="00287D22" w:rsidP="00015494">
      <w:pPr>
        <w:tabs>
          <w:tab w:val="left" w:pos="1260"/>
          <w:tab w:val="left" w:pos="1350"/>
        </w:tabs>
        <w:contextualSpacing/>
        <w:rPr>
          <w:rFonts w:eastAsia="Calibri"/>
        </w:rPr>
      </w:pPr>
      <w:r>
        <w:rPr>
          <w:rFonts w:eastAsia="Calibri"/>
        </w:rPr>
        <w:t>“</w:t>
      </w:r>
      <w:r w:rsidRPr="00287D22">
        <w:rPr>
          <w:rFonts w:eastAsia="Calibri"/>
        </w:rPr>
        <w:t>The Kentucky State Plan does not have the independent authority to increase maximum penalties or implement an annual penalty adjustment based on the Consumer Price Index. Kentucky penalties are established by statute, specifically Kentucky Revised Statute 338.991. Adjustment to Kentucky penalties requires legislative action. House Bill (HB) 749 of the 2022 Regular Session was introduced March 1, 2022.  HB 749 sought to increase OSH civil penalties and require the Secretary to annually adjust the penalties based on the BLS Consumer Price Index for All Urban Customers.  HB 749 did not advance.  Kentucky will continue work to seek legislative action to amend Kentucky’s OSH penalties.</w:t>
      </w:r>
      <w:r>
        <w:rPr>
          <w:rFonts w:eastAsia="Calibri"/>
        </w:rPr>
        <w:t>”</w:t>
      </w:r>
    </w:p>
    <w:p w14:paraId="0CB53599" w14:textId="5ADD3726" w:rsidR="00287D22" w:rsidRDefault="00287D22" w:rsidP="00015494">
      <w:pPr>
        <w:tabs>
          <w:tab w:val="left" w:pos="1260"/>
          <w:tab w:val="left" w:pos="1350"/>
        </w:tabs>
        <w:contextualSpacing/>
        <w:rPr>
          <w:rFonts w:eastAsia="Calibri"/>
        </w:rPr>
      </w:pPr>
    </w:p>
    <w:p w14:paraId="6FC54F51" w14:textId="77777777" w:rsidR="0068559A" w:rsidRPr="0068559A" w:rsidRDefault="0068559A" w:rsidP="0068559A">
      <w:pPr>
        <w:tabs>
          <w:tab w:val="left" w:pos="720"/>
          <w:tab w:val="left" w:pos="1170"/>
          <w:tab w:val="left" w:pos="1350"/>
        </w:tabs>
        <w:contextualSpacing/>
        <w:rPr>
          <w:b/>
        </w:rPr>
      </w:pPr>
      <w:r w:rsidRPr="0068559A">
        <w:rPr>
          <w:b/>
        </w:rPr>
        <w:t>State Response</w:t>
      </w:r>
    </w:p>
    <w:p w14:paraId="75434814" w14:textId="5DDBB606" w:rsidR="0068559A" w:rsidRDefault="0068559A" w:rsidP="00A72A06">
      <w:pPr>
        <w:tabs>
          <w:tab w:val="left" w:pos="720"/>
          <w:tab w:val="left" w:pos="1170"/>
          <w:tab w:val="left" w:pos="1350"/>
        </w:tabs>
        <w:contextualSpacing/>
        <w:rPr>
          <w:rFonts w:eastAsia="Calibri"/>
          <w:b/>
          <w:bCs/>
        </w:rPr>
      </w:pPr>
      <w:r w:rsidRPr="0068559A">
        <w:rPr>
          <w:bCs/>
        </w:rPr>
        <w:t xml:space="preserve">OSHA’s finding is incorrect; the Kentucky State Plan did not fail to adopt OSHA’s </w:t>
      </w:r>
      <w:r w:rsidR="00A72A06">
        <w:rPr>
          <w:bCs/>
        </w:rPr>
        <w:t xml:space="preserve">annual penalty inflationary adjustment </w:t>
      </w:r>
      <w:r w:rsidRPr="0068559A">
        <w:rPr>
          <w:bCs/>
        </w:rPr>
        <w:t xml:space="preserve">and subsequent annual </w:t>
      </w:r>
      <w:r w:rsidR="00A72A06">
        <w:rPr>
          <w:bCs/>
        </w:rPr>
        <w:t>adjustments</w:t>
      </w:r>
      <w:r w:rsidRPr="0068559A">
        <w:rPr>
          <w:bCs/>
        </w:rPr>
        <w:t xml:space="preserve">.  </w:t>
      </w:r>
      <w:r w:rsidR="005907A5">
        <w:rPr>
          <w:bCs/>
        </w:rPr>
        <w:t>As OSHA notes, t</w:t>
      </w:r>
      <w:r w:rsidRPr="0068559A">
        <w:rPr>
          <w:bCs/>
        </w:rPr>
        <w:t xml:space="preserve">he Kentucky State Plan has no authority to increase </w:t>
      </w:r>
      <w:r w:rsidR="00A72A06">
        <w:rPr>
          <w:bCs/>
        </w:rPr>
        <w:t xml:space="preserve">any </w:t>
      </w:r>
      <w:r w:rsidRPr="0068559A">
        <w:rPr>
          <w:bCs/>
        </w:rPr>
        <w:t>penalt</w:t>
      </w:r>
      <w:r w:rsidR="00A72A06">
        <w:rPr>
          <w:bCs/>
        </w:rPr>
        <w:t>y</w:t>
      </w:r>
      <w:r w:rsidRPr="0068559A">
        <w:rPr>
          <w:bCs/>
        </w:rPr>
        <w:t xml:space="preserve"> or implement an annual penalty </w:t>
      </w:r>
      <w:r w:rsidR="00A72A06">
        <w:rPr>
          <w:bCs/>
        </w:rPr>
        <w:t xml:space="preserve">inflationary </w:t>
      </w:r>
      <w:r w:rsidRPr="0068559A">
        <w:rPr>
          <w:bCs/>
        </w:rPr>
        <w:t>adjustment based on the Consumer Price Index.  Kentucky penalties are established by statute, specifically Kentucky Revised Statute 338.991.  Adjustment to Kentucky penalties requires legislative action.  OSHA is aware that Kentucky will continue work to seek legislative action to amend Kentucky’s penalties.</w:t>
      </w:r>
    </w:p>
    <w:p w14:paraId="431AB711" w14:textId="77777777" w:rsidR="0068559A" w:rsidRDefault="0068559A" w:rsidP="00287D22">
      <w:pPr>
        <w:tabs>
          <w:tab w:val="left" w:pos="1260"/>
          <w:tab w:val="left" w:pos="1350"/>
        </w:tabs>
        <w:contextualSpacing/>
        <w:rPr>
          <w:rFonts w:eastAsia="Calibri"/>
          <w:b/>
          <w:bCs/>
        </w:rPr>
      </w:pPr>
    </w:p>
    <w:p w14:paraId="0C86D87A" w14:textId="6A9FD247" w:rsidR="00015494" w:rsidRDefault="00015494" w:rsidP="00015494">
      <w:pPr>
        <w:rPr>
          <w:rFonts w:eastAsia="Calibri"/>
          <w:b/>
          <w:bCs/>
        </w:rPr>
      </w:pPr>
      <w:r>
        <w:rPr>
          <w:rFonts w:eastAsia="Calibri"/>
          <w:b/>
          <w:bCs/>
        </w:rPr>
        <w:t xml:space="preserve">OSHA Finding FY 2021-5 </w:t>
      </w:r>
    </w:p>
    <w:p w14:paraId="34F514B8" w14:textId="0BC75362" w:rsidR="00287D22" w:rsidRPr="00287D22" w:rsidRDefault="00287D22" w:rsidP="00015494">
      <w:pPr>
        <w:rPr>
          <w:rFonts w:eastAsia="Calibri"/>
        </w:rPr>
      </w:pPr>
      <w:r>
        <w:rPr>
          <w:rFonts w:eastAsia="Calibri"/>
        </w:rPr>
        <w:t>“</w:t>
      </w:r>
      <w:r w:rsidRPr="00287D22">
        <w:rPr>
          <w:rFonts w:eastAsia="Calibri"/>
        </w:rPr>
        <w:t>In FY 2021, the case file review identified eight (8) out of 14 (57%) cases, where KY OSH failed to acquire and/or maintain correct retaliation case file documentation: to wit, (1) no case activity logs or incomplete logs, (2) insufficient/inaccurate correspondence tracking information (Specifically screening documentation between the complainant (CP) and Investigator was not present in the majority of files reviewed), and (3) erroneous IMIS entries.</w:t>
      </w:r>
      <w:r>
        <w:rPr>
          <w:rFonts w:eastAsia="Calibri"/>
        </w:rPr>
        <w:t>”</w:t>
      </w:r>
    </w:p>
    <w:p w14:paraId="07EF7182" w14:textId="77777777" w:rsidR="00015494" w:rsidRDefault="00015494" w:rsidP="00015494">
      <w:pPr>
        <w:rPr>
          <w:rFonts w:eastAsia="Calibri"/>
          <w:b/>
          <w:bCs/>
        </w:rPr>
      </w:pPr>
    </w:p>
    <w:p w14:paraId="3B24220C" w14:textId="77777777" w:rsidR="00015494" w:rsidRDefault="00015494" w:rsidP="00015494">
      <w:pPr>
        <w:rPr>
          <w:rFonts w:eastAsia="Calibri"/>
          <w:b/>
          <w:bCs/>
        </w:rPr>
      </w:pPr>
      <w:r>
        <w:rPr>
          <w:rFonts w:eastAsia="Calibri"/>
          <w:b/>
          <w:bCs/>
        </w:rPr>
        <w:t>OSHA Status</w:t>
      </w:r>
    </w:p>
    <w:p w14:paraId="7CB6BBF6" w14:textId="1B97C94D" w:rsidR="00287D22" w:rsidRPr="00287D22" w:rsidRDefault="00287D22" w:rsidP="00015494">
      <w:pPr>
        <w:rPr>
          <w:rFonts w:eastAsia="Calibri"/>
        </w:rPr>
      </w:pPr>
      <w:r>
        <w:rPr>
          <w:rFonts w:eastAsia="Calibri"/>
        </w:rPr>
        <w:t>“</w:t>
      </w:r>
      <w:r w:rsidRPr="00287D22">
        <w:rPr>
          <w:rFonts w:eastAsia="Calibri"/>
        </w:rPr>
        <w:t xml:space="preserve">KY OSH provided it will improve acquiring necessary documentation, as well as IMIS data entry accuracy.  A case file review is necessary to gather the facts needed to evaluate progress on this finding. </w:t>
      </w:r>
      <w:r w:rsidR="0068559A">
        <w:rPr>
          <w:rFonts w:eastAsia="Calibri"/>
        </w:rPr>
        <w:t xml:space="preserve"> </w:t>
      </w:r>
      <w:r w:rsidRPr="00287D22">
        <w:rPr>
          <w:rFonts w:eastAsia="Calibri"/>
        </w:rPr>
        <w:t>This finding will be a focus of next year’s on-site case file review during the FY 2023 comprehensive FAME and remains open pending verification.</w:t>
      </w:r>
      <w:r>
        <w:rPr>
          <w:rFonts w:eastAsia="Calibri"/>
        </w:rPr>
        <w:t>”</w:t>
      </w:r>
    </w:p>
    <w:p w14:paraId="38A4B0AC" w14:textId="77777777" w:rsidR="00287D22" w:rsidRDefault="00287D22" w:rsidP="00015494">
      <w:pPr>
        <w:rPr>
          <w:rFonts w:eastAsia="Calibri"/>
          <w:b/>
          <w:bCs/>
        </w:rPr>
      </w:pPr>
    </w:p>
    <w:p w14:paraId="14529DCE" w14:textId="77777777" w:rsidR="0068559A" w:rsidRPr="00287D22" w:rsidRDefault="0068559A" w:rsidP="0068559A">
      <w:pPr>
        <w:tabs>
          <w:tab w:val="left" w:pos="1260"/>
          <w:tab w:val="left" w:pos="1350"/>
        </w:tabs>
        <w:contextualSpacing/>
        <w:rPr>
          <w:rFonts w:eastAsia="Calibri"/>
          <w:b/>
          <w:bCs/>
        </w:rPr>
      </w:pPr>
      <w:r w:rsidRPr="00287D22">
        <w:rPr>
          <w:rFonts w:eastAsia="Calibri"/>
          <w:b/>
          <w:bCs/>
        </w:rPr>
        <w:t>State Response</w:t>
      </w:r>
    </w:p>
    <w:p w14:paraId="5E0DA7D4" w14:textId="177C7675" w:rsidR="0068559A" w:rsidRDefault="0068559A" w:rsidP="0068559A">
      <w:pPr>
        <w:tabs>
          <w:tab w:val="left" w:pos="720"/>
          <w:tab w:val="left" w:pos="1170"/>
          <w:tab w:val="left" w:pos="1350"/>
        </w:tabs>
        <w:contextualSpacing/>
        <w:rPr>
          <w:rFonts w:eastAsia="Calibri"/>
        </w:rPr>
      </w:pPr>
      <w:r>
        <w:rPr>
          <w:rFonts w:eastAsia="Calibri"/>
        </w:rPr>
        <w:t xml:space="preserve">OSHA is aware Kentucky improved acquiring documentation </w:t>
      </w:r>
      <w:r w:rsidRPr="00287D22">
        <w:rPr>
          <w:rFonts w:eastAsia="Calibri"/>
        </w:rPr>
        <w:t>as well as IMIS data entry accuracy.</w:t>
      </w:r>
      <w:r>
        <w:rPr>
          <w:rFonts w:eastAsia="Calibri"/>
        </w:rPr>
        <w:t xml:space="preserve">  However, OSHA chose to not </w:t>
      </w:r>
      <w:r w:rsidR="00A72A06">
        <w:rPr>
          <w:rFonts w:eastAsia="Calibri"/>
        </w:rPr>
        <w:t xml:space="preserve">verify the improvements during the FFY 2022 </w:t>
      </w:r>
      <w:r w:rsidR="0047706E">
        <w:rPr>
          <w:rFonts w:eastAsia="Calibri"/>
        </w:rPr>
        <w:t>Foll</w:t>
      </w:r>
      <w:r w:rsidR="009C7808">
        <w:rPr>
          <w:rFonts w:eastAsia="Calibri"/>
        </w:rPr>
        <w:t>o</w:t>
      </w:r>
      <w:r w:rsidR="0047706E">
        <w:rPr>
          <w:rFonts w:eastAsia="Calibri"/>
        </w:rPr>
        <w:t xml:space="preserve">w-up </w:t>
      </w:r>
      <w:r w:rsidR="00A72A06">
        <w:rPr>
          <w:rFonts w:eastAsia="Calibri"/>
        </w:rPr>
        <w:t>FAME</w:t>
      </w:r>
      <w:r w:rsidR="005907A5">
        <w:rPr>
          <w:rFonts w:eastAsia="Calibri"/>
        </w:rPr>
        <w:t>, a task that could have been easily accomplished.  This finding should be closed.</w:t>
      </w:r>
    </w:p>
    <w:p w14:paraId="16086656" w14:textId="5B4AC157" w:rsidR="005B6224" w:rsidRDefault="005B6224" w:rsidP="0068559A">
      <w:pPr>
        <w:tabs>
          <w:tab w:val="left" w:pos="720"/>
          <w:tab w:val="left" w:pos="1170"/>
          <w:tab w:val="left" w:pos="1350"/>
        </w:tabs>
        <w:contextualSpacing/>
        <w:rPr>
          <w:rFonts w:eastAsia="Calibri"/>
        </w:rPr>
      </w:pPr>
    </w:p>
    <w:p w14:paraId="5F23DC3A" w14:textId="3C26FD81" w:rsidR="001F3AE3" w:rsidRPr="001F3AE3" w:rsidRDefault="007A0344" w:rsidP="001F3AE3">
      <w:pPr>
        <w:tabs>
          <w:tab w:val="left" w:pos="720"/>
        </w:tabs>
        <w:rPr>
          <w:b/>
          <w:bCs/>
        </w:rPr>
      </w:pPr>
      <w:bookmarkStart w:id="1" w:name="_Hlk110847041"/>
      <w:r>
        <w:rPr>
          <w:b/>
          <w:bCs/>
        </w:rPr>
        <w:t xml:space="preserve">OSHA </w:t>
      </w:r>
      <w:r w:rsidR="001F3AE3" w:rsidRPr="001F3AE3">
        <w:rPr>
          <w:b/>
          <w:bCs/>
        </w:rPr>
        <w:t>Observation</w:t>
      </w:r>
      <w:r>
        <w:rPr>
          <w:b/>
          <w:bCs/>
        </w:rPr>
        <w:t xml:space="preserve"> </w:t>
      </w:r>
      <w:bookmarkEnd w:id="1"/>
      <w:r w:rsidR="00015494">
        <w:rPr>
          <w:b/>
          <w:bCs/>
        </w:rPr>
        <w:t>FY 2021-OB-1</w:t>
      </w:r>
    </w:p>
    <w:p w14:paraId="7769E723" w14:textId="77A79004" w:rsidR="001F3AE3" w:rsidRDefault="001F3AE3" w:rsidP="001F3AE3">
      <w:pPr>
        <w:tabs>
          <w:tab w:val="left" w:pos="720"/>
        </w:tabs>
      </w:pPr>
      <w:r>
        <w:t>“KY OSH’s Division of OSH Compliance did not make available for review their FY 2022 State Internal Evaluation Program (SIEP) Audit</w:t>
      </w:r>
      <w:r w:rsidR="00287D22">
        <w:t>,</w:t>
      </w:r>
      <w:r>
        <w:t xml:space="preserve"> as required by the State Plan Policies and Procedures Manual.”</w:t>
      </w:r>
    </w:p>
    <w:p w14:paraId="13998988" w14:textId="77777777" w:rsidR="00287D22" w:rsidRDefault="00287D22" w:rsidP="001F3AE3">
      <w:pPr>
        <w:tabs>
          <w:tab w:val="left" w:pos="720"/>
        </w:tabs>
      </w:pPr>
    </w:p>
    <w:p w14:paraId="02712D4F" w14:textId="411186D2" w:rsidR="00015494" w:rsidRPr="00015494" w:rsidRDefault="00015494" w:rsidP="001F3AE3">
      <w:pPr>
        <w:tabs>
          <w:tab w:val="left" w:pos="720"/>
        </w:tabs>
        <w:rPr>
          <w:b/>
          <w:bCs/>
        </w:rPr>
      </w:pPr>
      <w:r w:rsidRPr="00015494">
        <w:rPr>
          <w:b/>
          <w:bCs/>
        </w:rPr>
        <w:t>OSHA Status</w:t>
      </w:r>
    </w:p>
    <w:p w14:paraId="3A3DEC2F" w14:textId="5589F7CF" w:rsidR="00015494" w:rsidRDefault="00015494" w:rsidP="001F3AE3">
      <w:pPr>
        <w:tabs>
          <w:tab w:val="left" w:pos="720"/>
        </w:tabs>
      </w:pPr>
      <w:r>
        <w:rPr>
          <w:rFonts w:eastAsia="Calibri"/>
        </w:rPr>
        <w:t>“Kentucky’s internal evaluations are legally privileged and cannot be released.”</w:t>
      </w:r>
    </w:p>
    <w:p w14:paraId="49AC8FFA" w14:textId="77777777" w:rsidR="00015494" w:rsidRDefault="00015494" w:rsidP="001F3AE3">
      <w:pPr>
        <w:tabs>
          <w:tab w:val="left" w:pos="720"/>
        </w:tabs>
        <w:rPr>
          <w:b/>
          <w:bCs/>
        </w:rPr>
      </w:pPr>
    </w:p>
    <w:p w14:paraId="6B37F512" w14:textId="28F492B2" w:rsidR="005D04AB" w:rsidRPr="00AB6EA5" w:rsidRDefault="005D04AB" w:rsidP="001F3AE3">
      <w:pPr>
        <w:tabs>
          <w:tab w:val="left" w:pos="720"/>
        </w:tabs>
        <w:rPr>
          <w:b/>
          <w:bCs/>
        </w:rPr>
      </w:pPr>
      <w:r w:rsidRPr="00AB6EA5">
        <w:rPr>
          <w:b/>
          <w:bCs/>
        </w:rPr>
        <w:t>State Response</w:t>
      </w:r>
    </w:p>
    <w:p w14:paraId="421991A6" w14:textId="04E2A0F3" w:rsidR="001B67D7" w:rsidRPr="00AB6EA5" w:rsidRDefault="00876843" w:rsidP="001F3AE3">
      <w:pPr>
        <w:tabs>
          <w:tab w:val="left" w:pos="720"/>
        </w:tabs>
      </w:pPr>
      <w:r w:rsidRPr="00AB6EA5">
        <w:t xml:space="preserve">This is not a new issue </w:t>
      </w:r>
      <w:r w:rsidR="0068559A" w:rsidRPr="00AB6EA5">
        <w:t xml:space="preserve">and </w:t>
      </w:r>
      <w:r w:rsidR="001B67D7" w:rsidRPr="00AB6EA5">
        <w:t xml:space="preserve">OSHA is acutely aware why Kentucky </w:t>
      </w:r>
      <w:r w:rsidR="001E227E" w:rsidRPr="00AB6EA5">
        <w:t>cannot</w:t>
      </w:r>
      <w:r w:rsidR="001B67D7" w:rsidRPr="00AB6EA5">
        <w:t xml:space="preserve"> make </w:t>
      </w:r>
      <w:r w:rsidR="00EC3A4C" w:rsidRPr="00AB6EA5">
        <w:t xml:space="preserve">the </w:t>
      </w:r>
      <w:r w:rsidR="001B67D7" w:rsidRPr="00AB6EA5">
        <w:t>state internal evaluation audit available for OSHA review</w:t>
      </w:r>
      <w:r w:rsidR="0068559A" w:rsidRPr="00AB6EA5">
        <w:t>, the documentation is legally privileged and cannot be released.</w:t>
      </w:r>
    </w:p>
    <w:p w14:paraId="07601E29" w14:textId="79376275" w:rsidR="001B67D7" w:rsidRPr="00AB6EA5" w:rsidRDefault="001B67D7" w:rsidP="001F3AE3">
      <w:pPr>
        <w:tabs>
          <w:tab w:val="left" w:pos="720"/>
        </w:tabs>
      </w:pPr>
    </w:p>
    <w:p w14:paraId="09E36232" w14:textId="3252645F" w:rsidR="005D04AB" w:rsidRDefault="001B67D7" w:rsidP="001F3AE3">
      <w:pPr>
        <w:tabs>
          <w:tab w:val="left" w:pos="720"/>
        </w:tabs>
      </w:pPr>
      <w:r w:rsidRPr="00AB6EA5">
        <w:t xml:space="preserve">Kentucky </w:t>
      </w:r>
      <w:r w:rsidR="00AB6EA5" w:rsidRPr="00AB6EA5">
        <w:t>engaged</w:t>
      </w:r>
      <w:r w:rsidRPr="00AB6EA5">
        <w:t xml:space="preserve"> OSHA </w:t>
      </w:r>
      <w:r w:rsidR="00AB6EA5" w:rsidRPr="00AB6EA5">
        <w:t>to address t</w:t>
      </w:r>
      <w:r w:rsidRPr="00AB6EA5">
        <w:t xml:space="preserve">he issue of privilege </w:t>
      </w:r>
      <w:r w:rsidR="005907A5">
        <w:t xml:space="preserve">and develop a resolution </w:t>
      </w:r>
      <w:r w:rsidR="00E17D2A" w:rsidRPr="00AB6EA5">
        <w:t xml:space="preserve">so that </w:t>
      </w:r>
      <w:r w:rsidRPr="00AB6EA5">
        <w:t xml:space="preserve">OSHA </w:t>
      </w:r>
      <w:r w:rsidR="00E17D2A" w:rsidRPr="00AB6EA5">
        <w:t xml:space="preserve">can </w:t>
      </w:r>
      <w:r w:rsidRPr="00AB6EA5">
        <w:t>review Kentucky’s internal evaluations.  Kentucky’s inquir</w:t>
      </w:r>
      <w:r w:rsidR="00A20F0E" w:rsidRPr="00AB6EA5">
        <w:t>y</w:t>
      </w:r>
      <w:r w:rsidRPr="00AB6EA5">
        <w:t xml:space="preserve"> was made with OSHA at the </w:t>
      </w:r>
      <w:r w:rsidR="00A20F0E" w:rsidRPr="00AB6EA5">
        <w:t>area office</w:t>
      </w:r>
      <w:r w:rsidRPr="00AB6EA5">
        <w:t>, region, and national level</w:t>
      </w:r>
      <w:r w:rsidR="005907A5">
        <w:t>s</w:t>
      </w:r>
      <w:r w:rsidRPr="00AB6EA5">
        <w:t>.  OSHA informed Kentucky there is no apparent remedy.</w:t>
      </w:r>
      <w:r w:rsidR="00EC3A4C" w:rsidRPr="00AB6EA5">
        <w:t xml:space="preserve">  Although this is a legal issue </w:t>
      </w:r>
      <w:r w:rsidR="00AB6EA5" w:rsidRPr="00AB6EA5">
        <w:t xml:space="preserve">beyond the control of the KY </w:t>
      </w:r>
      <w:r w:rsidR="00512220">
        <w:t xml:space="preserve">Occupational Safety and Health </w:t>
      </w:r>
      <w:r w:rsidR="00AB6EA5" w:rsidRPr="00AB6EA5">
        <w:t xml:space="preserve">Program </w:t>
      </w:r>
      <w:r w:rsidR="00EC3A4C" w:rsidRPr="00AB6EA5">
        <w:t xml:space="preserve">and OSHA cannot </w:t>
      </w:r>
      <w:r w:rsidR="001E227E" w:rsidRPr="00AB6EA5">
        <w:t>offer</w:t>
      </w:r>
      <w:r w:rsidR="00EC3A4C" w:rsidRPr="00AB6EA5">
        <w:t xml:space="preserve"> Kentucky a remedy, OSHA </w:t>
      </w:r>
      <w:r w:rsidR="00E17D2A" w:rsidRPr="00AB6EA5">
        <w:t xml:space="preserve">now </w:t>
      </w:r>
      <w:r w:rsidR="00EC3A4C" w:rsidRPr="00AB6EA5">
        <w:t xml:space="preserve">chooses to issue an observation.  </w:t>
      </w:r>
      <w:r w:rsidRPr="00AB6EA5">
        <w:t xml:space="preserve">OSHA’s observation is </w:t>
      </w:r>
      <w:r w:rsidR="00AC14B4" w:rsidRPr="00045B57">
        <w:t>misleading</w:t>
      </w:r>
      <w:r w:rsidR="00A20F0E" w:rsidRPr="00045B57">
        <w:t xml:space="preserve"> and s</w:t>
      </w:r>
      <w:r w:rsidR="00A20F0E" w:rsidRPr="00AB6EA5">
        <w:t>etting Kentucky up to receive a finding.</w:t>
      </w:r>
      <w:r w:rsidR="00E73860">
        <w:t xml:space="preserve">  Kentucky rejects this observation.</w:t>
      </w:r>
      <w:r>
        <w:t xml:space="preserve">   </w:t>
      </w:r>
    </w:p>
    <w:p w14:paraId="3332B246" w14:textId="77777777" w:rsidR="005D04AB" w:rsidRDefault="005D04AB" w:rsidP="001F3AE3">
      <w:pPr>
        <w:tabs>
          <w:tab w:val="left" w:pos="720"/>
        </w:tabs>
      </w:pPr>
    </w:p>
    <w:p w14:paraId="33525CA9" w14:textId="75563ED5" w:rsidR="001F3AE3" w:rsidRPr="007A0344" w:rsidRDefault="007A0344" w:rsidP="001F3AE3">
      <w:pPr>
        <w:tabs>
          <w:tab w:val="left" w:pos="720"/>
        </w:tabs>
        <w:rPr>
          <w:b/>
          <w:bCs/>
        </w:rPr>
      </w:pPr>
      <w:r w:rsidRPr="007A0344">
        <w:rPr>
          <w:b/>
          <w:bCs/>
        </w:rPr>
        <w:t>OSHA FY 2021 Observation 2</w:t>
      </w:r>
    </w:p>
    <w:p w14:paraId="4587AE95" w14:textId="1C7EB65B" w:rsidR="00287D22" w:rsidRPr="00287D22" w:rsidRDefault="00287D22" w:rsidP="00287D22">
      <w:pPr>
        <w:rPr>
          <w:rFonts w:eastAsia="Calibri"/>
        </w:rPr>
      </w:pPr>
      <w:r>
        <w:rPr>
          <w:rFonts w:eastAsia="Calibri"/>
        </w:rPr>
        <w:t>“</w:t>
      </w:r>
      <w:r w:rsidRPr="00287D22">
        <w:rPr>
          <w:rFonts w:eastAsia="Calibri"/>
        </w:rPr>
        <w:t>In FY 2021, the total in-compliance rates (SAMM 9) for all safety inspections was 48.03% and 67.35% for health inspections (SAMM 9b). The in-compliance rates for safety and health were well above the FRL. This observation is being continued.</w:t>
      </w:r>
      <w:r>
        <w:rPr>
          <w:rFonts w:eastAsia="Calibri"/>
        </w:rPr>
        <w:t>”</w:t>
      </w:r>
    </w:p>
    <w:p w14:paraId="1B22543F" w14:textId="77777777" w:rsidR="00015494" w:rsidRDefault="00015494" w:rsidP="007A0344">
      <w:pPr>
        <w:tabs>
          <w:tab w:val="left" w:pos="720"/>
        </w:tabs>
      </w:pPr>
    </w:p>
    <w:p w14:paraId="334BBF98" w14:textId="7C7AC4FC" w:rsidR="007A0344" w:rsidRPr="007A0344" w:rsidRDefault="007A0344" w:rsidP="007A0344">
      <w:pPr>
        <w:tabs>
          <w:tab w:val="left" w:pos="720"/>
        </w:tabs>
        <w:rPr>
          <w:b/>
          <w:bCs/>
        </w:rPr>
      </w:pPr>
      <w:r w:rsidRPr="007A0344">
        <w:rPr>
          <w:b/>
          <w:bCs/>
        </w:rPr>
        <w:t xml:space="preserve">OSHA </w:t>
      </w:r>
      <w:r w:rsidR="00015494">
        <w:rPr>
          <w:b/>
          <w:bCs/>
        </w:rPr>
        <w:t>Status</w:t>
      </w:r>
    </w:p>
    <w:p w14:paraId="15CF7539" w14:textId="65D10B63" w:rsidR="00287D22" w:rsidRDefault="00287D22" w:rsidP="007A0344">
      <w:pPr>
        <w:tabs>
          <w:tab w:val="left" w:pos="720"/>
        </w:tabs>
      </w:pPr>
      <w:r>
        <w:t>“</w:t>
      </w:r>
      <w:r w:rsidRPr="00287D22">
        <w:t>In FY 2022, the total in-compliance rates (Reference: SAMM 9) for all safety inspections were 44.51% and 75% for health inspections and remain well above the FRLs.  In FY 2021, OSHA did not identify that Kentucky missed a hazard(s) and/or failed to issue a citation(s) in any case files.  OSHA’s position is that Kentucky’s high in-compliance rate is related to the low number of targeted inspections and high number of in-compliance complaints inspections.</w:t>
      </w:r>
      <w:r>
        <w:t>”</w:t>
      </w:r>
    </w:p>
    <w:p w14:paraId="1E4B8D9A" w14:textId="53841F37" w:rsidR="00015494" w:rsidRDefault="00015494" w:rsidP="007A0344">
      <w:pPr>
        <w:tabs>
          <w:tab w:val="left" w:pos="720"/>
        </w:tabs>
      </w:pPr>
    </w:p>
    <w:p w14:paraId="4641F81C" w14:textId="25C8CBBA" w:rsidR="005B6224" w:rsidRPr="000E4ACE" w:rsidRDefault="007A0344" w:rsidP="007A0344">
      <w:pPr>
        <w:tabs>
          <w:tab w:val="left" w:pos="720"/>
        </w:tabs>
        <w:rPr>
          <w:b/>
          <w:bCs/>
        </w:rPr>
      </w:pPr>
      <w:r w:rsidRPr="000E4ACE">
        <w:rPr>
          <w:b/>
          <w:bCs/>
        </w:rPr>
        <w:t>State Response</w:t>
      </w:r>
    </w:p>
    <w:p w14:paraId="57E76458" w14:textId="253EE8AA" w:rsidR="000E4ACE" w:rsidRDefault="00C0303B" w:rsidP="007A0344">
      <w:pPr>
        <w:tabs>
          <w:tab w:val="left" w:pos="720"/>
        </w:tabs>
      </w:pPr>
      <w:r w:rsidRPr="000E4ACE">
        <w:t>OSHA articulate</w:t>
      </w:r>
      <w:r w:rsidR="000E4ACE">
        <w:t>d</w:t>
      </w:r>
      <w:r w:rsidRPr="000E4ACE">
        <w:t xml:space="preserve"> an explanation for Kentucky’s in-</w:t>
      </w:r>
      <w:r w:rsidR="003D0346" w:rsidRPr="000E4ACE">
        <w:t>compliance</w:t>
      </w:r>
      <w:r w:rsidRPr="000E4ACE">
        <w:t xml:space="preserve"> rates on page twelve (12) of the </w:t>
      </w:r>
      <w:r w:rsidR="0042711E" w:rsidRPr="000E4ACE">
        <w:t xml:space="preserve">FFY 2021 </w:t>
      </w:r>
      <w:r w:rsidRPr="000E4ACE">
        <w:t>FAME</w:t>
      </w:r>
      <w:r w:rsidR="00166AF6">
        <w:t xml:space="preserve"> and OSHA articulates data regarding Kentucky’s in-compliance rates on page nine (9) of the FFY 2022 Follow-up FAME.  More importantly</w:t>
      </w:r>
      <w:r w:rsidRPr="000E4ACE">
        <w:t xml:space="preserve">, at no time during the </w:t>
      </w:r>
      <w:r w:rsidR="00876843" w:rsidRPr="000E4ACE">
        <w:t>F</w:t>
      </w:r>
      <w:r w:rsidRPr="000E4ACE">
        <w:t xml:space="preserve">FY 2021 FAME </w:t>
      </w:r>
      <w:r w:rsidR="0042711E" w:rsidRPr="000E4ACE">
        <w:t>or the FFY 2022 Follow-up FAME d</w:t>
      </w:r>
      <w:r w:rsidRPr="000E4ACE">
        <w:t xml:space="preserve">id OSHA identify </w:t>
      </w:r>
      <w:r w:rsidRPr="000E4ACE">
        <w:rPr>
          <w:i/>
          <w:iCs/>
        </w:rPr>
        <w:t>any</w:t>
      </w:r>
      <w:r w:rsidRPr="000E4ACE">
        <w:t xml:space="preserve"> casefile</w:t>
      </w:r>
      <w:r w:rsidR="00E37B87" w:rsidRPr="000E4ACE">
        <w:t xml:space="preserve"> that Kentucky </w:t>
      </w:r>
      <w:r w:rsidRPr="000E4ACE">
        <w:t xml:space="preserve">missed </w:t>
      </w:r>
      <w:r w:rsidR="00E17D2A" w:rsidRPr="000E4ACE">
        <w:t xml:space="preserve">a </w:t>
      </w:r>
      <w:r w:rsidRPr="000E4ACE">
        <w:t xml:space="preserve">hazard(s) </w:t>
      </w:r>
      <w:r w:rsidR="00E37B87" w:rsidRPr="000E4ACE">
        <w:t>and/</w:t>
      </w:r>
      <w:r w:rsidRPr="000E4ACE">
        <w:t>or faile</w:t>
      </w:r>
      <w:r w:rsidR="00E37B87" w:rsidRPr="000E4ACE">
        <w:t>d</w:t>
      </w:r>
      <w:r w:rsidRPr="000E4ACE">
        <w:t xml:space="preserve"> to issue a</w:t>
      </w:r>
      <w:r w:rsidR="0042711E" w:rsidRPr="000E4ACE">
        <w:t>n appropriate</w:t>
      </w:r>
      <w:r w:rsidRPr="000E4ACE">
        <w:t xml:space="preserve"> citation(s).</w:t>
      </w:r>
      <w:r w:rsidR="00E37B87" w:rsidRPr="000E4ACE">
        <w:t xml:space="preserve">  </w:t>
      </w:r>
    </w:p>
    <w:p w14:paraId="46BD9CC4" w14:textId="77777777" w:rsidR="000E4ACE" w:rsidRDefault="000E4ACE" w:rsidP="007A0344">
      <w:pPr>
        <w:tabs>
          <w:tab w:val="left" w:pos="720"/>
        </w:tabs>
      </w:pPr>
    </w:p>
    <w:p w14:paraId="49B08418" w14:textId="52581E63" w:rsidR="00BF0600" w:rsidRDefault="00E17D2A" w:rsidP="007A0344">
      <w:pPr>
        <w:tabs>
          <w:tab w:val="left" w:pos="720"/>
        </w:tabs>
      </w:pPr>
      <w:r w:rsidRPr="000E4ACE">
        <w:t>Kentucky’s in-compliance rate is simply outside of the Further Review Level.</w:t>
      </w:r>
      <w:r w:rsidR="000E4ACE">
        <w:t xml:space="preserve">  </w:t>
      </w:r>
      <w:r w:rsidR="00166AF6">
        <w:t>Regrettably</w:t>
      </w:r>
      <w:r w:rsidR="000E4ACE">
        <w:t xml:space="preserve">, OSHA conducted </w:t>
      </w:r>
      <w:r w:rsidR="000E4ACE" w:rsidRPr="000E4ACE">
        <w:rPr>
          <w:b/>
          <w:bCs/>
        </w:rPr>
        <w:t>no</w:t>
      </w:r>
      <w:r w:rsidR="000E4ACE">
        <w:t xml:space="preserve"> further review during the FFY 2021 FAME or the FFY 2022 Follow-up FAME to evaluate the issue.  </w:t>
      </w:r>
      <w:r w:rsidR="000E4ACE" w:rsidRPr="000E4ACE">
        <w:t xml:space="preserve">OSHA has neither demonstrated nor articulated how Kentucky’s in-compliance rate </w:t>
      </w:r>
      <w:r w:rsidR="000E4ACE">
        <w:t>warrants</w:t>
      </w:r>
      <w:r w:rsidR="000E4ACE" w:rsidRPr="000E4ACE">
        <w:t xml:space="preserve"> an observation.</w:t>
      </w:r>
      <w:r w:rsidR="000E4ACE">
        <w:t xml:space="preserve">  </w:t>
      </w:r>
      <w:r w:rsidR="00E37B87" w:rsidRPr="000E4ACE">
        <w:t>OSHA’s observation has no basis and is setting Kentucky up to receive a finding</w:t>
      </w:r>
      <w:r w:rsidR="00166AF6">
        <w:t xml:space="preserve"> despite the fact OSHA failed to conduct any further review.</w:t>
      </w:r>
      <w:r w:rsidR="00E73860">
        <w:t xml:space="preserve">  Kentucky rejects this observation.</w:t>
      </w:r>
      <w:r w:rsidR="00E37B87">
        <w:t xml:space="preserve">  </w:t>
      </w:r>
    </w:p>
    <w:p w14:paraId="0B525F45" w14:textId="77777777" w:rsidR="00BF0600" w:rsidRDefault="00BF0600" w:rsidP="007A0344">
      <w:pPr>
        <w:tabs>
          <w:tab w:val="left" w:pos="720"/>
        </w:tabs>
      </w:pPr>
    </w:p>
    <w:p w14:paraId="6B35CDD9" w14:textId="7529C389" w:rsidR="007A0344" w:rsidRDefault="007A0344" w:rsidP="007A0344">
      <w:pPr>
        <w:tabs>
          <w:tab w:val="left" w:pos="720"/>
        </w:tabs>
      </w:pPr>
    </w:p>
    <w:p w14:paraId="103AE714" w14:textId="3EBFA084" w:rsidR="007A0344" w:rsidRDefault="007A0344" w:rsidP="007A0344">
      <w:pPr>
        <w:tabs>
          <w:tab w:val="left" w:pos="720"/>
        </w:tabs>
      </w:pPr>
    </w:p>
    <w:p w14:paraId="587DAEE9" w14:textId="77777777" w:rsidR="007A0344" w:rsidRDefault="007A0344" w:rsidP="007A0344">
      <w:pPr>
        <w:tabs>
          <w:tab w:val="left" w:pos="720"/>
        </w:tabs>
      </w:pPr>
    </w:p>
    <w:p w14:paraId="1B7EE6AB" w14:textId="77777777" w:rsidR="007A0344" w:rsidRDefault="007A0344" w:rsidP="007A0344">
      <w:pPr>
        <w:tabs>
          <w:tab w:val="left" w:pos="720"/>
        </w:tabs>
      </w:pPr>
    </w:p>
    <w:sectPr w:rsidR="007A0344" w:rsidSect="00180D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DF86" w14:textId="77777777" w:rsidR="0062223A" w:rsidRDefault="0062223A" w:rsidP="00C27176">
      <w:r>
        <w:separator/>
      </w:r>
    </w:p>
  </w:endnote>
  <w:endnote w:type="continuationSeparator" w:id="0">
    <w:p w14:paraId="37182A05" w14:textId="77777777" w:rsidR="0062223A" w:rsidRDefault="0062223A" w:rsidP="00C2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9415" w14:textId="77777777" w:rsidR="009410CC" w:rsidRDefault="00941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21978"/>
      <w:docPartObj>
        <w:docPartGallery w:val="Page Numbers (Bottom of Page)"/>
        <w:docPartUnique/>
      </w:docPartObj>
    </w:sdtPr>
    <w:sdtEndPr>
      <w:rPr>
        <w:noProof/>
      </w:rPr>
    </w:sdtEndPr>
    <w:sdtContent>
      <w:p w14:paraId="1E9FE590" w14:textId="77777777" w:rsidR="002A4818" w:rsidRDefault="002A4818">
        <w:pPr>
          <w:pStyle w:val="Footer"/>
          <w:jc w:val="center"/>
        </w:pPr>
        <w:r>
          <w:fldChar w:fldCharType="begin"/>
        </w:r>
        <w:r>
          <w:instrText xml:space="preserve"> PAGE   \* MERGEFORMAT </w:instrText>
        </w:r>
        <w:r>
          <w:fldChar w:fldCharType="separate"/>
        </w:r>
        <w:r w:rsidR="002D0079">
          <w:rPr>
            <w:noProof/>
          </w:rPr>
          <w:t>2</w:t>
        </w:r>
        <w:r>
          <w:rPr>
            <w:noProof/>
          </w:rPr>
          <w:fldChar w:fldCharType="end"/>
        </w:r>
      </w:p>
    </w:sdtContent>
  </w:sdt>
  <w:p w14:paraId="77367B2F" w14:textId="77777777" w:rsidR="00C27176" w:rsidRDefault="00C27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FF92" w14:textId="77777777" w:rsidR="009410CC" w:rsidRDefault="00941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0B06" w14:textId="77777777" w:rsidR="0062223A" w:rsidRDefault="0062223A" w:rsidP="00C27176">
      <w:r>
        <w:separator/>
      </w:r>
    </w:p>
  </w:footnote>
  <w:footnote w:type="continuationSeparator" w:id="0">
    <w:p w14:paraId="41F189C1" w14:textId="77777777" w:rsidR="0062223A" w:rsidRDefault="0062223A" w:rsidP="00C2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EC02" w14:textId="776C1C71" w:rsidR="00F1789E" w:rsidRDefault="00F1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6405" w14:textId="098C20E0" w:rsidR="00F1789E" w:rsidRDefault="00F1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221" w14:textId="350AB91B" w:rsidR="00F1789E" w:rsidRDefault="00F17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142B"/>
    <w:multiLevelType w:val="hybridMultilevel"/>
    <w:tmpl w:val="C466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9022F"/>
    <w:multiLevelType w:val="hybridMultilevel"/>
    <w:tmpl w:val="83688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0974466">
    <w:abstractNumId w:val="0"/>
  </w:num>
  <w:num w:numId="2" w16cid:durableId="150342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EA"/>
    <w:rsid w:val="000048C3"/>
    <w:rsid w:val="000064FB"/>
    <w:rsid w:val="00007D5A"/>
    <w:rsid w:val="00011892"/>
    <w:rsid w:val="0001281F"/>
    <w:rsid w:val="00015494"/>
    <w:rsid w:val="000314F1"/>
    <w:rsid w:val="000350A0"/>
    <w:rsid w:val="00036A59"/>
    <w:rsid w:val="00040EA4"/>
    <w:rsid w:val="00045B57"/>
    <w:rsid w:val="00045F23"/>
    <w:rsid w:val="00050A95"/>
    <w:rsid w:val="00050EC8"/>
    <w:rsid w:val="00052E60"/>
    <w:rsid w:val="00057C36"/>
    <w:rsid w:val="00063850"/>
    <w:rsid w:val="000710DF"/>
    <w:rsid w:val="00073FE6"/>
    <w:rsid w:val="000758E1"/>
    <w:rsid w:val="00075C9B"/>
    <w:rsid w:val="000771A9"/>
    <w:rsid w:val="0008187C"/>
    <w:rsid w:val="00086BFD"/>
    <w:rsid w:val="00090DC6"/>
    <w:rsid w:val="00090F0C"/>
    <w:rsid w:val="00092ABF"/>
    <w:rsid w:val="00096723"/>
    <w:rsid w:val="000A23C4"/>
    <w:rsid w:val="000A3C5F"/>
    <w:rsid w:val="000A47A8"/>
    <w:rsid w:val="000B3643"/>
    <w:rsid w:val="000B4B12"/>
    <w:rsid w:val="000B684D"/>
    <w:rsid w:val="000C3822"/>
    <w:rsid w:val="000C51F6"/>
    <w:rsid w:val="000D36E7"/>
    <w:rsid w:val="000D5D2B"/>
    <w:rsid w:val="000E1549"/>
    <w:rsid w:val="000E242D"/>
    <w:rsid w:val="000E2550"/>
    <w:rsid w:val="000E4ACE"/>
    <w:rsid w:val="000E634C"/>
    <w:rsid w:val="000E6D9B"/>
    <w:rsid w:val="000E7207"/>
    <w:rsid w:val="000F091A"/>
    <w:rsid w:val="000F1BC9"/>
    <w:rsid w:val="000F366B"/>
    <w:rsid w:val="000F47D2"/>
    <w:rsid w:val="000F6EC7"/>
    <w:rsid w:val="0010327B"/>
    <w:rsid w:val="00106748"/>
    <w:rsid w:val="001133A7"/>
    <w:rsid w:val="001225B4"/>
    <w:rsid w:val="00124EC7"/>
    <w:rsid w:val="0013647B"/>
    <w:rsid w:val="0013692A"/>
    <w:rsid w:val="00136B8E"/>
    <w:rsid w:val="00136E04"/>
    <w:rsid w:val="00141558"/>
    <w:rsid w:val="001512FA"/>
    <w:rsid w:val="001631D2"/>
    <w:rsid w:val="00164DD4"/>
    <w:rsid w:val="0016596D"/>
    <w:rsid w:val="00166AF6"/>
    <w:rsid w:val="00167938"/>
    <w:rsid w:val="001704F5"/>
    <w:rsid w:val="0017113F"/>
    <w:rsid w:val="00173F4C"/>
    <w:rsid w:val="00174D0C"/>
    <w:rsid w:val="001772E2"/>
    <w:rsid w:val="0018063E"/>
    <w:rsid w:val="00180B85"/>
    <w:rsid w:val="00180D40"/>
    <w:rsid w:val="00180D73"/>
    <w:rsid w:val="00182472"/>
    <w:rsid w:val="0019602F"/>
    <w:rsid w:val="0019728C"/>
    <w:rsid w:val="001A049F"/>
    <w:rsid w:val="001A6C46"/>
    <w:rsid w:val="001B03B0"/>
    <w:rsid w:val="001B1E7F"/>
    <w:rsid w:val="001B5FCE"/>
    <w:rsid w:val="001B67D7"/>
    <w:rsid w:val="001C0C16"/>
    <w:rsid w:val="001C0CAA"/>
    <w:rsid w:val="001C170B"/>
    <w:rsid w:val="001C1A5B"/>
    <w:rsid w:val="001C1F22"/>
    <w:rsid w:val="001C5B84"/>
    <w:rsid w:val="001C5EF8"/>
    <w:rsid w:val="001D31FC"/>
    <w:rsid w:val="001E227E"/>
    <w:rsid w:val="001F1286"/>
    <w:rsid w:val="001F2A63"/>
    <w:rsid w:val="001F33D8"/>
    <w:rsid w:val="001F3AE3"/>
    <w:rsid w:val="001F6FCE"/>
    <w:rsid w:val="00205B00"/>
    <w:rsid w:val="00213711"/>
    <w:rsid w:val="002175E3"/>
    <w:rsid w:val="00217878"/>
    <w:rsid w:val="00221965"/>
    <w:rsid w:val="00222C3C"/>
    <w:rsid w:val="002239DE"/>
    <w:rsid w:val="00231F04"/>
    <w:rsid w:val="00232ED5"/>
    <w:rsid w:val="00235241"/>
    <w:rsid w:val="00237F44"/>
    <w:rsid w:val="00242E08"/>
    <w:rsid w:val="00243DE3"/>
    <w:rsid w:val="002448B7"/>
    <w:rsid w:val="00244C26"/>
    <w:rsid w:val="002464EC"/>
    <w:rsid w:val="002502E1"/>
    <w:rsid w:val="00252AB5"/>
    <w:rsid w:val="00255BD9"/>
    <w:rsid w:val="0027085C"/>
    <w:rsid w:val="002775BC"/>
    <w:rsid w:val="00283574"/>
    <w:rsid w:val="00284F78"/>
    <w:rsid w:val="00286B18"/>
    <w:rsid w:val="00287D22"/>
    <w:rsid w:val="00292DFB"/>
    <w:rsid w:val="00296803"/>
    <w:rsid w:val="002A310D"/>
    <w:rsid w:val="002A3A00"/>
    <w:rsid w:val="002A44EB"/>
    <w:rsid w:val="002A4818"/>
    <w:rsid w:val="002B1D18"/>
    <w:rsid w:val="002B4B50"/>
    <w:rsid w:val="002C06DF"/>
    <w:rsid w:val="002C30FB"/>
    <w:rsid w:val="002C74F9"/>
    <w:rsid w:val="002D0079"/>
    <w:rsid w:val="002D0CD7"/>
    <w:rsid w:val="002D4425"/>
    <w:rsid w:val="002E1078"/>
    <w:rsid w:val="002E23D7"/>
    <w:rsid w:val="002E2624"/>
    <w:rsid w:val="002E41CD"/>
    <w:rsid w:val="002E5403"/>
    <w:rsid w:val="002F0721"/>
    <w:rsid w:val="002F3AA5"/>
    <w:rsid w:val="00303570"/>
    <w:rsid w:val="0030425E"/>
    <w:rsid w:val="003155DB"/>
    <w:rsid w:val="00317DF1"/>
    <w:rsid w:val="0032147D"/>
    <w:rsid w:val="003241D2"/>
    <w:rsid w:val="003270CD"/>
    <w:rsid w:val="0033074E"/>
    <w:rsid w:val="00335248"/>
    <w:rsid w:val="00335AE9"/>
    <w:rsid w:val="003426BA"/>
    <w:rsid w:val="00345B90"/>
    <w:rsid w:val="00345E3E"/>
    <w:rsid w:val="00345E56"/>
    <w:rsid w:val="0034608B"/>
    <w:rsid w:val="00346B38"/>
    <w:rsid w:val="00351C61"/>
    <w:rsid w:val="00352E94"/>
    <w:rsid w:val="0035634D"/>
    <w:rsid w:val="003769CC"/>
    <w:rsid w:val="0037791C"/>
    <w:rsid w:val="00391132"/>
    <w:rsid w:val="00392B7C"/>
    <w:rsid w:val="003979D3"/>
    <w:rsid w:val="003A00B3"/>
    <w:rsid w:val="003A232F"/>
    <w:rsid w:val="003A48CA"/>
    <w:rsid w:val="003B26A8"/>
    <w:rsid w:val="003B4CE0"/>
    <w:rsid w:val="003B76A5"/>
    <w:rsid w:val="003B7719"/>
    <w:rsid w:val="003C12DD"/>
    <w:rsid w:val="003C2A09"/>
    <w:rsid w:val="003C7250"/>
    <w:rsid w:val="003D0346"/>
    <w:rsid w:val="003E13C5"/>
    <w:rsid w:val="003E1B8C"/>
    <w:rsid w:val="003F166F"/>
    <w:rsid w:val="003F47EE"/>
    <w:rsid w:val="00404143"/>
    <w:rsid w:val="0041134B"/>
    <w:rsid w:val="00413034"/>
    <w:rsid w:val="00413052"/>
    <w:rsid w:val="004130AD"/>
    <w:rsid w:val="00415CD1"/>
    <w:rsid w:val="0041724B"/>
    <w:rsid w:val="00421268"/>
    <w:rsid w:val="004265FA"/>
    <w:rsid w:val="0042711E"/>
    <w:rsid w:val="004319CE"/>
    <w:rsid w:val="00434560"/>
    <w:rsid w:val="0043604D"/>
    <w:rsid w:val="00437131"/>
    <w:rsid w:val="00442EBE"/>
    <w:rsid w:val="00446FD8"/>
    <w:rsid w:val="00450542"/>
    <w:rsid w:val="0045790D"/>
    <w:rsid w:val="00462F09"/>
    <w:rsid w:val="00464CEA"/>
    <w:rsid w:val="00464F5E"/>
    <w:rsid w:val="00466864"/>
    <w:rsid w:val="00473F52"/>
    <w:rsid w:val="0047706E"/>
    <w:rsid w:val="004777CF"/>
    <w:rsid w:val="004851C0"/>
    <w:rsid w:val="00490F73"/>
    <w:rsid w:val="00497E20"/>
    <w:rsid w:val="004A1736"/>
    <w:rsid w:val="004A3A25"/>
    <w:rsid w:val="004A5F9F"/>
    <w:rsid w:val="004A61F9"/>
    <w:rsid w:val="004B37CB"/>
    <w:rsid w:val="004B5157"/>
    <w:rsid w:val="004B53C1"/>
    <w:rsid w:val="004C183B"/>
    <w:rsid w:val="004D0AAC"/>
    <w:rsid w:val="004D3251"/>
    <w:rsid w:val="004D7E1D"/>
    <w:rsid w:val="004D7E50"/>
    <w:rsid w:val="004E4DF4"/>
    <w:rsid w:val="004E4F07"/>
    <w:rsid w:val="004E50DC"/>
    <w:rsid w:val="004F2502"/>
    <w:rsid w:val="00500B42"/>
    <w:rsid w:val="00506622"/>
    <w:rsid w:val="00506752"/>
    <w:rsid w:val="00510DF2"/>
    <w:rsid w:val="00512220"/>
    <w:rsid w:val="00514B53"/>
    <w:rsid w:val="00515AB9"/>
    <w:rsid w:val="00516B48"/>
    <w:rsid w:val="00521210"/>
    <w:rsid w:val="00530227"/>
    <w:rsid w:val="00531BD1"/>
    <w:rsid w:val="00542764"/>
    <w:rsid w:val="00543679"/>
    <w:rsid w:val="005507CA"/>
    <w:rsid w:val="00551BD1"/>
    <w:rsid w:val="00554627"/>
    <w:rsid w:val="005548C5"/>
    <w:rsid w:val="00554FA5"/>
    <w:rsid w:val="005566D5"/>
    <w:rsid w:val="005630BB"/>
    <w:rsid w:val="00563D63"/>
    <w:rsid w:val="005645F2"/>
    <w:rsid w:val="00564F95"/>
    <w:rsid w:val="00565939"/>
    <w:rsid w:val="00567710"/>
    <w:rsid w:val="00571A48"/>
    <w:rsid w:val="0057627E"/>
    <w:rsid w:val="00581F8A"/>
    <w:rsid w:val="0058276F"/>
    <w:rsid w:val="00583575"/>
    <w:rsid w:val="005846BA"/>
    <w:rsid w:val="00587CE3"/>
    <w:rsid w:val="005907A5"/>
    <w:rsid w:val="00593771"/>
    <w:rsid w:val="00595074"/>
    <w:rsid w:val="00596B65"/>
    <w:rsid w:val="005A0AE9"/>
    <w:rsid w:val="005A1404"/>
    <w:rsid w:val="005A171F"/>
    <w:rsid w:val="005A4708"/>
    <w:rsid w:val="005A47DA"/>
    <w:rsid w:val="005A77DB"/>
    <w:rsid w:val="005B39F9"/>
    <w:rsid w:val="005B6224"/>
    <w:rsid w:val="005C2F4E"/>
    <w:rsid w:val="005C60F3"/>
    <w:rsid w:val="005C7E46"/>
    <w:rsid w:val="005D04AB"/>
    <w:rsid w:val="005D0D3F"/>
    <w:rsid w:val="005D39AD"/>
    <w:rsid w:val="005E534F"/>
    <w:rsid w:val="005F2E53"/>
    <w:rsid w:val="005F4EFF"/>
    <w:rsid w:val="00602246"/>
    <w:rsid w:val="00602805"/>
    <w:rsid w:val="006077F5"/>
    <w:rsid w:val="00614525"/>
    <w:rsid w:val="00621ECF"/>
    <w:rsid w:val="0062223A"/>
    <w:rsid w:val="006246BF"/>
    <w:rsid w:val="00631A4B"/>
    <w:rsid w:val="0063520A"/>
    <w:rsid w:val="00637E85"/>
    <w:rsid w:val="00641549"/>
    <w:rsid w:val="0065631A"/>
    <w:rsid w:val="00660582"/>
    <w:rsid w:val="00663E30"/>
    <w:rsid w:val="006701B0"/>
    <w:rsid w:val="00672E6B"/>
    <w:rsid w:val="00676BBF"/>
    <w:rsid w:val="0067736A"/>
    <w:rsid w:val="00681EAC"/>
    <w:rsid w:val="00681F53"/>
    <w:rsid w:val="00683C7E"/>
    <w:rsid w:val="0068559A"/>
    <w:rsid w:val="006A22AC"/>
    <w:rsid w:val="006A590A"/>
    <w:rsid w:val="006B2793"/>
    <w:rsid w:val="006B3DCD"/>
    <w:rsid w:val="006B6104"/>
    <w:rsid w:val="006B6A86"/>
    <w:rsid w:val="006B6E80"/>
    <w:rsid w:val="006B7CFD"/>
    <w:rsid w:val="006C0CDA"/>
    <w:rsid w:val="006C16ED"/>
    <w:rsid w:val="006C46F7"/>
    <w:rsid w:val="006C4DEA"/>
    <w:rsid w:val="006C78DD"/>
    <w:rsid w:val="006D0338"/>
    <w:rsid w:val="006D0C35"/>
    <w:rsid w:val="006E1050"/>
    <w:rsid w:val="006E235B"/>
    <w:rsid w:val="006E288F"/>
    <w:rsid w:val="00700742"/>
    <w:rsid w:val="00702F62"/>
    <w:rsid w:val="00706F03"/>
    <w:rsid w:val="007117B4"/>
    <w:rsid w:val="00714F11"/>
    <w:rsid w:val="00716445"/>
    <w:rsid w:val="00716990"/>
    <w:rsid w:val="007234D7"/>
    <w:rsid w:val="00725371"/>
    <w:rsid w:val="00731834"/>
    <w:rsid w:val="0073481C"/>
    <w:rsid w:val="00736A99"/>
    <w:rsid w:val="00747855"/>
    <w:rsid w:val="0075106C"/>
    <w:rsid w:val="007518D6"/>
    <w:rsid w:val="007542CA"/>
    <w:rsid w:val="00754CE3"/>
    <w:rsid w:val="00760039"/>
    <w:rsid w:val="007602CB"/>
    <w:rsid w:val="0076525B"/>
    <w:rsid w:val="007750D3"/>
    <w:rsid w:val="007761F8"/>
    <w:rsid w:val="007800A4"/>
    <w:rsid w:val="00786F16"/>
    <w:rsid w:val="00787D6F"/>
    <w:rsid w:val="007975C5"/>
    <w:rsid w:val="007A0344"/>
    <w:rsid w:val="007A0574"/>
    <w:rsid w:val="007A2BBA"/>
    <w:rsid w:val="007B281E"/>
    <w:rsid w:val="007C096C"/>
    <w:rsid w:val="007C28AA"/>
    <w:rsid w:val="007C61C1"/>
    <w:rsid w:val="007C7D70"/>
    <w:rsid w:val="007D27A9"/>
    <w:rsid w:val="007D5761"/>
    <w:rsid w:val="007D715C"/>
    <w:rsid w:val="007E20A2"/>
    <w:rsid w:val="007E21C1"/>
    <w:rsid w:val="007E4912"/>
    <w:rsid w:val="007E72FE"/>
    <w:rsid w:val="007F408C"/>
    <w:rsid w:val="007F5948"/>
    <w:rsid w:val="00800D8E"/>
    <w:rsid w:val="008044FD"/>
    <w:rsid w:val="008055FE"/>
    <w:rsid w:val="00806E90"/>
    <w:rsid w:val="008156B9"/>
    <w:rsid w:val="00823DFE"/>
    <w:rsid w:val="00826CAE"/>
    <w:rsid w:val="00826D27"/>
    <w:rsid w:val="0083123C"/>
    <w:rsid w:val="00833BCB"/>
    <w:rsid w:val="008374B2"/>
    <w:rsid w:val="0084250E"/>
    <w:rsid w:val="00845038"/>
    <w:rsid w:val="00846217"/>
    <w:rsid w:val="0085286D"/>
    <w:rsid w:val="00853A8E"/>
    <w:rsid w:val="00862541"/>
    <w:rsid w:val="0086315D"/>
    <w:rsid w:val="00863BE3"/>
    <w:rsid w:val="00865268"/>
    <w:rsid w:val="00872C5C"/>
    <w:rsid w:val="00873561"/>
    <w:rsid w:val="00873CA5"/>
    <w:rsid w:val="00876843"/>
    <w:rsid w:val="00880F97"/>
    <w:rsid w:val="00882F1D"/>
    <w:rsid w:val="00890690"/>
    <w:rsid w:val="00891F0E"/>
    <w:rsid w:val="0089466B"/>
    <w:rsid w:val="00896183"/>
    <w:rsid w:val="00896986"/>
    <w:rsid w:val="00896B22"/>
    <w:rsid w:val="008A6978"/>
    <w:rsid w:val="008B57BE"/>
    <w:rsid w:val="008B60D0"/>
    <w:rsid w:val="008B6FE0"/>
    <w:rsid w:val="008C6145"/>
    <w:rsid w:val="008C6E05"/>
    <w:rsid w:val="008E20C7"/>
    <w:rsid w:val="00913729"/>
    <w:rsid w:val="00920FDC"/>
    <w:rsid w:val="00933171"/>
    <w:rsid w:val="00940153"/>
    <w:rsid w:val="009410CC"/>
    <w:rsid w:val="009419D3"/>
    <w:rsid w:val="00950424"/>
    <w:rsid w:val="00950B55"/>
    <w:rsid w:val="00955235"/>
    <w:rsid w:val="009630F8"/>
    <w:rsid w:val="00965FF1"/>
    <w:rsid w:val="00977D83"/>
    <w:rsid w:val="009804C0"/>
    <w:rsid w:val="009831CD"/>
    <w:rsid w:val="0099071A"/>
    <w:rsid w:val="009934A8"/>
    <w:rsid w:val="00993B2E"/>
    <w:rsid w:val="00996FC3"/>
    <w:rsid w:val="00997553"/>
    <w:rsid w:val="009A7D16"/>
    <w:rsid w:val="009B1E8B"/>
    <w:rsid w:val="009B3CC5"/>
    <w:rsid w:val="009C036E"/>
    <w:rsid w:val="009C0D34"/>
    <w:rsid w:val="009C333C"/>
    <w:rsid w:val="009C7808"/>
    <w:rsid w:val="009D2096"/>
    <w:rsid w:val="009D32C8"/>
    <w:rsid w:val="009D3BAE"/>
    <w:rsid w:val="009E2F53"/>
    <w:rsid w:val="009F0869"/>
    <w:rsid w:val="009F6C22"/>
    <w:rsid w:val="00A03389"/>
    <w:rsid w:val="00A0454A"/>
    <w:rsid w:val="00A14306"/>
    <w:rsid w:val="00A20F0E"/>
    <w:rsid w:val="00A25A50"/>
    <w:rsid w:val="00A316F1"/>
    <w:rsid w:val="00A31A85"/>
    <w:rsid w:val="00A40550"/>
    <w:rsid w:val="00A42EC4"/>
    <w:rsid w:val="00A42F05"/>
    <w:rsid w:val="00A45679"/>
    <w:rsid w:val="00A47E76"/>
    <w:rsid w:val="00A565B6"/>
    <w:rsid w:val="00A65598"/>
    <w:rsid w:val="00A7158C"/>
    <w:rsid w:val="00A716C8"/>
    <w:rsid w:val="00A72A06"/>
    <w:rsid w:val="00AA608B"/>
    <w:rsid w:val="00AA7974"/>
    <w:rsid w:val="00AB6EA5"/>
    <w:rsid w:val="00AC14B4"/>
    <w:rsid w:val="00AC3EB2"/>
    <w:rsid w:val="00AC6F7E"/>
    <w:rsid w:val="00AC72E4"/>
    <w:rsid w:val="00AD1096"/>
    <w:rsid w:val="00AE4975"/>
    <w:rsid w:val="00AE58B5"/>
    <w:rsid w:val="00AE623D"/>
    <w:rsid w:val="00AE6529"/>
    <w:rsid w:val="00AF7039"/>
    <w:rsid w:val="00AF74A2"/>
    <w:rsid w:val="00B11206"/>
    <w:rsid w:val="00B11CCF"/>
    <w:rsid w:val="00B1378F"/>
    <w:rsid w:val="00B14A79"/>
    <w:rsid w:val="00B20A74"/>
    <w:rsid w:val="00B21605"/>
    <w:rsid w:val="00B25B68"/>
    <w:rsid w:val="00B275F5"/>
    <w:rsid w:val="00B45837"/>
    <w:rsid w:val="00B5001A"/>
    <w:rsid w:val="00B53C8F"/>
    <w:rsid w:val="00B60CBA"/>
    <w:rsid w:val="00B62EB3"/>
    <w:rsid w:val="00B666B9"/>
    <w:rsid w:val="00B70B13"/>
    <w:rsid w:val="00B76C6B"/>
    <w:rsid w:val="00B77D9B"/>
    <w:rsid w:val="00B954AF"/>
    <w:rsid w:val="00BA7980"/>
    <w:rsid w:val="00BB01F2"/>
    <w:rsid w:val="00BB0555"/>
    <w:rsid w:val="00BB6BE0"/>
    <w:rsid w:val="00BC1146"/>
    <w:rsid w:val="00BC63CB"/>
    <w:rsid w:val="00BC7EDE"/>
    <w:rsid w:val="00BD2B2F"/>
    <w:rsid w:val="00BD2B43"/>
    <w:rsid w:val="00BD4996"/>
    <w:rsid w:val="00BD5BF3"/>
    <w:rsid w:val="00BD61BF"/>
    <w:rsid w:val="00BD68FB"/>
    <w:rsid w:val="00BE2144"/>
    <w:rsid w:val="00BE32B2"/>
    <w:rsid w:val="00BE6134"/>
    <w:rsid w:val="00BE6E5B"/>
    <w:rsid w:val="00BF0600"/>
    <w:rsid w:val="00BF07F4"/>
    <w:rsid w:val="00BF402C"/>
    <w:rsid w:val="00BF6F1F"/>
    <w:rsid w:val="00C0303B"/>
    <w:rsid w:val="00C07879"/>
    <w:rsid w:val="00C12BDE"/>
    <w:rsid w:val="00C16285"/>
    <w:rsid w:val="00C170F5"/>
    <w:rsid w:val="00C20856"/>
    <w:rsid w:val="00C27176"/>
    <w:rsid w:val="00C31BAD"/>
    <w:rsid w:val="00C339EA"/>
    <w:rsid w:val="00C35AA0"/>
    <w:rsid w:val="00C36305"/>
    <w:rsid w:val="00C41461"/>
    <w:rsid w:val="00C42832"/>
    <w:rsid w:val="00C46902"/>
    <w:rsid w:val="00C56D59"/>
    <w:rsid w:val="00C60D13"/>
    <w:rsid w:val="00C6204E"/>
    <w:rsid w:val="00C63E97"/>
    <w:rsid w:val="00C67553"/>
    <w:rsid w:val="00C76A49"/>
    <w:rsid w:val="00C76FC6"/>
    <w:rsid w:val="00C975BD"/>
    <w:rsid w:val="00CA443E"/>
    <w:rsid w:val="00CA6F75"/>
    <w:rsid w:val="00CB020D"/>
    <w:rsid w:val="00CC2E4E"/>
    <w:rsid w:val="00CC4765"/>
    <w:rsid w:val="00CD2D55"/>
    <w:rsid w:val="00CD4A84"/>
    <w:rsid w:val="00CD6E42"/>
    <w:rsid w:val="00CD7952"/>
    <w:rsid w:val="00CE00BC"/>
    <w:rsid w:val="00CE3F52"/>
    <w:rsid w:val="00CF7B83"/>
    <w:rsid w:val="00D04FB5"/>
    <w:rsid w:val="00D07E25"/>
    <w:rsid w:val="00D10AA0"/>
    <w:rsid w:val="00D15D64"/>
    <w:rsid w:val="00D20D48"/>
    <w:rsid w:val="00D21ECB"/>
    <w:rsid w:val="00D2380D"/>
    <w:rsid w:val="00D24E56"/>
    <w:rsid w:val="00D35573"/>
    <w:rsid w:val="00D36A90"/>
    <w:rsid w:val="00D43555"/>
    <w:rsid w:val="00D47631"/>
    <w:rsid w:val="00D54774"/>
    <w:rsid w:val="00D55E95"/>
    <w:rsid w:val="00D60205"/>
    <w:rsid w:val="00D60E55"/>
    <w:rsid w:val="00D61CC1"/>
    <w:rsid w:val="00D62D4D"/>
    <w:rsid w:val="00D75557"/>
    <w:rsid w:val="00D82138"/>
    <w:rsid w:val="00D846B8"/>
    <w:rsid w:val="00D87390"/>
    <w:rsid w:val="00D90FA1"/>
    <w:rsid w:val="00DA0E23"/>
    <w:rsid w:val="00DA1C01"/>
    <w:rsid w:val="00DA5731"/>
    <w:rsid w:val="00DB7B7E"/>
    <w:rsid w:val="00DC6C99"/>
    <w:rsid w:val="00DD118D"/>
    <w:rsid w:val="00DD22E3"/>
    <w:rsid w:val="00DE06FC"/>
    <w:rsid w:val="00DE12CC"/>
    <w:rsid w:val="00DE4D51"/>
    <w:rsid w:val="00DF2ED9"/>
    <w:rsid w:val="00DF52D7"/>
    <w:rsid w:val="00DF648F"/>
    <w:rsid w:val="00E019CA"/>
    <w:rsid w:val="00E04076"/>
    <w:rsid w:val="00E06A18"/>
    <w:rsid w:val="00E07649"/>
    <w:rsid w:val="00E1124E"/>
    <w:rsid w:val="00E1193B"/>
    <w:rsid w:val="00E14843"/>
    <w:rsid w:val="00E15E4D"/>
    <w:rsid w:val="00E176D6"/>
    <w:rsid w:val="00E17D2A"/>
    <w:rsid w:val="00E20AE6"/>
    <w:rsid w:val="00E249BB"/>
    <w:rsid w:val="00E31CF6"/>
    <w:rsid w:val="00E37B87"/>
    <w:rsid w:val="00E507D2"/>
    <w:rsid w:val="00E5236E"/>
    <w:rsid w:val="00E52D5A"/>
    <w:rsid w:val="00E52F57"/>
    <w:rsid w:val="00E532F9"/>
    <w:rsid w:val="00E63C22"/>
    <w:rsid w:val="00E6568A"/>
    <w:rsid w:val="00E716FC"/>
    <w:rsid w:val="00E73860"/>
    <w:rsid w:val="00E73B88"/>
    <w:rsid w:val="00E81E32"/>
    <w:rsid w:val="00E82439"/>
    <w:rsid w:val="00E82DB0"/>
    <w:rsid w:val="00E8773C"/>
    <w:rsid w:val="00E925E0"/>
    <w:rsid w:val="00E960C2"/>
    <w:rsid w:val="00EA01A1"/>
    <w:rsid w:val="00EA144F"/>
    <w:rsid w:val="00EA48A7"/>
    <w:rsid w:val="00EA6133"/>
    <w:rsid w:val="00EB00F7"/>
    <w:rsid w:val="00EB327A"/>
    <w:rsid w:val="00EB4791"/>
    <w:rsid w:val="00EB6D1E"/>
    <w:rsid w:val="00EB7CDF"/>
    <w:rsid w:val="00EC364C"/>
    <w:rsid w:val="00EC3A4C"/>
    <w:rsid w:val="00EC67D5"/>
    <w:rsid w:val="00EC7762"/>
    <w:rsid w:val="00ED0F18"/>
    <w:rsid w:val="00ED5A94"/>
    <w:rsid w:val="00EE1CFB"/>
    <w:rsid w:val="00EE4E81"/>
    <w:rsid w:val="00F000C7"/>
    <w:rsid w:val="00F067F7"/>
    <w:rsid w:val="00F1058F"/>
    <w:rsid w:val="00F1789E"/>
    <w:rsid w:val="00F20788"/>
    <w:rsid w:val="00F22FBB"/>
    <w:rsid w:val="00F31A3A"/>
    <w:rsid w:val="00F41C78"/>
    <w:rsid w:val="00F43697"/>
    <w:rsid w:val="00F51C9C"/>
    <w:rsid w:val="00F5262D"/>
    <w:rsid w:val="00F57397"/>
    <w:rsid w:val="00F624AC"/>
    <w:rsid w:val="00F64F9F"/>
    <w:rsid w:val="00F74DE6"/>
    <w:rsid w:val="00F74EFA"/>
    <w:rsid w:val="00F81D96"/>
    <w:rsid w:val="00F84B13"/>
    <w:rsid w:val="00FA2D35"/>
    <w:rsid w:val="00FA60F4"/>
    <w:rsid w:val="00FB5966"/>
    <w:rsid w:val="00FC130E"/>
    <w:rsid w:val="00FC3776"/>
    <w:rsid w:val="00FC4EEC"/>
    <w:rsid w:val="00FF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C3A"/>
  <w15:docId w15:val="{E9855850-1E0D-45F7-8CBB-C0DDF12D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E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A7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96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154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9EA"/>
    <w:pPr>
      <w:ind w:left="720"/>
      <w:contextualSpacing/>
    </w:pPr>
  </w:style>
  <w:style w:type="paragraph" w:customStyle="1" w:styleId="block1">
    <w:name w:val="block1"/>
    <w:basedOn w:val="Normal"/>
    <w:rsid w:val="00C339EA"/>
    <w:pPr>
      <w:spacing w:before="100" w:beforeAutospacing="1" w:after="100" w:afterAutospacing="1"/>
    </w:pPr>
    <w:rPr>
      <w:sz w:val="19"/>
      <w:szCs w:val="19"/>
    </w:rPr>
  </w:style>
  <w:style w:type="paragraph" w:styleId="NoSpacing">
    <w:name w:val="No Spacing"/>
    <w:uiPriority w:val="1"/>
    <w:qFormat/>
    <w:rsid w:val="00C339E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074E"/>
    <w:rPr>
      <w:rFonts w:ascii="Tahoma" w:hAnsi="Tahoma" w:cs="Tahoma"/>
      <w:sz w:val="16"/>
      <w:szCs w:val="16"/>
    </w:rPr>
  </w:style>
  <w:style w:type="character" w:customStyle="1" w:styleId="BalloonTextChar">
    <w:name w:val="Balloon Text Char"/>
    <w:basedOn w:val="DefaultParagraphFont"/>
    <w:link w:val="BalloonText"/>
    <w:uiPriority w:val="99"/>
    <w:semiHidden/>
    <w:rsid w:val="0033074E"/>
    <w:rPr>
      <w:rFonts w:ascii="Tahoma" w:eastAsia="Times New Roman" w:hAnsi="Tahoma" w:cs="Tahoma"/>
      <w:sz w:val="16"/>
      <w:szCs w:val="16"/>
    </w:rPr>
  </w:style>
  <w:style w:type="paragraph" w:customStyle="1" w:styleId="Default">
    <w:name w:val="Default"/>
    <w:rsid w:val="00965FF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27176"/>
    <w:pPr>
      <w:tabs>
        <w:tab w:val="center" w:pos="4680"/>
        <w:tab w:val="right" w:pos="9360"/>
      </w:tabs>
    </w:pPr>
  </w:style>
  <w:style w:type="character" w:customStyle="1" w:styleId="HeaderChar">
    <w:name w:val="Header Char"/>
    <w:basedOn w:val="DefaultParagraphFont"/>
    <w:link w:val="Header"/>
    <w:uiPriority w:val="99"/>
    <w:rsid w:val="00C271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7176"/>
    <w:pPr>
      <w:tabs>
        <w:tab w:val="center" w:pos="4680"/>
        <w:tab w:val="right" w:pos="9360"/>
      </w:tabs>
    </w:pPr>
  </w:style>
  <w:style w:type="character" w:customStyle="1" w:styleId="FooterChar">
    <w:name w:val="Footer Char"/>
    <w:basedOn w:val="DefaultParagraphFont"/>
    <w:link w:val="Footer"/>
    <w:uiPriority w:val="99"/>
    <w:rsid w:val="00C2717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A77DB"/>
    <w:rPr>
      <w:rFonts w:asciiTheme="majorHAnsi" w:eastAsiaTheme="majorEastAsia" w:hAnsiTheme="majorHAnsi" w:cstheme="majorBidi"/>
      <w:b/>
      <w:bCs/>
      <w:color w:val="4F81BD" w:themeColor="accent1"/>
      <w:sz w:val="26"/>
      <w:szCs w:val="26"/>
    </w:rPr>
  </w:style>
  <w:style w:type="table" w:styleId="TableGrid">
    <w:name w:val="Table Grid"/>
    <w:basedOn w:val="TableNormal"/>
    <w:rsid w:val="00E019CA"/>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6596D"/>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16596D"/>
    <w:pPr>
      <w:widowControl w:val="0"/>
      <w:autoSpaceDE w:val="0"/>
      <w:autoSpaceDN w:val="0"/>
    </w:pPr>
  </w:style>
  <w:style w:type="character" w:customStyle="1" w:styleId="BodyTextChar">
    <w:name w:val="Body Text Char"/>
    <w:basedOn w:val="DefaultParagraphFont"/>
    <w:link w:val="BodyText"/>
    <w:uiPriority w:val="1"/>
    <w:rsid w:val="0016596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7649"/>
    <w:rPr>
      <w:color w:val="0000FF" w:themeColor="hyperlink"/>
      <w:u w:val="single"/>
    </w:rPr>
  </w:style>
  <w:style w:type="character" w:customStyle="1" w:styleId="Heading4Char">
    <w:name w:val="Heading 4 Char"/>
    <w:basedOn w:val="DefaultParagraphFont"/>
    <w:link w:val="Heading4"/>
    <w:uiPriority w:val="9"/>
    <w:semiHidden/>
    <w:rsid w:val="00015494"/>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7441">
      <w:bodyDiv w:val="1"/>
      <w:marLeft w:val="0"/>
      <w:marRight w:val="0"/>
      <w:marTop w:val="0"/>
      <w:marBottom w:val="0"/>
      <w:divBdr>
        <w:top w:val="none" w:sz="0" w:space="0" w:color="auto"/>
        <w:left w:val="none" w:sz="0" w:space="0" w:color="auto"/>
        <w:bottom w:val="none" w:sz="0" w:space="0" w:color="auto"/>
        <w:right w:val="none" w:sz="0" w:space="0" w:color="auto"/>
      </w:divBdr>
    </w:div>
    <w:div w:id="497774005">
      <w:bodyDiv w:val="1"/>
      <w:marLeft w:val="0"/>
      <w:marRight w:val="0"/>
      <w:marTop w:val="0"/>
      <w:marBottom w:val="0"/>
      <w:divBdr>
        <w:top w:val="none" w:sz="0" w:space="0" w:color="auto"/>
        <w:left w:val="none" w:sz="0" w:space="0" w:color="auto"/>
        <w:bottom w:val="none" w:sz="0" w:space="0" w:color="auto"/>
        <w:right w:val="none" w:sz="0" w:space="0" w:color="auto"/>
      </w:divBdr>
    </w:div>
    <w:div w:id="508905428">
      <w:bodyDiv w:val="1"/>
      <w:marLeft w:val="0"/>
      <w:marRight w:val="0"/>
      <w:marTop w:val="0"/>
      <w:marBottom w:val="0"/>
      <w:divBdr>
        <w:top w:val="none" w:sz="0" w:space="0" w:color="auto"/>
        <w:left w:val="none" w:sz="0" w:space="0" w:color="auto"/>
        <w:bottom w:val="none" w:sz="0" w:space="0" w:color="auto"/>
        <w:right w:val="none" w:sz="0" w:space="0" w:color="auto"/>
      </w:divBdr>
    </w:div>
    <w:div w:id="526527176">
      <w:bodyDiv w:val="1"/>
      <w:marLeft w:val="0"/>
      <w:marRight w:val="0"/>
      <w:marTop w:val="0"/>
      <w:marBottom w:val="0"/>
      <w:divBdr>
        <w:top w:val="none" w:sz="0" w:space="0" w:color="auto"/>
        <w:left w:val="none" w:sz="0" w:space="0" w:color="auto"/>
        <w:bottom w:val="none" w:sz="0" w:space="0" w:color="auto"/>
        <w:right w:val="none" w:sz="0" w:space="0" w:color="auto"/>
      </w:divBdr>
    </w:div>
    <w:div w:id="1036387569">
      <w:bodyDiv w:val="1"/>
      <w:marLeft w:val="0"/>
      <w:marRight w:val="0"/>
      <w:marTop w:val="0"/>
      <w:marBottom w:val="0"/>
      <w:divBdr>
        <w:top w:val="none" w:sz="0" w:space="0" w:color="auto"/>
        <w:left w:val="none" w:sz="0" w:space="0" w:color="auto"/>
        <w:bottom w:val="none" w:sz="0" w:space="0" w:color="auto"/>
        <w:right w:val="none" w:sz="0" w:space="0" w:color="auto"/>
      </w:divBdr>
    </w:div>
    <w:div w:id="1152452643">
      <w:bodyDiv w:val="1"/>
      <w:marLeft w:val="0"/>
      <w:marRight w:val="0"/>
      <w:marTop w:val="0"/>
      <w:marBottom w:val="0"/>
      <w:divBdr>
        <w:top w:val="none" w:sz="0" w:space="0" w:color="auto"/>
        <w:left w:val="none" w:sz="0" w:space="0" w:color="auto"/>
        <w:bottom w:val="none" w:sz="0" w:space="0" w:color="auto"/>
        <w:right w:val="none" w:sz="0" w:space="0" w:color="auto"/>
      </w:divBdr>
    </w:div>
    <w:div w:id="1192769622">
      <w:bodyDiv w:val="1"/>
      <w:marLeft w:val="0"/>
      <w:marRight w:val="0"/>
      <w:marTop w:val="0"/>
      <w:marBottom w:val="0"/>
      <w:divBdr>
        <w:top w:val="none" w:sz="0" w:space="0" w:color="auto"/>
        <w:left w:val="none" w:sz="0" w:space="0" w:color="auto"/>
        <w:bottom w:val="none" w:sz="0" w:space="0" w:color="auto"/>
        <w:right w:val="none" w:sz="0" w:space="0" w:color="auto"/>
      </w:divBdr>
    </w:div>
    <w:div w:id="1257521289">
      <w:bodyDiv w:val="1"/>
      <w:marLeft w:val="0"/>
      <w:marRight w:val="0"/>
      <w:marTop w:val="0"/>
      <w:marBottom w:val="0"/>
      <w:divBdr>
        <w:top w:val="none" w:sz="0" w:space="0" w:color="auto"/>
        <w:left w:val="none" w:sz="0" w:space="0" w:color="auto"/>
        <w:bottom w:val="none" w:sz="0" w:space="0" w:color="auto"/>
        <w:right w:val="none" w:sz="0" w:space="0" w:color="auto"/>
      </w:divBdr>
    </w:div>
    <w:div w:id="1383288962">
      <w:bodyDiv w:val="1"/>
      <w:marLeft w:val="0"/>
      <w:marRight w:val="0"/>
      <w:marTop w:val="0"/>
      <w:marBottom w:val="0"/>
      <w:divBdr>
        <w:top w:val="none" w:sz="0" w:space="0" w:color="auto"/>
        <w:left w:val="none" w:sz="0" w:space="0" w:color="auto"/>
        <w:bottom w:val="none" w:sz="0" w:space="0" w:color="auto"/>
        <w:right w:val="none" w:sz="0" w:space="0" w:color="auto"/>
      </w:divBdr>
    </w:div>
    <w:div w:id="1827352664">
      <w:bodyDiv w:val="1"/>
      <w:marLeft w:val="0"/>
      <w:marRight w:val="0"/>
      <w:marTop w:val="0"/>
      <w:marBottom w:val="0"/>
      <w:divBdr>
        <w:top w:val="none" w:sz="0" w:space="0" w:color="auto"/>
        <w:left w:val="none" w:sz="0" w:space="0" w:color="auto"/>
        <w:bottom w:val="none" w:sz="0" w:space="0" w:color="auto"/>
        <w:right w:val="none" w:sz="0" w:space="0" w:color="auto"/>
      </w:divBdr>
    </w:div>
    <w:div w:id="18299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25E1-B0AA-4D55-9017-CCA62539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Stribling, Chuck (LABOR)</dc:creator>
  <cp:lastModifiedBy>Haloftis, Alcmene - OSHA</cp:lastModifiedBy>
  <cp:revision>2</cp:revision>
  <cp:lastPrinted>2023-06-27T15:19:00Z</cp:lastPrinted>
  <dcterms:created xsi:type="dcterms:W3CDTF">2023-07-07T18:08:00Z</dcterms:created>
  <dcterms:modified xsi:type="dcterms:W3CDTF">2023-07-07T18:08:00Z</dcterms:modified>
</cp:coreProperties>
</file>