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4EBE823" w14:textId="77777777" w:rsidR="0092646E" w:rsidRDefault="0092646E" w:rsidP="003C553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bookmarkStart w:id="0" w:name="AppendixG"/>
      <w:bookmarkEnd w:id="0"/>
    </w:p>
    <w:p w14:paraId="193588F1" w14:textId="77777777" w:rsidR="0092646E" w:rsidRPr="00493E60" w:rsidRDefault="0092646E" w:rsidP="007A71AC">
      <w:pPr>
        <w:tabs>
          <w:tab w:val="left" w:pos="3870"/>
          <w:tab w:val="center" w:pos="4680"/>
        </w:tabs>
        <w:jc w:val="center"/>
        <w:rPr>
          <w:b/>
          <w:bCs/>
          <w:iCs/>
          <w:sz w:val="32"/>
          <w:szCs w:val="32"/>
        </w:rPr>
      </w:pPr>
    </w:p>
    <w:p w14:paraId="35D353B4" w14:textId="1E506C5C" w:rsidR="0092646E" w:rsidRPr="00493E60" w:rsidRDefault="0092646E" w:rsidP="007A71AC">
      <w:pPr>
        <w:tabs>
          <w:tab w:val="left" w:pos="3870"/>
          <w:tab w:val="center" w:pos="4680"/>
        </w:tabs>
        <w:jc w:val="center"/>
        <w:rPr>
          <w:b/>
          <w:bCs/>
          <w:iCs/>
          <w:sz w:val="32"/>
          <w:szCs w:val="32"/>
        </w:rPr>
      </w:pPr>
      <w:r w:rsidRPr="00493E60">
        <w:rPr>
          <w:b/>
          <w:bCs/>
          <w:iCs/>
          <w:sz w:val="32"/>
          <w:szCs w:val="32"/>
        </w:rPr>
        <w:t>FY 20</w:t>
      </w:r>
      <w:r w:rsidR="008B22EA">
        <w:rPr>
          <w:b/>
          <w:bCs/>
          <w:iCs/>
          <w:sz w:val="32"/>
          <w:szCs w:val="32"/>
        </w:rPr>
        <w:t>23</w:t>
      </w:r>
      <w:r w:rsidR="00833FB6" w:rsidRPr="00493E60">
        <w:rPr>
          <w:b/>
          <w:bCs/>
          <w:iCs/>
          <w:sz w:val="32"/>
          <w:szCs w:val="32"/>
        </w:rPr>
        <w:t xml:space="preserve"> Comprehensive</w:t>
      </w:r>
    </w:p>
    <w:p w14:paraId="073EE52E" w14:textId="77777777" w:rsidR="0092646E" w:rsidRPr="00493E60" w:rsidRDefault="00E51F18" w:rsidP="007A71AC">
      <w:pPr>
        <w:jc w:val="center"/>
        <w:rPr>
          <w:b/>
          <w:bCs/>
          <w:sz w:val="32"/>
          <w:szCs w:val="32"/>
        </w:rPr>
      </w:pPr>
      <w:r>
        <w:rPr>
          <w:b/>
          <w:bCs/>
          <w:sz w:val="32"/>
          <w:szCs w:val="32"/>
        </w:rPr>
        <w:t xml:space="preserve">Federal Annual Monitoring </w:t>
      </w:r>
      <w:r w:rsidR="0092646E" w:rsidRPr="00493E60">
        <w:rPr>
          <w:b/>
          <w:bCs/>
          <w:sz w:val="32"/>
          <w:szCs w:val="32"/>
        </w:rPr>
        <w:t>Evaluation (FAME) Report</w:t>
      </w:r>
    </w:p>
    <w:p w14:paraId="12EABF73" w14:textId="77777777" w:rsidR="0092646E" w:rsidRPr="007651EA" w:rsidRDefault="0092646E" w:rsidP="007A71AC">
      <w:pPr>
        <w:jc w:val="center"/>
      </w:pPr>
    </w:p>
    <w:p w14:paraId="52BF58EC" w14:textId="77777777" w:rsidR="0092646E" w:rsidRPr="007651EA" w:rsidRDefault="0092646E" w:rsidP="007A71AC">
      <w:pPr>
        <w:jc w:val="center"/>
      </w:pPr>
    </w:p>
    <w:p w14:paraId="11C32DC7" w14:textId="77777777" w:rsidR="0092646E" w:rsidRPr="007651EA" w:rsidRDefault="0092646E" w:rsidP="007A71AC">
      <w:pPr>
        <w:jc w:val="center"/>
        <w:rPr>
          <w:b/>
        </w:rPr>
      </w:pPr>
    </w:p>
    <w:p w14:paraId="1B53E6B5" w14:textId="77777777" w:rsidR="00FE0CBC" w:rsidRPr="006C7D28" w:rsidRDefault="00FE0CBC" w:rsidP="00FE0CBC">
      <w:pPr>
        <w:jc w:val="center"/>
        <w:rPr>
          <w:b/>
          <w:bCs/>
        </w:rPr>
      </w:pPr>
      <w:r w:rsidRPr="006C7D28">
        <w:rPr>
          <w:b/>
          <w:bCs/>
        </w:rPr>
        <w:t>State of Illinois</w:t>
      </w:r>
    </w:p>
    <w:p w14:paraId="7CC66306" w14:textId="77777777" w:rsidR="00FE0CBC" w:rsidRPr="006C7D28" w:rsidRDefault="00FE0CBC" w:rsidP="00FE0CBC">
      <w:pPr>
        <w:jc w:val="center"/>
        <w:rPr>
          <w:b/>
          <w:bCs/>
        </w:rPr>
      </w:pPr>
      <w:r w:rsidRPr="006C7D28">
        <w:rPr>
          <w:b/>
          <w:bCs/>
        </w:rPr>
        <w:t>Illinois Department of Labor</w:t>
      </w:r>
    </w:p>
    <w:p w14:paraId="61D1E300" w14:textId="424941FD" w:rsidR="00FE0CBC" w:rsidRPr="006C7D28" w:rsidRDefault="00CD7E80" w:rsidP="00FE0CBC">
      <w:pPr>
        <w:jc w:val="center"/>
        <w:rPr>
          <w:b/>
          <w:bCs/>
        </w:rPr>
      </w:pPr>
      <w:r w:rsidRPr="00CD7E80">
        <w:rPr>
          <w:b/>
          <w:bCs/>
        </w:rPr>
        <w:t>Division of Occupational Safety and Health (IL OSHA)</w:t>
      </w:r>
    </w:p>
    <w:p w14:paraId="4BFE60B9" w14:textId="77777777" w:rsidR="00FE0CBC" w:rsidRPr="007651EA" w:rsidRDefault="00FE0CBC" w:rsidP="00FE0CBC">
      <w:pPr>
        <w:jc w:val="center"/>
        <w:rPr>
          <w:bCs/>
        </w:rPr>
      </w:pPr>
    </w:p>
    <w:p w14:paraId="78D17E5B" w14:textId="77777777" w:rsidR="00FE0CBC" w:rsidRPr="007651EA" w:rsidRDefault="00FE0CBC" w:rsidP="00FE0CBC">
      <w:pPr>
        <w:jc w:val="center"/>
        <w:rPr>
          <w:bCs/>
        </w:rPr>
      </w:pPr>
      <w:r>
        <w:rPr>
          <w:bCs/>
          <w:noProof/>
        </w:rPr>
        <w:drawing>
          <wp:anchor distT="0" distB="0" distL="114300" distR="114300" simplePos="0" relativeHeight="251659264" behindDoc="0" locked="0" layoutInCell="1" allowOverlap="1" wp14:anchorId="76A2A548" wp14:editId="58ABC240">
            <wp:simplePos x="0" y="0"/>
            <wp:positionH relativeFrom="column">
              <wp:posOffset>2196193</wp:posOffset>
            </wp:positionH>
            <wp:positionV relativeFrom="paragraph">
              <wp:posOffset>5329</wp:posOffset>
            </wp:positionV>
            <wp:extent cx="1996128" cy="1906512"/>
            <wp:effectExtent l="0" t="0" r="444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007" cy="1918813"/>
                    </a:xfrm>
                    <a:prstGeom prst="rect">
                      <a:avLst/>
                    </a:prstGeom>
                    <a:noFill/>
                  </pic:spPr>
                </pic:pic>
              </a:graphicData>
            </a:graphic>
            <wp14:sizeRelH relativeFrom="page">
              <wp14:pctWidth>0</wp14:pctWidth>
            </wp14:sizeRelH>
            <wp14:sizeRelV relativeFrom="page">
              <wp14:pctHeight>0</wp14:pctHeight>
            </wp14:sizeRelV>
          </wp:anchor>
        </w:drawing>
      </w:r>
    </w:p>
    <w:p w14:paraId="17E97181" w14:textId="77777777" w:rsidR="00FE0CBC" w:rsidRPr="007651EA" w:rsidRDefault="00FE0CBC" w:rsidP="00FE0CBC">
      <w:pPr>
        <w:jc w:val="center"/>
        <w:rPr>
          <w:bCs/>
        </w:rPr>
      </w:pPr>
    </w:p>
    <w:p w14:paraId="71B432DC" w14:textId="77777777" w:rsidR="00FE0CBC" w:rsidRPr="007651EA" w:rsidRDefault="00FE0CBC" w:rsidP="00FE0CBC">
      <w:pPr>
        <w:jc w:val="center"/>
        <w:rPr>
          <w:bCs/>
        </w:rPr>
      </w:pPr>
    </w:p>
    <w:p w14:paraId="29100953" w14:textId="77777777" w:rsidR="00FE0CBC" w:rsidRPr="007651EA" w:rsidRDefault="00FE0CBC" w:rsidP="00FE0CBC">
      <w:pPr>
        <w:jc w:val="center"/>
        <w:rPr>
          <w:bCs/>
        </w:rPr>
      </w:pPr>
    </w:p>
    <w:p w14:paraId="6742821A" w14:textId="77777777" w:rsidR="00FE0CBC" w:rsidRPr="007651EA" w:rsidRDefault="00FE0CBC" w:rsidP="00FE0CBC">
      <w:pPr>
        <w:jc w:val="center"/>
        <w:rPr>
          <w:bCs/>
        </w:rPr>
      </w:pPr>
    </w:p>
    <w:p w14:paraId="7D860E30" w14:textId="77777777" w:rsidR="00FE0CBC" w:rsidRPr="007651EA" w:rsidRDefault="00FE0CBC" w:rsidP="00FE0CBC">
      <w:pPr>
        <w:jc w:val="center"/>
        <w:rPr>
          <w:bCs/>
        </w:rPr>
      </w:pPr>
    </w:p>
    <w:p w14:paraId="1ADB331D" w14:textId="77777777" w:rsidR="00FE0CBC" w:rsidRPr="007651EA" w:rsidRDefault="00FE0CBC" w:rsidP="00FE0CBC">
      <w:pPr>
        <w:jc w:val="center"/>
        <w:rPr>
          <w:b/>
        </w:rPr>
      </w:pPr>
    </w:p>
    <w:p w14:paraId="664493C2" w14:textId="77777777" w:rsidR="00FE0CBC" w:rsidRPr="007651EA" w:rsidRDefault="00FE0CBC" w:rsidP="00FE0CBC">
      <w:pPr>
        <w:jc w:val="center"/>
        <w:rPr>
          <w:b/>
        </w:rPr>
      </w:pPr>
    </w:p>
    <w:p w14:paraId="6FE56A77" w14:textId="77777777" w:rsidR="00FE0CBC" w:rsidRPr="007651EA" w:rsidRDefault="00FE0CBC" w:rsidP="00FE0CBC">
      <w:pPr>
        <w:jc w:val="center"/>
        <w:rPr>
          <w:b/>
        </w:rPr>
      </w:pPr>
    </w:p>
    <w:p w14:paraId="4F325423" w14:textId="77777777" w:rsidR="00FE0CBC" w:rsidRPr="00493E60" w:rsidRDefault="00FE0CBC" w:rsidP="00FE0CBC">
      <w:pPr>
        <w:jc w:val="center"/>
        <w:rPr>
          <w:b/>
          <w:color w:val="3333CC"/>
        </w:rPr>
      </w:pPr>
    </w:p>
    <w:p w14:paraId="58D294C3" w14:textId="77777777" w:rsidR="00FE0CBC" w:rsidRDefault="00FE0CBC" w:rsidP="00FE0CBC">
      <w:pPr>
        <w:tabs>
          <w:tab w:val="left" w:pos="720"/>
          <w:tab w:val="left" w:pos="1440"/>
          <w:tab w:val="left" w:pos="2160"/>
        </w:tabs>
        <w:jc w:val="center"/>
        <w:rPr>
          <w:rFonts w:eastAsia="Batang"/>
          <w:b/>
          <w:color w:val="4F81BD" w:themeColor="accent1"/>
          <w:sz w:val="28"/>
          <w:szCs w:val="28"/>
        </w:rPr>
      </w:pPr>
    </w:p>
    <w:p w14:paraId="21A1D2B6" w14:textId="77777777" w:rsidR="00FE0CBC" w:rsidRDefault="00FE0CBC" w:rsidP="00FE0CBC">
      <w:pPr>
        <w:tabs>
          <w:tab w:val="left" w:pos="720"/>
          <w:tab w:val="left" w:pos="1440"/>
          <w:tab w:val="left" w:pos="2160"/>
        </w:tabs>
        <w:jc w:val="center"/>
        <w:rPr>
          <w:rFonts w:eastAsia="Batang"/>
          <w:b/>
          <w:color w:val="4F81BD" w:themeColor="accent1"/>
          <w:sz w:val="28"/>
          <w:szCs w:val="28"/>
        </w:rPr>
      </w:pPr>
    </w:p>
    <w:p w14:paraId="581D49BC" w14:textId="77777777" w:rsidR="00FE0CBC" w:rsidRDefault="00FE0CBC" w:rsidP="00FE0CBC">
      <w:pPr>
        <w:tabs>
          <w:tab w:val="left" w:pos="720"/>
          <w:tab w:val="left" w:pos="1440"/>
          <w:tab w:val="left" w:pos="2160"/>
        </w:tabs>
        <w:jc w:val="center"/>
        <w:rPr>
          <w:rFonts w:eastAsia="Batang"/>
          <w:b/>
          <w:color w:val="4F81BD" w:themeColor="accent1"/>
          <w:sz w:val="28"/>
          <w:szCs w:val="28"/>
        </w:rPr>
      </w:pPr>
    </w:p>
    <w:p w14:paraId="7FCA6517" w14:textId="106A851F" w:rsidR="0092646E" w:rsidRPr="002E1782" w:rsidRDefault="0092646E" w:rsidP="007A71AC">
      <w:pPr>
        <w:tabs>
          <w:tab w:val="left" w:pos="720"/>
          <w:tab w:val="left" w:pos="1440"/>
          <w:tab w:val="left" w:pos="2160"/>
        </w:tabs>
        <w:jc w:val="center"/>
        <w:rPr>
          <w:rFonts w:eastAsia="Batang"/>
          <w:b/>
          <w:color w:val="4F81BD" w:themeColor="accent1"/>
          <w:sz w:val="28"/>
          <w:szCs w:val="28"/>
        </w:rPr>
      </w:pPr>
      <w:r w:rsidRPr="002E1782">
        <w:rPr>
          <w:rFonts w:eastAsia="Batang"/>
          <w:b/>
          <w:color w:val="4F81BD" w:themeColor="accent1"/>
          <w:sz w:val="28"/>
          <w:szCs w:val="28"/>
        </w:rPr>
        <w:t>Evaluation Period: October 1, 20</w:t>
      </w:r>
      <w:r w:rsidR="006B27DC">
        <w:rPr>
          <w:rFonts w:eastAsia="Batang"/>
          <w:b/>
          <w:color w:val="4F81BD" w:themeColor="accent1"/>
          <w:sz w:val="28"/>
          <w:szCs w:val="28"/>
        </w:rPr>
        <w:t>22</w:t>
      </w:r>
      <w:r w:rsidRPr="002E1782">
        <w:rPr>
          <w:rFonts w:eastAsia="Batang"/>
          <w:b/>
          <w:color w:val="4F81BD" w:themeColor="accent1"/>
          <w:sz w:val="28"/>
          <w:szCs w:val="28"/>
        </w:rPr>
        <w:t xml:space="preserve"> – September 30, 20</w:t>
      </w:r>
      <w:r w:rsidR="006B27DC">
        <w:rPr>
          <w:rFonts w:eastAsia="Batang"/>
          <w:b/>
          <w:color w:val="4F81BD" w:themeColor="accent1"/>
          <w:sz w:val="28"/>
          <w:szCs w:val="28"/>
        </w:rPr>
        <w:t>23</w:t>
      </w:r>
    </w:p>
    <w:p w14:paraId="12952476"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F95D1DE"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A107D1" w14:textId="39DEDF42" w:rsidR="0092646E" w:rsidRPr="007651EA" w:rsidRDefault="002E1782"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Batang"/>
        </w:rPr>
      </w:pPr>
      <w:r>
        <w:rPr>
          <w:rFonts w:eastAsia="Batang"/>
        </w:rPr>
        <w:t xml:space="preserve">Initial Approval Date:  </w:t>
      </w:r>
      <w:r w:rsidR="00FE0CBC">
        <w:rPr>
          <w:rFonts w:eastAsia="Batang"/>
        </w:rPr>
        <w:t>September 1, 2009</w:t>
      </w:r>
    </w:p>
    <w:p w14:paraId="59B5B26B" w14:textId="7BE8F80A"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Batang"/>
        </w:rPr>
      </w:pPr>
      <w:r w:rsidRPr="007651EA">
        <w:rPr>
          <w:rFonts w:eastAsia="Batang"/>
        </w:rPr>
        <w:t xml:space="preserve">State Plan Certification Date: </w:t>
      </w:r>
      <w:r w:rsidR="00387191">
        <w:rPr>
          <w:rFonts w:eastAsia="Batang"/>
        </w:rPr>
        <w:t>Pending</w:t>
      </w:r>
    </w:p>
    <w:p w14:paraId="2A8A9661" w14:textId="761554D2"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651EA">
        <w:rPr>
          <w:rFonts w:eastAsia="Batang"/>
        </w:rPr>
        <w:t>Final Approval Date:</w:t>
      </w:r>
      <w:r w:rsidR="00387191">
        <w:rPr>
          <w:rFonts w:eastAsia="Batang"/>
        </w:rPr>
        <w:t xml:space="preserve"> None</w:t>
      </w:r>
    </w:p>
    <w:p w14:paraId="21B7C31C" w14:textId="77777777" w:rsidR="0092646E" w:rsidRPr="007651EA" w:rsidRDefault="0092646E" w:rsidP="007A71AC">
      <w:pPr>
        <w:rPr>
          <w:i/>
        </w:rPr>
      </w:pPr>
    </w:p>
    <w:p w14:paraId="21C4C1AC" w14:textId="77777777" w:rsidR="0092646E" w:rsidRPr="007651EA" w:rsidRDefault="0092646E" w:rsidP="007A71AC">
      <w:pPr>
        <w:jc w:val="center"/>
        <w:rPr>
          <w:i/>
        </w:rPr>
      </w:pPr>
    </w:p>
    <w:p w14:paraId="14469551" w14:textId="77777777" w:rsidR="0092646E" w:rsidRPr="007651EA" w:rsidRDefault="0092646E" w:rsidP="007A71AC">
      <w:pPr>
        <w:jc w:val="center"/>
        <w:rPr>
          <w:b/>
        </w:rPr>
      </w:pPr>
      <w:r w:rsidRPr="007651EA">
        <w:rPr>
          <w:b/>
        </w:rPr>
        <w:t>Prepared by:</w:t>
      </w:r>
    </w:p>
    <w:p w14:paraId="72DAEFE2" w14:textId="77777777" w:rsidR="0092646E" w:rsidRPr="007651EA" w:rsidRDefault="0092646E" w:rsidP="007A71AC">
      <w:pPr>
        <w:jc w:val="center"/>
        <w:rPr>
          <w:b/>
        </w:rPr>
      </w:pPr>
      <w:r w:rsidRPr="007651EA">
        <w:rPr>
          <w:b/>
        </w:rPr>
        <w:t xml:space="preserve">U. S. Department of Labor </w:t>
      </w:r>
    </w:p>
    <w:p w14:paraId="5431986D" w14:textId="77777777" w:rsidR="0092646E" w:rsidRPr="007651EA" w:rsidRDefault="0092646E" w:rsidP="007A71AC">
      <w:pPr>
        <w:jc w:val="center"/>
        <w:rPr>
          <w:b/>
        </w:rPr>
      </w:pPr>
      <w:r w:rsidRPr="007651EA">
        <w:rPr>
          <w:b/>
        </w:rPr>
        <w:t>Occupational Safety and Health Administration</w:t>
      </w:r>
    </w:p>
    <w:p w14:paraId="0DB17A06" w14:textId="3BF5BBE8" w:rsidR="0092646E" w:rsidRPr="004F00A7" w:rsidRDefault="0092646E" w:rsidP="007A71AC">
      <w:pPr>
        <w:jc w:val="center"/>
        <w:rPr>
          <w:b/>
          <w:bCs/>
        </w:rPr>
      </w:pPr>
      <w:r w:rsidRPr="007651EA">
        <w:rPr>
          <w:b/>
        </w:rPr>
        <w:t xml:space="preserve">Region </w:t>
      </w:r>
      <w:r w:rsidR="0008444B" w:rsidRPr="004F00A7">
        <w:rPr>
          <w:b/>
          <w:bCs/>
        </w:rPr>
        <w:t>V</w:t>
      </w:r>
    </w:p>
    <w:p w14:paraId="6CA2E549" w14:textId="531A8849" w:rsidR="0092646E" w:rsidRPr="004F00A7" w:rsidRDefault="004F00A7" w:rsidP="007A71AC">
      <w:pPr>
        <w:jc w:val="center"/>
        <w:rPr>
          <w:b/>
          <w:bCs/>
        </w:rPr>
      </w:pPr>
      <w:r w:rsidRPr="004F00A7">
        <w:rPr>
          <w:b/>
          <w:bCs/>
        </w:rPr>
        <w:t>Chicago, Illinois</w:t>
      </w:r>
    </w:p>
    <w:p w14:paraId="404308B2" w14:textId="77777777" w:rsidR="0092646E" w:rsidRDefault="0092646E" w:rsidP="007A71AC">
      <w:pPr>
        <w:ind w:left="360"/>
      </w:pPr>
    </w:p>
    <w:p w14:paraId="66B17326" w14:textId="77777777" w:rsidR="0092646E" w:rsidRDefault="0092646E" w:rsidP="007A71AC">
      <w:pPr>
        <w:ind w:left="360"/>
      </w:pPr>
    </w:p>
    <w:p w14:paraId="409B5484" w14:textId="77777777" w:rsidR="0092646E" w:rsidRDefault="0092646E" w:rsidP="007A71AC">
      <w:pPr>
        <w:ind w:left="360"/>
      </w:pPr>
    </w:p>
    <w:p w14:paraId="22063262" w14:textId="77777777" w:rsidR="0069437A" w:rsidRPr="008B1863" w:rsidRDefault="00F40E31" w:rsidP="007A71AC">
      <w:pPr>
        <w:ind w:left="360"/>
        <w:jc w:val="center"/>
      </w:pPr>
      <w:r>
        <w:rPr>
          <w:rFonts w:ascii="Arial" w:hAnsi="Arial" w:cs="Arial"/>
          <w:noProof/>
        </w:rPr>
        <w:drawing>
          <wp:inline distT="0" distB="0" distL="0" distR="0" wp14:anchorId="48A33F3B" wp14:editId="39BD873C">
            <wp:extent cx="1581150" cy="1009650"/>
            <wp:effectExtent l="0" t="0" r="0" b="0"/>
            <wp:docPr id="3" name="Picture 3"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p w14:paraId="62C798B0" w14:textId="77777777" w:rsidR="008B1863" w:rsidRPr="008B1863" w:rsidRDefault="008B1863" w:rsidP="007A71AC">
      <w:pPr>
        <w:tabs>
          <w:tab w:val="left" w:pos="1125"/>
        </w:tabs>
        <w:rPr>
          <w:i/>
          <w:sz w:val="20"/>
          <w:szCs w:val="20"/>
        </w:rPr>
      </w:pPr>
    </w:p>
    <w:p w14:paraId="1E3995E5" w14:textId="77777777" w:rsidR="00F54FF0" w:rsidRDefault="00F54FF0" w:rsidP="007A71AC">
      <w:pPr>
        <w:tabs>
          <w:tab w:val="left" w:pos="1125"/>
        </w:tabs>
        <w:rPr>
          <w:i/>
          <w:sz w:val="20"/>
          <w:szCs w:val="20"/>
        </w:rPr>
      </w:pPr>
    </w:p>
    <w:p w14:paraId="4641BCD1" w14:textId="77777777" w:rsidR="005D1101" w:rsidRDefault="005D1101" w:rsidP="007A71AC">
      <w:pPr>
        <w:keepNext/>
        <w:keepLines/>
        <w:widowControl/>
        <w:autoSpaceDE/>
        <w:autoSpaceDN/>
        <w:adjustRightInd/>
        <w:spacing w:before="480"/>
        <w:jc w:val="center"/>
        <w:rPr>
          <w:i/>
          <w:sz w:val="20"/>
          <w:szCs w:val="20"/>
        </w:rPr>
      </w:pPr>
    </w:p>
    <w:p w14:paraId="60FB2C6B" w14:textId="035746BF" w:rsidR="005A5B9A" w:rsidRPr="00DE2D03" w:rsidRDefault="00C443EA" w:rsidP="007A71AC">
      <w:pPr>
        <w:keepNext/>
        <w:keepLines/>
        <w:widowControl/>
        <w:autoSpaceDE/>
        <w:autoSpaceDN/>
        <w:adjustRightInd/>
        <w:spacing w:before="480"/>
        <w:jc w:val="center"/>
        <w:rPr>
          <w:b/>
          <w:bCs/>
          <w:color w:val="4F81BD" w:themeColor="accent1"/>
          <w:sz w:val="32"/>
          <w:szCs w:val="32"/>
          <w:lang w:eastAsia="ja-JP"/>
        </w:rPr>
      </w:pPr>
      <w:r w:rsidRPr="00DE2D03">
        <w:rPr>
          <w:b/>
          <w:bCs/>
          <w:color w:val="4F81BD" w:themeColor="accent1"/>
          <w:sz w:val="32"/>
          <w:szCs w:val="32"/>
          <w:lang w:eastAsia="ja-JP"/>
        </w:rPr>
        <w:t>Contents</w:t>
      </w:r>
    </w:p>
    <w:p w14:paraId="1EE3EE39" w14:textId="77777777" w:rsidR="005A5B9A" w:rsidRPr="005A5B9A" w:rsidRDefault="005A5B9A" w:rsidP="007A71AC">
      <w:pPr>
        <w:rPr>
          <w:bCs/>
          <w:color w:val="0070C0"/>
          <w:sz w:val="32"/>
          <w:szCs w:val="32"/>
        </w:rPr>
      </w:pPr>
    </w:p>
    <w:p w14:paraId="2936C305" w14:textId="6752571D" w:rsidR="005A5B9A" w:rsidRPr="00064492" w:rsidRDefault="005A5B9A" w:rsidP="00BC0937">
      <w:pPr>
        <w:widowControl/>
        <w:numPr>
          <w:ilvl w:val="0"/>
          <w:numId w:val="28"/>
        </w:numPr>
        <w:tabs>
          <w:tab w:val="right" w:leader="dot" w:pos="9360"/>
        </w:tabs>
        <w:autoSpaceDE/>
        <w:autoSpaceDN/>
        <w:adjustRightInd/>
        <w:ind w:left="720"/>
        <w:jc w:val="both"/>
        <w:rPr>
          <w:sz w:val="28"/>
          <w:szCs w:val="28"/>
        </w:rPr>
      </w:pPr>
      <w:r w:rsidRPr="00064492">
        <w:rPr>
          <w:sz w:val="28"/>
          <w:szCs w:val="28"/>
        </w:rPr>
        <w:t>Executive Summar</w:t>
      </w:r>
      <w:r w:rsidR="00E133B2">
        <w:rPr>
          <w:sz w:val="28"/>
          <w:szCs w:val="28"/>
        </w:rPr>
        <w:t>y</w:t>
      </w:r>
      <w:r w:rsidR="00E133B2">
        <w:rPr>
          <w:sz w:val="28"/>
          <w:szCs w:val="28"/>
        </w:rPr>
        <w:tab/>
        <w:t>3</w:t>
      </w:r>
    </w:p>
    <w:p w14:paraId="34E46724" w14:textId="77777777" w:rsidR="005A5B9A" w:rsidRPr="00064492" w:rsidRDefault="005A5B9A" w:rsidP="00BC0937">
      <w:pPr>
        <w:tabs>
          <w:tab w:val="right" w:leader="dot" w:pos="9360"/>
        </w:tabs>
        <w:ind w:left="720" w:hanging="720"/>
        <w:contextualSpacing/>
        <w:jc w:val="both"/>
      </w:pPr>
    </w:p>
    <w:p w14:paraId="39559F21" w14:textId="0E2B64A0" w:rsidR="00561182" w:rsidRPr="00064492" w:rsidRDefault="00561182" w:rsidP="00BC0937">
      <w:pPr>
        <w:widowControl/>
        <w:numPr>
          <w:ilvl w:val="0"/>
          <w:numId w:val="28"/>
        </w:numPr>
        <w:tabs>
          <w:tab w:val="right" w:leader="dot" w:pos="9360"/>
        </w:tabs>
        <w:autoSpaceDE/>
        <w:autoSpaceDN/>
        <w:adjustRightInd/>
        <w:ind w:left="720"/>
        <w:jc w:val="both"/>
        <w:rPr>
          <w:sz w:val="28"/>
          <w:szCs w:val="28"/>
        </w:rPr>
      </w:pPr>
      <w:r w:rsidRPr="00064492">
        <w:rPr>
          <w:sz w:val="28"/>
          <w:szCs w:val="28"/>
        </w:rPr>
        <w:t>State Plan Background</w:t>
      </w:r>
      <w:r w:rsidR="00E133B2">
        <w:rPr>
          <w:sz w:val="28"/>
          <w:szCs w:val="28"/>
        </w:rPr>
        <w:tab/>
        <w:t>4</w:t>
      </w:r>
    </w:p>
    <w:p w14:paraId="24C680AB" w14:textId="7C697F36" w:rsidR="00561182" w:rsidRPr="00044CCF" w:rsidRDefault="00044CCF" w:rsidP="00BC0937">
      <w:pPr>
        <w:pStyle w:val="ListParagraph"/>
        <w:numPr>
          <w:ilvl w:val="0"/>
          <w:numId w:val="52"/>
        </w:numPr>
        <w:tabs>
          <w:tab w:val="right" w:leader="dot" w:pos="9360"/>
        </w:tabs>
        <w:ind w:left="1440" w:hanging="720"/>
        <w:jc w:val="both"/>
      </w:pPr>
      <w:r w:rsidRPr="00044CCF">
        <w:rPr>
          <w:rFonts w:ascii="Times New Roman" w:hAnsi="Times New Roman" w:cs="Times New Roman"/>
          <w:sz w:val="24"/>
          <w:szCs w:val="24"/>
        </w:rPr>
        <w:t>Background</w:t>
      </w:r>
      <w:r w:rsidR="00E133B2">
        <w:rPr>
          <w:rFonts w:ascii="Times New Roman" w:hAnsi="Times New Roman" w:cs="Times New Roman"/>
          <w:sz w:val="24"/>
          <w:szCs w:val="24"/>
        </w:rPr>
        <w:tab/>
        <w:t>4</w:t>
      </w:r>
    </w:p>
    <w:p w14:paraId="6E42E521" w14:textId="193327FC" w:rsidR="00044CCF" w:rsidRDefault="00044CCF" w:rsidP="00BC0937">
      <w:pPr>
        <w:pStyle w:val="ListParagraph"/>
        <w:numPr>
          <w:ilvl w:val="0"/>
          <w:numId w:val="52"/>
        </w:numPr>
        <w:tabs>
          <w:tab w:val="right" w:leader="dot" w:pos="9360"/>
        </w:tabs>
        <w:ind w:left="1440" w:hanging="720"/>
        <w:jc w:val="both"/>
      </w:pPr>
      <w:r w:rsidRPr="00044CCF">
        <w:rPr>
          <w:rFonts w:ascii="Times New Roman" w:hAnsi="Times New Roman" w:cs="Times New Roman"/>
          <w:sz w:val="24"/>
          <w:szCs w:val="24"/>
        </w:rPr>
        <w:t>New Issues</w:t>
      </w:r>
      <w:r w:rsidR="00E133B2">
        <w:rPr>
          <w:rFonts w:ascii="Times New Roman" w:hAnsi="Times New Roman" w:cs="Times New Roman"/>
          <w:sz w:val="24"/>
          <w:szCs w:val="24"/>
        </w:rPr>
        <w:tab/>
        <w:t>4</w:t>
      </w:r>
    </w:p>
    <w:p w14:paraId="175D07FF" w14:textId="77777777" w:rsidR="00044CCF" w:rsidRPr="000D34E1" w:rsidRDefault="00044CCF" w:rsidP="00BC0937">
      <w:pPr>
        <w:tabs>
          <w:tab w:val="right" w:leader="dot" w:pos="9360"/>
        </w:tabs>
        <w:ind w:left="720"/>
        <w:jc w:val="both"/>
        <w:rPr>
          <w:sz w:val="20"/>
          <w:szCs w:val="20"/>
        </w:rPr>
      </w:pPr>
    </w:p>
    <w:p w14:paraId="67086F6A" w14:textId="191AEB9E" w:rsidR="005A5B9A" w:rsidRPr="00561182" w:rsidRDefault="005A5B9A" w:rsidP="00BC0937">
      <w:pPr>
        <w:widowControl/>
        <w:numPr>
          <w:ilvl w:val="0"/>
          <w:numId w:val="28"/>
        </w:numPr>
        <w:tabs>
          <w:tab w:val="right" w:leader="dot" w:pos="9360"/>
        </w:tabs>
        <w:autoSpaceDE/>
        <w:autoSpaceDN/>
        <w:adjustRightInd/>
        <w:ind w:left="720"/>
        <w:jc w:val="both"/>
        <w:rPr>
          <w:sz w:val="28"/>
          <w:szCs w:val="28"/>
        </w:rPr>
      </w:pPr>
      <w:r w:rsidRPr="00064492">
        <w:rPr>
          <w:sz w:val="28"/>
          <w:szCs w:val="28"/>
        </w:rPr>
        <w:t>Assessment of State Plan Performance</w:t>
      </w:r>
      <w:bookmarkStart w:id="1" w:name="_Toc364151290"/>
      <w:r w:rsidR="00B0359B" w:rsidRPr="00411110">
        <w:rPr>
          <w:bCs/>
          <w:sz w:val="28"/>
          <w:szCs w:val="28"/>
        </w:rPr>
        <w:tab/>
        <w:t>4</w:t>
      </w:r>
    </w:p>
    <w:p w14:paraId="49A73509" w14:textId="19845800" w:rsidR="00064492" w:rsidRDefault="00ED6F8F" w:rsidP="00BC0937">
      <w:pPr>
        <w:widowControl/>
        <w:numPr>
          <w:ilvl w:val="0"/>
          <w:numId w:val="29"/>
        </w:numPr>
        <w:tabs>
          <w:tab w:val="right" w:leader="dot" w:pos="9360"/>
        </w:tabs>
        <w:autoSpaceDE/>
        <w:autoSpaceDN/>
        <w:adjustRightInd/>
        <w:ind w:left="1440" w:hanging="720"/>
        <w:contextualSpacing/>
        <w:jc w:val="both"/>
      </w:pPr>
      <w:r>
        <w:t>Data and Methodolog</w:t>
      </w:r>
      <w:r w:rsidR="00B0359B">
        <w:t>y</w:t>
      </w:r>
      <w:r w:rsidR="00B0359B">
        <w:tab/>
        <w:t>4</w:t>
      </w:r>
    </w:p>
    <w:p w14:paraId="2EAA79F4" w14:textId="22BA68EA" w:rsidR="00ED6F8F" w:rsidRDefault="00ED6F8F" w:rsidP="00BC0937">
      <w:pPr>
        <w:widowControl/>
        <w:numPr>
          <w:ilvl w:val="0"/>
          <w:numId w:val="29"/>
        </w:numPr>
        <w:tabs>
          <w:tab w:val="right" w:leader="dot" w:pos="9360"/>
        </w:tabs>
        <w:autoSpaceDE/>
        <w:autoSpaceDN/>
        <w:adjustRightInd/>
        <w:ind w:left="1440" w:hanging="720"/>
        <w:contextualSpacing/>
      </w:pPr>
      <w:r>
        <w:t>Review of State Plan Performance</w:t>
      </w:r>
      <w:r w:rsidR="00B0359B">
        <w:tab/>
        <w:t>5</w:t>
      </w:r>
    </w:p>
    <w:p w14:paraId="5D155DC1" w14:textId="6AF307F0" w:rsidR="005A5B9A" w:rsidRPr="00ED6F8F" w:rsidRDefault="00ED6F8F" w:rsidP="00BC0937">
      <w:pPr>
        <w:pStyle w:val="ListParagraph"/>
        <w:numPr>
          <w:ilvl w:val="0"/>
          <w:numId w:val="51"/>
        </w:numPr>
        <w:tabs>
          <w:tab w:val="right" w:leader="dot" w:pos="9360"/>
        </w:tabs>
        <w:spacing w:after="0"/>
      </w:pPr>
      <w:r w:rsidRPr="00ED6F8F">
        <w:rPr>
          <w:rFonts w:ascii="Times New Roman" w:hAnsi="Times New Roman" w:cs="Times New Roman"/>
          <w:sz w:val="24"/>
          <w:szCs w:val="24"/>
        </w:rPr>
        <w:t xml:space="preserve">Program </w:t>
      </w:r>
      <w:r w:rsidR="005A5B9A" w:rsidRPr="00ED6F8F">
        <w:rPr>
          <w:rFonts w:ascii="Times New Roman" w:hAnsi="Times New Roman" w:cs="Times New Roman"/>
          <w:sz w:val="24"/>
          <w:szCs w:val="24"/>
        </w:rPr>
        <w:t>Administratio</w:t>
      </w:r>
      <w:r w:rsidR="00B0359B">
        <w:rPr>
          <w:rFonts w:ascii="Times New Roman" w:hAnsi="Times New Roman" w:cs="Times New Roman"/>
          <w:sz w:val="24"/>
          <w:szCs w:val="24"/>
        </w:rPr>
        <w:t>n</w:t>
      </w:r>
      <w:r w:rsidR="00B0359B">
        <w:rPr>
          <w:rFonts w:ascii="Times New Roman" w:hAnsi="Times New Roman" w:cs="Times New Roman"/>
          <w:sz w:val="24"/>
          <w:szCs w:val="24"/>
        </w:rPr>
        <w:tab/>
      </w:r>
      <w:r w:rsidR="00A3662C">
        <w:rPr>
          <w:rFonts w:ascii="Times New Roman" w:hAnsi="Times New Roman" w:cs="Times New Roman"/>
          <w:sz w:val="24"/>
          <w:szCs w:val="24"/>
        </w:rPr>
        <w:t>5</w:t>
      </w:r>
    </w:p>
    <w:p w14:paraId="17BAA655" w14:textId="476A552A" w:rsidR="005A5B9A" w:rsidRPr="00ED6F8F" w:rsidRDefault="005A5B9A" w:rsidP="00BC0937">
      <w:pPr>
        <w:widowControl/>
        <w:numPr>
          <w:ilvl w:val="0"/>
          <w:numId w:val="51"/>
        </w:numPr>
        <w:tabs>
          <w:tab w:val="right" w:leader="dot" w:pos="9360"/>
        </w:tabs>
        <w:autoSpaceDE/>
        <w:autoSpaceDN/>
        <w:adjustRightInd/>
        <w:contextualSpacing/>
        <w:jc w:val="both"/>
      </w:pPr>
      <w:r w:rsidRPr="00ED6F8F">
        <w:t>Enforcement</w:t>
      </w:r>
      <w:r w:rsidR="00A3662C">
        <w:tab/>
        <w:t>6</w:t>
      </w:r>
    </w:p>
    <w:p w14:paraId="6E8BCFF6" w14:textId="2470FEEE" w:rsidR="005A5B9A" w:rsidRPr="00ED6F8F" w:rsidRDefault="005A5B9A" w:rsidP="00BC0937">
      <w:pPr>
        <w:widowControl/>
        <w:numPr>
          <w:ilvl w:val="0"/>
          <w:numId w:val="51"/>
        </w:numPr>
        <w:tabs>
          <w:tab w:val="right" w:leader="dot" w:pos="9360"/>
        </w:tabs>
        <w:autoSpaceDE/>
        <w:autoSpaceDN/>
        <w:adjustRightInd/>
        <w:contextualSpacing/>
        <w:jc w:val="both"/>
        <w:rPr>
          <w:bCs/>
        </w:rPr>
      </w:pPr>
      <w:r w:rsidRPr="00ED6F8F">
        <w:rPr>
          <w:bCs/>
        </w:rPr>
        <w:t>Review Procedures</w:t>
      </w:r>
      <w:r w:rsidR="00A3662C">
        <w:rPr>
          <w:bCs/>
        </w:rPr>
        <w:tab/>
        <w:t>12</w:t>
      </w:r>
    </w:p>
    <w:p w14:paraId="04B5FC58" w14:textId="50911F1F" w:rsidR="005A5B9A" w:rsidRPr="00ED6F8F" w:rsidRDefault="005A5B9A" w:rsidP="00BC0937">
      <w:pPr>
        <w:widowControl/>
        <w:numPr>
          <w:ilvl w:val="0"/>
          <w:numId w:val="51"/>
        </w:numPr>
        <w:tabs>
          <w:tab w:val="right" w:leader="dot" w:pos="9360"/>
        </w:tabs>
        <w:autoSpaceDE/>
        <w:autoSpaceDN/>
        <w:adjustRightInd/>
        <w:contextualSpacing/>
        <w:jc w:val="both"/>
      </w:pPr>
      <w:r w:rsidRPr="00ED6F8F">
        <w:t>Standards and Federal Program Changes (FPCs) Adoption</w:t>
      </w:r>
      <w:r w:rsidR="00A3662C">
        <w:tab/>
        <w:t>13</w:t>
      </w:r>
    </w:p>
    <w:p w14:paraId="549E65B4" w14:textId="5705D7F8" w:rsidR="005A5B9A" w:rsidRPr="00ED6F8F" w:rsidRDefault="005A5B9A" w:rsidP="00BC0937">
      <w:pPr>
        <w:widowControl/>
        <w:numPr>
          <w:ilvl w:val="0"/>
          <w:numId w:val="51"/>
        </w:numPr>
        <w:tabs>
          <w:tab w:val="right" w:leader="dot" w:pos="9360"/>
        </w:tabs>
        <w:autoSpaceDE/>
        <w:autoSpaceDN/>
        <w:adjustRightInd/>
        <w:contextualSpacing/>
        <w:jc w:val="both"/>
      </w:pPr>
      <w:r w:rsidRPr="00ED6F8F">
        <w:t>Variances</w:t>
      </w:r>
      <w:r w:rsidR="00A3662C">
        <w:tab/>
      </w:r>
      <w:r w:rsidR="00BB7803">
        <w:t>17</w:t>
      </w:r>
    </w:p>
    <w:p w14:paraId="5BB08AE6" w14:textId="651AA1CF" w:rsidR="005A5B9A" w:rsidRPr="00ED6F8F" w:rsidRDefault="005A327A" w:rsidP="00BC0937">
      <w:pPr>
        <w:widowControl/>
        <w:numPr>
          <w:ilvl w:val="0"/>
          <w:numId w:val="51"/>
        </w:numPr>
        <w:tabs>
          <w:tab w:val="right" w:leader="dot" w:pos="9360"/>
        </w:tabs>
        <w:autoSpaceDE/>
        <w:autoSpaceDN/>
        <w:adjustRightInd/>
        <w:contextualSpacing/>
      </w:pPr>
      <w:r w:rsidRPr="00ED6F8F">
        <w:t xml:space="preserve">State and Local Government Worker </w:t>
      </w:r>
      <w:r w:rsidR="005A5B9A" w:rsidRPr="00ED6F8F">
        <w:t>Program</w:t>
      </w:r>
      <w:r w:rsidR="00BB7803">
        <w:tab/>
        <w:t>18</w:t>
      </w:r>
    </w:p>
    <w:p w14:paraId="1ECD7199" w14:textId="565727FF" w:rsidR="005A5B9A" w:rsidRPr="00ED6F8F" w:rsidRDefault="009A23E7" w:rsidP="00BC0937">
      <w:pPr>
        <w:widowControl/>
        <w:numPr>
          <w:ilvl w:val="0"/>
          <w:numId w:val="51"/>
        </w:numPr>
        <w:tabs>
          <w:tab w:val="right" w:leader="dot" w:pos="9360"/>
        </w:tabs>
        <w:autoSpaceDE/>
        <w:autoSpaceDN/>
        <w:adjustRightInd/>
        <w:contextualSpacing/>
        <w:jc w:val="both"/>
      </w:pPr>
      <w:r w:rsidRPr="00ED6F8F">
        <w:t>Whistleblower</w:t>
      </w:r>
      <w:r w:rsidR="00DE1FFC" w:rsidRPr="00ED6F8F">
        <w:t xml:space="preserve"> </w:t>
      </w:r>
      <w:r w:rsidR="005A5B9A" w:rsidRPr="00ED6F8F">
        <w:t>Program</w:t>
      </w:r>
      <w:r w:rsidR="00BB7803">
        <w:tab/>
        <w:t>18</w:t>
      </w:r>
    </w:p>
    <w:p w14:paraId="4A8BBE77" w14:textId="25F0C329" w:rsidR="005A5B9A" w:rsidRPr="00ED6F8F" w:rsidRDefault="008D2CFC" w:rsidP="00BC0937">
      <w:pPr>
        <w:widowControl/>
        <w:numPr>
          <w:ilvl w:val="0"/>
          <w:numId w:val="51"/>
        </w:numPr>
        <w:tabs>
          <w:tab w:val="right" w:leader="dot" w:pos="9360"/>
        </w:tabs>
        <w:autoSpaceDE/>
        <w:autoSpaceDN/>
        <w:adjustRightInd/>
        <w:contextualSpacing/>
        <w:jc w:val="both"/>
      </w:pPr>
      <w:r w:rsidRPr="00ED6F8F">
        <w:t>Complaint</w:t>
      </w:r>
      <w:r w:rsidR="005A5B9A" w:rsidRPr="00ED6F8F">
        <w:t xml:space="preserve"> About State Program Administration (CASPA)</w:t>
      </w:r>
      <w:r w:rsidR="00BB7803">
        <w:tab/>
        <w:t>19</w:t>
      </w:r>
    </w:p>
    <w:p w14:paraId="6E16CACC" w14:textId="14E45747" w:rsidR="005A5B9A" w:rsidRPr="00ED6F8F" w:rsidRDefault="005A5B9A" w:rsidP="00BC0937">
      <w:pPr>
        <w:widowControl/>
        <w:numPr>
          <w:ilvl w:val="0"/>
          <w:numId w:val="51"/>
        </w:numPr>
        <w:tabs>
          <w:tab w:val="right" w:leader="dot" w:pos="9360"/>
        </w:tabs>
        <w:autoSpaceDE/>
        <w:autoSpaceDN/>
        <w:adjustRightInd/>
        <w:contextualSpacing/>
        <w:jc w:val="both"/>
      </w:pPr>
      <w:r w:rsidRPr="00ED6F8F">
        <w:t>Voluntary Compliance Program</w:t>
      </w:r>
      <w:r w:rsidR="00BB7803">
        <w:tab/>
        <w:t>19</w:t>
      </w:r>
    </w:p>
    <w:p w14:paraId="7B6EDFB4" w14:textId="38C8D8AF" w:rsidR="005A5B9A" w:rsidRPr="00ED6F8F" w:rsidRDefault="006F7EA9" w:rsidP="00BC0937">
      <w:pPr>
        <w:widowControl/>
        <w:numPr>
          <w:ilvl w:val="0"/>
          <w:numId w:val="51"/>
        </w:numPr>
        <w:tabs>
          <w:tab w:val="right" w:leader="dot" w:pos="9360"/>
        </w:tabs>
        <w:autoSpaceDE/>
        <w:autoSpaceDN/>
        <w:adjustRightInd/>
        <w:contextualSpacing/>
      </w:pPr>
      <w:r w:rsidRPr="00ED6F8F">
        <w:t xml:space="preserve">State and Local Government </w:t>
      </w:r>
      <w:r w:rsidR="005A5B9A" w:rsidRPr="00ED6F8F">
        <w:t>23(</w:t>
      </w:r>
      <w:r w:rsidRPr="00ED6F8F">
        <w:t>g</w:t>
      </w:r>
      <w:r w:rsidR="005A5B9A" w:rsidRPr="00ED6F8F">
        <w:t xml:space="preserve">) </w:t>
      </w:r>
      <w:r w:rsidR="00863502" w:rsidRPr="00ED6F8F">
        <w:t xml:space="preserve">On-Site </w:t>
      </w:r>
      <w:r w:rsidR="005A5B9A" w:rsidRPr="00ED6F8F">
        <w:t>Consultation Progra</w:t>
      </w:r>
      <w:r w:rsidR="00ED6F8F">
        <w:t>m</w:t>
      </w:r>
      <w:r w:rsidR="00BB7803">
        <w:tab/>
        <w:t>19</w:t>
      </w:r>
    </w:p>
    <w:p w14:paraId="0C5DAFD5" w14:textId="77777777" w:rsidR="005A5B9A" w:rsidRPr="005A5B9A" w:rsidRDefault="002E1782" w:rsidP="000D34E1">
      <w:pPr>
        <w:widowControl/>
        <w:autoSpaceDE/>
        <w:autoSpaceDN/>
        <w:adjustRightInd/>
        <w:ind w:left="1800" w:hanging="360"/>
        <w:contextualSpacing/>
        <w:rPr>
          <w:noProof/>
        </w:rPr>
      </w:pPr>
      <w:r w:rsidRPr="00ED6F8F">
        <w:t xml:space="preserve">  </w:t>
      </w:r>
      <w:bookmarkEnd w:id="1"/>
    </w:p>
    <w:p w14:paraId="012F3947" w14:textId="77777777" w:rsidR="005A5B9A" w:rsidRDefault="005A5B9A" w:rsidP="00561182">
      <w:pPr>
        <w:widowControl/>
        <w:tabs>
          <w:tab w:val="left" w:pos="720"/>
          <w:tab w:val="right" w:leader="dot" w:pos="9350"/>
        </w:tabs>
        <w:autoSpaceDE/>
        <w:autoSpaceDN/>
        <w:adjustRightInd/>
        <w:spacing w:after="100"/>
        <w:ind w:left="720" w:hanging="720"/>
        <w:jc w:val="center"/>
        <w:rPr>
          <w:b/>
          <w:noProof/>
          <w:color w:val="4F81BD" w:themeColor="accent1"/>
          <w:sz w:val="32"/>
          <w:szCs w:val="32"/>
        </w:rPr>
      </w:pPr>
      <w:r w:rsidRPr="00C443EA">
        <w:rPr>
          <w:b/>
          <w:noProof/>
          <w:color w:val="4F81BD" w:themeColor="accent1"/>
          <w:sz w:val="32"/>
          <w:szCs w:val="32"/>
        </w:rPr>
        <w:t>A</w:t>
      </w:r>
      <w:r w:rsidR="00C443EA">
        <w:rPr>
          <w:b/>
          <w:noProof/>
          <w:color w:val="4F81BD" w:themeColor="accent1"/>
          <w:sz w:val="32"/>
          <w:szCs w:val="32"/>
        </w:rPr>
        <w:t>ppendices</w:t>
      </w:r>
    </w:p>
    <w:p w14:paraId="0BB5036E" w14:textId="77777777" w:rsidR="005A5B9A" w:rsidRPr="00064492" w:rsidRDefault="005A5B9A" w:rsidP="006E7A97">
      <w:pPr>
        <w:tabs>
          <w:tab w:val="left" w:pos="1125"/>
        </w:tabs>
        <w:rPr>
          <w:b/>
          <w:sz w:val="28"/>
          <w:szCs w:val="28"/>
        </w:rPr>
      </w:pPr>
    </w:p>
    <w:p w14:paraId="3A515400" w14:textId="4851017B" w:rsidR="00064492" w:rsidRPr="000A134A" w:rsidRDefault="00064492" w:rsidP="00FA12BB">
      <w:pPr>
        <w:keepNext/>
        <w:keepLines/>
        <w:widowControl/>
        <w:tabs>
          <w:tab w:val="right" w:leader="dot" w:pos="9360"/>
        </w:tabs>
        <w:autoSpaceDE/>
        <w:autoSpaceDN/>
        <w:adjustRightInd/>
        <w:outlineLvl w:val="0"/>
        <w:rPr>
          <w:bCs/>
          <w:sz w:val="28"/>
          <w:szCs w:val="28"/>
        </w:rPr>
      </w:pPr>
      <w:bookmarkStart w:id="2" w:name="_Toc338764299"/>
      <w:bookmarkStart w:id="3" w:name="_Toc331583278"/>
      <w:r w:rsidRPr="000A134A">
        <w:rPr>
          <w:bCs/>
          <w:sz w:val="28"/>
          <w:szCs w:val="28"/>
        </w:rPr>
        <w:t>Appendix A – New and Continued Findings and Recommendations</w:t>
      </w:r>
      <w:bookmarkStart w:id="4" w:name="_Toc338764300"/>
      <w:bookmarkEnd w:id="2"/>
      <w:r w:rsidR="00FA12BB">
        <w:rPr>
          <w:bCs/>
          <w:sz w:val="28"/>
          <w:szCs w:val="28"/>
        </w:rPr>
        <w:tab/>
      </w:r>
      <w:r w:rsidRPr="000A134A">
        <w:rPr>
          <w:bCs/>
          <w:sz w:val="28"/>
          <w:szCs w:val="28"/>
        </w:rPr>
        <w:t>A-1</w:t>
      </w:r>
    </w:p>
    <w:p w14:paraId="5D105C74" w14:textId="6D0238C8" w:rsidR="00064492" w:rsidRPr="000A134A" w:rsidRDefault="00064492" w:rsidP="00FA12BB">
      <w:pPr>
        <w:widowControl/>
        <w:tabs>
          <w:tab w:val="right" w:leader="dot" w:pos="9360"/>
        </w:tabs>
        <w:autoSpaceDE/>
        <w:autoSpaceDN/>
        <w:adjustRightInd/>
        <w:rPr>
          <w:b/>
          <w:bCs/>
          <w:sz w:val="28"/>
          <w:szCs w:val="28"/>
        </w:rPr>
      </w:pPr>
      <w:r w:rsidRPr="000A134A">
        <w:rPr>
          <w:sz w:val="28"/>
          <w:szCs w:val="28"/>
        </w:rPr>
        <w:t>Appendix B – Observations</w:t>
      </w:r>
      <w:r>
        <w:rPr>
          <w:sz w:val="28"/>
          <w:szCs w:val="28"/>
        </w:rPr>
        <w:t xml:space="preserve"> and Federal Monitoring Plans</w:t>
      </w:r>
      <w:r w:rsidR="00FA12BB">
        <w:rPr>
          <w:sz w:val="28"/>
          <w:szCs w:val="28"/>
        </w:rPr>
        <w:tab/>
      </w:r>
      <w:r w:rsidRPr="000A134A">
        <w:rPr>
          <w:sz w:val="28"/>
          <w:szCs w:val="28"/>
        </w:rPr>
        <w:t>B-1</w:t>
      </w:r>
    </w:p>
    <w:p w14:paraId="57B7A535" w14:textId="77CDA2DB" w:rsidR="00064492" w:rsidRPr="000A134A" w:rsidRDefault="00064492" w:rsidP="00FA12BB">
      <w:pPr>
        <w:keepNext/>
        <w:keepLines/>
        <w:widowControl/>
        <w:tabs>
          <w:tab w:val="right" w:leader="dot" w:pos="9360"/>
        </w:tabs>
        <w:autoSpaceDE/>
        <w:autoSpaceDN/>
        <w:adjustRightInd/>
        <w:outlineLvl w:val="0"/>
        <w:rPr>
          <w:bCs/>
          <w:sz w:val="28"/>
          <w:szCs w:val="28"/>
        </w:rPr>
      </w:pPr>
      <w:r w:rsidRPr="000A134A">
        <w:rPr>
          <w:bCs/>
          <w:sz w:val="28"/>
          <w:szCs w:val="28"/>
        </w:rPr>
        <w:t>Appendix C – Status of FY 20</w:t>
      </w:r>
      <w:r w:rsidR="004307A9">
        <w:rPr>
          <w:bCs/>
          <w:sz w:val="28"/>
          <w:szCs w:val="28"/>
        </w:rPr>
        <w:t>2</w:t>
      </w:r>
      <w:r w:rsidR="00574986">
        <w:rPr>
          <w:bCs/>
          <w:sz w:val="28"/>
          <w:szCs w:val="28"/>
        </w:rPr>
        <w:t>2</w:t>
      </w:r>
      <w:r w:rsidRPr="000A134A">
        <w:rPr>
          <w:bCs/>
          <w:sz w:val="28"/>
          <w:szCs w:val="28"/>
        </w:rPr>
        <w:t xml:space="preserve"> Findings and Recommendations</w:t>
      </w:r>
      <w:bookmarkEnd w:id="4"/>
      <w:r w:rsidR="00FA12BB">
        <w:rPr>
          <w:bCs/>
          <w:sz w:val="28"/>
          <w:szCs w:val="28"/>
        </w:rPr>
        <w:tab/>
      </w:r>
      <w:r w:rsidRPr="000A134A">
        <w:rPr>
          <w:bCs/>
          <w:sz w:val="28"/>
          <w:szCs w:val="28"/>
        </w:rPr>
        <w:t>C-1</w:t>
      </w:r>
    </w:p>
    <w:p w14:paraId="3B49BEA4" w14:textId="24720C10" w:rsidR="00064492" w:rsidRPr="009A0703" w:rsidRDefault="00064492" w:rsidP="00FA12BB">
      <w:pPr>
        <w:keepNext/>
        <w:keepLines/>
        <w:widowControl/>
        <w:tabs>
          <w:tab w:val="right" w:leader="dot" w:pos="9360"/>
        </w:tabs>
        <w:autoSpaceDE/>
        <w:autoSpaceDN/>
        <w:adjustRightInd/>
        <w:ind w:left="1710" w:hanging="1710"/>
        <w:outlineLvl w:val="0"/>
        <w:rPr>
          <w:bCs/>
          <w:sz w:val="28"/>
          <w:szCs w:val="28"/>
        </w:rPr>
      </w:pPr>
      <w:bookmarkStart w:id="5" w:name="_Toc338764301"/>
      <w:r w:rsidRPr="000A134A">
        <w:rPr>
          <w:bCs/>
          <w:sz w:val="28"/>
          <w:szCs w:val="28"/>
        </w:rPr>
        <w:t>Appendix D – FY 20</w:t>
      </w:r>
      <w:r w:rsidR="004307A9">
        <w:rPr>
          <w:bCs/>
          <w:sz w:val="28"/>
          <w:szCs w:val="28"/>
        </w:rPr>
        <w:t>23</w:t>
      </w:r>
      <w:r w:rsidRPr="000A134A">
        <w:rPr>
          <w:bCs/>
          <w:sz w:val="28"/>
          <w:szCs w:val="28"/>
        </w:rPr>
        <w:t xml:space="preserve"> State Activity Mandated Measures (SAMM)</w:t>
      </w:r>
      <w:r w:rsidR="00FA12BB">
        <w:rPr>
          <w:bCs/>
          <w:sz w:val="28"/>
          <w:szCs w:val="28"/>
        </w:rPr>
        <w:t xml:space="preserve"> </w:t>
      </w:r>
      <w:r>
        <w:rPr>
          <w:bCs/>
          <w:sz w:val="28"/>
          <w:szCs w:val="28"/>
        </w:rPr>
        <w:t>R</w:t>
      </w:r>
      <w:r w:rsidRPr="000A134A">
        <w:rPr>
          <w:bCs/>
          <w:sz w:val="28"/>
          <w:szCs w:val="28"/>
        </w:rPr>
        <w:t>ep</w:t>
      </w:r>
      <w:bookmarkEnd w:id="5"/>
      <w:r>
        <w:rPr>
          <w:bCs/>
          <w:sz w:val="28"/>
          <w:szCs w:val="28"/>
        </w:rPr>
        <w:t>ort</w:t>
      </w:r>
      <w:r w:rsidR="00FA12BB">
        <w:rPr>
          <w:bCs/>
          <w:sz w:val="28"/>
          <w:szCs w:val="28"/>
        </w:rPr>
        <w:tab/>
      </w:r>
      <w:r w:rsidRPr="000A134A">
        <w:rPr>
          <w:bCs/>
          <w:sz w:val="28"/>
          <w:szCs w:val="28"/>
        </w:rPr>
        <w:t>D-1</w:t>
      </w:r>
      <w:bookmarkEnd w:id="3"/>
    </w:p>
    <w:p w14:paraId="172371FF" w14:textId="5735EF54" w:rsidR="0013115A" w:rsidRDefault="0013115A">
      <w:pPr>
        <w:widowControl/>
        <w:autoSpaceDE/>
        <w:autoSpaceDN/>
        <w:adjustRightInd/>
        <w:rPr>
          <w:b/>
        </w:rPr>
      </w:pPr>
      <w:r>
        <w:rPr>
          <w:b/>
        </w:rPr>
        <w:br w:type="page"/>
      </w:r>
    </w:p>
    <w:p w14:paraId="362CAD88" w14:textId="77777777" w:rsidR="008B1863" w:rsidRPr="000D1822" w:rsidRDefault="008B1863" w:rsidP="00536BB1">
      <w:pPr>
        <w:widowControl/>
        <w:numPr>
          <w:ilvl w:val="0"/>
          <w:numId w:val="4"/>
        </w:numPr>
        <w:autoSpaceDE/>
        <w:autoSpaceDN/>
        <w:adjustRightInd/>
        <w:spacing w:after="200" w:line="276" w:lineRule="auto"/>
        <w:ind w:left="360" w:hanging="450"/>
        <w:rPr>
          <w:color w:val="4F81BD" w:themeColor="accent1"/>
          <w:sz w:val="32"/>
          <w:szCs w:val="32"/>
        </w:rPr>
      </w:pPr>
      <w:r w:rsidRPr="000D1822">
        <w:rPr>
          <w:b/>
          <w:color w:val="4F81BD" w:themeColor="accent1"/>
          <w:sz w:val="32"/>
          <w:szCs w:val="32"/>
        </w:rPr>
        <w:lastRenderedPageBreak/>
        <w:t>Executive Summary</w:t>
      </w:r>
    </w:p>
    <w:p w14:paraId="7A6C45BD" w14:textId="1FF962E8" w:rsidR="0099742C" w:rsidRDefault="007A45B2" w:rsidP="00536BB1">
      <w:pPr>
        <w:widowControl/>
        <w:autoSpaceDE/>
        <w:autoSpaceDN/>
        <w:adjustRightInd/>
        <w:spacing w:line="276" w:lineRule="auto"/>
        <w:rPr>
          <w:iCs/>
        </w:rPr>
      </w:pPr>
      <w:r>
        <w:t xml:space="preserve">The purpose of this report is to assess the State Plan’s </w:t>
      </w:r>
      <w:r w:rsidR="00064492" w:rsidRPr="00143518">
        <w:t xml:space="preserve">performance </w:t>
      </w:r>
      <w:r>
        <w:t>for Fiscal Year (FY) 20</w:t>
      </w:r>
      <w:r w:rsidR="0099742C">
        <w:t>23</w:t>
      </w:r>
      <w:r>
        <w:t xml:space="preserve">, and its progress in resolving outstanding findings from previous </w:t>
      </w:r>
      <w:r w:rsidR="00E51F18">
        <w:t>Federal Annual Monitoring Evaluation (</w:t>
      </w:r>
      <w:r>
        <w:t>FAME</w:t>
      </w:r>
      <w:r w:rsidR="00E51F18">
        <w:t>)</w:t>
      </w:r>
      <w:r>
        <w:t xml:space="preserve"> reports</w:t>
      </w:r>
      <w:r w:rsidR="00064492">
        <w:t>.</w:t>
      </w:r>
      <w:r>
        <w:t xml:space="preserve"> </w:t>
      </w:r>
      <w:r w:rsidR="0021681D" w:rsidRPr="0021681D">
        <w:rPr>
          <w:iCs/>
        </w:rPr>
        <w:t xml:space="preserve">This report assesses the current performance of the </w:t>
      </w:r>
      <w:r w:rsidR="00CE4774" w:rsidRPr="00CE4774">
        <w:rPr>
          <w:iCs/>
        </w:rPr>
        <w:t>Illinois Department of Labor, Division of Occupational Safety and Health (IL OSHA)</w:t>
      </w:r>
      <w:r w:rsidR="0021681D" w:rsidRPr="0021681D">
        <w:rPr>
          <w:iCs/>
        </w:rPr>
        <w:t xml:space="preserve"> 23(g) compliance program in the context of agreed upon monitoring measures.</w:t>
      </w:r>
    </w:p>
    <w:p w14:paraId="64446C7E" w14:textId="77777777" w:rsidR="003A09F4" w:rsidRDefault="003A09F4" w:rsidP="00536BB1">
      <w:pPr>
        <w:widowControl/>
        <w:autoSpaceDE/>
        <w:autoSpaceDN/>
        <w:adjustRightInd/>
        <w:spacing w:line="276" w:lineRule="auto"/>
        <w:rPr>
          <w:iCs/>
        </w:rPr>
      </w:pPr>
    </w:p>
    <w:p w14:paraId="60EF9450" w14:textId="24239470" w:rsidR="003A09F4" w:rsidRPr="003A09F4" w:rsidRDefault="003A09F4" w:rsidP="00536BB1">
      <w:pPr>
        <w:widowControl/>
        <w:autoSpaceDE/>
        <w:autoSpaceDN/>
        <w:adjustRightInd/>
        <w:spacing w:line="276" w:lineRule="auto"/>
        <w:rPr>
          <w:iCs/>
        </w:rPr>
      </w:pPr>
      <w:r w:rsidRPr="003A09F4">
        <w:rPr>
          <w:iCs/>
        </w:rPr>
        <w:t xml:space="preserve">A detailed explanation of the findings and recommendations of the </w:t>
      </w:r>
      <w:r w:rsidR="00CD7E80">
        <w:rPr>
          <w:iCs/>
        </w:rPr>
        <w:t>IL OSHA</w:t>
      </w:r>
      <w:r w:rsidRPr="003A09F4">
        <w:rPr>
          <w:iCs/>
        </w:rPr>
        <w:t xml:space="preserve"> performance evaluation is found in Section III, Assessment of State Plan Progress and Performance.  </w:t>
      </w:r>
      <w:r w:rsidR="00B161A4" w:rsidRPr="00B161A4">
        <w:rPr>
          <w:iCs/>
        </w:rPr>
        <w:t xml:space="preserve">The State Plan made progress to address the previous findings </w:t>
      </w:r>
      <w:r w:rsidR="00B161A4">
        <w:rPr>
          <w:iCs/>
        </w:rPr>
        <w:t>and observations contained in t</w:t>
      </w:r>
      <w:r w:rsidRPr="003A09F4">
        <w:rPr>
          <w:iCs/>
        </w:rPr>
        <w:t>he FY 202</w:t>
      </w:r>
      <w:r w:rsidR="00A12746">
        <w:rPr>
          <w:iCs/>
        </w:rPr>
        <w:t>2</w:t>
      </w:r>
      <w:r w:rsidRPr="003A09F4">
        <w:rPr>
          <w:iCs/>
        </w:rPr>
        <w:t xml:space="preserve"> Follow-up FAME</w:t>
      </w:r>
      <w:r w:rsidR="00613772">
        <w:rPr>
          <w:iCs/>
        </w:rPr>
        <w:t xml:space="preserve"> which</w:t>
      </w:r>
      <w:r w:rsidRPr="003A09F4">
        <w:rPr>
          <w:iCs/>
        </w:rPr>
        <w:t xml:space="preserve"> </w:t>
      </w:r>
      <w:r w:rsidR="00315F08">
        <w:rPr>
          <w:iCs/>
        </w:rPr>
        <w:t>contained</w:t>
      </w:r>
      <w:r w:rsidRPr="003A09F4">
        <w:rPr>
          <w:iCs/>
        </w:rPr>
        <w:t xml:space="preserve"> </w:t>
      </w:r>
      <w:r w:rsidR="00A12746">
        <w:rPr>
          <w:iCs/>
        </w:rPr>
        <w:t>five</w:t>
      </w:r>
      <w:r w:rsidRPr="003A09F4">
        <w:rPr>
          <w:iCs/>
        </w:rPr>
        <w:t xml:space="preserve"> continued findings</w:t>
      </w:r>
      <w:r w:rsidR="00FA64C1">
        <w:rPr>
          <w:iCs/>
        </w:rPr>
        <w:t xml:space="preserve">, </w:t>
      </w:r>
      <w:r w:rsidR="00315F08">
        <w:rPr>
          <w:iCs/>
        </w:rPr>
        <w:t>and six</w:t>
      </w:r>
      <w:r w:rsidRPr="003A09F4">
        <w:rPr>
          <w:iCs/>
        </w:rPr>
        <w:t xml:space="preserve"> observations.  </w:t>
      </w:r>
      <w:r w:rsidR="0098268E">
        <w:rPr>
          <w:iCs/>
        </w:rPr>
        <w:t>In</w:t>
      </w:r>
      <w:r w:rsidR="00DE347C">
        <w:rPr>
          <w:iCs/>
        </w:rPr>
        <w:t xml:space="preserve"> response to the FY 2022</w:t>
      </w:r>
      <w:r w:rsidR="005F0F49">
        <w:rPr>
          <w:iCs/>
        </w:rPr>
        <w:t xml:space="preserve"> report</w:t>
      </w:r>
      <w:r w:rsidR="00087E23">
        <w:rPr>
          <w:iCs/>
        </w:rPr>
        <w:t>,</w:t>
      </w:r>
      <w:r w:rsidR="005F0F49">
        <w:rPr>
          <w:iCs/>
        </w:rPr>
        <w:t xml:space="preserve"> the Illinois State Plan conducted </w:t>
      </w:r>
      <w:r w:rsidR="007E107C">
        <w:rPr>
          <w:iCs/>
        </w:rPr>
        <w:t>extensive training with all enforcement staff</w:t>
      </w:r>
      <w:r w:rsidR="00087E23">
        <w:rPr>
          <w:iCs/>
        </w:rPr>
        <w:t>,</w:t>
      </w:r>
      <w:r w:rsidR="008E3926">
        <w:rPr>
          <w:iCs/>
        </w:rPr>
        <w:t xml:space="preserve"> made improvements in their casefile management oversight</w:t>
      </w:r>
      <w:r w:rsidR="00087E23">
        <w:rPr>
          <w:iCs/>
        </w:rPr>
        <w:t>,</w:t>
      </w:r>
      <w:r w:rsidR="008E3926">
        <w:rPr>
          <w:iCs/>
        </w:rPr>
        <w:t xml:space="preserve"> and filled several vacancies.  </w:t>
      </w:r>
      <w:r w:rsidR="00E73F62">
        <w:rPr>
          <w:iCs/>
        </w:rPr>
        <w:t>As a result of their improvement efforts</w:t>
      </w:r>
      <w:r w:rsidR="00AD6A6D">
        <w:rPr>
          <w:iCs/>
        </w:rPr>
        <w:t>,</w:t>
      </w:r>
      <w:r w:rsidR="00E73F62">
        <w:rPr>
          <w:iCs/>
        </w:rPr>
        <w:t xml:space="preserve"> the FY 2023 FAME report shows</w:t>
      </w:r>
      <w:r w:rsidRPr="003A09F4">
        <w:rPr>
          <w:iCs/>
        </w:rPr>
        <w:t xml:space="preserve"> </w:t>
      </w:r>
      <w:r w:rsidR="007E6BE2">
        <w:rPr>
          <w:iCs/>
        </w:rPr>
        <w:t>three</w:t>
      </w:r>
      <w:r w:rsidRPr="003A09F4">
        <w:rPr>
          <w:iCs/>
        </w:rPr>
        <w:t xml:space="preserve"> finding</w:t>
      </w:r>
      <w:r w:rsidR="007E6BE2">
        <w:rPr>
          <w:iCs/>
        </w:rPr>
        <w:t>s</w:t>
      </w:r>
      <w:r w:rsidRPr="003A09F4">
        <w:rPr>
          <w:iCs/>
        </w:rPr>
        <w:t xml:space="preserve"> ha</w:t>
      </w:r>
      <w:r w:rsidR="007E6BE2">
        <w:rPr>
          <w:iCs/>
        </w:rPr>
        <w:t>ve</w:t>
      </w:r>
      <w:r w:rsidRPr="003A09F4">
        <w:rPr>
          <w:iCs/>
        </w:rPr>
        <w:t xml:space="preserve"> been closed, </w:t>
      </w:r>
      <w:r w:rsidR="007624D7">
        <w:rPr>
          <w:iCs/>
        </w:rPr>
        <w:t>two</w:t>
      </w:r>
      <w:r w:rsidRPr="003A09F4">
        <w:rPr>
          <w:iCs/>
        </w:rPr>
        <w:t xml:space="preserve"> finding</w:t>
      </w:r>
      <w:r w:rsidR="007624D7">
        <w:rPr>
          <w:iCs/>
        </w:rPr>
        <w:t>s</w:t>
      </w:r>
      <w:r w:rsidRPr="003A09F4">
        <w:rPr>
          <w:iCs/>
        </w:rPr>
        <w:t xml:space="preserve"> ha</w:t>
      </w:r>
      <w:r w:rsidR="007624D7">
        <w:rPr>
          <w:iCs/>
        </w:rPr>
        <w:t>ve</w:t>
      </w:r>
      <w:r w:rsidRPr="003A09F4">
        <w:rPr>
          <w:iCs/>
        </w:rPr>
        <w:t xml:space="preserve"> been </w:t>
      </w:r>
      <w:r w:rsidR="00093F7D">
        <w:rPr>
          <w:iCs/>
        </w:rPr>
        <w:t>converted to observations</w:t>
      </w:r>
      <w:r w:rsidRPr="003A09F4">
        <w:rPr>
          <w:iCs/>
        </w:rPr>
        <w:t xml:space="preserve">, </w:t>
      </w:r>
      <w:r w:rsidR="00093F7D">
        <w:rPr>
          <w:iCs/>
        </w:rPr>
        <w:t>five</w:t>
      </w:r>
      <w:r w:rsidRPr="003A09F4">
        <w:rPr>
          <w:iCs/>
        </w:rPr>
        <w:t xml:space="preserve"> observations </w:t>
      </w:r>
      <w:r w:rsidR="00093F7D">
        <w:rPr>
          <w:iCs/>
        </w:rPr>
        <w:t xml:space="preserve">are </w:t>
      </w:r>
      <w:r w:rsidR="00E42863">
        <w:rPr>
          <w:iCs/>
        </w:rPr>
        <w:t>closed,</w:t>
      </w:r>
      <w:r w:rsidRPr="003A09F4">
        <w:rPr>
          <w:iCs/>
        </w:rPr>
        <w:t xml:space="preserve"> and </w:t>
      </w:r>
      <w:r w:rsidR="00093F7D">
        <w:rPr>
          <w:iCs/>
        </w:rPr>
        <w:t>one</w:t>
      </w:r>
      <w:r w:rsidRPr="003A09F4">
        <w:rPr>
          <w:iCs/>
        </w:rPr>
        <w:t xml:space="preserve"> observation</w:t>
      </w:r>
      <w:r w:rsidR="00093F7D">
        <w:rPr>
          <w:iCs/>
        </w:rPr>
        <w:t xml:space="preserve"> is</w:t>
      </w:r>
      <w:r w:rsidRPr="003A09F4">
        <w:rPr>
          <w:iCs/>
        </w:rPr>
        <w:t xml:space="preserve"> continued.  </w:t>
      </w:r>
      <w:r w:rsidR="006F09FC" w:rsidRPr="003A09F4">
        <w:rPr>
          <w:iCs/>
        </w:rPr>
        <w:t>Appendix A, New and Continued Findings and Recommendations</w:t>
      </w:r>
      <w:r w:rsidR="006F09FC">
        <w:rPr>
          <w:iCs/>
        </w:rPr>
        <w:t xml:space="preserve"> reflects that t</w:t>
      </w:r>
      <w:r w:rsidR="009A4832">
        <w:rPr>
          <w:iCs/>
        </w:rPr>
        <w:t xml:space="preserve">here </w:t>
      </w:r>
      <w:r w:rsidR="006F09FC">
        <w:rPr>
          <w:iCs/>
        </w:rPr>
        <w:t xml:space="preserve">are </w:t>
      </w:r>
      <w:r w:rsidR="009A4832">
        <w:rPr>
          <w:iCs/>
        </w:rPr>
        <w:t>no</w:t>
      </w:r>
      <w:r w:rsidRPr="003A09F4">
        <w:rPr>
          <w:iCs/>
        </w:rPr>
        <w:t xml:space="preserve"> new </w:t>
      </w:r>
      <w:r w:rsidR="006F09FC">
        <w:rPr>
          <w:iCs/>
        </w:rPr>
        <w:t xml:space="preserve">or continued </w:t>
      </w:r>
      <w:r w:rsidRPr="003A09F4">
        <w:rPr>
          <w:iCs/>
        </w:rPr>
        <w:t>finding</w:t>
      </w:r>
      <w:r w:rsidR="009A4832">
        <w:rPr>
          <w:iCs/>
        </w:rPr>
        <w:t>s</w:t>
      </w:r>
      <w:r w:rsidRPr="003A09F4">
        <w:rPr>
          <w:iCs/>
        </w:rPr>
        <w:t xml:space="preserve">. </w:t>
      </w:r>
      <w:r w:rsidR="00BC7BD3" w:rsidRPr="00BC7BD3">
        <w:rPr>
          <w:iCs/>
        </w:rPr>
        <w:t xml:space="preserve">Appendix B describes the observations and the related federal monitoring plans.  Appendix C describes the </w:t>
      </w:r>
      <w:r w:rsidR="00BC7BD3" w:rsidRPr="00BC7BD3">
        <w:rPr>
          <w:bCs/>
          <w:iCs/>
        </w:rPr>
        <w:t>status of previous findings with associated completed corrective actions.</w:t>
      </w:r>
      <w:r w:rsidRPr="003A09F4">
        <w:rPr>
          <w:iCs/>
        </w:rPr>
        <w:t xml:space="preserve"> </w:t>
      </w:r>
    </w:p>
    <w:p w14:paraId="7EB97E7E" w14:textId="77777777" w:rsidR="003A09F4" w:rsidRDefault="003A09F4" w:rsidP="00536BB1">
      <w:pPr>
        <w:widowControl/>
        <w:autoSpaceDE/>
        <w:autoSpaceDN/>
        <w:adjustRightInd/>
        <w:spacing w:line="276" w:lineRule="auto"/>
      </w:pPr>
    </w:p>
    <w:p w14:paraId="69FACE82" w14:textId="49696782" w:rsidR="00CB7ED3" w:rsidRPr="00CB7ED3" w:rsidRDefault="00CB7ED3" w:rsidP="00536BB1">
      <w:pPr>
        <w:widowControl/>
        <w:autoSpaceDE/>
        <w:autoSpaceDN/>
        <w:adjustRightInd/>
        <w:spacing w:line="276" w:lineRule="auto"/>
        <w:rPr>
          <w:iCs/>
        </w:rPr>
      </w:pPr>
      <w:r>
        <w:rPr>
          <w:iCs/>
        </w:rPr>
        <w:t>T</w:t>
      </w:r>
      <w:r w:rsidRPr="00CB7ED3">
        <w:rPr>
          <w:iCs/>
        </w:rPr>
        <w:t>he State Plan has been committed to filling vacancies that have existed since the State Plan’s initial approval as a Developmental Plan.  Over the years, staff vacancies have created problems and challenges in several areas, including failure to accomplish the State Plan’s inspections goals; and failing to complete the final developmental steps necessary to become an approved plan.  At the start of FY 202</w:t>
      </w:r>
      <w:r w:rsidR="00EE73F5">
        <w:rPr>
          <w:iCs/>
        </w:rPr>
        <w:t>3</w:t>
      </w:r>
      <w:r w:rsidRPr="00CB7ED3">
        <w:rPr>
          <w:iCs/>
        </w:rPr>
        <w:t xml:space="preserve">, </w:t>
      </w:r>
      <w:r w:rsidR="00EE73F5">
        <w:rPr>
          <w:iCs/>
        </w:rPr>
        <w:t>eight</w:t>
      </w:r>
      <w:r w:rsidRPr="00CB7ED3">
        <w:rPr>
          <w:iCs/>
        </w:rPr>
        <w:t xml:space="preserve"> positions were vacant </w:t>
      </w:r>
      <w:r w:rsidR="0071337A">
        <w:rPr>
          <w:iCs/>
        </w:rPr>
        <w:t xml:space="preserve">and </w:t>
      </w:r>
      <w:r w:rsidR="008A49E2">
        <w:rPr>
          <w:iCs/>
        </w:rPr>
        <w:t xml:space="preserve">the State Plan </w:t>
      </w:r>
      <w:r w:rsidR="0071337A">
        <w:rPr>
          <w:iCs/>
        </w:rPr>
        <w:t>experienced changes and/or turnover in 10 different staff positions</w:t>
      </w:r>
      <w:r w:rsidRPr="00CB7ED3">
        <w:rPr>
          <w:iCs/>
        </w:rPr>
        <w:t xml:space="preserve">.  Throughout the year the State Plan continued to fill </w:t>
      </w:r>
      <w:r w:rsidR="0007012A" w:rsidRPr="00CB7ED3">
        <w:rPr>
          <w:iCs/>
        </w:rPr>
        <w:t>positions</w:t>
      </w:r>
      <w:r w:rsidR="0007012A">
        <w:rPr>
          <w:iCs/>
        </w:rPr>
        <w:t xml:space="preserve"> and</w:t>
      </w:r>
      <w:r w:rsidRPr="00CB7ED3">
        <w:rPr>
          <w:iCs/>
        </w:rPr>
        <w:t xml:space="preserve"> </w:t>
      </w:r>
      <w:r w:rsidR="00464EFB">
        <w:rPr>
          <w:iCs/>
        </w:rPr>
        <w:t>finished the year with five vacancies</w:t>
      </w:r>
      <w:r w:rsidRPr="00CB7ED3">
        <w:rPr>
          <w:iCs/>
        </w:rPr>
        <w:t>.</w:t>
      </w:r>
    </w:p>
    <w:p w14:paraId="55D137F4" w14:textId="77777777" w:rsidR="00CB7ED3" w:rsidRPr="00CB7ED3" w:rsidRDefault="00CB7ED3" w:rsidP="00536BB1">
      <w:pPr>
        <w:widowControl/>
        <w:autoSpaceDE/>
        <w:autoSpaceDN/>
        <w:adjustRightInd/>
        <w:spacing w:line="276" w:lineRule="auto"/>
        <w:rPr>
          <w:iCs/>
        </w:rPr>
      </w:pPr>
    </w:p>
    <w:p w14:paraId="565C669A" w14:textId="3779563A" w:rsidR="00CB7ED3" w:rsidRPr="00CB7ED3" w:rsidRDefault="00CB7ED3" w:rsidP="00536BB1">
      <w:pPr>
        <w:widowControl/>
        <w:autoSpaceDE/>
        <w:autoSpaceDN/>
        <w:adjustRightInd/>
        <w:spacing w:line="276" w:lineRule="auto"/>
        <w:rPr>
          <w:iCs/>
        </w:rPr>
      </w:pPr>
      <w:r w:rsidRPr="00CB7ED3">
        <w:rPr>
          <w:iCs/>
        </w:rPr>
        <w:t xml:space="preserve">The </w:t>
      </w:r>
      <w:r w:rsidR="00CD7E80">
        <w:rPr>
          <w:iCs/>
        </w:rPr>
        <w:t>IL OSHA</w:t>
      </w:r>
      <w:r w:rsidRPr="00CB7ED3">
        <w:rPr>
          <w:iCs/>
        </w:rPr>
        <w:t xml:space="preserve"> Strategic Management Plan for FY 2021 to FY 2026 established three strategic goals.  In the FY 202</w:t>
      </w:r>
      <w:r w:rsidR="000B077F">
        <w:rPr>
          <w:iCs/>
        </w:rPr>
        <w:t>3</w:t>
      </w:r>
      <w:r w:rsidRPr="00CB7ED3">
        <w:rPr>
          <w:iCs/>
        </w:rPr>
        <w:t xml:space="preserve"> State OSHA Annual Report (SOAR), </w:t>
      </w:r>
      <w:r w:rsidR="00CD7E80">
        <w:rPr>
          <w:iCs/>
        </w:rPr>
        <w:t>IL OSHA</w:t>
      </w:r>
      <w:r w:rsidRPr="00CB7ED3">
        <w:rPr>
          <w:iCs/>
        </w:rPr>
        <w:t xml:space="preserve"> provided information that outlines their accomplishments toward meeting their Five-Year Strategic Management Plan. Their progress at meeting performance plan goals has been reviewed and analyzed</w:t>
      </w:r>
      <w:r w:rsidR="00DD5002">
        <w:rPr>
          <w:iCs/>
        </w:rPr>
        <w:t xml:space="preserve">, and the State Plan </w:t>
      </w:r>
      <w:r w:rsidR="00DD5002" w:rsidRPr="00CB7ED3">
        <w:rPr>
          <w:iCs/>
        </w:rPr>
        <w:t xml:space="preserve">met or exceeded </w:t>
      </w:r>
      <w:r w:rsidR="00DD5002">
        <w:rPr>
          <w:iCs/>
        </w:rPr>
        <w:t xml:space="preserve">all </w:t>
      </w:r>
      <w:r w:rsidRPr="00CB7ED3">
        <w:rPr>
          <w:iCs/>
        </w:rPr>
        <w:t>six annual performance goals.</w:t>
      </w:r>
    </w:p>
    <w:p w14:paraId="31D90F6B" w14:textId="77777777" w:rsidR="00CB7ED3" w:rsidRPr="00CB7ED3" w:rsidRDefault="00CB7ED3" w:rsidP="00536BB1">
      <w:pPr>
        <w:widowControl/>
        <w:autoSpaceDE/>
        <w:autoSpaceDN/>
        <w:adjustRightInd/>
        <w:spacing w:line="276" w:lineRule="auto"/>
        <w:rPr>
          <w:iCs/>
        </w:rPr>
      </w:pPr>
    </w:p>
    <w:p w14:paraId="21140C48" w14:textId="728355D4" w:rsidR="0099742C" w:rsidRPr="00C73DD6" w:rsidRDefault="00CB7ED3" w:rsidP="00536BB1">
      <w:pPr>
        <w:widowControl/>
        <w:autoSpaceDE/>
        <w:autoSpaceDN/>
        <w:adjustRightInd/>
        <w:spacing w:line="276" w:lineRule="auto"/>
        <w:rPr>
          <w:iCs/>
        </w:rPr>
      </w:pPr>
      <w:r w:rsidRPr="00CB7ED3">
        <w:rPr>
          <w:iCs/>
        </w:rPr>
        <w:t>Quarterly monitoring meetings were held during FY 202</w:t>
      </w:r>
      <w:r w:rsidR="00836373">
        <w:rPr>
          <w:iCs/>
        </w:rPr>
        <w:t>3</w:t>
      </w:r>
      <w:r w:rsidRPr="00CB7ED3">
        <w:rPr>
          <w:iCs/>
        </w:rPr>
        <w:t>, at which time the State Activity Mandated Measures (SAMM) report, the State Indicators Report (SIR), FY 202</w:t>
      </w:r>
      <w:r w:rsidR="00836373">
        <w:rPr>
          <w:iCs/>
        </w:rPr>
        <w:t>2</w:t>
      </w:r>
      <w:r w:rsidRPr="00CB7ED3">
        <w:rPr>
          <w:iCs/>
        </w:rPr>
        <w:t xml:space="preserve"> Illinois Corrective Action Plan (CAP)</w:t>
      </w:r>
      <w:r w:rsidR="00A94426">
        <w:rPr>
          <w:iCs/>
        </w:rPr>
        <w:t>,</w:t>
      </w:r>
      <w:r w:rsidRPr="00CB7ED3">
        <w:rPr>
          <w:iCs/>
        </w:rPr>
        <w:t xml:space="preserve"> </w:t>
      </w:r>
      <w:r w:rsidR="00A94426" w:rsidRPr="00CB7ED3">
        <w:rPr>
          <w:iCs/>
        </w:rPr>
        <w:t xml:space="preserve">and the </w:t>
      </w:r>
      <w:r w:rsidR="00920966">
        <w:rPr>
          <w:iCs/>
        </w:rPr>
        <w:t xml:space="preserve">State Plan’s own internal tracking reports </w:t>
      </w:r>
      <w:r w:rsidRPr="00CB7ED3">
        <w:rPr>
          <w:iCs/>
        </w:rPr>
        <w:t xml:space="preserve">were reviewed and discussed with </w:t>
      </w:r>
      <w:r w:rsidR="00CD7E80">
        <w:rPr>
          <w:iCs/>
        </w:rPr>
        <w:t>IL OSHA</w:t>
      </w:r>
      <w:r w:rsidRPr="00CB7ED3">
        <w:rPr>
          <w:iCs/>
        </w:rPr>
        <w:t xml:space="preserve"> management staff.  The FY 202</w:t>
      </w:r>
      <w:r w:rsidR="00836373">
        <w:rPr>
          <w:iCs/>
        </w:rPr>
        <w:t>3</w:t>
      </w:r>
      <w:r w:rsidRPr="00CB7ED3">
        <w:rPr>
          <w:iCs/>
        </w:rPr>
        <w:t xml:space="preserve"> SAMM is </w:t>
      </w:r>
      <w:r w:rsidRPr="00C73DD6">
        <w:rPr>
          <w:iCs/>
        </w:rPr>
        <w:t>Appendix D of this report.</w:t>
      </w:r>
    </w:p>
    <w:p w14:paraId="6ADB4512" w14:textId="4D9CD4B5" w:rsidR="005D1101" w:rsidRPr="00C73DD6" w:rsidRDefault="005D1101" w:rsidP="00536BB1">
      <w:pPr>
        <w:widowControl/>
        <w:tabs>
          <w:tab w:val="left" w:pos="540"/>
          <w:tab w:val="num" w:pos="1080"/>
        </w:tabs>
        <w:autoSpaceDE/>
        <w:autoSpaceDN/>
        <w:adjustRightInd/>
        <w:spacing w:line="276" w:lineRule="auto"/>
        <w:rPr>
          <w:b/>
          <w:iCs/>
          <w:color w:val="4F81BD" w:themeColor="accent1"/>
        </w:rPr>
      </w:pPr>
    </w:p>
    <w:p w14:paraId="60ADFDD2" w14:textId="77777777" w:rsidR="00A367BA" w:rsidRDefault="00A367BA">
      <w:pPr>
        <w:widowControl/>
        <w:autoSpaceDE/>
        <w:autoSpaceDN/>
        <w:adjustRightInd/>
        <w:rPr>
          <w:b/>
          <w:color w:val="4F81BD" w:themeColor="accent1"/>
          <w:sz w:val="32"/>
          <w:szCs w:val="32"/>
        </w:rPr>
      </w:pPr>
      <w:r>
        <w:rPr>
          <w:b/>
          <w:color w:val="4F81BD" w:themeColor="accent1"/>
          <w:sz w:val="32"/>
          <w:szCs w:val="32"/>
        </w:rPr>
        <w:br w:type="page"/>
      </w:r>
    </w:p>
    <w:p w14:paraId="1007391B" w14:textId="388EFDDE" w:rsidR="00836129" w:rsidRPr="00044CCF" w:rsidRDefault="00836129" w:rsidP="00836129">
      <w:pPr>
        <w:widowControl/>
        <w:tabs>
          <w:tab w:val="left" w:pos="540"/>
          <w:tab w:val="num" w:pos="1080"/>
        </w:tabs>
        <w:autoSpaceDE/>
        <w:autoSpaceDN/>
        <w:adjustRightInd/>
        <w:rPr>
          <w:b/>
          <w:color w:val="4F81BD" w:themeColor="accent1"/>
          <w:sz w:val="32"/>
          <w:szCs w:val="32"/>
        </w:rPr>
      </w:pPr>
      <w:r w:rsidRPr="00044CCF">
        <w:rPr>
          <w:b/>
          <w:color w:val="4F81BD" w:themeColor="accent1"/>
          <w:sz w:val="32"/>
          <w:szCs w:val="32"/>
        </w:rPr>
        <w:lastRenderedPageBreak/>
        <w:t xml:space="preserve">II.  </w:t>
      </w:r>
      <w:r w:rsidR="00601A7C" w:rsidRPr="00044CCF">
        <w:rPr>
          <w:b/>
          <w:color w:val="4F81BD" w:themeColor="accent1"/>
          <w:sz w:val="32"/>
          <w:szCs w:val="32"/>
        </w:rPr>
        <w:t xml:space="preserve"> </w:t>
      </w:r>
      <w:r w:rsidR="008B1863" w:rsidRPr="00044CCF">
        <w:rPr>
          <w:b/>
          <w:color w:val="4F81BD" w:themeColor="accent1"/>
          <w:sz w:val="32"/>
          <w:szCs w:val="32"/>
        </w:rPr>
        <w:t xml:space="preserve">State </w:t>
      </w:r>
      <w:r w:rsidRPr="00044CCF">
        <w:rPr>
          <w:b/>
          <w:color w:val="4F81BD" w:themeColor="accent1"/>
          <w:sz w:val="32"/>
          <w:szCs w:val="32"/>
        </w:rPr>
        <w:t>Plan Background</w:t>
      </w:r>
    </w:p>
    <w:p w14:paraId="00268BE4" w14:textId="77777777" w:rsidR="008B1863" w:rsidRPr="00C73DD6" w:rsidRDefault="008B1863" w:rsidP="007A71AC">
      <w:pPr>
        <w:widowControl/>
        <w:autoSpaceDE/>
        <w:autoSpaceDN/>
        <w:adjustRightInd/>
        <w:rPr>
          <w:iCs/>
        </w:rPr>
      </w:pPr>
    </w:p>
    <w:p w14:paraId="61D15D74" w14:textId="77777777" w:rsidR="008B7258" w:rsidRPr="00044CCF" w:rsidRDefault="008B7258" w:rsidP="00143518">
      <w:pPr>
        <w:pStyle w:val="ListParagraph"/>
        <w:numPr>
          <w:ilvl w:val="0"/>
          <w:numId w:val="37"/>
        </w:numPr>
        <w:rPr>
          <w:b/>
        </w:rPr>
      </w:pPr>
      <w:r w:rsidRPr="00143518">
        <w:rPr>
          <w:rFonts w:ascii="Times New Roman" w:hAnsi="Times New Roman" w:cs="Times New Roman"/>
          <w:b/>
          <w:sz w:val="24"/>
          <w:szCs w:val="24"/>
        </w:rPr>
        <w:t>Background</w:t>
      </w:r>
    </w:p>
    <w:p w14:paraId="5F6B069F" w14:textId="1A9373C2" w:rsidR="00875CC9" w:rsidRDefault="005F789F" w:rsidP="00875CC9">
      <w:r w:rsidRPr="005F789F">
        <w:t>IL OSHA</w:t>
      </w:r>
      <w:r>
        <w:t xml:space="preserve"> </w:t>
      </w:r>
      <w:r w:rsidR="00875CC9">
        <w:t xml:space="preserve">operates a state and local government only OSHA State Plan.  The Illinois State Plan was approved as a Developmental Plan on September 1, 2009. </w:t>
      </w:r>
      <w:r w:rsidR="000A4413">
        <w:t xml:space="preserve"> </w:t>
      </w:r>
      <w:r w:rsidR="00875CC9">
        <w:t>During FY 202</w:t>
      </w:r>
      <w:r w:rsidR="00B72CD0">
        <w:t>3</w:t>
      </w:r>
      <w:r w:rsidR="00875CC9">
        <w:t xml:space="preserve">, the period of this report, </w:t>
      </w:r>
      <w:r w:rsidR="00B72CD0">
        <w:t>Mr. Erik Kambarian</w:t>
      </w:r>
      <w:r w:rsidR="00875CC9">
        <w:t xml:space="preserve"> was </w:t>
      </w:r>
      <w:r w:rsidR="00CD7E80">
        <w:t>IL OSHA</w:t>
      </w:r>
      <w:r w:rsidR="00875CC9">
        <w:t xml:space="preserve">’s Division </w:t>
      </w:r>
      <w:r w:rsidR="00ED19B6">
        <w:t>Chief</w:t>
      </w:r>
      <w:r w:rsidR="00875CC9">
        <w:t xml:space="preserve">, administering the Illinois State Plan under </w:t>
      </w:r>
      <w:r w:rsidR="00ED19B6">
        <w:t>Mrs. Jane Flanagan</w:t>
      </w:r>
      <w:r w:rsidR="00875CC9">
        <w:t xml:space="preserve">, Director of the Illinois Department of Labor.  </w:t>
      </w:r>
      <w:r w:rsidR="00CD7E80">
        <w:t>IL OSHA</w:t>
      </w:r>
      <w:r w:rsidR="00875CC9">
        <w:t xml:space="preserve"> protects state and local government employees by enforcing safety and health standards, providing consultation services, investigating both occupational safety and health as well as whistleblower complaints, adopting OSHA standards, and providing outreach services.</w:t>
      </w:r>
    </w:p>
    <w:p w14:paraId="27E9E678" w14:textId="77777777" w:rsidR="00875CC9" w:rsidRDefault="00875CC9" w:rsidP="00875CC9"/>
    <w:p w14:paraId="533B41DD" w14:textId="0C8B5286" w:rsidR="00875CC9" w:rsidRDefault="00875CC9" w:rsidP="00875CC9">
      <w:r>
        <w:t xml:space="preserve">Since approval as a Developmental Plan on September 1, 2009, </w:t>
      </w:r>
      <w:r w:rsidR="00CD7E80">
        <w:t>IL OSHA</w:t>
      </w:r>
      <w:r>
        <w:t xml:space="preserve"> has requested multiple extensions to complete its developmental steps.  In FY 202</w:t>
      </w:r>
      <w:r w:rsidR="00E016D2">
        <w:t>3</w:t>
      </w:r>
      <w:r>
        <w:t xml:space="preserve"> </w:t>
      </w:r>
      <w:r w:rsidR="00CD7E80">
        <w:t>IL OSHA</w:t>
      </w:r>
      <w:r>
        <w:t xml:space="preserve"> worked diligently to move successfully forward in their developmental steps.  Working with OSHA, IDOL worked to fill the remaining vacancies </w:t>
      </w:r>
      <w:r w:rsidR="00E016D2">
        <w:t>to</w:t>
      </w:r>
      <w:r>
        <w:t xml:space="preserve"> move the program out of the developmental stage.  </w:t>
      </w:r>
      <w:r w:rsidR="00392DFB" w:rsidRPr="00392DFB">
        <w:t xml:space="preserve">Unfortunately, due to significant employee turnover the effort was not successful. </w:t>
      </w:r>
      <w:r w:rsidR="001802A9">
        <w:t xml:space="preserve">In FY 2023 </w:t>
      </w:r>
      <w:r w:rsidR="00CD7E80">
        <w:t>IL OSHA</w:t>
      </w:r>
      <w:r w:rsidR="001802A9">
        <w:t xml:space="preserve"> </w:t>
      </w:r>
      <w:r w:rsidR="00D51FF1">
        <w:t xml:space="preserve">filled three positions with promotions from within the state plan and </w:t>
      </w:r>
      <w:r w:rsidR="00AF5457">
        <w:t>hired seven new staff</w:t>
      </w:r>
      <w:r w:rsidR="00991264">
        <w:t xml:space="preserve">.  </w:t>
      </w:r>
      <w:r w:rsidR="00CD7E80">
        <w:t>IL OSHA</w:t>
      </w:r>
      <w:r w:rsidR="00392DFB" w:rsidRPr="00392DFB">
        <w:t xml:space="preserve"> is committed to obtaining certification and moving beyond the developmental stage.</w:t>
      </w:r>
      <w:r>
        <w:t xml:space="preserve"> The commitment to fill all vacant positions will continue in FY 202</w:t>
      </w:r>
      <w:r w:rsidR="00023BB2">
        <w:t>4</w:t>
      </w:r>
      <w:r>
        <w:t xml:space="preserve">. </w:t>
      </w:r>
    </w:p>
    <w:p w14:paraId="235AA4F0" w14:textId="77777777" w:rsidR="00875CC9" w:rsidRDefault="00875CC9" w:rsidP="00875CC9"/>
    <w:p w14:paraId="67764302" w14:textId="3947DB4C" w:rsidR="00875CC9" w:rsidRDefault="00875CC9" w:rsidP="00875CC9">
      <w:r>
        <w:t xml:space="preserve">The </w:t>
      </w:r>
      <w:r w:rsidR="00CD7E80">
        <w:t>IL OSHA</w:t>
      </w:r>
      <w:r>
        <w:t xml:space="preserve"> FY 202</w:t>
      </w:r>
      <w:r w:rsidR="00C27A3C">
        <w:t>3</w:t>
      </w:r>
      <w:r>
        <w:t xml:space="preserve"> grant included full-time equivalent (FTE) staffing of 19.</w:t>
      </w:r>
      <w:r w:rsidR="00B76F5C">
        <w:t>3</w:t>
      </w:r>
      <w:r>
        <w:t xml:space="preserve">5 positions.  The State Plan’s expected staffing level includes a division </w:t>
      </w:r>
      <w:r w:rsidR="00E60AD2">
        <w:t>chief</w:t>
      </w:r>
      <w:r>
        <w:t xml:space="preserve">, two </w:t>
      </w:r>
      <w:r w:rsidR="00852271">
        <w:t>regional</w:t>
      </w:r>
      <w:r>
        <w:t xml:space="preserve"> enforcement managers,</w:t>
      </w:r>
      <w:r w:rsidR="008757E1">
        <w:t xml:space="preserve"> one administrative assistant, one office associate,</w:t>
      </w:r>
      <w:r>
        <w:t xml:space="preserve"> 1</w:t>
      </w:r>
      <w:r w:rsidR="00BB1D94">
        <w:t>1</w:t>
      </w:r>
      <w:r>
        <w:t xml:space="preserve"> safety inspectors, </w:t>
      </w:r>
      <w:r w:rsidR="00BB1D94">
        <w:t>three</w:t>
      </w:r>
      <w:r>
        <w:t xml:space="preserve"> industrial hygienists</w:t>
      </w:r>
      <w:r w:rsidR="00FB5E1D">
        <w:t xml:space="preserve">, </w:t>
      </w:r>
      <w:r w:rsidR="000948EB">
        <w:t xml:space="preserve">two consultation supervisors, </w:t>
      </w:r>
      <w:r w:rsidR="00502483">
        <w:t xml:space="preserve">four </w:t>
      </w:r>
      <w:r>
        <w:t xml:space="preserve">consultants </w:t>
      </w:r>
      <w:r w:rsidR="00621706" w:rsidRPr="00621706">
        <w:t xml:space="preserve">an </w:t>
      </w:r>
      <w:r w:rsidR="003D7088">
        <w:t>o</w:t>
      </w:r>
      <w:r w:rsidR="00621706" w:rsidRPr="00621706">
        <w:t xml:space="preserve">ccupational </w:t>
      </w:r>
      <w:r w:rsidR="003D7088">
        <w:t>s</w:t>
      </w:r>
      <w:r w:rsidR="00621706" w:rsidRPr="00621706">
        <w:t xml:space="preserve">afety and </w:t>
      </w:r>
      <w:r w:rsidR="003D7088">
        <w:t>h</w:t>
      </w:r>
      <w:r w:rsidR="00621706" w:rsidRPr="00621706">
        <w:t xml:space="preserve">ealth (OSH) </w:t>
      </w:r>
      <w:r w:rsidR="003D7088">
        <w:t>c</w:t>
      </w:r>
      <w:r w:rsidR="00621706" w:rsidRPr="00621706">
        <w:t xml:space="preserve">oordinator, and a </w:t>
      </w:r>
      <w:r w:rsidR="003D7088">
        <w:t>m</w:t>
      </w:r>
      <w:r w:rsidR="00621706" w:rsidRPr="00621706">
        <w:t xml:space="preserve">arketing and </w:t>
      </w:r>
      <w:r w:rsidR="0034714C">
        <w:t>o</w:t>
      </w:r>
      <w:r w:rsidR="00621706" w:rsidRPr="00621706">
        <w:t xml:space="preserve">utreach </w:t>
      </w:r>
      <w:r w:rsidR="0034714C">
        <w:t>c</w:t>
      </w:r>
      <w:r w:rsidR="00621706" w:rsidRPr="00621706">
        <w:t>oordinator</w:t>
      </w:r>
      <w:r w:rsidR="0034714C">
        <w:t>.  The division chief, consultation staff,</w:t>
      </w:r>
      <w:r w:rsidR="00283A9B">
        <w:t xml:space="preserve"> administrative staff, the OSH coordinator and the marketing and outreach coordinator</w:t>
      </w:r>
      <w:r w:rsidR="00621706">
        <w:t xml:space="preserve"> split </w:t>
      </w:r>
      <w:r w:rsidR="0048225C">
        <w:t xml:space="preserve">their </w:t>
      </w:r>
      <w:r w:rsidR="00621706">
        <w:t xml:space="preserve">time </w:t>
      </w:r>
      <w:r w:rsidR="00621706" w:rsidRPr="00621706">
        <w:t xml:space="preserve">between the 23(g) state and local government </w:t>
      </w:r>
      <w:r w:rsidR="000243F8">
        <w:t>enforcement program</w:t>
      </w:r>
      <w:r w:rsidR="00621706" w:rsidRPr="00621706">
        <w:t xml:space="preserve"> and the 21(d) private sector consultation program.</w:t>
      </w:r>
    </w:p>
    <w:p w14:paraId="3EF589EE" w14:textId="77777777" w:rsidR="00875CC9" w:rsidRDefault="00875CC9" w:rsidP="00875CC9"/>
    <w:p w14:paraId="1977D7C0" w14:textId="732336D7" w:rsidR="005D1101" w:rsidRDefault="00875CC9" w:rsidP="00875CC9">
      <w:r>
        <w:t>The FY 202</w:t>
      </w:r>
      <w:r w:rsidR="00BD3558">
        <w:t>3</w:t>
      </w:r>
      <w:r>
        <w:t xml:space="preserve"> grant included funding totaling $2,</w:t>
      </w:r>
      <w:r w:rsidR="00801550">
        <w:t>513,400</w:t>
      </w:r>
      <w:r>
        <w:t xml:space="preserve">.  </w:t>
      </w:r>
      <w:r w:rsidR="00CD7E80">
        <w:t>IL OSHA</w:t>
      </w:r>
      <w:r w:rsidR="00213F47">
        <w:t xml:space="preserve"> did not deobligate or request any additional funding during FY 2023.</w:t>
      </w:r>
    </w:p>
    <w:p w14:paraId="237EDCF6" w14:textId="77777777" w:rsidR="0065342D" w:rsidRPr="005D1101" w:rsidRDefault="0065342D" w:rsidP="005D1101"/>
    <w:p w14:paraId="1877F141" w14:textId="77777777" w:rsidR="00836129" w:rsidRPr="008B7258" w:rsidRDefault="00836129" w:rsidP="005D1101">
      <w:pPr>
        <w:pStyle w:val="ListParagraph"/>
        <w:numPr>
          <w:ilvl w:val="0"/>
          <w:numId w:val="37"/>
        </w:numPr>
        <w:spacing w:after="0" w:line="240" w:lineRule="auto"/>
      </w:pPr>
      <w:r w:rsidRPr="00143518">
        <w:rPr>
          <w:rFonts w:ascii="Times New Roman" w:hAnsi="Times New Roman" w:cs="Times New Roman"/>
          <w:b/>
          <w:sz w:val="24"/>
          <w:szCs w:val="24"/>
        </w:rPr>
        <w:t>New Issues</w:t>
      </w:r>
    </w:p>
    <w:p w14:paraId="2AFBADBE" w14:textId="77777777" w:rsidR="005D1101" w:rsidRDefault="005D1101" w:rsidP="007A45B2">
      <w:pPr>
        <w:rPr>
          <w:i/>
        </w:rPr>
      </w:pPr>
    </w:p>
    <w:p w14:paraId="4C6EF76C" w14:textId="7BE26953" w:rsidR="00836129" w:rsidRPr="00513904" w:rsidRDefault="00513904" w:rsidP="007A45B2">
      <w:pPr>
        <w:rPr>
          <w:iCs/>
        </w:rPr>
      </w:pPr>
      <w:r w:rsidRPr="00513904">
        <w:rPr>
          <w:iCs/>
        </w:rPr>
        <w:t>None</w:t>
      </w:r>
    </w:p>
    <w:p w14:paraId="61E10AD4" w14:textId="77777777" w:rsidR="005D1101" w:rsidRPr="000D34E1" w:rsidRDefault="005D1101" w:rsidP="00F0311C"/>
    <w:p w14:paraId="66474800" w14:textId="77777777" w:rsidR="00B91749" w:rsidRPr="006F52DD" w:rsidRDefault="00A81F5B" w:rsidP="00B91749">
      <w:pPr>
        <w:widowControl/>
        <w:autoSpaceDE/>
        <w:autoSpaceDN/>
        <w:adjustRightInd/>
        <w:spacing w:after="200"/>
        <w:rPr>
          <w:color w:val="4F81BD" w:themeColor="accent1"/>
          <w:sz w:val="32"/>
          <w:szCs w:val="32"/>
        </w:rPr>
      </w:pPr>
      <w:r w:rsidRPr="006F52DD">
        <w:rPr>
          <w:b/>
          <w:color w:val="4F81BD" w:themeColor="accent1"/>
          <w:sz w:val="32"/>
          <w:szCs w:val="32"/>
        </w:rPr>
        <w:t>III.   Assessment of State Plan Progress and Performance</w:t>
      </w:r>
    </w:p>
    <w:p w14:paraId="57A220B5" w14:textId="77777777" w:rsidR="00B91749" w:rsidRPr="006F52DD" w:rsidRDefault="00782EEC" w:rsidP="006F52DD">
      <w:pPr>
        <w:pStyle w:val="ListParagraph"/>
        <w:numPr>
          <w:ilvl w:val="0"/>
          <w:numId w:val="36"/>
        </w:numPr>
        <w:ind w:left="360"/>
        <w:rPr>
          <w:b/>
        </w:rPr>
      </w:pPr>
      <w:r w:rsidRPr="006F52DD">
        <w:rPr>
          <w:rFonts w:ascii="Times New Roman" w:hAnsi="Times New Roman" w:cs="Times New Roman"/>
          <w:b/>
          <w:sz w:val="24"/>
          <w:szCs w:val="24"/>
        </w:rPr>
        <w:t>Data</w:t>
      </w:r>
      <w:r w:rsidR="00B91749" w:rsidRPr="006F52DD">
        <w:rPr>
          <w:rFonts w:ascii="Times New Roman" w:hAnsi="Times New Roman" w:cs="Times New Roman"/>
          <w:b/>
          <w:sz w:val="24"/>
          <w:szCs w:val="24"/>
        </w:rPr>
        <w:t xml:space="preserve"> </w:t>
      </w:r>
      <w:r w:rsidR="008B7258">
        <w:rPr>
          <w:rFonts w:ascii="Times New Roman" w:hAnsi="Times New Roman" w:cs="Times New Roman"/>
          <w:b/>
          <w:sz w:val="24"/>
          <w:szCs w:val="24"/>
        </w:rPr>
        <w:t xml:space="preserve">and </w:t>
      </w:r>
      <w:r w:rsidR="00B91749" w:rsidRPr="006F52DD">
        <w:rPr>
          <w:rFonts w:ascii="Times New Roman" w:hAnsi="Times New Roman" w:cs="Times New Roman"/>
          <w:b/>
          <w:sz w:val="24"/>
          <w:szCs w:val="24"/>
        </w:rPr>
        <w:t>Methodology</w:t>
      </w:r>
    </w:p>
    <w:p w14:paraId="56D9B2CC" w14:textId="24B004DC" w:rsidR="005A02B8" w:rsidRDefault="008B7258" w:rsidP="008B7258">
      <w:pPr>
        <w:widowControl/>
        <w:autoSpaceDE/>
        <w:autoSpaceDN/>
        <w:adjustRightInd/>
        <w:rPr>
          <w:bCs/>
        </w:rPr>
      </w:pPr>
      <w:r w:rsidRPr="001A335E">
        <w:rPr>
          <w:bCs/>
        </w:rPr>
        <w:t xml:space="preserve">OSHA established a two-year cycle for the FAME process.  </w:t>
      </w:r>
      <w:r>
        <w:rPr>
          <w:bCs/>
        </w:rPr>
        <w:t>FY 20</w:t>
      </w:r>
      <w:r w:rsidR="00E53E0C">
        <w:rPr>
          <w:bCs/>
        </w:rPr>
        <w:t>23</w:t>
      </w:r>
      <w:r>
        <w:rPr>
          <w:bCs/>
        </w:rPr>
        <w:t xml:space="preserve"> is a</w:t>
      </w:r>
      <w:r w:rsidRPr="001A335E">
        <w:rPr>
          <w:bCs/>
        </w:rPr>
        <w:t xml:space="preserve"> </w:t>
      </w:r>
      <w:r>
        <w:rPr>
          <w:bCs/>
        </w:rPr>
        <w:t>comprehensive</w:t>
      </w:r>
      <w:r w:rsidRPr="001A335E">
        <w:rPr>
          <w:bCs/>
        </w:rPr>
        <w:t xml:space="preserve"> year and as such, OSHA was required to </w:t>
      </w:r>
      <w:r w:rsidR="00F0311C">
        <w:rPr>
          <w:bCs/>
        </w:rPr>
        <w:t xml:space="preserve">conduct </w:t>
      </w:r>
      <w:r w:rsidRPr="001A335E">
        <w:rPr>
          <w:bCs/>
        </w:rPr>
        <w:t xml:space="preserve">an on-site evaluation and case file review.  </w:t>
      </w:r>
      <w:r w:rsidR="00BB2C23">
        <w:rPr>
          <w:bCs/>
        </w:rPr>
        <w:t xml:space="preserve">A </w:t>
      </w:r>
      <w:r w:rsidR="00C5464B">
        <w:rPr>
          <w:bCs/>
        </w:rPr>
        <w:t>five</w:t>
      </w:r>
      <w:r w:rsidR="00BB2C23">
        <w:rPr>
          <w:bCs/>
        </w:rPr>
        <w:t>-per</w:t>
      </w:r>
      <w:r>
        <w:rPr>
          <w:bCs/>
        </w:rPr>
        <w:t xml:space="preserve">son OSHA </w:t>
      </w:r>
      <w:r w:rsidR="00BB2C23">
        <w:rPr>
          <w:bCs/>
        </w:rPr>
        <w:t>team, which included a whistleblower investigator, was assembled to conduct a full</w:t>
      </w:r>
      <w:r>
        <w:rPr>
          <w:bCs/>
        </w:rPr>
        <w:t xml:space="preserve"> on</w:t>
      </w:r>
      <w:r w:rsidR="00F0311C">
        <w:rPr>
          <w:bCs/>
        </w:rPr>
        <w:t>-</w:t>
      </w:r>
      <w:r>
        <w:rPr>
          <w:bCs/>
        </w:rPr>
        <w:t>site case file review</w:t>
      </w:r>
      <w:r w:rsidR="00BB2C23">
        <w:rPr>
          <w:bCs/>
        </w:rPr>
        <w:t>.</w:t>
      </w:r>
      <w:r>
        <w:rPr>
          <w:bCs/>
        </w:rPr>
        <w:t xml:space="preserve"> The case file review was conducted</w:t>
      </w:r>
      <w:r w:rsidR="00BB2C23">
        <w:rPr>
          <w:bCs/>
        </w:rPr>
        <w:t xml:space="preserve"> </w:t>
      </w:r>
      <w:r w:rsidR="00A41EA2">
        <w:rPr>
          <w:bCs/>
        </w:rPr>
        <w:t>virtually</w:t>
      </w:r>
      <w:r>
        <w:rPr>
          <w:bCs/>
        </w:rPr>
        <w:t xml:space="preserve"> during the timeframe of January </w:t>
      </w:r>
      <w:r w:rsidR="003D768A">
        <w:rPr>
          <w:bCs/>
        </w:rPr>
        <w:t>26</w:t>
      </w:r>
      <w:r w:rsidR="00BB2C23">
        <w:rPr>
          <w:bCs/>
        </w:rPr>
        <w:t xml:space="preserve">, </w:t>
      </w:r>
      <w:r w:rsidR="0079120E">
        <w:rPr>
          <w:bCs/>
        </w:rPr>
        <w:t>2024,</w:t>
      </w:r>
      <w:r w:rsidR="003D768A">
        <w:rPr>
          <w:bCs/>
        </w:rPr>
        <w:t xml:space="preserve"> through February </w:t>
      </w:r>
      <w:r w:rsidR="00881D70">
        <w:rPr>
          <w:bCs/>
        </w:rPr>
        <w:t>21, 2024</w:t>
      </w:r>
      <w:r w:rsidR="00BB2C23">
        <w:rPr>
          <w:bCs/>
        </w:rPr>
        <w:t xml:space="preserve">.  A total of </w:t>
      </w:r>
      <w:r w:rsidR="00DD7D90">
        <w:rPr>
          <w:bCs/>
        </w:rPr>
        <w:t>88</w:t>
      </w:r>
      <w:r w:rsidR="00BB2C23">
        <w:rPr>
          <w:bCs/>
        </w:rPr>
        <w:t xml:space="preserve"> safety, health</w:t>
      </w:r>
      <w:r w:rsidR="006F52DD">
        <w:rPr>
          <w:bCs/>
        </w:rPr>
        <w:t>,</w:t>
      </w:r>
      <w:r w:rsidR="00BB2C23">
        <w:rPr>
          <w:bCs/>
        </w:rPr>
        <w:t xml:space="preserve"> and </w:t>
      </w:r>
      <w:r w:rsidR="000D34E1">
        <w:rPr>
          <w:bCs/>
        </w:rPr>
        <w:t xml:space="preserve">whistleblower </w:t>
      </w:r>
      <w:r w:rsidR="00BB2C23">
        <w:rPr>
          <w:bCs/>
        </w:rPr>
        <w:t xml:space="preserve">inspection </w:t>
      </w:r>
      <w:r w:rsidR="00F0311C">
        <w:rPr>
          <w:bCs/>
        </w:rPr>
        <w:t xml:space="preserve">case </w:t>
      </w:r>
      <w:r w:rsidR="00BB2C23">
        <w:rPr>
          <w:bCs/>
        </w:rPr>
        <w:t xml:space="preserve">files were reviewed.  The safety and health inspection files were randomly selected from closed inspections conducted during the evaluation period (Oct 1, </w:t>
      </w:r>
      <w:r w:rsidR="00FD1451">
        <w:rPr>
          <w:bCs/>
        </w:rPr>
        <w:t>2022,</w:t>
      </w:r>
      <w:r w:rsidR="00BB2C23">
        <w:rPr>
          <w:bCs/>
        </w:rPr>
        <w:t xml:space="preserve"> through September 30, 20</w:t>
      </w:r>
      <w:r w:rsidR="000B0B07">
        <w:rPr>
          <w:bCs/>
        </w:rPr>
        <w:t>23</w:t>
      </w:r>
      <w:r w:rsidR="00BB2C23">
        <w:rPr>
          <w:bCs/>
        </w:rPr>
        <w:t>)</w:t>
      </w:r>
      <w:r w:rsidR="005A02B8">
        <w:rPr>
          <w:bCs/>
        </w:rPr>
        <w:t xml:space="preserve">.  The </w:t>
      </w:r>
      <w:r w:rsidR="00F0311C">
        <w:rPr>
          <w:bCs/>
        </w:rPr>
        <w:t xml:space="preserve">selected </w:t>
      </w:r>
      <w:r w:rsidR="005A02B8">
        <w:rPr>
          <w:bCs/>
        </w:rPr>
        <w:t>population included:</w:t>
      </w:r>
    </w:p>
    <w:p w14:paraId="78AD224F" w14:textId="77777777" w:rsidR="005A02B8" w:rsidRDefault="005A02B8" w:rsidP="008B7258">
      <w:pPr>
        <w:widowControl/>
        <w:autoSpaceDE/>
        <w:autoSpaceDN/>
        <w:adjustRightInd/>
        <w:rPr>
          <w:bCs/>
        </w:rPr>
      </w:pPr>
    </w:p>
    <w:p w14:paraId="250A279D" w14:textId="38211980" w:rsidR="008B7258" w:rsidRDefault="0023491D" w:rsidP="006F52DD">
      <w:pPr>
        <w:pStyle w:val="ListParagraph"/>
        <w:numPr>
          <w:ilvl w:val="0"/>
          <w:numId w:val="39"/>
        </w:numPr>
        <w:rPr>
          <w:bCs/>
        </w:rPr>
      </w:pPr>
      <w:r>
        <w:rPr>
          <w:rFonts w:ascii="Times New Roman" w:hAnsi="Times New Roman" w:cs="Times New Roman"/>
          <w:bCs/>
          <w:sz w:val="24"/>
          <w:szCs w:val="24"/>
        </w:rPr>
        <w:t>Three</w:t>
      </w:r>
      <w:r w:rsidR="005A02B8">
        <w:rPr>
          <w:rFonts w:ascii="Times New Roman" w:hAnsi="Times New Roman" w:cs="Times New Roman"/>
          <w:bCs/>
          <w:sz w:val="24"/>
          <w:szCs w:val="24"/>
        </w:rPr>
        <w:t xml:space="preserve"> (</w:t>
      </w:r>
      <w:r>
        <w:rPr>
          <w:rFonts w:ascii="Times New Roman" w:hAnsi="Times New Roman" w:cs="Times New Roman"/>
          <w:bCs/>
          <w:sz w:val="24"/>
          <w:szCs w:val="24"/>
        </w:rPr>
        <w:t>3</w:t>
      </w:r>
      <w:r w:rsidR="005A02B8">
        <w:rPr>
          <w:rFonts w:ascii="Times New Roman" w:hAnsi="Times New Roman" w:cs="Times New Roman"/>
          <w:bCs/>
          <w:sz w:val="24"/>
          <w:szCs w:val="24"/>
        </w:rPr>
        <w:t xml:space="preserve">) fatality </w:t>
      </w:r>
      <w:r w:rsidR="00F0311C">
        <w:rPr>
          <w:rFonts w:ascii="Times New Roman" w:hAnsi="Times New Roman" w:cs="Times New Roman"/>
          <w:bCs/>
          <w:sz w:val="24"/>
          <w:szCs w:val="24"/>
        </w:rPr>
        <w:t xml:space="preserve">case </w:t>
      </w:r>
      <w:r w:rsidR="005A02B8">
        <w:rPr>
          <w:rFonts w:ascii="Times New Roman" w:hAnsi="Times New Roman" w:cs="Times New Roman"/>
          <w:bCs/>
          <w:sz w:val="24"/>
          <w:szCs w:val="24"/>
        </w:rPr>
        <w:t>files</w:t>
      </w:r>
    </w:p>
    <w:p w14:paraId="093A016C" w14:textId="21BA2472" w:rsidR="00C56333" w:rsidRPr="00C56333" w:rsidRDefault="001A5023" w:rsidP="00C56333">
      <w:pPr>
        <w:pStyle w:val="ListParagraph"/>
        <w:numPr>
          <w:ilvl w:val="0"/>
          <w:numId w:val="39"/>
        </w:numPr>
        <w:rPr>
          <w:rFonts w:ascii="Times New Roman" w:hAnsi="Times New Roman" w:cs="Times New Roman"/>
          <w:bCs/>
          <w:sz w:val="24"/>
          <w:szCs w:val="24"/>
        </w:rPr>
      </w:pPr>
      <w:r>
        <w:rPr>
          <w:rFonts w:ascii="Times New Roman" w:hAnsi="Times New Roman" w:cs="Times New Roman"/>
          <w:bCs/>
          <w:sz w:val="24"/>
          <w:szCs w:val="24"/>
        </w:rPr>
        <w:lastRenderedPageBreak/>
        <w:t>Thirty</w:t>
      </w:r>
      <w:r w:rsidR="00C56333" w:rsidRPr="00C56333">
        <w:rPr>
          <w:rFonts w:ascii="Times New Roman" w:hAnsi="Times New Roman" w:cs="Times New Roman"/>
          <w:bCs/>
          <w:sz w:val="24"/>
          <w:szCs w:val="24"/>
        </w:rPr>
        <w:t xml:space="preserve"> (</w:t>
      </w:r>
      <w:r>
        <w:rPr>
          <w:rFonts w:ascii="Times New Roman" w:hAnsi="Times New Roman" w:cs="Times New Roman"/>
          <w:bCs/>
          <w:sz w:val="24"/>
          <w:szCs w:val="24"/>
        </w:rPr>
        <w:t>3</w:t>
      </w:r>
      <w:r w:rsidR="009415E2">
        <w:rPr>
          <w:rFonts w:ascii="Times New Roman" w:hAnsi="Times New Roman" w:cs="Times New Roman"/>
          <w:bCs/>
          <w:sz w:val="24"/>
          <w:szCs w:val="24"/>
        </w:rPr>
        <w:t>0</w:t>
      </w:r>
      <w:r w:rsidR="00C56333" w:rsidRPr="00C56333">
        <w:rPr>
          <w:rFonts w:ascii="Times New Roman" w:hAnsi="Times New Roman" w:cs="Times New Roman"/>
          <w:bCs/>
          <w:sz w:val="24"/>
          <w:szCs w:val="24"/>
        </w:rPr>
        <w:t>) non-fatality safety inspection case files</w:t>
      </w:r>
    </w:p>
    <w:p w14:paraId="11554D20" w14:textId="1917F225" w:rsidR="00C56333" w:rsidRPr="00C56333" w:rsidRDefault="00FF347E" w:rsidP="00C56333">
      <w:pPr>
        <w:pStyle w:val="ListParagraph"/>
        <w:numPr>
          <w:ilvl w:val="0"/>
          <w:numId w:val="39"/>
        </w:numPr>
        <w:rPr>
          <w:rFonts w:ascii="Times New Roman" w:hAnsi="Times New Roman" w:cs="Times New Roman"/>
          <w:bCs/>
          <w:sz w:val="24"/>
          <w:szCs w:val="24"/>
        </w:rPr>
      </w:pPr>
      <w:r>
        <w:rPr>
          <w:rFonts w:ascii="Times New Roman" w:hAnsi="Times New Roman" w:cs="Times New Roman"/>
          <w:bCs/>
          <w:sz w:val="24"/>
          <w:szCs w:val="24"/>
        </w:rPr>
        <w:t>Seventeen</w:t>
      </w:r>
      <w:r w:rsidR="00C56333" w:rsidRPr="00C56333">
        <w:rPr>
          <w:rFonts w:ascii="Times New Roman" w:hAnsi="Times New Roman" w:cs="Times New Roman"/>
          <w:bCs/>
          <w:sz w:val="24"/>
          <w:szCs w:val="24"/>
        </w:rPr>
        <w:t xml:space="preserve"> (1</w:t>
      </w:r>
      <w:r>
        <w:rPr>
          <w:rFonts w:ascii="Times New Roman" w:hAnsi="Times New Roman" w:cs="Times New Roman"/>
          <w:bCs/>
          <w:sz w:val="24"/>
          <w:szCs w:val="24"/>
        </w:rPr>
        <w:t>7</w:t>
      </w:r>
      <w:r w:rsidR="00C56333" w:rsidRPr="00C56333">
        <w:rPr>
          <w:rFonts w:ascii="Times New Roman" w:hAnsi="Times New Roman" w:cs="Times New Roman"/>
          <w:bCs/>
          <w:sz w:val="24"/>
          <w:szCs w:val="24"/>
        </w:rPr>
        <w:t xml:space="preserve">) non-fatality health inspection case files </w:t>
      </w:r>
    </w:p>
    <w:p w14:paraId="107C83A5" w14:textId="4A9F9BBA" w:rsidR="00C56333" w:rsidRPr="00C56333" w:rsidRDefault="00FF347E" w:rsidP="00C56333">
      <w:pPr>
        <w:pStyle w:val="ListParagraph"/>
        <w:numPr>
          <w:ilvl w:val="0"/>
          <w:numId w:val="39"/>
        </w:numPr>
        <w:rPr>
          <w:rFonts w:ascii="Times New Roman" w:hAnsi="Times New Roman" w:cs="Times New Roman"/>
          <w:bCs/>
          <w:sz w:val="24"/>
          <w:szCs w:val="24"/>
        </w:rPr>
      </w:pPr>
      <w:r>
        <w:rPr>
          <w:rFonts w:ascii="Times New Roman" w:hAnsi="Times New Roman" w:cs="Times New Roman"/>
          <w:bCs/>
          <w:sz w:val="24"/>
          <w:szCs w:val="24"/>
        </w:rPr>
        <w:t>Twenty</w:t>
      </w:r>
      <w:r w:rsidR="00C56333" w:rsidRPr="00C56333">
        <w:rPr>
          <w:rFonts w:ascii="Times New Roman" w:hAnsi="Times New Roman" w:cs="Times New Roman"/>
          <w:bCs/>
          <w:sz w:val="24"/>
          <w:szCs w:val="24"/>
        </w:rPr>
        <w:t xml:space="preserve"> (</w:t>
      </w:r>
      <w:r w:rsidR="002A4204">
        <w:rPr>
          <w:rFonts w:ascii="Times New Roman" w:hAnsi="Times New Roman" w:cs="Times New Roman"/>
          <w:bCs/>
          <w:sz w:val="24"/>
          <w:szCs w:val="24"/>
        </w:rPr>
        <w:t>20</w:t>
      </w:r>
      <w:r w:rsidR="00C56333" w:rsidRPr="00C56333">
        <w:rPr>
          <w:rFonts w:ascii="Times New Roman" w:hAnsi="Times New Roman" w:cs="Times New Roman"/>
          <w:bCs/>
          <w:sz w:val="24"/>
          <w:szCs w:val="24"/>
        </w:rPr>
        <w:t>) complaint/referral Inquiry case files</w:t>
      </w:r>
    </w:p>
    <w:p w14:paraId="13D2FB34" w14:textId="69CC4B13" w:rsidR="00C56333" w:rsidRPr="00C56333" w:rsidRDefault="00024142" w:rsidP="00C56333">
      <w:pPr>
        <w:pStyle w:val="ListParagraph"/>
        <w:numPr>
          <w:ilvl w:val="0"/>
          <w:numId w:val="39"/>
        </w:numPr>
        <w:rPr>
          <w:rFonts w:ascii="Times New Roman" w:hAnsi="Times New Roman" w:cs="Times New Roman"/>
          <w:bCs/>
          <w:sz w:val="24"/>
          <w:szCs w:val="24"/>
        </w:rPr>
      </w:pPr>
      <w:r>
        <w:rPr>
          <w:rFonts w:ascii="Times New Roman" w:hAnsi="Times New Roman" w:cs="Times New Roman"/>
          <w:bCs/>
          <w:sz w:val="24"/>
          <w:szCs w:val="24"/>
        </w:rPr>
        <w:t xml:space="preserve">Nine (9) </w:t>
      </w:r>
      <w:r w:rsidR="00FD1451">
        <w:rPr>
          <w:rFonts w:ascii="Times New Roman" w:hAnsi="Times New Roman" w:cs="Times New Roman"/>
          <w:bCs/>
          <w:sz w:val="24"/>
          <w:szCs w:val="24"/>
        </w:rPr>
        <w:t>docketed whistleblower complaint files</w:t>
      </w:r>
    </w:p>
    <w:p w14:paraId="7D172ABB" w14:textId="3E9DA606" w:rsidR="005A02B8" w:rsidRPr="006936D1" w:rsidRDefault="00FD1451" w:rsidP="00C56333">
      <w:pPr>
        <w:pStyle w:val="ListParagraph"/>
        <w:numPr>
          <w:ilvl w:val="0"/>
          <w:numId w:val="39"/>
        </w:numPr>
        <w:rPr>
          <w:bCs/>
        </w:rPr>
      </w:pPr>
      <w:r>
        <w:rPr>
          <w:rFonts w:ascii="Times New Roman" w:hAnsi="Times New Roman" w:cs="Times New Roman"/>
          <w:bCs/>
          <w:sz w:val="24"/>
          <w:szCs w:val="24"/>
        </w:rPr>
        <w:t>Nine</w:t>
      </w:r>
      <w:r w:rsidR="00C56333" w:rsidRPr="00C56333">
        <w:rPr>
          <w:rFonts w:ascii="Times New Roman" w:hAnsi="Times New Roman" w:cs="Times New Roman"/>
          <w:bCs/>
          <w:sz w:val="24"/>
          <w:szCs w:val="24"/>
        </w:rPr>
        <w:t xml:space="preserve"> (</w:t>
      </w:r>
      <w:r>
        <w:rPr>
          <w:rFonts w:ascii="Times New Roman" w:hAnsi="Times New Roman" w:cs="Times New Roman"/>
          <w:bCs/>
          <w:sz w:val="24"/>
          <w:szCs w:val="24"/>
        </w:rPr>
        <w:t>9</w:t>
      </w:r>
      <w:r w:rsidR="00C56333" w:rsidRPr="00C56333">
        <w:rPr>
          <w:rFonts w:ascii="Times New Roman" w:hAnsi="Times New Roman" w:cs="Times New Roman"/>
          <w:bCs/>
          <w:sz w:val="24"/>
          <w:szCs w:val="24"/>
        </w:rPr>
        <w:t xml:space="preserve">) </w:t>
      </w:r>
      <w:r>
        <w:rPr>
          <w:rFonts w:ascii="Times New Roman" w:hAnsi="Times New Roman" w:cs="Times New Roman"/>
          <w:bCs/>
          <w:sz w:val="24"/>
          <w:szCs w:val="24"/>
        </w:rPr>
        <w:t xml:space="preserve">administratively </w:t>
      </w:r>
      <w:r w:rsidR="00C56333" w:rsidRPr="00C56333">
        <w:rPr>
          <w:rFonts w:ascii="Times New Roman" w:hAnsi="Times New Roman" w:cs="Times New Roman"/>
          <w:bCs/>
          <w:sz w:val="24"/>
          <w:szCs w:val="24"/>
        </w:rPr>
        <w:t>closed whistleblower complaint files</w:t>
      </w:r>
      <w:r w:rsidR="005A02B8" w:rsidRPr="005A02B8">
        <w:rPr>
          <w:rFonts w:ascii="Times New Roman" w:hAnsi="Times New Roman" w:cs="Times New Roman"/>
          <w:bCs/>
          <w:sz w:val="24"/>
          <w:szCs w:val="24"/>
        </w:rPr>
        <w:t xml:space="preserve"> </w:t>
      </w:r>
    </w:p>
    <w:p w14:paraId="7CCF4DD4" w14:textId="77777777" w:rsidR="008B7258" w:rsidRDefault="008B7258" w:rsidP="008B7258">
      <w:pPr>
        <w:widowControl/>
        <w:autoSpaceDE/>
        <w:autoSpaceDN/>
        <w:adjustRightInd/>
        <w:rPr>
          <w:bCs/>
        </w:rPr>
      </w:pPr>
      <w:r>
        <w:rPr>
          <w:bCs/>
        </w:rPr>
        <w:t>The analyses and conclusions described in this report are based on information obtained from a variety of monitoring sources, including</w:t>
      </w:r>
      <w:r w:rsidR="00F0311C">
        <w:rPr>
          <w:bCs/>
        </w:rPr>
        <w:t xml:space="preserve"> the</w:t>
      </w:r>
      <w:r>
        <w:rPr>
          <w:bCs/>
        </w:rPr>
        <w:t>:</w:t>
      </w:r>
    </w:p>
    <w:p w14:paraId="37E9AEA2" w14:textId="77777777" w:rsidR="008B7258" w:rsidRDefault="008B7258" w:rsidP="008B7258">
      <w:pPr>
        <w:widowControl/>
        <w:autoSpaceDE/>
        <w:autoSpaceDN/>
        <w:adjustRightInd/>
        <w:rPr>
          <w:bCs/>
        </w:rPr>
      </w:pPr>
    </w:p>
    <w:p w14:paraId="1ADD56FE" w14:textId="77777777" w:rsidR="00D60A29" w:rsidRPr="00D60A29" w:rsidRDefault="008B7258" w:rsidP="000D34E1">
      <w:pPr>
        <w:pStyle w:val="ListParagraph"/>
        <w:numPr>
          <w:ilvl w:val="0"/>
          <w:numId w:val="38"/>
        </w:numPr>
        <w:ind w:left="900"/>
        <w:rPr>
          <w:rFonts w:ascii="Times New Roman" w:hAnsi="Times New Roman" w:cs="Times New Roman"/>
          <w:bCs/>
          <w:sz w:val="24"/>
          <w:szCs w:val="24"/>
        </w:rPr>
      </w:pPr>
      <w:r w:rsidRPr="00F91D79">
        <w:rPr>
          <w:rFonts w:ascii="Times New Roman" w:hAnsi="Times New Roman" w:cs="Times New Roman"/>
          <w:bCs/>
          <w:sz w:val="24"/>
          <w:szCs w:val="24"/>
        </w:rPr>
        <w:t>State Activity</w:t>
      </w:r>
      <w:r>
        <w:rPr>
          <w:rFonts w:ascii="Times New Roman" w:hAnsi="Times New Roman" w:cs="Times New Roman"/>
          <w:bCs/>
          <w:sz w:val="24"/>
          <w:szCs w:val="24"/>
        </w:rPr>
        <w:t xml:space="preserve"> Mandated Measures Report (Appendix D)</w:t>
      </w:r>
    </w:p>
    <w:p w14:paraId="385F1575" w14:textId="77777777" w:rsidR="008B7258" w:rsidRPr="00D60A29" w:rsidRDefault="008B7258" w:rsidP="000D34E1">
      <w:pPr>
        <w:pStyle w:val="ListParagraph"/>
        <w:numPr>
          <w:ilvl w:val="0"/>
          <w:numId w:val="38"/>
        </w:numPr>
        <w:ind w:left="900"/>
        <w:rPr>
          <w:rFonts w:ascii="Times New Roman" w:hAnsi="Times New Roman" w:cs="Times New Roman"/>
          <w:sz w:val="24"/>
          <w:szCs w:val="24"/>
        </w:rPr>
      </w:pPr>
      <w:r w:rsidRPr="00D60A29">
        <w:rPr>
          <w:rFonts w:ascii="Times New Roman" w:hAnsi="Times New Roman" w:cs="Times New Roman"/>
          <w:sz w:val="24"/>
          <w:szCs w:val="24"/>
        </w:rPr>
        <w:t xml:space="preserve">State Information Report </w:t>
      </w:r>
    </w:p>
    <w:p w14:paraId="32C6F269" w14:textId="77777777" w:rsidR="008B7258" w:rsidRDefault="008B7258" w:rsidP="000D34E1">
      <w:pPr>
        <w:pStyle w:val="ListParagraph"/>
        <w:numPr>
          <w:ilvl w:val="0"/>
          <w:numId w:val="38"/>
        </w:numPr>
        <w:ind w:left="900"/>
        <w:rPr>
          <w:rFonts w:ascii="Times New Roman" w:hAnsi="Times New Roman" w:cs="Times New Roman"/>
          <w:bCs/>
          <w:sz w:val="24"/>
          <w:szCs w:val="24"/>
        </w:rPr>
      </w:pPr>
      <w:r>
        <w:rPr>
          <w:rFonts w:ascii="Times New Roman" w:hAnsi="Times New Roman" w:cs="Times New Roman"/>
          <w:bCs/>
          <w:sz w:val="24"/>
          <w:szCs w:val="24"/>
        </w:rPr>
        <w:t xml:space="preserve">Mandated Activities Report for Consultation </w:t>
      </w:r>
    </w:p>
    <w:p w14:paraId="154E75DF" w14:textId="4A372187" w:rsidR="008B7258" w:rsidRPr="000D34E1" w:rsidRDefault="008B7258" w:rsidP="000D34E1">
      <w:pPr>
        <w:pStyle w:val="ListParagraph"/>
        <w:numPr>
          <w:ilvl w:val="0"/>
          <w:numId w:val="38"/>
        </w:numPr>
        <w:ind w:left="900"/>
        <w:rPr>
          <w:rFonts w:ascii="Times New Roman" w:hAnsi="Times New Roman" w:cs="Times New Roman"/>
          <w:bCs/>
          <w:sz w:val="24"/>
          <w:szCs w:val="24"/>
        </w:rPr>
      </w:pPr>
      <w:r>
        <w:rPr>
          <w:rFonts w:ascii="Times New Roman" w:hAnsi="Times New Roman" w:cs="Times New Roman"/>
          <w:bCs/>
          <w:sz w:val="24"/>
          <w:szCs w:val="24"/>
        </w:rPr>
        <w:t xml:space="preserve">State OSHA Annual Report </w:t>
      </w:r>
    </w:p>
    <w:p w14:paraId="7E0CA9AD" w14:textId="77777777" w:rsidR="008B7258" w:rsidRDefault="008B7258" w:rsidP="000D34E1">
      <w:pPr>
        <w:pStyle w:val="ListParagraph"/>
        <w:numPr>
          <w:ilvl w:val="0"/>
          <w:numId w:val="38"/>
        </w:numPr>
        <w:ind w:left="900"/>
        <w:rPr>
          <w:rFonts w:ascii="Times New Roman" w:hAnsi="Times New Roman" w:cs="Times New Roman"/>
          <w:bCs/>
          <w:sz w:val="24"/>
          <w:szCs w:val="24"/>
        </w:rPr>
      </w:pPr>
      <w:r>
        <w:rPr>
          <w:rFonts w:ascii="Times New Roman" w:hAnsi="Times New Roman" w:cs="Times New Roman"/>
          <w:bCs/>
          <w:sz w:val="24"/>
          <w:szCs w:val="24"/>
        </w:rPr>
        <w:t>State Plan Annual Performance Plan</w:t>
      </w:r>
    </w:p>
    <w:p w14:paraId="46D63E7E" w14:textId="77777777" w:rsidR="008B7258" w:rsidRDefault="008B7258" w:rsidP="000D34E1">
      <w:pPr>
        <w:pStyle w:val="ListParagraph"/>
        <w:numPr>
          <w:ilvl w:val="0"/>
          <w:numId w:val="38"/>
        </w:numPr>
        <w:ind w:left="900"/>
        <w:rPr>
          <w:rFonts w:ascii="Times New Roman" w:hAnsi="Times New Roman" w:cs="Times New Roman"/>
          <w:bCs/>
          <w:sz w:val="24"/>
          <w:szCs w:val="24"/>
        </w:rPr>
      </w:pPr>
      <w:r>
        <w:rPr>
          <w:rFonts w:ascii="Times New Roman" w:hAnsi="Times New Roman" w:cs="Times New Roman"/>
          <w:bCs/>
          <w:sz w:val="24"/>
          <w:szCs w:val="24"/>
        </w:rPr>
        <w:t xml:space="preserve">State Plan </w:t>
      </w:r>
      <w:r w:rsidR="0063159D">
        <w:rPr>
          <w:rFonts w:ascii="Times New Roman" w:hAnsi="Times New Roman" w:cs="Times New Roman"/>
          <w:bCs/>
          <w:sz w:val="24"/>
          <w:szCs w:val="24"/>
        </w:rPr>
        <w:t>G</w:t>
      </w:r>
      <w:r>
        <w:rPr>
          <w:rFonts w:ascii="Times New Roman" w:hAnsi="Times New Roman" w:cs="Times New Roman"/>
          <w:bCs/>
          <w:sz w:val="24"/>
          <w:szCs w:val="24"/>
        </w:rPr>
        <w:t xml:space="preserve">rant </w:t>
      </w:r>
      <w:r w:rsidR="00F0311C">
        <w:rPr>
          <w:rFonts w:ascii="Times New Roman" w:hAnsi="Times New Roman" w:cs="Times New Roman"/>
          <w:bCs/>
          <w:sz w:val="24"/>
          <w:szCs w:val="24"/>
        </w:rPr>
        <w:t>A</w:t>
      </w:r>
      <w:r>
        <w:rPr>
          <w:rFonts w:ascii="Times New Roman" w:hAnsi="Times New Roman" w:cs="Times New Roman"/>
          <w:bCs/>
          <w:sz w:val="24"/>
          <w:szCs w:val="24"/>
        </w:rPr>
        <w:t xml:space="preserve">pplication </w:t>
      </w:r>
    </w:p>
    <w:p w14:paraId="2428504D" w14:textId="77777777" w:rsidR="008B7258" w:rsidRDefault="008B7258" w:rsidP="000D34E1">
      <w:pPr>
        <w:pStyle w:val="ListParagraph"/>
        <w:numPr>
          <w:ilvl w:val="0"/>
          <w:numId w:val="38"/>
        </w:numPr>
        <w:ind w:left="900"/>
        <w:rPr>
          <w:rFonts w:ascii="Times New Roman" w:hAnsi="Times New Roman" w:cs="Times New Roman"/>
          <w:bCs/>
          <w:sz w:val="24"/>
          <w:szCs w:val="24"/>
        </w:rPr>
      </w:pPr>
      <w:r>
        <w:rPr>
          <w:rFonts w:ascii="Times New Roman" w:hAnsi="Times New Roman" w:cs="Times New Roman"/>
          <w:bCs/>
          <w:sz w:val="24"/>
          <w:szCs w:val="24"/>
        </w:rPr>
        <w:t>Quarterly monitoring meetings between OSHA and the State Plan</w:t>
      </w:r>
    </w:p>
    <w:p w14:paraId="399D5C5C" w14:textId="641EDB31" w:rsidR="005C203B" w:rsidRDefault="0079120E" w:rsidP="000D34E1">
      <w:pPr>
        <w:pStyle w:val="ListParagraph"/>
        <w:numPr>
          <w:ilvl w:val="0"/>
          <w:numId w:val="38"/>
        </w:numPr>
        <w:ind w:left="900"/>
        <w:rPr>
          <w:rFonts w:ascii="Times New Roman" w:hAnsi="Times New Roman" w:cs="Times New Roman"/>
          <w:bCs/>
          <w:sz w:val="24"/>
          <w:szCs w:val="24"/>
        </w:rPr>
      </w:pPr>
      <w:r>
        <w:rPr>
          <w:rFonts w:ascii="Times New Roman" w:hAnsi="Times New Roman" w:cs="Times New Roman"/>
          <w:bCs/>
          <w:iCs/>
          <w:sz w:val="24"/>
          <w:szCs w:val="24"/>
        </w:rPr>
        <w:t>Full</w:t>
      </w:r>
      <w:r w:rsidR="008B7258" w:rsidRPr="000D34E1">
        <w:rPr>
          <w:rFonts w:ascii="Times New Roman" w:hAnsi="Times New Roman" w:cs="Times New Roman"/>
          <w:bCs/>
          <w:i/>
          <w:sz w:val="24"/>
          <w:szCs w:val="24"/>
        </w:rPr>
        <w:t xml:space="preserve"> </w:t>
      </w:r>
      <w:r w:rsidR="008B7258" w:rsidRPr="000D34E1">
        <w:rPr>
          <w:rFonts w:ascii="Times New Roman" w:hAnsi="Times New Roman" w:cs="Times New Roman"/>
          <w:bCs/>
          <w:sz w:val="24"/>
          <w:szCs w:val="24"/>
        </w:rPr>
        <w:t>case file review</w:t>
      </w:r>
    </w:p>
    <w:p w14:paraId="64ED0CB6" w14:textId="00274A4F" w:rsidR="004766E7" w:rsidRDefault="004766E7" w:rsidP="000D34E1">
      <w:pPr>
        <w:tabs>
          <w:tab w:val="left" w:pos="0"/>
        </w:tabs>
      </w:pPr>
      <w:r w:rsidRPr="00D7654E">
        <w:t xml:space="preserve">Each </w:t>
      </w:r>
      <w:r w:rsidR="00311426" w:rsidRPr="00F91D79">
        <w:rPr>
          <w:bCs/>
        </w:rPr>
        <w:t>State Activity</w:t>
      </w:r>
      <w:r w:rsidR="00311426">
        <w:rPr>
          <w:bCs/>
        </w:rPr>
        <w:t xml:space="preserve"> Mandated Measures (</w:t>
      </w:r>
      <w:r w:rsidR="00311426" w:rsidRPr="00D7654E">
        <w:t>SAMM</w:t>
      </w:r>
      <w:r w:rsidR="00311426">
        <w:t>)</w:t>
      </w:r>
      <w:r w:rsidR="00311426" w:rsidRPr="00D7654E">
        <w:t xml:space="preserve"> </w:t>
      </w:r>
      <w:r w:rsidR="00311426">
        <w:rPr>
          <w:bCs/>
        </w:rPr>
        <w:t xml:space="preserve">Report </w:t>
      </w:r>
      <w:r w:rsidRPr="00D7654E">
        <w:t>has an agreed</w:t>
      </w:r>
      <w:r w:rsidR="005C203B">
        <w:t>-</w:t>
      </w:r>
      <w:r w:rsidRPr="00D7654E">
        <w:t xml:space="preserve">upon </w:t>
      </w:r>
      <w:r w:rsidR="00311426">
        <w:t>Further Review L</w:t>
      </w:r>
      <w:r>
        <w:t>evel (</w:t>
      </w:r>
      <w:r w:rsidRPr="00D7654E">
        <w:t>FRL</w:t>
      </w:r>
      <w:r>
        <w:t xml:space="preserve">) </w:t>
      </w:r>
      <w:r w:rsidRPr="00D7654E">
        <w:t xml:space="preserve">which can be either a single number, or a range of numbers above and below the national average.  State Plan SAMM data that falls outside the FRL triggers a closer look at the underlying performance of the mandatory activity.  </w:t>
      </w:r>
      <w:r w:rsidRPr="001E4F8A">
        <w:t xml:space="preserve">Appendix D presents the </w:t>
      </w:r>
      <w:r>
        <w:t xml:space="preserve">State Plan’s </w:t>
      </w:r>
      <w:r w:rsidRPr="001E4F8A">
        <w:t>FY 20</w:t>
      </w:r>
      <w:r w:rsidR="0079120E">
        <w:t>23</w:t>
      </w:r>
      <w:r w:rsidRPr="001E4F8A">
        <w:t xml:space="preserve"> State Activity Mandated Measures Report</w:t>
      </w:r>
      <w:r>
        <w:t xml:space="preserve"> and includes the FRL for each measure</w:t>
      </w:r>
      <w:r w:rsidRPr="001E4F8A">
        <w:t>.</w:t>
      </w:r>
    </w:p>
    <w:p w14:paraId="5787FEB9" w14:textId="02C56BE5" w:rsidR="00311426" w:rsidRPr="0079120E" w:rsidRDefault="00311426" w:rsidP="000D34E1">
      <w:pPr>
        <w:widowControl/>
        <w:autoSpaceDE/>
        <w:autoSpaceDN/>
        <w:adjustRightInd/>
        <w:rPr>
          <w:b/>
          <w:iCs/>
        </w:rPr>
      </w:pPr>
    </w:p>
    <w:p w14:paraId="1743D11B" w14:textId="77777777" w:rsidR="005A02B8" w:rsidRDefault="005A02B8" w:rsidP="00F931B1">
      <w:pPr>
        <w:pStyle w:val="ListParagraph"/>
        <w:numPr>
          <w:ilvl w:val="0"/>
          <w:numId w:val="36"/>
        </w:numPr>
        <w:tabs>
          <w:tab w:val="left" w:pos="360"/>
        </w:tabs>
        <w:spacing w:after="0" w:line="240" w:lineRule="auto"/>
        <w:ind w:left="360"/>
        <w:rPr>
          <w:rFonts w:ascii="Times New Roman" w:hAnsi="Times New Roman" w:cs="Times New Roman"/>
          <w:b/>
          <w:sz w:val="24"/>
          <w:szCs w:val="24"/>
        </w:rPr>
      </w:pPr>
      <w:r w:rsidRPr="00F931B1">
        <w:rPr>
          <w:rFonts w:ascii="Times New Roman" w:hAnsi="Times New Roman" w:cs="Times New Roman"/>
          <w:b/>
          <w:sz w:val="24"/>
          <w:szCs w:val="24"/>
        </w:rPr>
        <w:t>Review of State Plan Pe</w:t>
      </w:r>
      <w:r w:rsidRPr="0082610A">
        <w:rPr>
          <w:rFonts w:ascii="Times New Roman" w:hAnsi="Times New Roman" w:cs="Times New Roman"/>
          <w:b/>
          <w:sz w:val="24"/>
          <w:szCs w:val="24"/>
        </w:rPr>
        <w:t>rformance</w:t>
      </w:r>
      <w:r w:rsidRPr="00F931B1">
        <w:rPr>
          <w:rFonts w:ascii="Times New Roman" w:hAnsi="Times New Roman" w:cs="Times New Roman"/>
          <w:b/>
          <w:sz w:val="24"/>
          <w:szCs w:val="24"/>
        </w:rPr>
        <w:t xml:space="preserve"> </w:t>
      </w:r>
    </w:p>
    <w:p w14:paraId="1FB9C0BE" w14:textId="77777777" w:rsidR="005A02B8" w:rsidRDefault="005A02B8" w:rsidP="00F931B1">
      <w:pPr>
        <w:rPr>
          <w:i/>
        </w:rPr>
      </w:pPr>
    </w:p>
    <w:p w14:paraId="27D9C5BD" w14:textId="4271102F" w:rsidR="00782EEC" w:rsidRPr="0021558E" w:rsidRDefault="0021558E" w:rsidP="00FE0E18">
      <w:pPr>
        <w:tabs>
          <w:tab w:val="left" w:pos="900"/>
        </w:tabs>
        <w:spacing w:line="276" w:lineRule="auto"/>
        <w:rPr>
          <w:b/>
          <w:caps/>
        </w:rPr>
      </w:pPr>
      <w:r w:rsidRPr="0021558E">
        <w:rPr>
          <w:b/>
          <w:caps/>
        </w:rPr>
        <w:t>1.</w:t>
      </w:r>
      <w:r>
        <w:rPr>
          <w:b/>
          <w:caps/>
        </w:rPr>
        <w:t xml:space="preserve"> </w:t>
      </w:r>
      <w:r>
        <w:rPr>
          <w:b/>
          <w:caps/>
        </w:rPr>
        <w:tab/>
      </w:r>
      <w:r w:rsidR="00782EEC" w:rsidRPr="0021558E">
        <w:rPr>
          <w:b/>
          <w:caps/>
        </w:rPr>
        <w:t>PROGRAM Administration</w:t>
      </w:r>
    </w:p>
    <w:p w14:paraId="3C769AF9" w14:textId="77777777" w:rsidR="0021558E" w:rsidRPr="0021558E" w:rsidRDefault="0021558E" w:rsidP="00FE0E18">
      <w:pPr>
        <w:spacing w:line="276" w:lineRule="auto"/>
      </w:pPr>
    </w:p>
    <w:p w14:paraId="178D47F0" w14:textId="77777777" w:rsidR="00B20487" w:rsidRDefault="00782EEC" w:rsidP="00FE0E18">
      <w:pPr>
        <w:pStyle w:val="ListParagraph"/>
        <w:numPr>
          <w:ilvl w:val="0"/>
          <w:numId w:val="5"/>
        </w:numPr>
        <w:ind w:left="1260"/>
        <w:rPr>
          <w:rFonts w:ascii="Times New Roman" w:hAnsi="Times New Roman" w:cs="Times New Roman"/>
          <w:sz w:val="24"/>
          <w:szCs w:val="24"/>
        </w:rPr>
      </w:pPr>
      <w:r w:rsidRPr="00F23EDB">
        <w:rPr>
          <w:rFonts w:ascii="Times New Roman" w:hAnsi="Times New Roman" w:cs="Times New Roman"/>
          <w:sz w:val="24"/>
          <w:szCs w:val="24"/>
        </w:rPr>
        <w:t xml:space="preserve">Training </w:t>
      </w:r>
    </w:p>
    <w:p w14:paraId="6883B4A8" w14:textId="2368E39C" w:rsidR="005A02B8" w:rsidRDefault="00CD7E80" w:rsidP="00FE0E18">
      <w:pPr>
        <w:spacing w:line="276" w:lineRule="auto"/>
        <w:ind w:left="1260"/>
      </w:pPr>
      <w:r>
        <w:t>IL OSHA</w:t>
      </w:r>
      <w:r w:rsidR="00B20487" w:rsidRPr="00B20487">
        <w:t xml:space="preserve"> follows OSHA’s policy and guidelines for implementing competency-based training programs for compliance personnel (TED 01-00-019 Mandatory Training Program for OSHA Compliance Personnel). </w:t>
      </w:r>
      <w:r w:rsidR="00641609">
        <w:t xml:space="preserve"> </w:t>
      </w:r>
      <w:r w:rsidR="00B20487" w:rsidRPr="00B20487">
        <w:t xml:space="preserve">New compliance personnel attend, at a minimum, two initial courses in their first year and six courses specific to their job classification by the end of their third year. </w:t>
      </w:r>
      <w:r w:rsidR="00641609">
        <w:t xml:space="preserve"> </w:t>
      </w:r>
      <w:r w:rsidR="00B20487" w:rsidRPr="00B20487">
        <w:t>The staff attends the required training normally hosted at the OSHA Training Institute (OTI), located in Arlington Heights, Illinois.  Additionally, other opportunities outside of the organization are made available when it would improve staff knowledge and performance.</w:t>
      </w:r>
      <w:r w:rsidR="00B20487">
        <w:t xml:space="preserve"> </w:t>
      </w:r>
    </w:p>
    <w:p w14:paraId="596F058C" w14:textId="77777777" w:rsidR="00B5120E" w:rsidRPr="00B20487" w:rsidRDefault="00B5120E" w:rsidP="00FE0E18">
      <w:pPr>
        <w:spacing w:line="276" w:lineRule="auto"/>
        <w:ind w:left="1260"/>
      </w:pPr>
    </w:p>
    <w:p w14:paraId="65EAF404" w14:textId="77777777" w:rsidR="00B5120E" w:rsidRDefault="00782EEC" w:rsidP="00FE0E18">
      <w:pPr>
        <w:pStyle w:val="ListParagraph"/>
        <w:numPr>
          <w:ilvl w:val="0"/>
          <w:numId w:val="5"/>
        </w:numPr>
        <w:ind w:left="1260"/>
        <w:rPr>
          <w:rFonts w:ascii="Times New Roman" w:hAnsi="Times New Roman" w:cs="Times New Roman"/>
          <w:sz w:val="24"/>
          <w:szCs w:val="24"/>
        </w:rPr>
      </w:pPr>
      <w:r w:rsidRPr="00F23EDB">
        <w:rPr>
          <w:rFonts w:ascii="Times New Roman" w:hAnsi="Times New Roman" w:cs="Times New Roman"/>
          <w:sz w:val="24"/>
          <w:szCs w:val="24"/>
        </w:rPr>
        <w:t xml:space="preserve">OSHA Information System </w:t>
      </w:r>
    </w:p>
    <w:p w14:paraId="39873697" w14:textId="09F09B8F" w:rsidR="003B056F" w:rsidRDefault="00CD7E80" w:rsidP="00FE0E18">
      <w:pPr>
        <w:spacing w:line="276" w:lineRule="auto"/>
        <w:ind w:left="1260"/>
      </w:pPr>
      <w:r>
        <w:t>IL OSHA</w:t>
      </w:r>
      <w:r w:rsidR="003B056F" w:rsidRPr="003B056F">
        <w:t xml:space="preserve"> strives to operate a paperless a program, with the use of OIS integral to the process. </w:t>
      </w:r>
      <w:r w:rsidR="00641609">
        <w:t xml:space="preserve"> </w:t>
      </w:r>
      <w:r w:rsidR="003B056F" w:rsidRPr="003B056F">
        <w:t>Complaint and fatality intakes, assignments, case file processing, and many other operations are performed in OIS.</w:t>
      </w:r>
    </w:p>
    <w:p w14:paraId="7F6E2187" w14:textId="77777777" w:rsidR="003B056F" w:rsidRDefault="003B056F" w:rsidP="00FE0E18">
      <w:pPr>
        <w:spacing w:line="276" w:lineRule="auto"/>
        <w:ind w:left="1260"/>
      </w:pPr>
    </w:p>
    <w:p w14:paraId="211882DA" w14:textId="1F200692" w:rsidR="002B217D" w:rsidRDefault="002B217D" w:rsidP="00FE0E18">
      <w:pPr>
        <w:spacing w:line="276" w:lineRule="auto"/>
        <w:ind w:left="1260"/>
      </w:pPr>
      <w:r w:rsidRPr="002B217D">
        <w:lastRenderedPageBreak/>
        <w:t>In FY 202</w:t>
      </w:r>
      <w:r w:rsidR="00F5208F">
        <w:t>3</w:t>
      </w:r>
      <w:r w:rsidRPr="002B217D">
        <w:t xml:space="preserve">, </w:t>
      </w:r>
      <w:r w:rsidR="00CD7E80">
        <w:t>IL OSHA</w:t>
      </w:r>
      <w:r w:rsidRPr="002B217D">
        <w:t xml:space="preserve"> received </w:t>
      </w:r>
      <w:r w:rsidR="00176573">
        <w:t>498</w:t>
      </w:r>
      <w:r w:rsidRPr="002B217D">
        <w:t xml:space="preserve"> complaints, fatality/catastrophe reports, and referrals. Of these, </w:t>
      </w:r>
      <w:r w:rsidR="00CC7155">
        <w:t>4</w:t>
      </w:r>
      <w:r w:rsidR="00B44DFF">
        <w:t>6</w:t>
      </w:r>
      <w:r w:rsidRPr="002B217D">
        <w:t xml:space="preserve"> resulted in on-site inspections and 1</w:t>
      </w:r>
      <w:r w:rsidR="00D50357">
        <w:t>59</w:t>
      </w:r>
      <w:r w:rsidRPr="002B217D">
        <w:t xml:space="preserve"> were processed as non-formal complaints via the inquiry process. (Source: UPA Auditing report dated </w:t>
      </w:r>
      <w:r w:rsidR="00A45E3D">
        <w:t>March</w:t>
      </w:r>
      <w:r w:rsidRPr="002B217D">
        <w:t xml:space="preserve"> </w:t>
      </w:r>
      <w:r w:rsidR="00A45E3D">
        <w:t>4</w:t>
      </w:r>
      <w:r w:rsidRPr="002B217D">
        <w:t>, 202</w:t>
      </w:r>
      <w:r w:rsidR="00A45E3D">
        <w:t>4</w:t>
      </w:r>
      <w:r w:rsidRPr="002B217D">
        <w:t>)</w:t>
      </w:r>
    </w:p>
    <w:p w14:paraId="207A8EF6" w14:textId="77777777" w:rsidR="002B217D" w:rsidRDefault="002B217D" w:rsidP="00FE0E18">
      <w:pPr>
        <w:spacing w:line="276" w:lineRule="auto"/>
        <w:ind w:left="1260"/>
      </w:pPr>
    </w:p>
    <w:p w14:paraId="082A2062" w14:textId="77777777" w:rsidR="007B3929" w:rsidRDefault="00782EEC" w:rsidP="00FE0E18">
      <w:pPr>
        <w:pStyle w:val="ListParagraph"/>
        <w:numPr>
          <w:ilvl w:val="0"/>
          <w:numId w:val="5"/>
        </w:numPr>
        <w:ind w:left="1260"/>
        <w:rPr>
          <w:rFonts w:ascii="Times New Roman" w:hAnsi="Times New Roman" w:cs="Times New Roman"/>
          <w:sz w:val="24"/>
          <w:szCs w:val="24"/>
        </w:rPr>
      </w:pPr>
      <w:r w:rsidRPr="00F23EDB">
        <w:rPr>
          <w:rFonts w:ascii="Times New Roman" w:hAnsi="Times New Roman" w:cs="Times New Roman"/>
          <w:sz w:val="24"/>
          <w:szCs w:val="24"/>
        </w:rPr>
        <w:t>State Internal Evaluation Program Repor</w:t>
      </w:r>
      <w:r w:rsidR="00F66AFB">
        <w:rPr>
          <w:rFonts w:ascii="Times New Roman" w:hAnsi="Times New Roman" w:cs="Times New Roman"/>
          <w:sz w:val="24"/>
          <w:szCs w:val="24"/>
        </w:rPr>
        <w:t>t</w:t>
      </w:r>
    </w:p>
    <w:p w14:paraId="7AE34979" w14:textId="6E8C8627" w:rsidR="008C1090" w:rsidRDefault="008C1090" w:rsidP="00FE0E18">
      <w:pPr>
        <w:spacing w:line="276" w:lineRule="auto"/>
        <w:ind w:left="1260"/>
      </w:pPr>
      <w:r>
        <w:t xml:space="preserve">In FY 2023 </w:t>
      </w:r>
      <w:r w:rsidR="00CD7E80">
        <w:t>IL OSHA</w:t>
      </w:r>
      <w:r>
        <w:t xml:space="preserve">'s enforcement program had external audits and oversight from the Chief Internal Auditor of the Illinois Department of Labor in accordance with the Fiscal Control and Internal Auditing Act (30 ILCS 10/2003) to assure proper fiscal and administrative controls. </w:t>
      </w:r>
      <w:r w:rsidR="00641609">
        <w:t xml:space="preserve"> </w:t>
      </w:r>
      <w:r>
        <w:t>Multiple audits were conducted during the year by external State Auditing entities and are made available upon request to the State Plan Monitor and OSHA Region V.</w:t>
      </w:r>
    </w:p>
    <w:p w14:paraId="7C86A8A8" w14:textId="77777777" w:rsidR="008C1090" w:rsidRDefault="008C1090" w:rsidP="00FE0E18">
      <w:pPr>
        <w:spacing w:line="276" w:lineRule="auto"/>
        <w:ind w:left="1260"/>
      </w:pPr>
    </w:p>
    <w:p w14:paraId="36370747" w14:textId="72E74634" w:rsidR="00876C2D" w:rsidRDefault="008C1090" w:rsidP="00FE0E18">
      <w:pPr>
        <w:spacing w:line="276" w:lineRule="auto"/>
        <w:ind w:left="1260"/>
      </w:pPr>
      <w:r>
        <w:t xml:space="preserve">Internally </w:t>
      </w:r>
      <w:r w:rsidR="00CD7E80">
        <w:t>IL OSHA</w:t>
      </w:r>
      <w:r>
        <w:t xml:space="preserve"> runs a continuous and ongoing auditing program.  Reports</w:t>
      </w:r>
      <w:r w:rsidR="001E06E2">
        <w:t>,</w:t>
      </w:r>
      <w:r>
        <w:t xml:space="preserve"> evaluating operations</w:t>
      </w:r>
      <w:r w:rsidR="001E06E2">
        <w:t>,</w:t>
      </w:r>
      <w:r>
        <w:t xml:space="preserve"> are run weekly, monthly, and quarterly utilizing the ‘Reports’ functions built into OIS as well as reports run by the financial operations team.  The internal audits are utilized to evaluate and monitor the effectiveness of the operations at all operational levels to include </w:t>
      </w:r>
      <w:r w:rsidR="001E06E2">
        <w:t>financial and</w:t>
      </w:r>
      <w:r>
        <w:t xml:space="preserve"> annual goals.</w:t>
      </w:r>
    </w:p>
    <w:p w14:paraId="1C1D6C0D" w14:textId="77777777" w:rsidR="008C1090" w:rsidRPr="007B3929" w:rsidRDefault="008C1090" w:rsidP="00FE0E18">
      <w:pPr>
        <w:spacing w:line="276" w:lineRule="auto"/>
        <w:ind w:left="1260"/>
      </w:pPr>
    </w:p>
    <w:p w14:paraId="781EF72C" w14:textId="77777777" w:rsidR="00782EEC" w:rsidRDefault="00F66AFB" w:rsidP="00FE0E18">
      <w:pPr>
        <w:pStyle w:val="ListParagraph"/>
        <w:numPr>
          <w:ilvl w:val="0"/>
          <w:numId w:val="5"/>
        </w:numPr>
        <w:ind w:left="1260"/>
        <w:rPr>
          <w:rFonts w:ascii="Times New Roman" w:hAnsi="Times New Roman" w:cs="Times New Roman"/>
          <w:sz w:val="24"/>
          <w:szCs w:val="24"/>
        </w:rPr>
      </w:pPr>
      <w:r>
        <w:rPr>
          <w:rFonts w:ascii="Times New Roman" w:hAnsi="Times New Roman" w:cs="Times New Roman"/>
          <w:sz w:val="24"/>
          <w:szCs w:val="24"/>
        </w:rPr>
        <w:t>Staffing</w:t>
      </w:r>
      <w:r w:rsidR="005C203B">
        <w:rPr>
          <w:rFonts w:ascii="Times New Roman" w:hAnsi="Times New Roman" w:cs="Times New Roman"/>
          <w:sz w:val="24"/>
          <w:szCs w:val="24"/>
        </w:rPr>
        <w:t xml:space="preserve"> </w:t>
      </w:r>
    </w:p>
    <w:p w14:paraId="19B36FB3" w14:textId="777E5284" w:rsidR="00883729" w:rsidRDefault="00875037" w:rsidP="00FE0E18">
      <w:pPr>
        <w:spacing w:line="276" w:lineRule="auto"/>
        <w:ind w:left="1260"/>
      </w:pPr>
      <w:r w:rsidRPr="00875037">
        <w:t xml:space="preserve">The </w:t>
      </w:r>
      <w:r w:rsidR="00CD7E80">
        <w:t>IL OSHA</w:t>
      </w:r>
      <w:r w:rsidRPr="00875037">
        <w:t xml:space="preserve"> organizational staffing includes a </w:t>
      </w:r>
      <w:r w:rsidR="00DC7D77">
        <w:t>d</w:t>
      </w:r>
      <w:r w:rsidR="00BB4E79" w:rsidRPr="00BB4E79">
        <w:t xml:space="preserve">ivision </w:t>
      </w:r>
      <w:r w:rsidR="00DC7D77">
        <w:t>c</w:t>
      </w:r>
      <w:r w:rsidR="00BB4E79" w:rsidRPr="00BB4E79">
        <w:t xml:space="preserve">hief, two </w:t>
      </w:r>
      <w:r w:rsidR="00DC7D77">
        <w:t>r</w:t>
      </w:r>
      <w:r w:rsidR="00BB4E79" w:rsidRPr="00BB4E79">
        <w:t xml:space="preserve">egional </w:t>
      </w:r>
      <w:r w:rsidR="00DC7D77">
        <w:t>e</w:t>
      </w:r>
      <w:r w:rsidR="00BB4E79" w:rsidRPr="00BB4E79">
        <w:t xml:space="preserve">nforcement </w:t>
      </w:r>
      <w:r w:rsidR="00DC7D77">
        <w:t>m</w:t>
      </w:r>
      <w:r w:rsidR="00BB4E79" w:rsidRPr="00BB4E79">
        <w:t xml:space="preserve">anagers, one </w:t>
      </w:r>
      <w:r w:rsidR="00DC7D77">
        <w:t>a</w:t>
      </w:r>
      <w:r w:rsidR="00BB4E79" w:rsidRPr="00BB4E79">
        <w:t xml:space="preserve">dministrative </w:t>
      </w:r>
      <w:r w:rsidR="00DC7D77">
        <w:t>a</w:t>
      </w:r>
      <w:r w:rsidR="00BB4E79" w:rsidRPr="00BB4E79">
        <w:t xml:space="preserve">ssistant, one </w:t>
      </w:r>
      <w:r w:rsidR="00DC7D77">
        <w:t>o</w:t>
      </w:r>
      <w:r w:rsidR="00BB4E79" w:rsidRPr="00BB4E79">
        <w:t xml:space="preserve">ffice </w:t>
      </w:r>
      <w:r w:rsidR="00C85340">
        <w:t>a</w:t>
      </w:r>
      <w:r w:rsidR="00BB4E79" w:rsidRPr="00BB4E79">
        <w:t xml:space="preserve">ssociate, 11 </w:t>
      </w:r>
      <w:r w:rsidR="00DC7D77">
        <w:t>p</w:t>
      </w:r>
      <w:r w:rsidR="00BB4E79" w:rsidRPr="00BB4E79">
        <w:t xml:space="preserve">ublic </w:t>
      </w:r>
      <w:r w:rsidR="00DC7D77">
        <w:t>s</w:t>
      </w:r>
      <w:r w:rsidR="00BB4E79" w:rsidRPr="00BB4E79">
        <w:t xml:space="preserve">afety </w:t>
      </w:r>
      <w:r w:rsidR="00DC7D77">
        <w:t>i</w:t>
      </w:r>
      <w:r w:rsidR="00BB4E79" w:rsidRPr="00BB4E79">
        <w:t xml:space="preserve">nspectors, three </w:t>
      </w:r>
      <w:r w:rsidR="00DC7D77">
        <w:t>i</w:t>
      </w:r>
      <w:r w:rsidR="00BB4E79" w:rsidRPr="00BB4E79">
        <w:t xml:space="preserve">ndustrial </w:t>
      </w:r>
      <w:r w:rsidR="00DC7D77">
        <w:t>h</w:t>
      </w:r>
      <w:r w:rsidR="00BB4E79" w:rsidRPr="00BB4E79">
        <w:t xml:space="preserve">ygienists, </w:t>
      </w:r>
      <w:r w:rsidR="00C0042B" w:rsidRPr="00BB4E79">
        <w:t xml:space="preserve">an </w:t>
      </w:r>
      <w:r w:rsidR="00C0042B">
        <w:t>o</w:t>
      </w:r>
      <w:r w:rsidR="00C0042B" w:rsidRPr="00BB4E79">
        <w:t xml:space="preserve">ccupational </w:t>
      </w:r>
      <w:r w:rsidR="00C0042B">
        <w:t>s</w:t>
      </w:r>
      <w:r w:rsidR="00C0042B" w:rsidRPr="00BB4E79">
        <w:t xml:space="preserve">afety and </w:t>
      </w:r>
      <w:r w:rsidR="00C0042B">
        <w:t>h</w:t>
      </w:r>
      <w:r w:rsidR="00C0042B" w:rsidRPr="00BB4E79">
        <w:t xml:space="preserve">ealth (OSH) </w:t>
      </w:r>
      <w:r w:rsidR="00C0042B">
        <w:t>c</w:t>
      </w:r>
      <w:r w:rsidR="00C0042B" w:rsidRPr="00BB4E79">
        <w:t xml:space="preserve">oordinator, and a </w:t>
      </w:r>
      <w:r w:rsidR="00C0042B">
        <w:t>m</w:t>
      </w:r>
      <w:r w:rsidR="00C0042B" w:rsidRPr="00BB4E79">
        <w:t xml:space="preserve">arketing and </w:t>
      </w:r>
      <w:r w:rsidR="00C0042B">
        <w:t>o</w:t>
      </w:r>
      <w:r w:rsidR="00C0042B" w:rsidRPr="00BB4E79">
        <w:t xml:space="preserve">utreach </w:t>
      </w:r>
      <w:r w:rsidR="00C0042B">
        <w:t>c</w:t>
      </w:r>
      <w:r w:rsidR="00C0042B" w:rsidRPr="00BB4E79">
        <w:t>oordinator.</w:t>
      </w:r>
      <w:r w:rsidR="00C0042B">
        <w:t xml:space="preserve">  </w:t>
      </w:r>
      <w:r w:rsidR="00691CD0" w:rsidRPr="00691CD0">
        <w:t xml:space="preserve">Consultation support is provided by two consultation supervisors, two safety and two health consultants who split time between the 23(g) and the 21(d) consultation programs.  The </w:t>
      </w:r>
      <w:r w:rsidR="00CD7E80">
        <w:t>IL OSHA</w:t>
      </w:r>
      <w:r w:rsidR="00691CD0" w:rsidRPr="00691CD0">
        <w:t xml:space="preserve"> program is comprised of 19.</w:t>
      </w:r>
      <w:r w:rsidR="008C5053">
        <w:t>35</w:t>
      </w:r>
      <w:r w:rsidR="00691CD0" w:rsidRPr="00691CD0">
        <w:t xml:space="preserve"> full-time equivalent (FTE) staffing positions.</w:t>
      </w:r>
    </w:p>
    <w:p w14:paraId="4DCC7C87" w14:textId="77777777" w:rsidR="00C80921" w:rsidRDefault="00C80921" w:rsidP="00FE0E18">
      <w:pPr>
        <w:spacing w:line="276" w:lineRule="auto"/>
        <w:ind w:left="1260"/>
      </w:pPr>
    </w:p>
    <w:p w14:paraId="1FFA64A3" w14:textId="55D3A1A0" w:rsidR="00630ACC" w:rsidRDefault="00630ACC" w:rsidP="00FE0E18">
      <w:pPr>
        <w:spacing w:line="276" w:lineRule="auto"/>
        <w:ind w:left="1260"/>
      </w:pPr>
      <w:r>
        <w:t xml:space="preserve">In </w:t>
      </w:r>
      <w:r w:rsidR="00CB7EC5">
        <w:t>FY 2023 t</w:t>
      </w:r>
      <w:r>
        <w:t xml:space="preserve">he whistleblower protection operations </w:t>
      </w:r>
      <w:r w:rsidR="0089169C">
        <w:t>were</w:t>
      </w:r>
      <w:r w:rsidR="00DF3920">
        <w:t xml:space="preserve"> </w:t>
      </w:r>
      <w:r w:rsidR="0089169C">
        <w:t xml:space="preserve">supervised </w:t>
      </w:r>
      <w:r w:rsidR="00DF3920">
        <w:t xml:space="preserve">by </w:t>
      </w:r>
      <w:r>
        <w:t xml:space="preserve">the </w:t>
      </w:r>
      <w:r w:rsidR="002F717A">
        <w:t xml:space="preserve">OSH coordinator </w:t>
      </w:r>
      <w:r>
        <w:t xml:space="preserve">with shared resources comprising two safety inspectors who split their time.  </w:t>
      </w:r>
    </w:p>
    <w:p w14:paraId="63F38DCA" w14:textId="77777777" w:rsidR="00630ACC" w:rsidRDefault="00630ACC" w:rsidP="00FE0E18">
      <w:pPr>
        <w:spacing w:line="276" w:lineRule="auto"/>
        <w:ind w:left="1260"/>
      </w:pPr>
    </w:p>
    <w:p w14:paraId="73B9A7F0" w14:textId="4A8FD7C2" w:rsidR="00C80921" w:rsidRDefault="00973880" w:rsidP="00FE0E18">
      <w:pPr>
        <w:spacing w:line="276" w:lineRule="auto"/>
        <w:ind w:left="1260"/>
      </w:pPr>
      <w:r>
        <w:t>I</w:t>
      </w:r>
      <w:r w:rsidR="00A049E9">
        <w:t xml:space="preserve">n FY 2023 </w:t>
      </w:r>
      <w:r w:rsidR="00CD7E80">
        <w:t>IL OSHA</w:t>
      </w:r>
      <w:r w:rsidR="00A049E9">
        <w:t xml:space="preserve"> had </w:t>
      </w:r>
      <w:r>
        <w:t xml:space="preserve">staffing </w:t>
      </w:r>
      <w:r w:rsidR="00A049E9">
        <w:t>change</w:t>
      </w:r>
      <w:r>
        <w:t xml:space="preserve">s and/or </w:t>
      </w:r>
      <w:r w:rsidR="00A049E9">
        <w:t>turnover in 10 different positions</w:t>
      </w:r>
      <w:r w:rsidR="006870EF">
        <w:t xml:space="preserve"> throughout the year</w:t>
      </w:r>
      <w:r w:rsidR="00630ACC">
        <w:t xml:space="preserve">.  </w:t>
      </w:r>
      <w:r w:rsidR="000B64F9">
        <w:t xml:space="preserve">At the start of the year </w:t>
      </w:r>
      <w:r w:rsidR="005A4DD8">
        <w:t xml:space="preserve">there were </w:t>
      </w:r>
      <w:r>
        <w:t>eight</w:t>
      </w:r>
      <w:r w:rsidR="005A4DD8">
        <w:t xml:space="preserve"> vacant positions and</w:t>
      </w:r>
      <w:r w:rsidR="00F93069">
        <w:t>,</w:t>
      </w:r>
      <w:r w:rsidR="005A4DD8">
        <w:t xml:space="preserve"> despite the </w:t>
      </w:r>
      <w:r w:rsidR="001763B5">
        <w:t>higher-than-expected</w:t>
      </w:r>
      <w:r w:rsidR="005A4DD8">
        <w:t xml:space="preserve"> turnover</w:t>
      </w:r>
      <w:r w:rsidR="00F93069">
        <w:t>,</w:t>
      </w:r>
      <w:r w:rsidR="005A4DD8">
        <w:t xml:space="preserve"> </w:t>
      </w:r>
      <w:r w:rsidR="006E2DD9">
        <w:t xml:space="preserve">finished the year with five </w:t>
      </w:r>
      <w:r w:rsidR="00A671C5">
        <w:t>vacancies:</w:t>
      </w:r>
      <w:r w:rsidR="006E2DD9">
        <w:t xml:space="preserve"> </w:t>
      </w:r>
      <w:r>
        <w:t>three</w:t>
      </w:r>
      <w:r w:rsidR="006E2DD9">
        <w:t xml:space="preserve"> safety and </w:t>
      </w:r>
      <w:r>
        <w:t>two</w:t>
      </w:r>
      <w:r w:rsidR="006E2DD9">
        <w:t xml:space="preserve"> industrial hygiene </w:t>
      </w:r>
      <w:r w:rsidR="001763B5">
        <w:t xml:space="preserve">inspector positions.  </w:t>
      </w:r>
      <w:r w:rsidR="00CD7E80">
        <w:t>IL OSHA</w:t>
      </w:r>
      <w:r w:rsidR="00A671C5">
        <w:t xml:space="preserve"> is committed to filling all vacant positions</w:t>
      </w:r>
      <w:r>
        <w:t>.</w:t>
      </w:r>
    </w:p>
    <w:p w14:paraId="59DFC186" w14:textId="77777777" w:rsidR="00883729" w:rsidRPr="00883729" w:rsidRDefault="00883729" w:rsidP="00FE0E18">
      <w:pPr>
        <w:spacing w:line="276" w:lineRule="auto"/>
      </w:pPr>
    </w:p>
    <w:p w14:paraId="56FD3EA8" w14:textId="77777777" w:rsidR="00782EEC" w:rsidRDefault="005A02B8" w:rsidP="00FE0E18">
      <w:pPr>
        <w:spacing w:line="276" w:lineRule="auto"/>
        <w:ind w:left="1080" w:hanging="720"/>
        <w:contextualSpacing/>
        <w:rPr>
          <w:b/>
          <w:smallCaps/>
        </w:rPr>
      </w:pPr>
      <w:r>
        <w:rPr>
          <w:b/>
          <w:smallCaps/>
        </w:rPr>
        <w:t>2</w:t>
      </w:r>
      <w:r w:rsidR="00782EEC" w:rsidRPr="008B1863">
        <w:rPr>
          <w:b/>
          <w:smallCaps/>
        </w:rPr>
        <w:t xml:space="preserve">. </w:t>
      </w:r>
      <w:r>
        <w:rPr>
          <w:b/>
          <w:smallCaps/>
        </w:rPr>
        <w:t xml:space="preserve">     </w:t>
      </w:r>
      <w:r w:rsidR="00782EEC" w:rsidRPr="008B1863">
        <w:rPr>
          <w:b/>
          <w:smallCaps/>
        </w:rPr>
        <w:t>ENFORCEMENT</w:t>
      </w:r>
    </w:p>
    <w:p w14:paraId="3698BA07" w14:textId="77777777" w:rsidR="000C5C62" w:rsidRDefault="000C5C62" w:rsidP="00FE0E18">
      <w:pPr>
        <w:spacing w:line="276" w:lineRule="auto"/>
        <w:ind w:left="1080" w:hanging="720"/>
        <w:contextualSpacing/>
        <w:rPr>
          <w:b/>
          <w:smallCaps/>
        </w:rPr>
      </w:pPr>
    </w:p>
    <w:p w14:paraId="6196FB28" w14:textId="04757386" w:rsidR="000C5C62" w:rsidRDefault="00CD7E80" w:rsidP="00FE0E18">
      <w:pPr>
        <w:spacing w:line="276" w:lineRule="auto"/>
        <w:ind w:left="360"/>
      </w:pPr>
      <w:r>
        <w:t>IL OSHA</w:t>
      </w:r>
      <w:r w:rsidR="000C5C62" w:rsidRPr="00A01575">
        <w:t xml:space="preserve"> enforces safety and health standards only in state and local government workplaces. In FY 202</w:t>
      </w:r>
      <w:r w:rsidR="00730B03">
        <w:t>3</w:t>
      </w:r>
      <w:r w:rsidR="000C5C62" w:rsidRPr="00A01575">
        <w:t xml:space="preserve">, </w:t>
      </w:r>
      <w:r>
        <w:t>IL OSHA</w:t>
      </w:r>
      <w:r w:rsidR="000C5C62" w:rsidRPr="00A01575">
        <w:t xml:space="preserve"> conducted </w:t>
      </w:r>
      <w:r w:rsidR="001619B3">
        <w:t>315</w:t>
      </w:r>
      <w:r w:rsidR="000C5C62" w:rsidRPr="00A01575">
        <w:t xml:space="preserve"> inspections: </w:t>
      </w:r>
      <w:r w:rsidR="001619B3">
        <w:t>206</w:t>
      </w:r>
      <w:r w:rsidR="000C5C62" w:rsidRPr="00A01575">
        <w:t xml:space="preserve"> safety and </w:t>
      </w:r>
      <w:r w:rsidR="001619B3">
        <w:t>109</w:t>
      </w:r>
      <w:r w:rsidR="000C5C62" w:rsidRPr="00A01575">
        <w:t xml:space="preserve"> health, with no denials of entry in inspections. (Source: Appendix D – FY 202</w:t>
      </w:r>
      <w:r w:rsidR="001619B3">
        <w:t>3</w:t>
      </w:r>
      <w:r w:rsidR="000C5C62" w:rsidRPr="00A01575">
        <w:t xml:space="preserve"> State Mandated Measures (SAMM) Report, SAMM #4, </w:t>
      </w:r>
      <w:r w:rsidR="000C5C62" w:rsidRPr="00A01575">
        <w:lastRenderedPageBreak/>
        <w:t xml:space="preserve">#7a and #7b) Of the </w:t>
      </w:r>
      <w:r w:rsidR="001619B3">
        <w:t>315</w:t>
      </w:r>
      <w:r w:rsidR="000C5C62" w:rsidRPr="00A01575">
        <w:t xml:space="preserve"> inspections, </w:t>
      </w:r>
      <w:r w:rsidR="005E5539">
        <w:t>229</w:t>
      </w:r>
      <w:r w:rsidR="000C5C62" w:rsidRPr="00A01575">
        <w:t xml:space="preserve"> were programmed and </w:t>
      </w:r>
      <w:r w:rsidR="005E5539">
        <w:t>86</w:t>
      </w:r>
      <w:r w:rsidR="000C5C62" w:rsidRPr="00A01575">
        <w:t xml:space="preserve"> were unprogrammed, which consists of complaints, referrals, follow-up, injury, and fatality inspections.  (Source: Inspection Summary Report dated January </w:t>
      </w:r>
      <w:r w:rsidR="00C32CBE">
        <w:t>18</w:t>
      </w:r>
      <w:r w:rsidR="000C5C62" w:rsidRPr="00A01575">
        <w:t>, 202</w:t>
      </w:r>
      <w:r w:rsidR="00C32CBE">
        <w:t>4</w:t>
      </w:r>
      <w:r w:rsidR="000C5C62" w:rsidRPr="00A01575">
        <w:t>)</w:t>
      </w:r>
    </w:p>
    <w:p w14:paraId="589E0C66" w14:textId="77777777" w:rsidR="00A01575" w:rsidRPr="00A01575" w:rsidRDefault="00A01575" w:rsidP="00FE0E18">
      <w:pPr>
        <w:spacing w:line="276" w:lineRule="auto"/>
        <w:ind w:left="360"/>
      </w:pPr>
    </w:p>
    <w:p w14:paraId="4C598D9E" w14:textId="77777777" w:rsidR="002D0DA5" w:rsidRPr="002D0DA5" w:rsidRDefault="005A02B8" w:rsidP="00FE0E18">
      <w:pPr>
        <w:widowControl/>
        <w:autoSpaceDE/>
        <w:autoSpaceDN/>
        <w:adjustRightInd/>
        <w:spacing w:line="276" w:lineRule="auto"/>
        <w:ind w:left="1260" w:hanging="360"/>
        <w:contextualSpacing/>
        <w:rPr>
          <w:b/>
          <w:smallCaps/>
        </w:rPr>
      </w:pPr>
      <w:r>
        <w:t xml:space="preserve">a)  </w:t>
      </w:r>
      <w:r w:rsidR="00782EEC" w:rsidRPr="008B1863">
        <w:t>Complaints</w:t>
      </w:r>
    </w:p>
    <w:p w14:paraId="32C67373" w14:textId="77777777" w:rsidR="00782EEC" w:rsidRDefault="00782EEC" w:rsidP="00FE0E18">
      <w:pPr>
        <w:widowControl/>
        <w:tabs>
          <w:tab w:val="left" w:pos="1800"/>
        </w:tabs>
        <w:autoSpaceDE/>
        <w:autoSpaceDN/>
        <w:adjustRightInd/>
        <w:spacing w:line="276" w:lineRule="auto"/>
        <w:ind w:left="900"/>
        <w:contextualSpacing/>
        <w:rPr>
          <w:b/>
        </w:rPr>
      </w:pPr>
    </w:p>
    <w:p w14:paraId="4063EF0A" w14:textId="72DDE0C8" w:rsidR="006D0B88" w:rsidRDefault="006D0B88" w:rsidP="00FE0E18">
      <w:pPr>
        <w:widowControl/>
        <w:tabs>
          <w:tab w:val="left" w:pos="1800"/>
        </w:tabs>
        <w:autoSpaceDE/>
        <w:autoSpaceDN/>
        <w:adjustRightInd/>
        <w:spacing w:line="276" w:lineRule="auto"/>
        <w:ind w:left="900"/>
        <w:contextualSpacing/>
        <w:rPr>
          <w:b/>
        </w:rPr>
      </w:pPr>
      <w:r w:rsidRPr="00163A37">
        <w:t>During FY 20</w:t>
      </w:r>
      <w:r>
        <w:t>23</w:t>
      </w:r>
      <w:r w:rsidRPr="00163A37">
        <w:t xml:space="preserve">, </w:t>
      </w:r>
      <w:r w:rsidR="00CD7E80">
        <w:t>IL OSHA</w:t>
      </w:r>
      <w:r w:rsidRPr="00163A37">
        <w:t xml:space="preserve"> received </w:t>
      </w:r>
      <w:r w:rsidR="003555E7">
        <w:t>498</w:t>
      </w:r>
      <w:r w:rsidRPr="00163A37">
        <w:t xml:space="preserve"> complaints, of which </w:t>
      </w:r>
      <w:r>
        <w:t>2</w:t>
      </w:r>
      <w:r w:rsidR="00096336">
        <w:t>66</w:t>
      </w:r>
      <w:r w:rsidRPr="00163A37">
        <w:t xml:space="preserve"> (</w:t>
      </w:r>
      <w:r w:rsidR="00E45273">
        <w:t>53</w:t>
      </w:r>
      <w:r w:rsidRPr="00163A37">
        <w:t xml:space="preserve">%) were formal and </w:t>
      </w:r>
      <w:r w:rsidR="0048241E">
        <w:t>68</w:t>
      </w:r>
      <w:r w:rsidRPr="00163A37">
        <w:t xml:space="preserve"> (</w:t>
      </w:r>
      <w:r w:rsidR="0002392A">
        <w:t>14</w:t>
      </w:r>
      <w:r w:rsidRPr="00163A37">
        <w:t>%) were non-formal</w:t>
      </w:r>
      <w:r>
        <w:t xml:space="preserve">, </w:t>
      </w:r>
      <w:r w:rsidR="0002392A">
        <w:t>147</w:t>
      </w:r>
      <w:r>
        <w:t xml:space="preserve"> fatality/catastrophe reports, which include fatalities and hospitalization of one or more employees, and 1</w:t>
      </w:r>
      <w:r w:rsidR="00F764B5">
        <w:t>7</w:t>
      </w:r>
      <w:r>
        <w:t xml:space="preserve"> referrals</w:t>
      </w:r>
      <w:r w:rsidRPr="00163A37">
        <w:t>.</w:t>
      </w:r>
      <w:r>
        <w:t xml:space="preserve"> </w:t>
      </w:r>
      <w:r w:rsidRPr="00163A37">
        <w:t xml:space="preserve">(Source: UPA Auditing report dated </w:t>
      </w:r>
      <w:r w:rsidR="009E350B">
        <w:t>March 4</w:t>
      </w:r>
      <w:r w:rsidRPr="00163A37">
        <w:t>, 20</w:t>
      </w:r>
      <w:r>
        <w:t>2</w:t>
      </w:r>
      <w:r w:rsidR="009E350B">
        <w:t>4</w:t>
      </w:r>
      <w:r w:rsidRPr="00163A37">
        <w:t>) The average number of days to initiate a complaint inspection in FY 20</w:t>
      </w:r>
      <w:r>
        <w:t>2</w:t>
      </w:r>
      <w:r w:rsidR="00BD0E66">
        <w:t>3</w:t>
      </w:r>
      <w:r w:rsidRPr="00163A37">
        <w:t xml:space="preserve"> was </w:t>
      </w:r>
      <w:r w:rsidR="00BD0E66">
        <w:t>6.11</w:t>
      </w:r>
      <w:r w:rsidRPr="00163A37">
        <w:t xml:space="preserve"> days for all (both safety and health) complaints. This is below the negotiated standard of five days for safety and 10 days for health complaints. </w:t>
      </w:r>
      <w:r w:rsidR="00641609">
        <w:t xml:space="preserve"> </w:t>
      </w:r>
      <w:r w:rsidRPr="008C557B">
        <w:t xml:space="preserve">All items were addressed in the </w:t>
      </w:r>
      <w:r w:rsidR="00CA7FB7">
        <w:t>11</w:t>
      </w:r>
      <w:r w:rsidRPr="008C557B">
        <w:t xml:space="preserve"> </w:t>
      </w:r>
      <w:r w:rsidR="00CA7FB7">
        <w:t>un-programmed</w:t>
      </w:r>
      <w:r w:rsidRPr="008C557B">
        <w:t xml:space="preserve"> inspections reviewed.</w:t>
      </w:r>
      <w:r w:rsidR="00641609">
        <w:t xml:space="preserve"> </w:t>
      </w:r>
      <w:r w:rsidRPr="00163A37">
        <w:t xml:space="preserve"> The average number of days to initiate a complaint investigation was </w:t>
      </w:r>
      <w:r>
        <w:t>1.</w:t>
      </w:r>
      <w:r w:rsidR="00CF451C">
        <w:t>5</w:t>
      </w:r>
      <w:r>
        <w:t>5</w:t>
      </w:r>
      <w:r w:rsidRPr="00163A37">
        <w:t xml:space="preserve">, below the negotiated standard of three days. </w:t>
      </w:r>
      <w:r w:rsidR="00641609">
        <w:t xml:space="preserve"> </w:t>
      </w:r>
      <w:r w:rsidRPr="00163A37">
        <w:t xml:space="preserve">The State Plan received </w:t>
      </w:r>
      <w:r>
        <w:t>no</w:t>
      </w:r>
      <w:r w:rsidRPr="00163A37">
        <w:t xml:space="preserve"> imminent danger complaint</w:t>
      </w:r>
      <w:r>
        <w:t xml:space="preserve">s </w:t>
      </w:r>
      <w:r w:rsidR="00AD4607">
        <w:t>n</w:t>
      </w:r>
      <w:r>
        <w:t>or had any entry refusals</w:t>
      </w:r>
      <w:r w:rsidRPr="00163A37">
        <w:t xml:space="preserve"> </w:t>
      </w:r>
      <w:r>
        <w:t>in FY 202</w:t>
      </w:r>
      <w:r w:rsidR="00AD4607">
        <w:t>3</w:t>
      </w:r>
      <w:r w:rsidRPr="00163A37">
        <w:t>. (Source: Appendix D – FY 20</w:t>
      </w:r>
      <w:r>
        <w:t>2</w:t>
      </w:r>
      <w:r w:rsidR="00AD4607">
        <w:t>3</w:t>
      </w:r>
      <w:r w:rsidRPr="00163A37">
        <w:t xml:space="preserve"> State Mandated Measures (SAMM) Report, SAMM #1a and </w:t>
      </w:r>
      <w:r>
        <w:t>#</w:t>
      </w:r>
      <w:r w:rsidRPr="00163A37">
        <w:t>2a)</w:t>
      </w:r>
    </w:p>
    <w:p w14:paraId="38A881CB" w14:textId="77777777" w:rsidR="006D0B88" w:rsidRPr="009C6522" w:rsidRDefault="006D0B88" w:rsidP="00FE0E18">
      <w:pPr>
        <w:widowControl/>
        <w:tabs>
          <w:tab w:val="left" w:pos="1800"/>
        </w:tabs>
        <w:autoSpaceDE/>
        <w:autoSpaceDN/>
        <w:adjustRightInd/>
        <w:spacing w:line="276" w:lineRule="auto"/>
        <w:ind w:left="900"/>
        <w:contextualSpacing/>
        <w:rPr>
          <w:b/>
        </w:rPr>
      </w:pPr>
    </w:p>
    <w:p w14:paraId="0247C099" w14:textId="77777777" w:rsidR="005A02B8" w:rsidRPr="00AD4607" w:rsidRDefault="00782EEC" w:rsidP="00FE0E18">
      <w:pPr>
        <w:pStyle w:val="ListParagraph"/>
        <w:numPr>
          <w:ilvl w:val="0"/>
          <w:numId w:val="40"/>
        </w:numPr>
        <w:ind w:left="1260"/>
      </w:pPr>
      <w:r w:rsidRPr="000D34E1">
        <w:rPr>
          <w:rFonts w:ascii="Times New Roman" w:hAnsi="Times New Roman" w:cs="Times New Roman"/>
          <w:sz w:val="24"/>
          <w:szCs w:val="24"/>
        </w:rPr>
        <w:t xml:space="preserve">Fatalities </w:t>
      </w:r>
    </w:p>
    <w:p w14:paraId="0E2C826E" w14:textId="7568ED1F" w:rsidR="00995813" w:rsidRDefault="00CD7E80" w:rsidP="00FE0E18">
      <w:pPr>
        <w:spacing w:line="276" w:lineRule="auto"/>
        <w:ind w:left="900"/>
      </w:pPr>
      <w:r>
        <w:t>IL OSHA</w:t>
      </w:r>
      <w:r w:rsidR="00995813">
        <w:t xml:space="preserve"> had </w:t>
      </w:r>
      <w:r w:rsidR="00B2376C">
        <w:t>26</w:t>
      </w:r>
      <w:r w:rsidR="00995813">
        <w:t xml:space="preserve"> fatalities reported during FY 202</w:t>
      </w:r>
      <w:r w:rsidR="00B2376C">
        <w:t>3</w:t>
      </w:r>
      <w:r w:rsidR="00995813">
        <w:t xml:space="preserve">. </w:t>
      </w:r>
      <w:r w:rsidR="00641609">
        <w:t xml:space="preserve"> </w:t>
      </w:r>
      <w:r w:rsidR="00995813">
        <w:t xml:space="preserve">The State Plan appropriately screened out </w:t>
      </w:r>
      <w:r w:rsidR="002C1D25">
        <w:t>16</w:t>
      </w:r>
      <w:r w:rsidR="00995813">
        <w:t xml:space="preserve"> as not OSHA covered and/or having no jurisdiction. </w:t>
      </w:r>
      <w:r w:rsidR="00641609">
        <w:t xml:space="preserve"> </w:t>
      </w:r>
      <w:r w:rsidR="00995813">
        <w:t xml:space="preserve">The </w:t>
      </w:r>
      <w:r w:rsidR="0024561A">
        <w:t>10</w:t>
      </w:r>
      <w:r w:rsidR="00995813">
        <w:t xml:space="preserve"> remaining fatalities were inspected with </w:t>
      </w:r>
      <w:r w:rsidR="0024561A">
        <w:t>three</w:t>
      </w:r>
      <w:r w:rsidR="00995813">
        <w:t xml:space="preserve"> of them being closed, finalized, and available during the on-site review. These files were generally well documented with hazards identified and citations issued appropriately. </w:t>
      </w:r>
    </w:p>
    <w:p w14:paraId="5C946936" w14:textId="77777777" w:rsidR="00995813" w:rsidRDefault="00995813" w:rsidP="00FE0E18">
      <w:pPr>
        <w:spacing w:line="276" w:lineRule="auto"/>
        <w:ind w:left="900"/>
      </w:pPr>
    </w:p>
    <w:p w14:paraId="44951FBF" w14:textId="5076A04B" w:rsidR="00995813" w:rsidRDefault="00995813" w:rsidP="00FE0E18">
      <w:pPr>
        <w:spacing w:line="276" w:lineRule="auto"/>
        <w:ind w:left="900"/>
      </w:pPr>
      <w:r>
        <w:t xml:space="preserve">The FRL for the percent of work-related fatalities responded to in one workday, SAMM 10, is fixed for all State Plans at 100%.  </w:t>
      </w:r>
      <w:r w:rsidR="00CD7E80">
        <w:t>IL OSHA</w:t>
      </w:r>
      <w:r>
        <w:t xml:space="preserve"> responded to </w:t>
      </w:r>
      <w:r w:rsidR="001C63E2">
        <w:t xml:space="preserve">10 </w:t>
      </w:r>
      <w:r w:rsidR="0047347F">
        <w:t xml:space="preserve">(100%) </w:t>
      </w:r>
      <w:r w:rsidR="001C63E2">
        <w:t>of the</w:t>
      </w:r>
      <w:r>
        <w:t xml:space="preserve"> fatality cases within one workday.  (Source: Appendix D – FY 202</w:t>
      </w:r>
      <w:r w:rsidR="0047347F">
        <w:t>3</w:t>
      </w:r>
      <w:r>
        <w:t xml:space="preserve"> State Mandated Measures (SAMM) Report, SAMM #10)</w:t>
      </w:r>
    </w:p>
    <w:p w14:paraId="27EFC824" w14:textId="77777777" w:rsidR="00995813" w:rsidRDefault="00995813" w:rsidP="00FE0E18">
      <w:pPr>
        <w:spacing w:line="276" w:lineRule="auto"/>
        <w:ind w:left="900"/>
      </w:pPr>
    </w:p>
    <w:p w14:paraId="511D08F9" w14:textId="45DD68DF" w:rsidR="00995813" w:rsidRDefault="00346589" w:rsidP="00FE0E18">
      <w:pPr>
        <w:spacing w:line="276" w:lineRule="auto"/>
        <w:ind w:left="900"/>
      </w:pPr>
      <w:r>
        <w:t xml:space="preserve">In </w:t>
      </w:r>
      <w:r w:rsidR="009B1196">
        <w:t>the FY 2022 FAME</w:t>
      </w:r>
      <w:r w:rsidR="00B51270">
        <w:t xml:space="preserve"> </w:t>
      </w:r>
      <w:r w:rsidR="00CD7E80">
        <w:t>IL OSHA</w:t>
      </w:r>
      <w:r w:rsidR="00012C8F">
        <w:t xml:space="preserve">’s </w:t>
      </w:r>
      <w:r w:rsidR="00995813">
        <w:t>fatality file Investigation Summary form abstracts, which describes what happened to the victim, lacked sufficient detail and information needed to provide a clear representation of the fatal incident and the factual circumstances surrounding the event</w:t>
      </w:r>
      <w:r w:rsidR="00012C8F">
        <w:t xml:space="preserve"> in accordance with t</w:t>
      </w:r>
      <w:r w:rsidR="00995813">
        <w:t xml:space="preserve">he </w:t>
      </w:r>
      <w:r w:rsidR="00CD7E80">
        <w:t>IL OSHA</w:t>
      </w:r>
      <w:r w:rsidR="000B4D58">
        <w:t xml:space="preserve"> Field Operations Manual</w:t>
      </w:r>
      <w:r w:rsidR="00995813">
        <w:t xml:space="preserve"> </w:t>
      </w:r>
      <w:r w:rsidR="000B4D58">
        <w:t>(</w:t>
      </w:r>
      <w:r w:rsidR="00995813">
        <w:t>FOM</w:t>
      </w:r>
      <w:r w:rsidR="000B4D58">
        <w:t>)</w:t>
      </w:r>
      <w:r w:rsidR="00995813">
        <w:t>, Chapter 10-2, Paragraph D, subparagraph 2</w:t>
      </w:r>
      <w:r w:rsidR="00012C8F">
        <w:t>.</w:t>
      </w:r>
      <w:r w:rsidR="00B13CBF">
        <w:t xml:space="preserve">  </w:t>
      </w:r>
      <w:r w:rsidR="00995813">
        <w:t xml:space="preserve">The </w:t>
      </w:r>
      <w:r w:rsidR="00D45B6C">
        <w:t xml:space="preserve">concern </w:t>
      </w:r>
      <w:r w:rsidR="002914A1">
        <w:t>was</w:t>
      </w:r>
      <w:r w:rsidR="00291957" w:rsidRPr="00291957">
        <w:t xml:space="preserve"> noted as an observation in the FY 2021 Comprehensive FAME Report and continued in the FY 2022 Follow-up FAME Report</w:t>
      </w:r>
      <w:r w:rsidR="00291957">
        <w:t xml:space="preserve"> </w:t>
      </w:r>
      <w:r w:rsidR="006119EF">
        <w:t>(</w:t>
      </w:r>
      <w:r w:rsidR="006119EF" w:rsidRPr="00302E0A">
        <w:t>FY 2022-OB-01</w:t>
      </w:r>
      <w:r w:rsidR="006119EF">
        <w:t>).</w:t>
      </w:r>
      <w:r w:rsidR="00F2121E">
        <w:t xml:space="preserve">  </w:t>
      </w:r>
      <w:r w:rsidR="008A578B">
        <w:t xml:space="preserve">During the </w:t>
      </w:r>
      <w:r w:rsidR="00302E0A">
        <w:t>FY 2023</w:t>
      </w:r>
      <w:r w:rsidR="00155186">
        <w:t xml:space="preserve"> comprehensive FAME audit</w:t>
      </w:r>
      <w:r w:rsidR="008A578B">
        <w:t xml:space="preserve"> t</w:t>
      </w:r>
      <w:r w:rsidR="00BD0CC2">
        <w:t>he fatality file investigation summary forms were found to be clear and comprehensive</w:t>
      </w:r>
      <w:r w:rsidR="001A7D6F">
        <w:t xml:space="preserve"> in accordance with the Illinois </w:t>
      </w:r>
      <w:r w:rsidR="001A7D6F" w:rsidRPr="00D45B6C">
        <w:t>OSHA FOM</w:t>
      </w:r>
      <w:r w:rsidR="00D45B6C">
        <w:t xml:space="preserve"> and </w:t>
      </w:r>
      <w:r w:rsidR="00556C6A">
        <w:t xml:space="preserve">consequently </w:t>
      </w:r>
      <w:r w:rsidR="005542D1">
        <w:t>O</w:t>
      </w:r>
      <w:r w:rsidR="00330782" w:rsidRPr="00330782">
        <w:t>bservation FY 2022-OB-01</w:t>
      </w:r>
      <w:r w:rsidR="00330782">
        <w:t xml:space="preserve"> was closed.</w:t>
      </w:r>
    </w:p>
    <w:p w14:paraId="15317C13" w14:textId="77777777" w:rsidR="00D53521" w:rsidRDefault="00D53521" w:rsidP="00FE0E18">
      <w:pPr>
        <w:spacing w:line="276" w:lineRule="auto"/>
        <w:ind w:left="900"/>
      </w:pPr>
    </w:p>
    <w:p w14:paraId="5F7189F9" w14:textId="439B82E2" w:rsidR="00681652" w:rsidRDefault="00014936" w:rsidP="00FE0E18">
      <w:pPr>
        <w:spacing w:line="276" w:lineRule="auto"/>
        <w:ind w:left="900"/>
      </w:pPr>
      <w:r>
        <w:t>OSHA places a high priority on communicating with the next-of-kin after a workplace fatality</w:t>
      </w:r>
      <w:r w:rsidR="001916CC">
        <w:t xml:space="preserve"> and every effort should be made to </w:t>
      </w:r>
      <w:r w:rsidR="009F5066">
        <w:t xml:space="preserve">make </w:t>
      </w:r>
      <w:r w:rsidR="00E96E1E">
        <w:t>contact</w:t>
      </w:r>
      <w:r w:rsidR="009F5066">
        <w:t xml:space="preserve"> as soon as possible after opening a fatality </w:t>
      </w:r>
      <w:r w:rsidR="00E96E1E">
        <w:t xml:space="preserve">inspection.  </w:t>
      </w:r>
      <w:r w:rsidR="006870B6">
        <w:t>I</w:t>
      </w:r>
      <w:r w:rsidR="00681652">
        <w:t xml:space="preserve">t was noted in the FY 2021 comprehensive FAME Report that </w:t>
      </w:r>
      <w:r w:rsidR="00CD7E80">
        <w:t>IL OSHA</w:t>
      </w:r>
      <w:r w:rsidR="00995813">
        <w:t xml:space="preserve"> </w:t>
      </w:r>
      <w:r w:rsidR="00467257">
        <w:t xml:space="preserve">did not </w:t>
      </w:r>
      <w:r w:rsidR="00467257">
        <w:lastRenderedPageBreak/>
        <w:t xml:space="preserve">attempt an initial contact via telephone with the next-of-kin in any of the fatality investigations as required by the compliance directive referenced in the Illinois FOM.  In all cases, the initial contact made with the next-of-kin was done through letters sent out upon opening the inspection.  </w:t>
      </w:r>
      <w:r w:rsidR="004263D8">
        <w:t xml:space="preserve">It </w:t>
      </w:r>
      <w:r w:rsidR="004263D8" w:rsidRPr="004263D8">
        <w:t>was noted as an observation in the FY 2021 Comprehensive FAME Report and continued in the FY 2022 Follow-up FAME Report</w:t>
      </w:r>
      <w:r w:rsidR="00647F99">
        <w:t xml:space="preserve"> </w:t>
      </w:r>
      <w:r w:rsidR="00277AF6">
        <w:t>(</w:t>
      </w:r>
      <w:r w:rsidR="00277AF6" w:rsidRPr="00277AF6">
        <w:t>FY 2022-OB-02</w:t>
      </w:r>
      <w:r w:rsidR="00277AF6">
        <w:t xml:space="preserve">). </w:t>
      </w:r>
    </w:p>
    <w:p w14:paraId="68894043" w14:textId="77777777" w:rsidR="00681652" w:rsidRDefault="00681652" w:rsidP="00FE0E18">
      <w:pPr>
        <w:spacing w:line="276" w:lineRule="auto"/>
        <w:ind w:left="900"/>
      </w:pPr>
    </w:p>
    <w:p w14:paraId="05775CD4" w14:textId="5441D715" w:rsidR="00995813" w:rsidRDefault="00CD7E80" w:rsidP="00FE0E18">
      <w:pPr>
        <w:spacing w:line="276" w:lineRule="auto"/>
        <w:ind w:left="900"/>
      </w:pPr>
      <w:r>
        <w:t>IL OSHA</w:t>
      </w:r>
      <w:r w:rsidR="00995813">
        <w:t xml:space="preserve"> </w:t>
      </w:r>
      <w:r w:rsidR="004734C7">
        <w:t xml:space="preserve">updated their </w:t>
      </w:r>
      <w:r w:rsidR="00995813">
        <w:t xml:space="preserve">Field Operations Manual on </w:t>
      </w:r>
      <w:r w:rsidR="004A007C">
        <w:t xml:space="preserve">October 1, </w:t>
      </w:r>
      <w:r w:rsidR="0063772C">
        <w:t>2023,</w:t>
      </w:r>
      <w:r w:rsidR="004A007C">
        <w:t xml:space="preserve"> to ensure</w:t>
      </w:r>
      <w:r w:rsidR="00995813">
        <w:t xml:space="preserve"> Chapter 10-2 of the Illinois FOM provides </w:t>
      </w:r>
      <w:r w:rsidR="001E4626">
        <w:t xml:space="preserve">clear and correct </w:t>
      </w:r>
      <w:r w:rsidR="00995813">
        <w:t xml:space="preserve">instruction and guidance for fatality investigations and harmonizes </w:t>
      </w:r>
      <w:r w:rsidR="00D11A82">
        <w:t xml:space="preserve">with </w:t>
      </w:r>
      <w:r w:rsidR="00995813">
        <w:t>OSHA’s Field Operations Manual</w:t>
      </w:r>
      <w:r w:rsidR="004A007C">
        <w:t xml:space="preserve"> and </w:t>
      </w:r>
      <w:r w:rsidR="00995813">
        <w:t xml:space="preserve">Compliance Directive Number, CPL 02-00-164.  </w:t>
      </w:r>
      <w:r w:rsidR="00660580" w:rsidRPr="00660580">
        <w:t>During the FY 2023 comprehensive FAME audit</w:t>
      </w:r>
      <w:r w:rsidR="00443B5E">
        <w:t>,</w:t>
      </w:r>
      <w:r w:rsidR="00660580" w:rsidRPr="00660580">
        <w:t xml:space="preserve"> </w:t>
      </w:r>
      <w:r w:rsidR="003E641F">
        <w:t xml:space="preserve">it was </w:t>
      </w:r>
      <w:r w:rsidR="00660580" w:rsidRPr="00660580">
        <w:t xml:space="preserve">found </w:t>
      </w:r>
      <w:r w:rsidR="003E641F">
        <w:t>that in all cases</w:t>
      </w:r>
      <w:r w:rsidR="00443B5E">
        <w:t>,</w:t>
      </w:r>
      <w:r w:rsidR="003E641F">
        <w:t xml:space="preserve"> </w:t>
      </w:r>
      <w:r w:rsidR="006710CE">
        <w:t>a management representative made efforts to contact the next of kin</w:t>
      </w:r>
      <w:r w:rsidR="00660580" w:rsidRPr="00660580">
        <w:t xml:space="preserve"> in accordance with the </w:t>
      </w:r>
      <w:r>
        <w:t>IL OSHA</w:t>
      </w:r>
      <w:r w:rsidR="00660580" w:rsidRPr="00660580">
        <w:t xml:space="preserve"> FOM and consequently </w:t>
      </w:r>
      <w:r w:rsidR="008A4D22">
        <w:t>O</w:t>
      </w:r>
      <w:r w:rsidR="00660580" w:rsidRPr="00660580">
        <w:t>bservation FY 2022-OB-0</w:t>
      </w:r>
      <w:r w:rsidR="006710CE">
        <w:t>2</w:t>
      </w:r>
      <w:r w:rsidR="00660580" w:rsidRPr="00660580">
        <w:t xml:space="preserve"> was closed.</w:t>
      </w:r>
    </w:p>
    <w:p w14:paraId="4F30E278" w14:textId="77777777" w:rsidR="00995813" w:rsidRDefault="00995813" w:rsidP="00FE0E18">
      <w:pPr>
        <w:spacing w:line="276" w:lineRule="auto"/>
        <w:ind w:left="900"/>
      </w:pPr>
    </w:p>
    <w:p w14:paraId="162E4BB2" w14:textId="555C25DD" w:rsidR="00773C70" w:rsidRDefault="00773C70" w:rsidP="00FE0E18">
      <w:pPr>
        <w:tabs>
          <w:tab w:val="left" w:pos="1260"/>
        </w:tabs>
        <w:spacing w:line="276" w:lineRule="auto"/>
        <w:ind w:left="1890" w:hanging="990"/>
      </w:pPr>
      <w:r>
        <w:t xml:space="preserve">c)  </w:t>
      </w:r>
      <w:r w:rsidR="00782EEC" w:rsidRPr="003C5067">
        <w:t>Targeting and Programmed Inspection</w:t>
      </w:r>
    </w:p>
    <w:p w14:paraId="753EC24B" w14:textId="77777777" w:rsidR="00773C70" w:rsidRDefault="00773C70" w:rsidP="00FE0E18">
      <w:pPr>
        <w:spacing w:line="276" w:lineRule="auto"/>
        <w:ind w:left="1890" w:hanging="990"/>
      </w:pPr>
    </w:p>
    <w:p w14:paraId="45300118" w14:textId="4ED9A80D" w:rsidR="00B17D1C" w:rsidRDefault="00B17D1C" w:rsidP="00FE0E18">
      <w:pPr>
        <w:spacing w:line="276" w:lineRule="auto"/>
        <w:ind w:left="900"/>
      </w:pPr>
      <w:r w:rsidRPr="00EF0511">
        <w:t>During FY 202</w:t>
      </w:r>
      <w:r>
        <w:t>3</w:t>
      </w:r>
      <w:r w:rsidRPr="00EF0511">
        <w:t xml:space="preserve">, </w:t>
      </w:r>
      <w:r w:rsidR="00CD7E80">
        <w:t>IL OSHA</w:t>
      </w:r>
      <w:r w:rsidRPr="00EF0511">
        <w:t xml:space="preserve"> conducted </w:t>
      </w:r>
      <w:r w:rsidR="008C1562">
        <w:t>315</w:t>
      </w:r>
      <w:r w:rsidRPr="00EF0511">
        <w:t xml:space="preserve"> inspections, with approximately </w:t>
      </w:r>
      <w:r w:rsidR="00C2428F">
        <w:t>73</w:t>
      </w:r>
      <w:r w:rsidRPr="00EF0511">
        <w:t xml:space="preserve">% opened as programmed inspections.  </w:t>
      </w:r>
      <w:r w:rsidR="00CD7E80">
        <w:t>IL OSHA</w:t>
      </w:r>
      <w:r w:rsidRPr="004D7C72">
        <w:t xml:space="preserve"> </w:t>
      </w:r>
      <w:r>
        <w:t xml:space="preserve">has </w:t>
      </w:r>
      <w:r w:rsidRPr="004D7C72">
        <w:t xml:space="preserve">created a Site-Specific Targeting (SST) plan titled the Program Planned Inspection (PPI) program. </w:t>
      </w:r>
      <w:r w:rsidR="00CD7E80">
        <w:t>IL OSHA</w:t>
      </w:r>
      <w:r w:rsidRPr="004D7C72">
        <w:t xml:space="preserve"> uses the PPI program to help target and prioritize inspections for high hazard state and local government employer establishments. </w:t>
      </w:r>
      <w:r w:rsidR="00CD7E80">
        <w:t>IL OSHA</w:t>
      </w:r>
      <w:r w:rsidRPr="004D7C72">
        <w:t xml:space="preserve">’s high hazard inspection targeting system is based on OSHA Instruction CPL 02-00-025, Scheduling System for Programmed Inspections (January 4, 1995), which is based on Bureau of Labor Statistics (BLS) injury/illness rate data. The BLS data and the PPI program helped </w:t>
      </w:r>
      <w:r w:rsidR="00CD7E80">
        <w:t>IL OSHA</w:t>
      </w:r>
      <w:r w:rsidRPr="004D7C72">
        <w:t xml:space="preserve"> meet activity measures and achieve its goal of reducing the number of injuries and illnesses that occur at state and local government employer establishments by directing enforcement resources to those establishments where the highest rate of injury and illness has occurred.</w:t>
      </w:r>
    </w:p>
    <w:p w14:paraId="5DA6D4CD" w14:textId="77777777" w:rsidR="00B17D1C" w:rsidRDefault="00B17D1C" w:rsidP="00FE0E18">
      <w:pPr>
        <w:spacing w:line="276" w:lineRule="auto"/>
        <w:ind w:left="900"/>
      </w:pPr>
    </w:p>
    <w:p w14:paraId="643EA991" w14:textId="7D789648" w:rsidR="00B17D1C" w:rsidRDefault="00CD7E80" w:rsidP="00FE0E18">
      <w:pPr>
        <w:spacing w:line="276" w:lineRule="auto"/>
        <w:ind w:left="900"/>
      </w:pPr>
      <w:r>
        <w:t>IL OSHA</w:t>
      </w:r>
      <w:r w:rsidR="00B17D1C" w:rsidRPr="00EF0511">
        <w:t xml:space="preserve">’s </w:t>
      </w:r>
      <w:r w:rsidR="00B17D1C">
        <w:t xml:space="preserve">five-year </w:t>
      </w:r>
      <w:r w:rsidR="00B17D1C" w:rsidRPr="00EF0511">
        <w:t xml:space="preserve">strategic management plan emphasizes a </w:t>
      </w:r>
      <w:r w:rsidR="00B17D1C">
        <w:t>3</w:t>
      </w:r>
      <w:r w:rsidR="00B17D1C" w:rsidRPr="00EF0511">
        <w:t xml:space="preserve">% </w:t>
      </w:r>
      <w:r w:rsidR="00B17D1C">
        <w:t xml:space="preserve">annual </w:t>
      </w:r>
      <w:r w:rsidR="00B17D1C" w:rsidRPr="003F6D6B">
        <w:rPr>
          <w:lang w:bidi="en-US"/>
        </w:rPr>
        <w:t xml:space="preserve">increase </w:t>
      </w:r>
      <w:r w:rsidR="00B17D1C">
        <w:rPr>
          <w:lang w:bidi="en-US"/>
        </w:rPr>
        <w:t xml:space="preserve">in </w:t>
      </w:r>
      <w:r w:rsidR="00B17D1C" w:rsidRPr="003F6D6B">
        <w:rPr>
          <w:lang w:bidi="en-US"/>
        </w:rPr>
        <w:t>the number of serious safety</w:t>
      </w:r>
      <w:r w:rsidR="00B17D1C">
        <w:rPr>
          <w:lang w:bidi="en-US"/>
        </w:rPr>
        <w:t xml:space="preserve"> and health</w:t>
      </w:r>
      <w:r w:rsidR="00B17D1C" w:rsidRPr="003F6D6B">
        <w:rPr>
          <w:lang w:bidi="en-US"/>
        </w:rPr>
        <w:t xml:space="preserve"> violations abated</w:t>
      </w:r>
      <w:r w:rsidR="00B17D1C">
        <w:rPr>
          <w:lang w:bidi="en-US"/>
        </w:rPr>
        <w:t>, over the baseline average,</w:t>
      </w:r>
      <w:r w:rsidR="00B17D1C" w:rsidRPr="003F6D6B">
        <w:rPr>
          <w:lang w:bidi="en-US"/>
        </w:rPr>
        <w:t xml:space="preserve"> in the </w:t>
      </w:r>
      <w:r w:rsidR="00B17D1C">
        <w:rPr>
          <w:lang w:bidi="en-US"/>
        </w:rPr>
        <w:t xml:space="preserve">four </w:t>
      </w:r>
      <w:r w:rsidR="00B17D1C" w:rsidRPr="003F6D6B">
        <w:rPr>
          <w:lang w:bidi="en-US"/>
        </w:rPr>
        <w:t>targeted high-hazard industries</w:t>
      </w:r>
      <w:r w:rsidR="00B17D1C">
        <w:rPr>
          <w:lang w:bidi="en-US"/>
        </w:rPr>
        <w:t xml:space="preserve">.  The targeted high-hazard industries include the following </w:t>
      </w:r>
      <w:r w:rsidR="00B17D1C" w:rsidRPr="007C650F">
        <w:rPr>
          <w:lang w:bidi="en-US"/>
        </w:rPr>
        <w:t>North American Industry Classification System (NAICS)</w:t>
      </w:r>
      <w:r w:rsidR="00B17D1C">
        <w:rPr>
          <w:lang w:bidi="en-US"/>
        </w:rPr>
        <w:t xml:space="preserve"> business establishments:</w:t>
      </w:r>
      <w:r w:rsidR="00B17D1C" w:rsidRPr="00684BE8">
        <w:rPr>
          <w:lang w:bidi="en-US"/>
        </w:rPr>
        <w:t xml:space="preserve"> 237310</w:t>
      </w:r>
      <w:r w:rsidR="00B17D1C">
        <w:rPr>
          <w:lang w:bidi="en-US"/>
        </w:rPr>
        <w:t xml:space="preserve"> –</w:t>
      </w:r>
      <w:r w:rsidR="00B17D1C" w:rsidRPr="004F2AF0">
        <w:t xml:space="preserve"> </w:t>
      </w:r>
      <w:r w:rsidR="00B17D1C">
        <w:rPr>
          <w:lang w:bidi="en-US"/>
        </w:rPr>
        <w:t>Highway, Street, and Bridge Construction, 922160 Fire Protection, 221310 Water Supply and Irrigation Systems, and 221320 Sewage Treatment Facilities.</w:t>
      </w:r>
      <w:r w:rsidR="00B17D1C" w:rsidRPr="00EF0511">
        <w:t xml:space="preserve">  FY 202</w:t>
      </w:r>
      <w:r w:rsidR="00365772">
        <w:t>3</w:t>
      </w:r>
      <w:r w:rsidR="00B17D1C" w:rsidRPr="00EF0511">
        <w:t xml:space="preserve"> was the </w:t>
      </w:r>
      <w:r w:rsidR="00365772">
        <w:t>third</w:t>
      </w:r>
      <w:r w:rsidR="00B17D1C" w:rsidRPr="00EF0511">
        <w:t xml:space="preserve"> year of the </w:t>
      </w:r>
      <w:r w:rsidR="00B17D1C">
        <w:t xml:space="preserve">five-year strategic </w:t>
      </w:r>
      <w:r w:rsidR="00B17D1C" w:rsidRPr="00EF0511">
        <w:t xml:space="preserve">plan and </w:t>
      </w:r>
      <w:r>
        <w:t>IL OSHA</w:t>
      </w:r>
      <w:r w:rsidR="00B17D1C" w:rsidRPr="00EF0511">
        <w:t xml:space="preserve"> met </w:t>
      </w:r>
      <w:r w:rsidR="00B17D1C">
        <w:t xml:space="preserve">and exceeded </w:t>
      </w:r>
      <w:r w:rsidR="00B17D1C" w:rsidRPr="00EF0511">
        <w:t xml:space="preserve">their </w:t>
      </w:r>
      <w:r w:rsidR="00B17D1C">
        <w:t xml:space="preserve">annual incremental </w:t>
      </w:r>
      <w:r w:rsidR="00B17D1C" w:rsidRPr="00EF0511">
        <w:t>goal of</w:t>
      </w:r>
      <w:r w:rsidR="00B17D1C">
        <w:t xml:space="preserve"> a</w:t>
      </w:r>
      <w:r w:rsidR="00B17D1C" w:rsidRPr="00EF0511">
        <w:t xml:space="preserve"> </w:t>
      </w:r>
      <w:r w:rsidR="00B17D1C">
        <w:t>3</w:t>
      </w:r>
      <w:r w:rsidR="00B17D1C" w:rsidRPr="00EF0511">
        <w:t xml:space="preserve">% </w:t>
      </w:r>
      <w:r w:rsidR="00B17D1C" w:rsidRPr="006A1CC0">
        <w:rPr>
          <w:lang w:bidi="en-US"/>
        </w:rPr>
        <w:t>increase over the baseline average in the four targeted high-hazard industries.</w:t>
      </w:r>
      <w:r w:rsidR="00B17D1C">
        <w:t xml:space="preserve">  </w:t>
      </w:r>
      <w:r w:rsidR="00B17D1C" w:rsidRPr="00E10B8D">
        <w:t xml:space="preserve">(Source: </w:t>
      </w:r>
      <w:r w:rsidR="00B17D1C">
        <w:t>Illinois FY 202</w:t>
      </w:r>
      <w:r w:rsidR="00B45ACA">
        <w:t>3</w:t>
      </w:r>
      <w:r w:rsidR="00B17D1C" w:rsidRPr="00937ECF">
        <w:rPr>
          <w:bCs/>
        </w:rPr>
        <w:t xml:space="preserve"> State OSHA Annual Report</w:t>
      </w:r>
      <w:r w:rsidR="00B17D1C" w:rsidRPr="00E10B8D">
        <w:t>)</w:t>
      </w:r>
    </w:p>
    <w:p w14:paraId="24612F47" w14:textId="77777777" w:rsidR="00B17D1C" w:rsidRDefault="00B17D1C" w:rsidP="00FE0E18">
      <w:pPr>
        <w:spacing w:line="276" w:lineRule="auto"/>
        <w:ind w:left="900"/>
        <w:rPr>
          <w:rFonts w:eastAsia="Calibri"/>
        </w:rPr>
      </w:pPr>
    </w:p>
    <w:p w14:paraId="1B0708FE" w14:textId="4A30A993" w:rsidR="009375D4" w:rsidRDefault="00B17D1C" w:rsidP="00FE0E18">
      <w:pPr>
        <w:spacing w:line="276" w:lineRule="auto"/>
        <w:ind w:left="900"/>
      </w:pPr>
      <w:r w:rsidRPr="000D2619">
        <w:t>The FRL for the planned vs. actual</w:t>
      </w:r>
      <w:r w:rsidR="00A41E53">
        <w:t xml:space="preserve"> </w:t>
      </w:r>
      <w:r w:rsidRPr="000D2619">
        <w:t xml:space="preserve">inspections is based on the number </w:t>
      </w:r>
      <w:r w:rsidR="008F3D35">
        <w:t xml:space="preserve">of inspections </w:t>
      </w:r>
      <w:r w:rsidRPr="000D2619">
        <w:t xml:space="preserve">negotiated by OSHA and the State Plan through the grant application. </w:t>
      </w:r>
      <w:r w:rsidR="008F3D35">
        <w:t xml:space="preserve">For FY 2023 </w:t>
      </w:r>
      <w:r w:rsidR="00CD7E80">
        <w:t>IL OSHA</w:t>
      </w:r>
      <w:r w:rsidRPr="000D2619">
        <w:t xml:space="preserve"> established a projected goal of </w:t>
      </w:r>
      <w:r>
        <w:t>5</w:t>
      </w:r>
      <w:r w:rsidRPr="000D2619">
        <w:t xml:space="preserve">00 inspections: </w:t>
      </w:r>
      <w:r>
        <w:t>4</w:t>
      </w:r>
      <w:r w:rsidRPr="000D2619">
        <w:t xml:space="preserve">00 safety and </w:t>
      </w:r>
      <w:r>
        <w:t>1</w:t>
      </w:r>
      <w:r w:rsidRPr="000D2619">
        <w:t xml:space="preserve">00 health. The range of acceptable number of inspections conducted is +/- 5% of the projected </w:t>
      </w:r>
      <w:r>
        <w:t>4</w:t>
      </w:r>
      <w:r w:rsidRPr="000D2619">
        <w:t>00 safety inspections (</w:t>
      </w:r>
      <w:r>
        <w:t>380</w:t>
      </w:r>
      <w:r w:rsidRPr="000D2619">
        <w:t xml:space="preserve"> to </w:t>
      </w:r>
      <w:r>
        <w:t>420</w:t>
      </w:r>
      <w:r w:rsidRPr="000D2619">
        <w:t xml:space="preserve">) and +/- 5% of the projected </w:t>
      </w:r>
      <w:r>
        <w:t>1</w:t>
      </w:r>
      <w:r w:rsidRPr="000D2619">
        <w:t>00 health inspections (</w:t>
      </w:r>
      <w:r>
        <w:t>95</w:t>
      </w:r>
      <w:r w:rsidRPr="000D2619">
        <w:t xml:space="preserve"> to </w:t>
      </w:r>
      <w:r>
        <w:t>105</w:t>
      </w:r>
      <w:r w:rsidRPr="000D2619">
        <w:t xml:space="preserve">). </w:t>
      </w:r>
      <w:r w:rsidR="00147909">
        <w:t xml:space="preserve"> </w:t>
      </w:r>
      <w:r w:rsidR="00CD7E80">
        <w:t>IL OSHA</w:t>
      </w:r>
      <w:r w:rsidRPr="000D2619">
        <w:t xml:space="preserve"> completed </w:t>
      </w:r>
      <w:r w:rsidR="004E73BC">
        <w:t>109</w:t>
      </w:r>
      <w:r w:rsidRPr="000D2619">
        <w:t xml:space="preserve"> </w:t>
      </w:r>
      <w:r>
        <w:t>(</w:t>
      </w:r>
      <w:r w:rsidR="004E73BC">
        <w:t>109</w:t>
      </w:r>
      <w:r>
        <w:t xml:space="preserve">%) </w:t>
      </w:r>
      <w:r w:rsidRPr="000D2619">
        <w:t xml:space="preserve">health inspections for a total of </w:t>
      </w:r>
      <w:r w:rsidR="004E73BC">
        <w:t>315</w:t>
      </w:r>
      <w:r w:rsidRPr="000D2619">
        <w:t xml:space="preserve"> </w:t>
      </w:r>
      <w:r>
        <w:t>(</w:t>
      </w:r>
      <w:r w:rsidR="004E73BC">
        <w:t>63</w:t>
      </w:r>
      <w:r>
        <w:t xml:space="preserve">%) </w:t>
      </w:r>
      <w:r w:rsidRPr="000D2619">
        <w:t xml:space="preserve">inspections. </w:t>
      </w:r>
      <w:r w:rsidRPr="00AF3893">
        <w:t xml:space="preserve">The </w:t>
      </w:r>
      <w:bookmarkStart w:id="6" w:name="_Hlk160634568"/>
      <w:r w:rsidRPr="00AF3893">
        <w:t xml:space="preserve">total number of </w:t>
      </w:r>
      <w:r>
        <w:t xml:space="preserve">planned vs. actual </w:t>
      </w:r>
      <w:bookmarkEnd w:id="6"/>
      <w:r w:rsidR="004A12D2">
        <w:t>(</w:t>
      </w:r>
      <w:r w:rsidR="00A253EF">
        <w:t>health</w:t>
      </w:r>
      <w:r w:rsidR="004A12D2">
        <w:t>)</w:t>
      </w:r>
      <w:r w:rsidR="005557FB">
        <w:t xml:space="preserve"> </w:t>
      </w:r>
      <w:r w:rsidR="005557FB">
        <w:lastRenderedPageBreak/>
        <w:t>(SAMM 7b)</w:t>
      </w:r>
      <w:r w:rsidR="00A253EF">
        <w:t xml:space="preserve"> </w:t>
      </w:r>
      <w:r w:rsidRPr="00AF3893">
        <w:t xml:space="preserve">inspections </w:t>
      </w:r>
      <w:r w:rsidR="00A253EF">
        <w:t xml:space="preserve">being </w:t>
      </w:r>
      <w:r w:rsidR="00D80463">
        <w:t xml:space="preserve">four over the FRL is not a concern.  </w:t>
      </w:r>
    </w:p>
    <w:p w14:paraId="69807952" w14:textId="77777777" w:rsidR="009375D4" w:rsidRDefault="009375D4" w:rsidP="00FE0E18">
      <w:pPr>
        <w:spacing w:line="276" w:lineRule="auto"/>
        <w:ind w:left="900"/>
      </w:pPr>
    </w:p>
    <w:p w14:paraId="3E39F1EB" w14:textId="6680BCF2" w:rsidR="0027045E" w:rsidRDefault="00EE3606" w:rsidP="00FE0E18">
      <w:pPr>
        <w:spacing w:line="276" w:lineRule="auto"/>
        <w:ind w:left="900"/>
      </w:pPr>
      <w:r w:rsidRPr="00EE3606">
        <w:t xml:space="preserve">The </w:t>
      </w:r>
      <w:r w:rsidR="00CD7E80">
        <w:t>IL OSHA</w:t>
      </w:r>
      <w:r w:rsidR="001B66A3">
        <w:t xml:space="preserve"> </w:t>
      </w:r>
      <w:r w:rsidRPr="00EE3606">
        <w:t xml:space="preserve">State Plan establishes inspection goals for each inspector based on their experience and training.  These inspection goals are monitored on a weekly basis to ensure annual goals are achieved for </w:t>
      </w:r>
      <w:r w:rsidR="00E07EE1">
        <w:t>each</w:t>
      </w:r>
      <w:r w:rsidRPr="00EE3606">
        <w:t xml:space="preserve"> </w:t>
      </w:r>
      <w:r w:rsidR="00E07EE1">
        <w:t>inspector</w:t>
      </w:r>
      <w:r w:rsidRPr="00EE3606">
        <w:t xml:space="preserve"> position filled.  This is reflected in the State Plan’s success with achieving and exceeding their planned health inspections </w:t>
      </w:r>
      <w:r w:rsidR="00DA1A8F">
        <w:t>in FY 2022 and FY 2023</w:t>
      </w:r>
      <w:r w:rsidRPr="00EE3606">
        <w:t xml:space="preserve">.  </w:t>
      </w:r>
    </w:p>
    <w:p w14:paraId="0DD5C24E" w14:textId="77777777" w:rsidR="0027045E" w:rsidRDefault="0027045E" w:rsidP="00FE0E18">
      <w:pPr>
        <w:spacing w:line="276" w:lineRule="auto"/>
        <w:ind w:left="900"/>
      </w:pPr>
    </w:p>
    <w:p w14:paraId="170CC47A" w14:textId="136D9D6A" w:rsidR="00DA1A8F" w:rsidRDefault="00713A95" w:rsidP="00FE0E18">
      <w:pPr>
        <w:spacing w:line="276" w:lineRule="auto"/>
        <w:ind w:left="900"/>
      </w:pPr>
      <w:r>
        <w:t>Starting in FY 2022, t</w:t>
      </w:r>
      <w:r w:rsidR="00DA1A8F">
        <w:t>he State Plan experienced a higher than anticipated turnover in staffing which</w:t>
      </w:r>
      <w:r w:rsidR="00DA1A8F" w:rsidRPr="002D370B">
        <w:t xml:space="preserve"> </w:t>
      </w:r>
      <w:r w:rsidR="00DA1A8F">
        <w:t>impacted their availability of safety inspectors and</w:t>
      </w:r>
      <w:r w:rsidR="002A2438">
        <w:t xml:space="preserve"> </w:t>
      </w:r>
      <w:r w:rsidR="00E07EE1">
        <w:t xml:space="preserve">the FY 2022 </w:t>
      </w:r>
      <w:r w:rsidR="0024112A">
        <w:t xml:space="preserve">FAME </w:t>
      </w:r>
      <w:r w:rsidR="00E07EE1">
        <w:t xml:space="preserve">Report noted that the State Plan </w:t>
      </w:r>
      <w:r w:rsidR="009C2D95">
        <w:t>failed</w:t>
      </w:r>
      <w:r w:rsidR="00E07EE1">
        <w:t xml:space="preserve"> to meet their </w:t>
      </w:r>
      <w:r w:rsidR="00E07EE1" w:rsidRPr="002D370B">
        <w:t>number of planned vs actual inspections (safety) (SAMM 7a)</w:t>
      </w:r>
      <w:r w:rsidR="00E07EE1">
        <w:t xml:space="preserve"> and it was included as </w:t>
      </w:r>
      <w:r w:rsidR="00622DF3">
        <w:t xml:space="preserve">a </w:t>
      </w:r>
      <w:r w:rsidR="00E07EE1">
        <w:t xml:space="preserve">new </w:t>
      </w:r>
      <w:r w:rsidR="003A0B78">
        <w:t>o</w:t>
      </w:r>
      <w:r w:rsidR="00E07EE1">
        <w:t xml:space="preserve">bservation </w:t>
      </w:r>
      <w:r w:rsidR="003A0B78">
        <w:t>(</w:t>
      </w:r>
      <w:r w:rsidR="00E07EE1">
        <w:t>FY 2022-OB-06</w:t>
      </w:r>
      <w:r w:rsidR="003A0B78">
        <w:t>)</w:t>
      </w:r>
      <w:r w:rsidR="00E07EE1">
        <w:t xml:space="preserve">.  </w:t>
      </w:r>
      <w:r w:rsidR="00B15D4C">
        <w:t xml:space="preserve">The vacancy struggles </w:t>
      </w:r>
      <w:r w:rsidR="006A5BDC">
        <w:t xml:space="preserve">carried through FY 2023 where they </w:t>
      </w:r>
      <w:r w:rsidR="006926E7">
        <w:t xml:space="preserve">experienced </w:t>
      </w:r>
      <w:r w:rsidR="00757044">
        <w:t>turnover</w:t>
      </w:r>
      <w:r w:rsidR="006A5BDC">
        <w:t xml:space="preserve"> </w:t>
      </w:r>
      <w:r w:rsidR="006926E7">
        <w:t xml:space="preserve">with </w:t>
      </w:r>
      <w:r w:rsidR="006A5BDC">
        <w:t xml:space="preserve">six (55%) of their safety inspectors.  </w:t>
      </w:r>
      <w:r w:rsidR="00763A04">
        <w:t xml:space="preserve">The </w:t>
      </w:r>
      <w:r w:rsidR="00CD7E80">
        <w:t>IL OSHA</w:t>
      </w:r>
      <w:r w:rsidR="00763A04">
        <w:t xml:space="preserve"> Program worked </w:t>
      </w:r>
      <w:r w:rsidR="004E15AA">
        <w:t>aggressively</w:t>
      </w:r>
      <w:r w:rsidR="00A05236">
        <w:t xml:space="preserve"> and</w:t>
      </w:r>
      <w:r w:rsidR="002A2438">
        <w:t xml:space="preserve"> in FY 2023</w:t>
      </w:r>
      <w:r w:rsidR="00EE5DA4">
        <w:t xml:space="preserve"> </w:t>
      </w:r>
      <w:r w:rsidR="00E419EF">
        <w:t>they were able to fill five</w:t>
      </w:r>
      <w:r w:rsidR="00CB32D4">
        <w:t xml:space="preserve"> of the six</w:t>
      </w:r>
      <w:r w:rsidR="00E419EF">
        <w:t xml:space="preserve"> safety positions</w:t>
      </w:r>
      <w:r w:rsidR="002A2438">
        <w:t xml:space="preserve">.  </w:t>
      </w:r>
      <w:r w:rsidR="00290A6D">
        <w:t xml:space="preserve">While they were successful in filling the vacancies throughout </w:t>
      </w:r>
      <w:r w:rsidR="00321CC2">
        <w:t xml:space="preserve">FY 2023 the </w:t>
      </w:r>
      <w:r w:rsidR="001B66A3">
        <w:t xml:space="preserve">State Plan </w:t>
      </w:r>
      <w:r w:rsidR="003357B3">
        <w:t>conducted 206</w:t>
      </w:r>
      <w:r w:rsidR="003357B3" w:rsidRPr="000D2619">
        <w:t xml:space="preserve"> </w:t>
      </w:r>
      <w:r w:rsidR="003357B3">
        <w:t>(51.8%)</w:t>
      </w:r>
      <w:r w:rsidR="003357B3" w:rsidRPr="003B4363">
        <w:t xml:space="preserve"> </w:t>
      </w:r>
      <w:r w:rsidR="003357B3" w:rsidRPr="000D2619">
        <w:t xml:space="preserve">safety </w:t>
      </w:r>
      <w:r w:rsidR="003357B3">
        <w:t>inspection</w:t>
      </w:r>
      <w:r w:rsidR="00CB24B5">
        <w:t>s</w:t>
      </w:r>
      <w:r w:rsidR="003357B3">
        <w:t xml:space="preserve"> </w:t>
      </w:r>
      <w:r w:rsidR="003E082C">
        <w:t xml:space="preserve">which is </w:t>
      </w:r>
      <w:r w:rsidR="006926E7">
        <w:t>below</w:t>
      </w:r>
      <w:r w:rsidR="003E082C">
        <w:t xml:space="preserve"> the</w:t>
      </w:r>
      <w:r w:rsidR="00A14D95">
        <w:t xml:space="preserve"> </w:t>
      </w:r>
      <w:r w:rsidR="00A14D95" w:rsidRPr="00A14D95">
        <w:t>380 to 420</w:t>
      </w:r>
      <w:r w:rsidR="00A14D95">
        <w:t xml:space="preserve"> </w:t>
      </w:r>
      <w:r w:rsidR="000B7075">
        <w:t xml:space="preserve">inspection </w:t>
      </w:r>
      <w:r w:rsidR="003E082C">
        <w:t xml:space="preserve">FRL for </w:t>
      </w:r>
      <w:r w:rsidR="003357B3">
        <w:t xml:space="preserve">the </w:t>
      </w:r>
      <w:r w:rsidR="003357B3" w:rsidRPr="006A260D">
        <w:t xml:space="preserve">total number of planned vs. actual </w:t>
      </w:r>
      <w:r w:rsidR="003E082C">
        <w:t>(</w:t>
      </w:r>
      <w:r w:rsidR="003357B3">
        <w:t>safety</w:t>
      </w:r>
      <w:r w:rsidR="003E082C">
        <w:t>) (SAM 7</w:t>
      </w:r>
      <w:r w:rsidR="00A14D95">
        <w:t>a</w:t>
      </w:r>
      <w:r w:rsidR="003E082C">
        <w:t>)</w:t>
      </w:r>
      <w:r w:rsidR="00260306">
        <w:t xml:space="preserve"> inspections</w:t>
      </w:r>
      <w:r w:rsidR="004E15AA">
        <w:t>.</w:t>
      </w:r>
      <w:r w:rsidR="00CE4203">
        <w:t xml:space="preserve">  </w:t>
      </w:r>
      <w:r w:rsidR="00DE31A2">
        <w:t>Conse</w:t>
      </w:r>
      <w:r w:rsidR="000145AA">
        <w:t>quently, t</w:t>
      </w:r>
      <w:r w:rsidR="00CE4203">
        <w:t xml:space="preserve">his concern will continue to be monitored </w:t>
      </w:r>
      <w:r w:rsidR="003455D5">
        <w:t>in FY 2024</w:t>
      </w:r>
      <w:r w:rsidR="000145AA" w:rsidRPr="000145AA">
        <w:t xml:space="preserve"> </w:t>
      </w:r>
      <w:r w:rsidR="000145AA">
        <w:t>as Observation FY 2023-OB</w:t>
      </w:r>
      <w:r w:rsidR="003506F4">
        <w:t>-</w:t>
      </w:r>
      <w:r w:rsidR="00F35000">
        <w:t>01</w:t>
      </w:r>
      <w:r w:rsidR="003455D5">
        <w:t>.</w:t>
      </w:r>
      <w:r w:rsidR="003E082C">
        <w:t xml:space="preserve"> </w:t>
      </w:r>
      <w:r w:rsidR="006817C8" w:rsidRPr="006817C8">
        <w:t>(Source: Appendix D – FY 2023 State Mandated Measures (SAMM) Report, SAMM</w:t>
      </w:r>
      <w:r w:rsidR="006817C8">
        <w:t xml:space="preserve"> #7a</w:t>
      </w:r>
      <w:r w:rsidR="001171AA">
        <w:t>, and #7b.)</w:t>
      </w:r>
    </w:p>
    <w:p w14:paraId="4AB90806" w14:textId="77777777" w:rsidR="00B17D1C" w:rsidRDefault="00B17D1C" w:rsidP="00FE0E18">
      <w:pPr>
        <w:spacing w:line="276" w:lineRule="auto"/>
        <w:ind w:left="900"/>
      </w:pPr>
    </w:p>
    <w:p w14:paraId="37759DC1" w14:textId="45ECAC37" w:rsidR="00B17D1C" w:rsidRDefault="00B17D1C" w:rsidP="00FE0E18">
      <w:pPr>
        <w:spacing w:line="276" w:lineRule="auto"/>
        <w:ind w:left="900"/>
      </w:pPr>
      <w:r w:rsidRPr="00C22215">
        <w:t xml:space="preserve">The State Plan’s percent in compliance rate of </w:t>
      </w:r>
      <w:r w:rsidR="006820D2" w:rsidRPr="00C22215">
        <w:t>11.</w:t>
      </w:r>
      <w:r w:rsidR="007461E2" w:rsidRPr="00C22215">
        <w:t>7</w:t>
      </w:r>
      <w:r w:rsidRPr="00C22215">
        <w:t xml:space="preserve">% for safety cases and </w:t>
      </w:r>
      <w:r w:rsidR="007461E2" w:rsidRPr="00C22215">
        <w:t>17.65</w:t>
      </w:r>
      <w:r w:rsidRPr="00C22215">
        <w:t>% for health cases is below the FRL.  The range</w:t>
      </w:r>
      <w:r w:rsidRPr="00F6037E">
        <w:t xml:space="preserve"> of acceptable data not requiring further review is from </w:t>
      </w:r>
      <w:r w:rsidRPr="00D5060E">
        <w:t>25.</w:t>
      </w:r>
      <w:r w:rsidR="007A434E">
        <w:t>38</w:t>
      </w:r>
      <w:r w:rsidRPr="00F6037E">
        <w:t xml:space="preserve">% to </w:t>
      </w:r>
      <w:r w:rsidR="00F32963">
        <w:t>38.08</w:t>
      </w:r>
      <w:r w:rsidRPr="00F6037E">
        <w:t xml:space="preserve">% for safety and from </w:t>
      </w:r>
      <w:r w:rsidR="00F32963">
        <w:t>35.06</w:t>
      </w:r>
      <w:r w:rsidRPr="00F6037E">
        <w:t xml:space="preserve">% to </w:t>
      </w:r>
      <w:r w:rsidR="00F32963">
        <w:t>52.58</w:t>
      </w:r>
      <w:r w:rsidRPr="00F6037E">
        <w:t xml:space="preserve">% for health. </w:t>
      </w:r>
      <w:r>
        <w:t xml:space="preserve"> Additionally, the State Plan’s average number of violations per inspections with</w:t>
      </w:r>
      <w:r w:rsidRPr="00F6037E">
        <w:t xml:space="preserve"> </w:t>
      </w:r>
      <w:r w:rsidR="00223583">
        <w:t>violation-by-violation</w:t>
      </w:r>
      <w:r>
        <w:t xml:space="preserve"> type Serious, Willful, Repeat, and Unclassified (SWRU) of </w:t>
      </w:r>
      <w:r w:rsidR="00E4721E">
        <w:t>4.04</w:t>
      </w:r>
      <w:r>
        <w:t xml:space="preserve"> is above the FRL</w:t>
      </w:r>
      <w:r w:rsidRPr="00E14F8E">
        <w:t xml:space="preserve"> </w:t>
      </w:r>
      <w:r>
        <w:t>range of</w:t>
      </w:r>
      <w:r w:rsidRPr="00E14F8E">
        <w:t xml:space="preserve"> </w:t>
      </w:r>
      <w:r w:rsidR="002A429E">
        <w:t>1.40</w:t>
      </w:r>
      <w:r w:rsidRPr="00E14F8E">
        <w:t xml:space="preserve"> to 2.1</w:t>
      </w:r>
      <w:r w:rsidR="002A429E">
        <w:t>0</w:t>
      </w:r>
      <w:r>
        <w:t>.  The State Plan’s average number of violations (</w:t>
      </w:r>
      <w:r w:rsidR="0037197C">
        <w:t>1.13</w:t>
      </w:r>
      <w:r>
        <w:t>) for Other-Than-Serious (OTS) violations is below the FRL range of</w:t>
      </w:r>
      <w:r w:rsidRPr="00F460D6">
        <w:rPr>
          <w:rFonts w:eastAsia="PMingLiU" w:cstheme="minorBidi"/>
        </w:rPr>
        <w:t xml:space="preserve"> </w:t>
      </w:r>
      <w:r w:rsidRPr="00F460D6">
        <w:t>0.7</w:t>
      </w:r>
      <w:r w:rsidR="0037197C">
        <w:t>1</w:t>
      </w:r>
      <w:r w:rsidRPr="00F460D6">
        <w:t xml:space="preserve"> to 1.0</w:t>
      </w:r>
      <w:r w:rsidR="0037197C">
        <w:t>7</w:t>
      </w:r>
      <w:r>
        <w:t xml:space="preserve">.  </w:t>
      </w:r>
      <w:r w:rsidRPr="00F6037E">
        <w:t>The further review level for</w:t>
      </w:r>
      <w:r>
        <w:t xml:space="preserve"> each of</w:t>
      </w:r>
      <w:r w:rsidRPr="00F6037E">
        <w:t xml:space="preserve"> the</w:t>
      </w:r>
      <w:r>
        <w:t>se three activity measures</w:t>
      </w:r>
      <w:r w:rsidRPr="00F6037E">
        <w:t xml:space="preserve"> is based on a three-year national average and </w:t>
      </w:r>
      <w:r w:rsidRPr="007968C8">
        <w:t xml:space="preserve">warranted a closer look </w:t>
      </w:r>
      <w:r w:rsidRPr="00F6037E">
        <w:t>as a part of the on-site case file review.</w:t>
      </w:r>
      <w:r>
        <w:t xml:space="preserve">  </w:t>
      </w:r>
      <w:r w:rsidRPr="008D4B5C">
        <w:t>(Source: Appendix D – FY 202</w:t>
      </w:r>
      <w:r w:rsidR="00844B62">
        <w:t>3</w:t>
      </w:r>
      <w:r w:rsidRPr="008D4B5C">
        <w:t xml:space="preserve"> State Mandated Measures (SAMM) Report, SAMM #</w:t>
      </w:r>
      <w:r>
        <w:t>5</w:t>
      </w:r>
      <w:r w:rsidRPr="008D4B5C">
        <w:t>a</w:t>
      </w:r>
      <w:r>
        <w:t>,</w:t>
      </w:r>
      <w:r w:rsidRPr="008D4B5C">
        <w:t xml:space="preserve"> #</w:t>
      </w:r>
      <w:r>
        <w:t>5</w:t>
      </w:r>
      <w:r w:rsidRPr="008D4B5C">
        <w:t>b</w:t>
      </w:r>
      <w:r>
        <w:t>, #9a and #9b</w:t>
      </w:r>
      <w:r w:rsidRPr="008D4B5C">
        <w:t>)</w:t>
      </w:r>
    </w:p>
    <w:p w14:paraId="3631CB35" w14:textId="77777777" w:rsidR="00B17D1C" w:rsidRDefault="00B17D1C" w:rsidP="00FE0E18">
      <w:pPr>
        <w:spacing w:line="276" w:lineRule="auto"/>
        <w:ind w:left="900"/>
      </w:pPr>
    </w:p>
    <w:p w14:paraId="2D69494D" w14:textId="2F4D7EC8" w:rsidR="00773C70" w:rsidRDefault="00B17D1C" w:rsidP="00FE0E18">
      <w:pPr>
        <w:spacing w:line="276" w:lineRule="auto"/>
        <w:ind w:left="900"/>
      </w:pPr>
      <w:r>
        <w:t xml:space="preserve">When each of the three activity measures are viewed together, in context with each other, they provide a clear picture of the State Plan’s positive performance.  </w:t>
      </w:r>
      <w:r w:rsidRPr="00F6037E">
        <w:t xml:space="preserve">The </w:t>
      </w:r>
      <w:r>
        <w:t>low</w:t>
      </w:r>
      <w:r w:rsidRPr="00F6037E">
        <w:t xml:space="preserve"> in compliance rate</w:t>
      </w:r>
      <w:r>
        <w:t>s, the high average number of SWRU violations, and low number of OTS violations is a positive indicator of the successful inspection targeting of high hazard industries and the State Plan’s focus and diligence with identifying and addressing the serious safety and health conditions in those establishments</w:t>
      </w:r>
      <w:r w:rsidRPr="00F6037E">
        <w:t>.</w:t>
      </w:r>
    </w:p>
    <w:p w14:paraId="771EBB36" w14:textId="77777777" w:rsidR="005D6AD7" w:rsidRDefault="005D6AD7" w:rsidP="00FE0E18">
      <w:pPr>
        <w:spacing w:line="276" w:lineRule="auto"/>
        <w:ind w:left="900"/>
      </w:pPr>
    </w:p>
    <w:p w14:paraId="4D22329F" w14:textId="0AEE98FD" w:rsidR="005D6AD7" w:rsidRDefault="00371147" w:rsidP="00FE0E18">
      <w:pPr>
        <w:spacing w:line="276" w:lineRule="auto"/>
        <w:ind w:left="900"/>
        <w:rPr>
          <w:iCs/>
          <w:lang w:bidi="en-US"/>
        </w:rPr>
      </w:pPr>
      <w:r w:rsidRPr="008E7486">
        <w:rPr>
          <w:b/>
          <w:bCs/>
          <w:iCs/>
          <w:lang w:bidi="en-US"/>
        </w:rPr>
        <w:t>Observation FY 202</w:t>
      </w:r>
      <w:r>
        <w:rPr>
          <w:b/>
          <w:bCs/>
          <w:iCs/>
          <w:lang w:bidi="en-US"/>
        </w:rPr>
        <w:t>3</w:t>
      </w:r>
      <w:r w:rsidRPr="008E7486">
        <w:rPr>
          <w:b/>
          <w:bCs/>
          <w:iCs/>
          <w:lang w:bidi="en-US"/>
        </w:rPr>
        <w:t>-OB-01 (FY 202</w:t>
      </w:r>
      <w:r>
        <w:rPr>
          <w:b/>
          <w:bCs/>
          <w:iCs/>
          <w:lang w:bidi="en-US"/>
        </w:rPr>
        <w:t>2</w:t>
      </w:r>
      <w:r w:rsidRPr="008E7486">
        <w:rPr>
          <w:b/>
          <w:bCs/>
          <w:iCs/>
          <w:lang w:bidi="en-US"/>
        </w:rPr>
        <w:t>-OB-0</w:t>
      </w:r>
      <w:r>
        <w:rPr>
          <w:b/>
          <w:bCs/>
          <w:iCs/>
          <w:lang w:bidi="en-US"/>
        </w:rPr>
        <w:t>6</w:t>
      </w:r>
      <w:r w:rsidRPr="008E7486">
        <w:rPr>
          <w:b/>
          <w:bCs/>
          <w:iCs/>
          <w:lang w:bidi="en-US"/>
        </w:rPr>
        <w:t>):</w:t>
      </w:r>
      <w:r w:rsidR="00FF536D">
        <w:rPr>
          <w:b/>
          <w:bCs/>
          <w:iCs/>
          <w:lang w:bidi="en-US"/>
        </w:rPr>
        <w:t xml:space="preserve"> </w:t>
      </w:r>
      <w:r w:rsidR="00FF536D" w:rsidRPr="00FF536D">
        <w:rPr>
          <w:iCs/>
          <w:lang w:bidi="en-US"/>
        </w:rPr>
        <w:t>The Illinois State Plan’s number of planned vs actual inspections (safety) (SAMM 7a) is below the further review level of 380 safety inspections.  The Illinois State Plan conducted 206 safety inspections (52%) of the 400 planned safety inspections.</w:t>
      </w:r>
    </w:p>
    <w:p w14:paraId="0AE4D8D8" w14:textId="77777777" w:rsidR="00E62F7B" w:rsidRDefault="00E62F7B" w:rsidP="00FE0E18">
      <w:pPr>
        <w:spacing w:line="276" w:lineRule="auto"/>
        <w:ind w:left="900"/>
      </w:pPr>
    </w:p>
    <w:p w14:paraId="5F156134" w14:textId="4206814A" w:rsidR="001F488D" w:rsidRDefault="001F488D" w:rsidP="00FE0E18">
      <w:pPr>
        <w:spacing w:line="276" w:lineRule="auto"/>
        <w:ind w:left="900"/>
        <w:rPr>
          <w:iCs/>
        </w:rPr>
      </w:pPr>
      <w:r w:rsidRPr="00EC1572">
        <w:rPr>
          <w:b/>
          <w:bCs/>
          <w:iCs/>
        </w:rPr>
        <w:t>Federal Monitoring Plan FY 20</w:t>
      </w:r>
      <w:r>
        <w:rPr>
          <w:b/>
          <w:bCs/>
          <w:iCs/>
        </w:rPr>
        <w:t>23</w:t>
      </w:r>
      <w:r w:rsidRPr="00EC1572">
        <w:rPr>
          <w:b/>
          <w:bCs/>
          <w:iCs/>
        </w:rPr>
        <w:t xml:space="preserve">-OB-01: </w:t>
      </w:r>
      <w:r w:rsidR="00B10A57" w:rsidRPr="00B10A57">
        <w:rPr>
          <w:iCs/>
        </w:rPr>
        <w:t>OSHA will discuss and evaluate Illinois OSHA’s inspection strategies and progress during quarterly monitoring meetings.</w:t>
      </w:r>
    </w:p>
    <w:p w14:paraId="25ACBAAC" w14:textId="77777777" w:rsidR="00782EEC" w:rsidRPr="008B1863" w:rsidRDefault="00782EEC" w:rsidP="00FE0E18">
      <w:pPr>
        <w:tabs>
          <w:tab w:val="left" w:pos="1890"/>
        </w:tabs>
        <w:spacing w:line="276" w:lineRule="auto"/>
        <w:ind w:left="2880"/>
      </w:pPr>
    </w:p>
    <w:p w14:paraId="4E106EC5" w14:textId="11E850C7" w:rsidR="00B743EE" w:rsidRDefault="00B743EE" w:rsidP="00FE0E18">
      <w:pPr>
        <w:tabs>
          <w:tab w:val="left" w:pos="1260"/>
          <w:tab w:val="left" w:pos="1350"/>
        </w:tabs>
        <w:spacing w:line="276" w:lineRule="auto"/>
        <w:ind w:firstLine="900"/>
      </w:pPr>
      <w:r>
        <w:t xml:space="preserve">d)  </w:t>
      </w:r>
      <w:r w:rsidR="00782EEC" w:rsidRPr="008B1863">
        <w:t>Citations and Penalties</w:t>
      </w:r>
    </w:p>
    <w:p w14:paraId="075CC3E6" w14:textId="77777777" w:rsidR="00B743EE" w:rsidRDefault="00B743EE" w:rsidP="00FE0E18">
      <w:pPr>
        <w:spacing w:line="276" w:lineRule="auto"/>
        <w:ind w:firstLine="900"/>
      </w:pPr>
    </w:p>
    <w:p w14:paraId="7C277F9C" w14:textId="035B7ED8" w:rsidR="00EC1B36" w:rsidRPr="00EC1B36" w:rsidRDefault="00EC1B36" w:rsidP="00FE0E18">
      <w:pPr>
        <w:spacing w:line="276" w:lineRule="auto"/>
        <w:ind w:left="900"/>
      </w:pPr>
      <w:r w:rsidRPr="00EC1B36">
        <w:t xml:space="preserve">In </w:t>
      </w:r>
      <w:r w:rsidR="00CD7E80">
        <w:t>IL OSHA</w:t>
      </w:r>
      <w:r w:rsidRPr="00EC1B36">
        <w:t xml:space="preserve">’s FOM, Chapters 5 and 6 contain the requirements and policies for </w:t>
      </w:r>
      <w:r w:rsidR="00481565">
        <w:t xml:space="preserve">case file preparation, </w:t>
      </w:r>
      <w:r w:rsidR="00800A14">
        <w:t>documentation,</w:t>
      </w:r>
      <w:r w:rsidRPr="00EC1B36">
        <w:t xml:space="preserve"> and penalties. The citations and penalties proposed for issuance are reviewed at multiple levels in the State Plan’s management system prior to issuance.</w:t>
      </w:r>
    </w:p>
    <w:p w14:paraId="12576B3A" w14:textId="77777777" w:rsidR="00EC1B36" w:rsidRPr="00EC1B36" w:rsidRDefault="00EC1B36" w:rsidP="00FE0E18">
      <w:pPr>
        <w:spacing w:line="276" w:lineRule="auto"/>
        <w:ind w:left="900"/>
      </w:pPr>
    </w:p>
    <w:p w14:paraId="3EB944BF" w14:textId="5C2BA778" w:rsidR="00EC1B36" w:rsidRPr="00EC1B36" w:rsidRDefault="00EC1B36" w:rsidP="00FE0E18">
      <w:pPr>
        <w:spacing w:line="276" w:lineRule="auto"/>
        <w:ind w:left="900"/>
      </w:pPr>
      <w:r w:rsidRPr="00EC1B36">
        <w:t>During FY 202</w:t>
      </w:r>
      <w:r w:rsidR="00F97F2A">
        <w:t>3</w:t>
      </w:r>
      <w:r w:rsidRPr="00EC1B36">
        <w:t xml:space="preserve">, </w:t>
      </w:r>
      <w:r w:rsidR="00CD7E80">
        <w:t>IL OSHA</w:t>
      </w:r>
      <w:r w:rsidRPr="00EC1B36">
        <w:t xml:space="preserve"> investigators conducted </w:t>
      </w:r>
      <w:r w:rsidR="00B60C99">
        <w:t>31</w:t>
      </w:r>
      <w:r w:rsidR="006E3A62">
        <w:t>5</w:t>
      </w:r>
      <w:r w:rsidRPr="00EC1B36">
        <w:t xml:space="preserve"> inspections with </w:t>
      </w:r>
      <w:r w:rsidR="00225631">
        <w:t>1,</w:t>
      </w:r>
      <w:r w:rsidR="009E3867">
        <w:t>013</w:t>
      </w:r>
      <w:r w:rsidR="009E3867" w:rsidRPr="00EC1B36">
        <w:t xml:space="preserve"> </w:t>
      </w:r>
      <w:r w:rsidRPr="00EC1B36">
        <w:t xml:space="preserve">violations cited.  </w:t>
      </w:r>
      <w:r w:rsidR="00985767">
        <w:t>Two hundred forty-two</w:t>
      </w:r>
      <w:r w:rsidRPr="00EC1B36">
        <w:t xml:space="preserve"> (</w:t>
      </w:r>
      <w:r w:rsidR="004F3402">
        <w:t>77</w:t>
      </w:r>
      <w:r w:rsidRPr="00EC1B36">
        <w:t xml:space="preserve">%) of the inspections resulted in violations and the State Plan issued serious, willful, and repeat violations in </w:t>
      </w:r>
      <w:r w:rsidR="004F3402">
        <w:t>226</w:t>
      </w:r>
      <w:r w:rsidRPr="00EC1B36">
        <w:t xml:space="preserve"> (9</w:t>
      </w:r>
      <w:r w:rsidR="00F853B4">
        <w:t>3</w:t>
      </w:r>
      <w:r w:rsidRPr="00EC1B36">
        <w:t>%) of their inspections with citations, with another 1</w:t>
      </w:r>
      <w:r w:rsidR="00F853B4">
        <w:t>6</w:t>
      </w:r>
      <w:r w:rsidRPr="00EC1B36">
        <w:t xml:space="preserve"> inspections having only other-than-serious citations issued. The State Plan issued </w:t>
      </w:r>
      <w:r w:rsidR="00221449">
        <w:t>1,013</w:t>
      </w:r>
      <w:r w:rsidRPr="00EC1B36">
        <w:t xml:space="preserve"> serious violations, </w:t>
      </w:r>
      <w:r w:rsidR="00221449">
        <w:t>two</w:t>
      </w:r>
      <w:r w:rsidRPr="00EC1B36">
        <w:t xml:space="preserve"> willful violations, </w:t>
      </w:r>
      <w:r w:rsidR="00221449">
        <w:t>12</w:t>
      </w:r>
      <w:r w:rsidRPr="00EC1B36">
        <w:t xml:space="preserve"> repeat violations, </w:t>
      </w:r>
      <w:r w:rsidR="002508E5">
        <w:t>286</w:t>
      </w:r>
      <w:r w:rsidRPr="00EC1B36">
        <w:t xml:space="preserve"> other-than-serious (OTS) violations, </w:t>
      </w:r>
      <w:r w:rsidR="002508E5">
        <w:t>five</w:t>
      </w:r>
      <w:r w:rsidRPr="00EC1B36">
        <w:t xml:space="preserve"> failure-to-abate (FTA) violations, and </w:t>
      </w:r>
      <w:r w:rsidR="002508E5">
        <w:t>83</w:t>
      </w:r>
      <w:r w:rsidRPr="00EC1B36">
        <w:t xml:space="preserve"> hazard alert letters used to inform the employer of potential hazards that do not meet criteria for citation issuance. (Source: Inspection Summary Report dated January 1</w:t>
      </w:r>
      <w:r w:rsidR="000667DD">
        <w:t>8</w:t>
      </w:r>
      <w:r w:rsidRPr="00EC1B36">
        <w:t>, 202</w:t>
      </w:r>
      <w:r w:rsidR="000667DD">
        <w:t>4</w:t>
      </w:r>
      <w:r w:rsidRPr="00EC1B36">
        <w:t>)</w:t>
      </w:r>
    </w:p>
    <w:p w14:paraId="648F2176" w14:textId="77777777" w:rsidR="00EC1B36" w:rsidRPr="00EC1B36" w:rsidRDefault="00EC1B36" w:rsidP="00FE0E18">
      <w:pPr>
        <w:spacing w:line="276" w:lineRule="auto"/>
        <w:ind w:left="900"/>
      </w:pPr>
    </w:p>
    <w:p w14:paraId="6203900B" w14:textId="03ED8355" w:rsidR="00EC1B36" w:rsidRPr="00EC1B36" w:rsidRDefault="00EC1B36" w:rsidP="00FE0E18">
      <w:pPr>
        <w:spacing w:line="276" w:lineRule="auto"/>
        <w:ind w:left="900"/>
      </w:pPr>
      <w:r w:rsidRPr="00EC1B36">
        <w:t xml:space="preserve">As a state and local government workplace enforcement program, </w:t>
      </w:r>
      <w:r w:rsidR="00CD7E80">
        <w:t>IL OSHA</w:t>
      </w:r>
      <w:r w:rsidRPr="00EC1B36">
        <w:t xml:space="preserve"> only assesses penalties on repeat, willful, and FTA violations.  In FY 202</w:t>
      </w:r>
      <w:r w:rsidR="000A392F">
        <w:t>3</w:t>
      </w:r>
      <w:r w:rsidRPr="00EC1B36">
        <w:t xml:space="preserve"> the State Plan</w:t>
      </w:r>
      <w:r w:rsidR="00367E58">
        <w:t xml:space="preserve"> initially</w:t>
      </w:r>
      <w:r w:rsidRPr="00EC1B36">
        <w:t xml:space="preserve"> issued</w:t>
      </w:r>
      <w:r w:rsidR="0036297C">
        <w:t xml:space="preserve"> </w:t>
      </w:r>
      <w:r w:rsidR="00367E58">
        <w:t xml:space="preserve">a total of $139,590.00.  Following </w:t>
      </w:r>
      <w:r w:rsidR="001D4104">
        <w:t>settlement,</w:t>
      </w:r>
      <w:r w:rsidR="006F7C38">
        <w:t xml:space="preserve"> the State Plan maintained </w:t>
      </w:r>
      <w:r w:rsidR="00977CD0">
        <w:t xml:space="preserve">$97,374.00 (70%) of the originally issued penalties.  </w:t>
      </w:r>
      <w:r w:rsidR="001D4104">
        <w:t>Settlement penalty amounts included</w:t>
      </w:r>
      <w:r w:rsidR="00EF777B">
        <w:t xml:space="preserve"> $6,000.00 in Serious </w:t>
      </w:r>
      <w:r w:rsidR="00DD0EC1">
        <w:t xml:space="preserve">penalties; </w:t>
      </w:r>
      <w:r w:rsidR="00DD0EC1" w:rsidRPr="00EC1B36">
        <w:t>$</w:t>
      </w:r>
      <w:r w:rsidR="00EF777B">
        <w:t>28,750</w:t>
      </w:r>
      <w:r w:rsidRPr="00EC1B36">
        <w:t>.00 in Repeat penalties; $</w:t>
      </w:r>
      <w:r w:rsidR="00CB7F88">
        <w:t>20,000</w:t>
      </w:r>
      <w:r w:rsidRPr="00EC1B36">
        <w:t>.00 in Willful penalties, and $</w:t>
      </w:r>
      <w:r w:rsidR="00CB7F88">
        <w:t>42,624</w:t>
      </w:r>
      <w:r w:rsidRPr="00EC1B36">
        <w:t>.00 in FTA penalties. (Source: Inspection Summary Report dated January 1</w:t>
      </w:r>
      <w:r w:rsidR="004765E0">
        <w:t>8</w:t>
      </w:r>
      <w:r w:rsidRPr="00EC1B36">
        <w:t>, 202</w:t>
      </w:r>
      <w:r w:rsidR="004765E0">
        <w:t>4</w:t>
      </w:r>
      <w:r w:rsidRPr="00EC1B36">
        <w:t>)</w:t>
      </w:r>
    </w:p>
    <w:p w14:paraId="3DB9F094" w14:textId="77777777" w:rsidR="00EC1B36" w:rsidRPr="00EC1B36" w:rsidRDefault="00EC1B36" w:rsidP="00FE0E18">
      <w:pPr>
        <w:spacing w:line="276" w:lineRule="auto"/>
        <w:ind w:left="900"/>
      </w:pPr>
    </w:p>
    <w:p w14:paraId="214F3DE7" w14:textId="640E980B" w:rsidR="00EC1B36" w:rsidRPr="00EC1B36" w:rsidRDefault="00EC1B36" w:rsidP="00FE0E18">
      <w:pPr>
        <w:spacing w:line="276" w:lineRule="auto"/>
        <w:ind w:left="900"/>
      </w:pPr>
      <w:r w:rsidRPr="00EC1B36">
        <w:t xml:space="preserve">With an average lapse time of </w:t>
      </w:r>
      <w:r w:rsidR="004765E0">
        <w:t>27</w:t>
      </w:r>
      <w:r w:rsidR="00D13929">
        <w:t>.05</w:t>
      </w:r>
      <w:r w:rsidRPr="00EC1B36">
        <w:t xml:space="preserve"> days for safety</w:t>
      </w:r>
      <w:r w:rsidR="004765E0">
        <w:t xml:space="preserve"> and health</w:t>
      </w:r>
      <w:r w:rsidRPr="00EC1B36">
        <w:t xml:space="preserve"> inspections and </w:t>
      </w:r>
      <w:r w:rsidR="00D13929">
        <w:t>27.01</w:t>
      </w:r>
      <w:r w:rsidRPr="00EC1B36">
        <w:t xml:space="preserve"> days for health inspections, </w:t>
      </w:r>
      <w:r w:rsidR="00CD7E80">
        <w:t>IL OSHA</w:t>
      </w:r>
      <w:r w:rsidRPr="00EC1B36">
        <w:t xml:space="preserve"> is below the FRL for both safety and health inspections. The FRL for the average lapse time is +/- 20% of the three-year national average. The range of acceptable data not requiring further review is from </w:t>
      </w:r>
      <w:r w:rsidR="004F56E5">
        <w:t>44.18</w:t>
      </w:r>
      <w:r w:rsidRPr="00EC1B36">
        <w:t xml:space="preserve"> to </w:t>
      </w:r>
      <w:r w:rsidR="004F56E5">
        <w:t>66.28</w:t>
      </w:r>
      <w:r w:rsidRPr="00EC1B36">
        <w:t xml:space="preserve"> for safety, and from </w:t>
      </w:r>
      <w:r w:rsidR="004F56E5">
        <w:t>55.78</w:t>
      </w:r>
      <w:r w:rsidRPr="00EC1B36">
        <w:t xml:space="preserve"> to </w:t>
      </w:r>
      <w:r w:rsidR="004F56E5">
        <w:t>83.66</w:t>
      </w:r>
      <w:r w:rsidRPr="00EC1B36">
        <w:t xml:space="preserve"> for health inspections. </w:t>
      </w:r>
      <w:r w:rsidR="002D4835">
        <w:t xml:space="preserve">The State Plan </w:t>
      </w:r>
      <w:r w:rsidR="008B318D">
        <w:t xml:space="preserve">focuses on efficient case file management and post onsite </w:t>
      </w:r>
      <w:r w:rsidR="003720EE">
        <w:t xml:space="preserve">case file write-ups.  Additionally, as a public </w:t>
      </w:r>
      <w:r w:rsidR="007321BB">
        <w:t xml:space="preserve">employer enforcement only program, the hazards addressed are focused </w:t>
      </w:r>
      <w:r w:rsidR="000D3B0F">
        <w:t>on</w:t>
      </w:r>
      <w:r w:rsidR="007321BB">
        <w:t xml:space="preserve"> a smalle</w:t>
      </w:r>
      <w:r w:rsidR="00C0048C">
        <w:t>r variety of workplaces</w:t>
      </w:r>
      <w:r w:rsidR="00D3250A">
        <w:t xml:space="preserve"> allowing for the same or similar violative conditions to be addressed on a regular basis</w:t>
      </w:r>
      <w:r w:rsidRPr="00EC1B36">
        <w:t xml:space="preserve">.  </w:t>
      </w:r>
      <w:r w:rsidR="00DC1559">
        <w:t xml:space="preserve">These factors allow for a quick </w:t>
      </w:r>
      <w:r w:rsidR="00F310A8">
        <w:t xml:space="preserve">write-up and issuance of the inspections and </w:t>
      </w:r>
      <w:r w:rsidR="00455DD0">
        <w:t xml:space="preserve">subsequently abatement activity to be completed </w:t>
      </w:r>
      <w:r w:rsidR="00DF24FF">
        <w:t>as soon as possible</w:t>
      </w:r>
      <w:r w:rsidRPr="00EC1B36">
        <w:t>.  The State Plan being below the FRL for average lapse time is not a concern. (Source: Appendix D – FY 202</w:t>
      </w:r>
      <w:r w:rsidR="00DF24FF">
        <w:t>3</w:t>
      </w:r>
      <w:r w:rsidRPr="00EC1B36">
        <w:t xml:space="preserve"> State Mandated Measures (SAMM) Report, SAMM #11a and #11b) </w:t>
      </w:r>
    </w:p>
    <w:p w14:paraId="78067C1D" w14:textId="77777777" w:rsidR="00EC1B36" w:rsidRPr="00EC1B36" w:rsidRDefault="00EC1B36" w:rsidP="00FE0E18">
      <w:pPr>
        <w:spacing w:line="276" w:lineRule="auto"/>
        <w:ind w:left="900"/>
      </w:pPr>
    </w:p>
    <w:p w14:paraId="2BD46364" w14:textId="55069242" w:rsidR="00EC1B36" w:rsidRPr="00EC1B36" w:rsidRDefault="00EC1B36" w:rsidP="00FE0E18">
      <w:pPr>
        <w:spacing w:line="276" w:lineRule="auto"/>
        <w:ind w:left="900"/>
      </w:pPr>
      <w:r w:rsidRPr="00400D67">
        <w:t xml:space="preserve">The </w:t>
      </w:r>
      <w:r w:rsidR="00AC71D6" w:rsidRPr="00400D67">
        <w:t>50</w:t>
      </w:r>
      <w:r w:rsidRPr="00400D67">
        <w:t xml:space="preserve"> FY 202</w:t>
      </w:r>
      <w:r w:rsidR="00AC71D6" w:rsidRPr="00400D67">
        <w:t>3</w:t>
      </w:r>
      <w:r w:rsidRPr="00400D67">
        <w:t xml:space="preserve"> case files reviewed were evaluated</w:t>
      </w:r>
      <w:r w:rsidRPr="00EC1B36">
        <w:t xml:space="preserve"> to determine the success of the State Plan to address </w:t>
      </w:r>
      <w:r w:rsidR="008E3954">
        <w:t>one</w:t>
      </w:r>
      <w:r w:rsidR="008C6F0E">
        <w:t xml:space="preserve"> previous finding and </w:t>
      </w:r>
      <w:r w:rsidRPr="00EC1B36">
        <w:t xml:space="preserve">three </w:t>
      </w:r>
      <w:r w:rsidR="007D4276" w:rsidRPr="00EC1B36">
        <w:t xml:space="preserve">previous </w:t>
      </w:r>
      <w:r w:rsidRPr="00EC1B36">
        <w:t>observations associated with inspection documentation and violation support</w:t>
      </w:r>
      <w:r w:rsidRPr="00B300F7">
        <w:t>.  These include</w:t>
      </w:r>
      <w:r w:rsidR="008C6F0E">
        <w:t xml:space="preserve"> Finding FY 2022-01:</w:t>
      </w:r>
      <w:r w:rsidR="00B43230">
        <w:t xml:space="preserve"> </w:t>
      </w:r>
      <w:r w:rsidR="003C0EA8" w:rsidRPr="003C0EA8">
        <w:t>files with violations did not contain adequate documentation of the information required to support the violations</w:t>
      </w:r>
      <w:r w:rsidR="003C0EA8">
        <w:t>,</w:t>
      </w:r>
      <w:r w:rsidRPr="00B300F7">
        <w:t xml:space="preserve"> Observation FY 202</w:t>
      </w:r>
      <w:r w:rsidR="004F7374" w:rsidRPr="00B300F7">
        <w:t>2</w:t>
      </w:r>
      <w:r w:rsidRPr="00B300F7">
        <w:t>-OB-0</w:t>
      </w:r>
      <w:r w:rsidR="007F5664" w:rsidRPr="00B300F7">
        <w:t>3</w:t>
      </w:r>
      <w:r w:rsidRPr="00B300F7">
        <w:t xml:space="preserve">: </w:t>
      </w:r>
      <w:r w:rsidR="00BE0BF7" w:rsidRPr="00B300F7">
        <w:t xml:space="preserve">files lacked specificity and clarity in the severity and probability </w:t>
      </w:r>
      <w:r w:rsidR="00BE0BF7" w:rsidRPr="00B300F7">
        <w:lastRenderedPageBreak/>
        <w:t>information as to how it was directly associated with the condition addressed in the violation</w:t>
      </w:r>
      <w:r w:rsidRPr="00B300F7">
        <w:t>, Observation</w:t>
      </w:r>
      <w:r w:rsidRPr="00EC1B36">
        <w:t xml:space="preserve"> FY 202</w:t>
      </w:r>
      <w:r w:rsidR="00BE0BF7">
        <w:t>2</w:t>
      </w:r>
      <w:r w:rsidRPr="00EC1B36">
        <w:t>-OB-0</w:t>
      </w:r>
      <w:r w:rsidR="00BE0BF7">
        <w:t>4</w:t>
      </w:r>
      <w:r w:rsidRPr="00EC1B36">
        <w:t xml:space="preserve">: </w:t>
      </w:r>
      <w:r w:rsidR="002F5A3F" w:rsidRPr="002F5A3F">
        <w:t>the Alleged Violation Description (AVD)</w:t>
      </w:r>
      <w:r w:rsidR="002F5A3F">
        <w:t>, for</w:t>
      </w:r>
      <w:r w:rsidR="002F5A3F" w:rsidRPr="002F5A3F">
        <w:t xml:space="preserve"> files with violations, was not clear or did not describe the nature of the violation with particularity</w:t>
      </w:r>
      <w:r w:rsidRPr="00EC1B36">
        <w:t>, and Observation FY 202</w:t>
      </w:r>
      <w:r w:rsidR="002F5A3F">
        <w:t>2</w:t>
      </w:r>
      <w:r w:rsidRPr="00EC1B36">
        <w:t>-OB-0</w:t>
      </w:r>
      <w:r w:rsidR="002F5A3F">
        <w:t>5</w:t>
      </w:r>
      <w:r w:rsidRPr="00EC1B36">
        <w:t xml:space="preserve">: </w:t>
      </w:r>
      <w:r w:rsidR="00AA5D84" w:rsidRPr="00AA5D84">
        <w:t xml:space="preserve">the AVD language </w:t>
      </w:r>
      <w:r w:rsidR="00400D67">
        <w:t xml:space="preserve">associated with </w:t>
      </w:r>
      <w:r w:rsidR="00AA5D84" w:rsidRPr="00AA5D84">
        <w:t xml:space="preserve">general duty violations was not consistent with the instructions and provisions required in </w:t>
      </w:r>
      <w:r w:rsidR="00CD7E80">
        <w:t>IL OSHA</w:t>
      </w:r>
      <w:r w:rsidR="00AA5D84" w:rsidRPr="00AA5D84">
        <w:t>’s FOM Chapter 4-3</w:t>
      </w:r>
      <w:r w:rsidRPr="00EC1B36">
        <w:t xml:space="preserve">. As a result of the on-site case file review, </w:t>
      </w:r>
      <w:r w:rsidR="00E31FCB">
        <w:t xml:space="preserve">the State Plan made </w:t>
      </w:r>
      <w:r w:rsidR="00A31673">
        <w:t xml:space="preserve">significant progress in addressing </w:t>
      </w:r>
      <w:r w:rsidR="0068714B">
        <w:t xml:space="preserve">these concerns and </w:t>
      </w:r>
      <w:r w:rsidR="006017DE">
        <w:t>Finding FY 2022-01 is completed</w:t>
      </w:r>
      <w:r w:rsidR="00FA62B6">
        <w:t xml:space="preserve">, </w:t>
      </w:r>
      <w:r w:rsidRPr="00EC1B36">
        <w:t>Observation FY 202</w:t>
      </w:r>
      <w:r w:rsidR="005E2F0B">
        <w:t>2</w:t>
      </w:r>
      <w:r w:rsidRPr="00EC1B36">
        <w:t>-OB-03</w:t>
      </w:r>
      <w:r w:rsidR="005E2F0B">
        <w:t>,</w:t>
      </w:r>
      <w:r w:rsidRPr="00EC1B36">
        <w:t xml:space="preserve"> Observation FY 202</w:t>
      </w:r>
      <w:r w:rsidR="005E2F0B">
        <w:t>2</w:t>
      </w:r>
      <w:r w:rsidRPr="00EC1B36">
        <w:t>-OB-0</w:t>
      </w:r>
      <w:r w:rsidR="005E2F0B">
        <w:t>4</w:t>
      </w:r>
      <w:r w:rsidRPr="00EC1B36">
        <w:t xml:space="preserve"> and Observation FY 2020-OB-0</w:t>
      </w:r>
      <w:r w:rsidR="00DB48E4">
        <w:t>5</w:t>
      </w:r>
      <w:r w:rsidRPr="00EC1B36">
        <w:t xml:space="preserve"> </w:t>
      </w:r>
      <w:r w:rsidR="00DB48E4">
        <w:t xml:space="preserve">are </w:t>
      </w:r>
      <w:r w:rsidR="00F30B2F">
        <w:t>closed</w:t>
      </w:r>
      <w:r w:rsidRPr="00EC1B36">
        <w:t>.</w:t>
      </w:r>
    </w:p>
    <w:p w14:paraId="34DB4F3A" w14:textId="77777777" w:rsidR="00EC1B36" w:rsidRPr="00EC1B36" w:rsidRDefault="00EC1B36" w:rsidP="00FE0E18">
      <w:pPr>
        <w:spacing w:line="276" w:lineRule="auto"/>
        <w:ind w:left="900"/>
      </w:pPr>
    </w:p>
    <w:p w14:paraId="7D5772C9" w14:textId="77777777" w:rsidR="00782EEC" w:rsidRDefault="009C6968" w:rsidP="00FE0E18">
      <w:pPr>
        <w:pStyle w:val="ListParagraph"/>
        <w:numPr>
          <w:ilvl w:val="0"/>
          <w:numId w:val="5"/>
        </w:numPr>
        <w:tabs>
          <w:tab w:val="left" w:pos="1170"/>
          <w:tab w:val="left" w:pos="1350"/>
        </w:tabs>
        <w:ind w:hanging="1260"/>
        <w:rPr>
          <w:rFonts w:ascii="Times New Roman" w:hAnsi="Times New Roman" w:cs="Times New Roman"/>
          <w:sz w:val="24"/>
          <w:szCs w:val="24"/>
        </w:rPr>
      </w:pPr>
      <w:r w:rsidRPr="005D5070">
        <w:rPr>
          <w:rFonts w:ascii="Times New Roman" w:hAnsi="Times New Roman" w:cs="Times New Roman"/>
          <w:sz w:val="24"/>
          <w:szCs w:val="24"/>
        </w:rPr>
        <w:t xml:space="preserve">  </w:t>
      </w:r>
      <w:r w:rsidR="00782EEC" w:rsidRPr="005D5070">
        <w:rPr>
          <w:rFonts w:ascii="Times New Roman" w:hAnsi="Times New Roman" w:cs="Times New Roman"/>
          <w:sz w:val="24"/>
          <w:szCs w:val="24"/>
        </w:rPr>
        <w:t>Abatement</w:t>
      </w:r>
    </w:p>
    <w:p w14:paraId="0E483A18" w14:textId="779C9F11" w:rsidR="00FA18D2" w:rsidRDefault="00CD7E80" w:rsidP="00FE0E18">
      <w:pPr>
        <w:tabs>
          <w:tab w:val="left" w:pos="1170"/>
          <w:tab w:val="left" w:pos="1350"/>
        </w:tabs>
        <w:spacing w:line="276" w:lineRule="auto"/>
        <w:ind w:left="900"/>
      </w:pPr>
      <w:r>
        <w:t>IL OSHA</w:t>
      </w:r>
      <w:r w:rsidR="00741A9D">
        <w:t xml:space="preserve"> investigators </w:t>
      </w:r>
      <w:r w:rsidR="00FB127E">
        <w:t>work</w:t>
      </w:r>
      <w:r w:rsidR="00741A9D">
        <w:t xml:space="preserve"> to get on-site abatement at the time of the inspection and the employer’s efforts are documented and noted in the file as corrected during the inspection.  </w:t>
      </w:r>
      <w:r w:rsidR="00CA5410" w:rsidRPr="00CA5410">
        <w:t xml:space="preserve">A violation can be considered corrected during the inspection (CDI) when the investigator observes the correction to the specific violation.  </w:t>
      </w:r>
      <w:r>
        <w:t>IL OSHA</w:t>
      </w:r>
      <w:r w:rsidR="00CA5410" w:rsidRPr="00CA5410">
        <w:t xml:space="preserve"> </w:t>
      </w:r>
      <w:r w:rsidR="008D3464">
        <w:t>document</w:t>
      </w:r>
      <w:r w:rsidR="00B317F4">
        <w:t>ed</w:t>
      </w:r>
      <w:r w:rsidR="008D3464">
        <w:t xml:space="preserve"> </w:t>
      </w:r>
      <w:r w:rsidR="00930C6A">
        <w:t xml:space="preserve">the </w:t>
      </w:r>
      <w:r w:rsidR="00930C6A" w:rsidRPr="00CA5410">
        <w:t>information</w:t>
      </w:r>
      <w:r w:rsidR="008D3464" w:rsidRPr="00CA5410">
        <w:t xml:space="preserve"> on how the violation was abated </w:t>
      </w:r>
      <w:r w:rsidR="008D3464">
        <w:t>in</w:t>
      </w:r>
      <w:r w:rsidR="00CA5410" w:rsidRPr="00CA5410">
        <w:t xml:space="preserve"> the violation worksheet.  This policy is outlined in the FOM.  During the FY 2023 review, no concerns were noted with the use of</w:t>
      </w:r>
      <w:r w:rsidR="00721C58">
        <w:t xml:space="preserve"> </w:t>
      </w:r>
      <w:r w:rsidR="00CA5410" w:rsidRPr="00CA5410">
        <w:t>CDI to close abatement.</w:t>
      </w:r>
    </w:p>
    <w:p w14:paraId="29BE6220" w14:textId="77777777" w:rsidR="00FA18D2" w:rsidRDefault="00FA18D2" w:rsidP="00FE0E18">
      <w:pPr>
        <w:tabs>
          <w:tab w:val="left" w:pos="1170"/>
          <w:tab w:val="left" w:pos="1350"/>
        </w:tabs>
        <w:spacing w:line="276" w:lineRule="auto"/>
        <w:ind w:left="900"/>
      </w:pPr>
    </w:p>
    <w:p w14:paraId="7D040920" w14:textId="685B6B36" w:rsidR="00741A9D" w:rsidRDefault="00741A9D" w:rsidP="00FE0E18">
      <w:pPr>
        <w:tabs>
          <w:tab w:val="left" w:pos="1170"/>
          <w:tab w:val="left" w:pos="1350"/>
        </w:tabs>
        <w:spacing w:line="276" w:lineRule="auto"/>
        <w:ind w:left="900"/>
      </w:pPr>
      <w:r>
        <w:t xml:space="preserve">The state plan has continued to focus on proper abatement periods, adequate verification and evidence, and proper utilization of the Petition for Modification of Abatement date (PMA) process. </w:t>
      </w:r>
      <w:r w:rsidR="00CD7E80">
        <w:t>IL OSHA</w:t>
      </w:r>
      <w:r>
        <w:t xml:space="preserve"> has a PMA processing form to ensure all PMA requests document the interim worker protection during the abatement period. Follow-up inspections are conducted when appropriate.</w:t>
      </w:r>
    </w:p>
    <w:p w14:paraId="1EDEFB7A" w14:textId="77777777" w:rsidR="00741A9D" w:rsidRDefault="00741A9D" w:rsidP="00FE0E18">
      <w:pPr>
        <w:tabs>
          <w:tab w:val="left" w:pos="1170"/>
          <w:tab w:val="left" w:pos="1350"/>
        </w:tabs>
        <w:spacing w:line="276" w:lineRule="auto"/>
        <w:ind w:left="900"/>
      </w:pPr>
    </w:p>
    <w:p w14:paraId="0A9C61FD" w14:textId="039229FE" w:rsidR="006C27EB" w:rsidRDefault="00741A9D" w:rsidP="00FE0E18">
      <w:pPr>
        <w:tabs>
          <w:tab w:val="left" w:pos="1170"/>
          <w:tab w:val="left" w:pos="1350"/>
        </w:tabs>
        <w:spacing w:line="276" w:lineRule="auto"/>
        <w:ind w:left="900"/>
      </w:pPr>
      <w:r>
        <w:t xml:space="preserve">The </w:t>
      </w:r>
      <w:r w:rsidR="00312BB2">
        <w:t>50</w:t>
      </w:r>
      <w:r>
        <w:t xml:space="preserve"> case files reviewed contained 2</w:t>
      </w:r>
      <w:r w:rsidR="0076757E">
        <w:t>25</w:t>
      </w:r>
      <w:r>
        <w:t xml:space="preserve"> violations issued in FY 202</w:t>
      </w:r>
      <w:r w:rsidR="0076757E">
        <w:t>3</w:t>
      </w:r>
      <w:r>
        <w:t xml:space="preserve"> by the State Plan.  </w:t>
      </w:r>
      <w:r w:rsidR="006C27EB">
        <w:t xml:space="preserve">In all cases appropriate abatement periods were </w:t>
      </w:r>
      <w:r w:rsidR="002A00EE">
        <w:t xml:space="preserve">determined and justified.  Abatement extensions were granted where appropriate and in one case the employer was past due on their abatement.  The </w:t>
      </w:r>
      <w:r w:rsidR="00B63D18">
        <w:t xml:space="preserve">State Plan sent the appropriate notification letter and following that issued another abatement verification citation for failure to </w:t>
      </w:r>
      <w:r w:rsidR="004B0F9F">
        <w:t>provide abatement.</w:t>
      </w:r>
    </w:p>
    <w:p w14:paraId="1ABAEB30" w14:textId="77777777" w:rsidR="00CD00AE" w:rsidRDefault="00CD00AE" w:rsidP="00FE0E18">
      <w:pPr>
        <w:tabs>
          <w:tab w:val="left" w:pos="1170"/>
          <w:tab w:val="left" w:pos="1350"/>
        </w:tabs>
        <w:spacing w:line="276" w:lineRule="auto"/>
        <w:ind w:left="900"/>
      </w:pPr>
    </w:p>
    <w:p w14:paraId="38AF70A8" w14:textId="52D82C8F" w:rsidR="00CD00AE" w:rsidRDefault="00CD5F98" w:rsidP="00FE0E18">
      <w:pPr>
        <w:tabs>
          <w:tab w:val="left" w:pos="1170"/>
          <w:tab w:val="left" w:pos="1350"/>
        </w:tabs>
        <w:spacing w:line="276" w:lineRule="auto"/>
        <w:ind w:left="900"/>
      </w:pPr>
      <w:r>
        <w:t xml:space="preserve">The </w:t>
      </w:r>
      <w:r w:rsidR="00CD7E80">
        <w:t>IL OSHA</w:t>
      </w:r>
      <w:r>
        <w:t xml:space="preserve"> FOM outlines the criteria for conducting a Follow-up inspection which very closely mirrors OSHA’s policies and procedures</w:t>
      </w:r>
      <w:r w:rsidR="00B82749">
        <w:t xml:space="preserve"> and in FY 2023 11.82% of their inspections were Follow-up inspections</w:t>
      </w:r>
      <w:r>
        <w:t xml:space="preserve">.  Of the </w:t>
      </w:r>
      <w:r w:rsidR="005812AD">
        <w:t>50 case files reviewed</w:t>
      </w:r>
      <w:r w:rsidR="00655FB9">
        <w:t xml:space="preserve"> seven were Follow-up inspections</w:t>
      </w:r>
      <w:r w:rsidR="00B82749">
        <w:t xml:space="preserve"> and w</w:t>
      </w:r>
      <w:r w:rsidR="00655FB9">
        <w:t xml:space="preserve">here hazards were identified, additional citations were issued </w:t>
      </w:r>
      <w:r w:rsidR="005427DA">
        <w:t>when appropriate.</w:t>
      </w:r>
    </w:p>
    <w:p w14:paraId="3A7AB7BA" w14:textId="77777777" w:rsidR="009C6968" w:rsidRPr="000D34E1" w:rsidRDefault="009C6968" w:rsidP="00FE0E18">
      <w:pPr>
        <w:pStyle w:val="ListParagraph"/>
        <w:ind w:left="1890"/>
        <w:rPr>
          <w:rFonts w:ascii="Times New Roman" w:hAnsi="Times New Roman" w:cs="Times New Roman"/>
          <w:sz w:val="24"/>
          <w:szCs w:val="24"/>
        </w:rPr>
      </w:pPr>
    </w:p>
    <w:p w14:paraId="10E726B3" w14:textId="77777777" w:rsidR="00782EEC" w:rsidRPr="00B300F7" w:rsidRDefault="00782EEC" w:rsidP="00FE0E18">
      <w:pPr>
        <w:pStyle w:val="ListParagraph"/>
        <w:numPr>
          <w:ilvl w:val="0"/>
          <w:numId w:val="5"/>
        </w:numPr>
        <w:ind w:left="1260"/>
        <w:rPr>
          <w:rFonts w:ascii="Times New Roman" w:hAnsi="Times New Roman" w:cs="Times New Roman"/>
          <w:sz w:val="24"/>
          <w:szCs w:val="24"/>
        </w:rPr>
      </w:pPr>
      <w:r w:rsidRPr="00B300F7">
        <w:rPr>
          <w:rFonts w:ascii="Times New Roman" w:hAnsi="Times New Roman" w:cs="Times New Roman"/>
          <w:sz w:val="24"/>
          <w:szCs w:val="24"/>
        </w:rPr>
        <w:t xml:space="preserve">Worker and Union Involvement </w:t>
      </w:r>
    </w:p>
    <w:p w14:paraId="6B74941D" w14:textId="079B7453" w:rsidR="00AA0AAE" w:rsidRDefault="00CD7E80" w:rsidP="00FE0E18">
      <w:pPr>
        <w:spacing w:line="276" w:lineRule="auto"/>
        <w:ind w:left="900"/>
      </w:pPr>
      <w:r>
        <w:t>IL OSHA</w:t>
      </w:r>
      <w:r w:rsidR="00AA0AAE" w:rsidRPr="00B73823">
        <w:t xml:space="preserve">’s regulations and written procedures for worker and union involvement are equivalent to federal regulations and procedures. During the opening conference, inspectors are required to verify if workers at the facility are represented by a union. Local union contact information, including names, addresses, and phone numbers, was included in the files. If an “authorized union representative” was not available, any worker at the site, who was a member of the union, was asked to participate in the inspection. The State Plan achieved 100% in SAMM #13 – </w:t>
      </w:r>
      <w:r w:rsidR="00AA0AAE">
        <w:lastRenderedPageBreak/>
        <w:t>P</w:t>
      </w:r>
      <w:r w:rsidR="00AA0AAE" w:rsidRPr="00B73823">
        <w:t>ercent of initial inspections with worker walk around representation or worker interview. (Source: Appendix D – FY 20</w:t>
      </w:r>
      <w:r w:rsidR="00AA0AAE">
        <w:t>2</w:t>
      </w:r>
      <w:r w:rsidR="005B10D3">
        <w:t>3</w:t>
      </w:r>
      <w:r w:rsidR="00AA0AAE" w:rsidRPr="00B73823">
        <w:t xml:space="preserve"> State Mandated Measures (SAMM) Report, SAMM #13) </w:t>
      </w:r>
    </w:p>
    <w:p w14:paraId="7262FFBD" w14:textId="77777777" w:rsidR="00AA0AAE" w:rsidRPr="00B73823" w:rsidRDefault="00AA0AAE" w:rsidP="00FE0E18">
      <w:pPr>
        <w:spacing w:line="276" w:lineRule="auto"/>
        <w:ind w:left="900"/>
      </w:pPr>
    </w:p>
    <w:p w14:paraId="67E0C1BF" w14:textId="6903BF37" w:rsidR="00E40652" w:rsidRDefault="00E40652" w:rsidP="00FE0E18">
      <w:pPr>
        <w:spacing w:line="276" w:lineRule="auto"/>
        <w:ind w:left="900"/>
      </w:pPr>
      <w:r w:rsidRPr="004F63DC">
        <w:t>Employee interviews are an important part of any inspection and proper documentation of any interview is essential. The Illinois FOM, Chapter 3</w:t>
      </w:r>
      <w:r>
        <w:t>-7</w:t>
      </w:r>
      <w:r w:rsidRPr="004F63DC">
        <w:t xml:space="preserve"> Walk-around Inspection, </w:t>
      </w:r>
      <w:r>
        <w:t xml:space="preserve">paragraph C (3) </w:t>
      </w:r>
      <w:r w:rsidRPr="004F63DC">
        <w:t>requires that employee</w:t>
      </w:r>
      <w:r>
        <w:t xml:space="preserve"> </w:t>
      </w:r>
      <w:r w:rsidRPr="004F63DC">
        <w:t xml:space="preserve">interview statements </w:t>
      </w:r>
      <w:r>
        <w:t xml:space="preserve">are to be documented </w:t>
      </w:r>
      <w:r w:rsidRPr="004F63DC">
        <w:t xml:space="preserve">in a thorough and accurate manner. </w:t>
      </w:r>
    </w:p>
    <w:p w14:paraId="2086846C" w14:textId="77777777" w:rsidR="00E40652" w:rsidRDefault="00E40652" w:rsidP="00FE0E18">
      <w:pPr>
        <w:spacing w:line="276" w:lineRule="auto"/>
        <w:ind w:left="900"/>
      </w:pPr>
    </w:p>
    <w:p w14:paraId="3F6E92A8" w14:textId="36660C87" w:rsidR="00AA0AAE" w:rsidRDefault="00601A22" w:rsidP="00FE0E18">
      <w:pPr>
        <w:spacing w:line="276" w:lineRule="auto"/>
        <w:ind w:left="900"/>
      </w:pPr>
      <w:r w:rsidRPr="00400D67">
        <w:t>The 50 FY 2023 case files reviewed were evaluated</w:t>
      </w:r>
      <w:r w:rsidRPr="00EC1B36">
        <w:t xml:space="preserve"> to determine the success of the State Plan to </w:t>
      </w:r>
      <w:r w:rsidRPr="00334158">
        <w:t xml:space="preserve">address </w:t>
      </w:r>
      <w:r w:rsidR="00333CAC" w:rsidRPr="00334158">
        <w:t>Finding FY 2022-02: employee interviews were not conducted or properly documented.</w:t>
      </w:r>
      <w:r w:rsidR="004D678F">
        <w:t xml:space="preserve"> </w:t>
      </w:r>
      <w:r w:rsidRPr="00EC1B36">
        <w:t xml:space="preserve"> </w:t>
      </w:r>
      <w:r w:rsidR="004D678F">
        <w:t>T</w:t>
      </w:r>
      <w:r>
        <w:t xml:space="preserve">he State Plan made significant progress in addressing </w:t>
      </w:r>
      <w:r w:rsidR="00B23CC8">
        <w:t>these concerns</w:t>
      </w:r>
      <w:r>
        <w:t xml:space="preserve">.  In </w:t>
      </w:r>
      <w:r w:rsidR="004D678F">
        <w:t>all</w:t>
      </w:r>
      <w:r>
        <w:t xml:space="preserve"> the files reviewed</w:t>
      </w:r>
      <w:r w:rsidR="00B23CC8">
        <w:t>,</w:t>
      </w:r>
      <w:r>
        <w:t xml:space="preserve"> employee interviews were conducted, however, in fifteen</w:t>
      </w:r>
      <w:r w:rsidR="007D4276">
        <w:t xml:space="preserve"> (30%) of</w:t>
      </w:r>
      <w:r>
        <w:t xml:space="preserve"> the 50 files, the</w:t>
      </w:r>
      <w:r w:rsidR="00AA1013">
        <w:t xml:space="preserve"> </w:t>
      </w:r>
      <w:r>
        <w:t xml:space="preserve">documentation of the employee interviews was limited.  In several instances it was noted who was interviewed only and others had one or two sentences documenting the interview.  </w:t>
      </w:r>
      <w:r w:rsidRPr="00EC1B36">
        <w:t>Finding FY 202</w:t>
      </w:r>
      <w:r>
        <w:t>2</w:t>
      </w:r>
      <w:r w:rsidRPr="00EC1B36">
        <w:t xml:space="preserve">-02 is being </w:t>
      </w:r>
      <w:r w:rsidR="00CA7989">
        <w:t xml:space="preserve">refined to focus on effective documentation of the interviews and </w:t>
      </w:r>
      <w:r>
        <w:t xml:space="preserve">converted to an observation. </w:t>
      </w:r>
      <w:r w:rsidRPr="00EC1B36">
        <w:t xml:space="preserve"> </w:t>
      </w:r>
    </w:p>
    <w:p w14:paraId="394EE2ED" w14:textId="77777777" w:rsidR="00CA7989" w:rsidRDefault="00CA7989" w:rsidP="00FE0E18">
      <w:pPr>
        <w:spacing w:line="276" w:lineRule="auto"/>
        <w:ind w:left="900"/>
      </w:pPr>
    </w:p>
    <w:p w14:paraId="37F3873A" w14:textId="0F5D6A34" w:rsidR="0068714B" w:rsidRPr="00EC1B36" w:rsidRDefault="0068714B" w:rsidP="00FE0E18">
      <w:pPr>
        <w:spacing w:line="276" w:lineRule="auto"/>
        <w:ind w:left="900"/>
      </w:pPr>
      <w:r w:rsidRPr="00BF2B2C">
        <w:rPr>
          <w:b/>
          <w:bCs/>
          <w:lang w:bidi="en-US"/>
        </w:rPr>
        <w:t>Observation FY 202</w:t>
      </w:r>
      <w:r>
        <w:rPr>
          <w:b/>
          <w:bCs/>
          <w:lang w:bidi="en-US"/>
        </w:rPr>
        <w:t>3</w:t>
      </w:r>
      <w:r w:rsidRPr="00BF2B2C">
        <w:rPr>
          <w:b/>
          <w:bCs/>
          <w:lang w:bidi="en-US"/>
        </w:rPr>
        <w:t>-OB-0</w:t>
      </w:r>
      <w:r>
        <w:rPr>
          <w:b/>
          <w:bCs/>
          <w:lang w:bidi="en-US"/>
        </w:rPr>
        <w:t>2</w:t>
      </w:r>
      <w:r w:rsidRPr="00BF2B2C">
        <w:rPr>
          <w:b/>
          <w:bCs/>
          <w:lang w:bidi="en-US"/>
        </w:rPr>
        <w:t xml:space="preserve"> </w:t>
      </w:r>
      <w:r w:rsidRPr="00EC1B36">
        <w:rPr>
          <w:b/>
          <w:bCs/>
        </w:rPr>
        <w:t>(FY 202</w:t>
      </w:r>
      <w:r>
        <w:rPr>
          <w:b/>
          <w:bCs/>
        </w:rPr>
        <w:t>2</w:t>
      </w:r>
      <w:r w:rsidRPr="00EC1B36">
        <w:rPr>
          <w:b/>
          <w:bCs/>
        </w:rPr>
        <w:t xml:space="preserve">-02): </w:t>
      </w:r>
      <w:r w:rsidRPr="0038245E">
        <w:t>Fifteen of the 50 (30%) files reviewed, employee interviews were not thoroughly documented as required by Chapter 3-</w:t>
      </w:r>
      <w:r w:rsidR="00223583" w:rsidRPr="0038245E">
        <w:t>7. C.</w:t>
      </w:r>
      <w:r w:rsidR="0009290E">
        <w:t>3</w:t>
      </w:r>
      <w:r w:rsidRPr="0038245E">
        <w:t xml:space="preserve"> of the Illinois FOM.</w:t>
      </w:r>
      <w:r w:rsidRPr="00EC1B36">
        <w:t xml:space="preserve"> </w:t>
      </w:r>
    </w:p>
    <w:p w14:paraId="149790BE" w14:textId="77777777" w:rsidR="0068714B" w:rsidRPr="00EC1B36" w:rsidRDefault="0068714B" w:rsidP="00FE0E18">
      <w:pPr>
        <w:spacing w:line="276" w:lineRule="auto"/>
        <w:ind w:left="900"/>
      </w:pPr>
    </w:p>
    <w:p w14:paraId="6BBF8208" w14:textId="1598863E" w:rsidR="00B82749" w:rsidRDefault="0068714B" w:rsidP="00FE0E18">
      <w:pPr>
        <w:spacing w:line="276" w:lineRule="auto"/>
        <w:ind w:left="900"/>
      </w:pPr>
      <w:r w:rsidRPr="00EC1B36">
        <w:rPr>
          <w:b/>
          <w:bCs/>
          <w:lang w:bidi="en-US"/>
        </w:rPr>
        <w:t>Federal Monitoring Plan FY 202</w:t>
      </w:r>
      <w:r>
        <w:rPr>
          <w:b/>
          <w:bCs/>
          <w:lang w:bidi="en-US"/>
        </w:rPr>
        <w:t>3</w:t>
      </w:r>
      <w:r w:rsidRPr="00EC1B36">
        <w:rPr>
          <w:b/>
          <w:bCs/>
          <w:lang w:bidi="en-US"/>
        </w:rPr>
        <w:t>-OB-0</w:t>
      </w:r>
      <w:r>
        <w:rPr>
          <w:b/>
          <w:bCs/>
          <w:lang w:bidi="en-US"/>
        </w:rPr>
        <w:t>2</w:t>
      </w:r>
      <w:r w:rsidRPr="00EC1B36">
        <w:rPr>
          <w:b/>
          <w:bCs/>
          <w:lang w:bidi="en-US"/>
        </w:rPr>
        <w:t xml:space="preserve">: </w:t>
      </w:r>
      <w:r w:rsidRPr="000D2E60">
        <w:rPr>
          <w:bCs/>
          <w:lang w:bidi="en-US"/>
        </w:rPr>
        <w:t>In FY 2024, a limited number of case files will be selected randomly and reviewed to determine if this item was addressed.</w:t>
      </w:r>
    </w:p>
    <w:p w14:paraId="26D5A973" w14:textId="77777777" w:rsidR="00B82749" w:rsidRPr="00B82749" w:rsidRDefault="00B82749" w:rsidP="00FE0E18">
      <w:pPr>
        <w:spacing w:line="276" w:lineRule="auto"/>
      </w:pPr>
    </w:p>
    <w:p w14:paraId="4FD262E5" w14:textId="77777777" w:rsidR="00782EEC" w:rsidRDefault="009C6968" w:rsidP="00FE0E18">
      <w:pPr>
        <w:tabs>
          <w:tab w:val="left" w:pos="1530"/>
          <w:tab w:val="left" w:pos="1800"/>
        </w:tabs>
        <w:spacing w:line="276" w:lineRule="auto"/>
        <w:ind w:left="1080" w:hanging="720"/>
        <w:rPr>
          <w:b/>
          <w:smallCaps/>
        </w:rPr>
      </w:pPr>
      <w:r>
        <w:rPr>
          <w:b/>
          <w:smallCaps/>
        </w:rPr>
        <w:t>3</w:t>
      </w:r>
      <w:r w:rsidR="00782EEC" w:rsidRPr="008B1863">
        <w:rPr>
          <w:b/>
          <w:smallCaps/>
        </w:rPr>
        <w:t>.    REVIEW PROCEDURES</w:t>
      </w:r>
    </w:p>
    <w:p w14:paraId="4244963B" w14:textId="77777777" w:rsidR="00B60986" w:rsidRPr="008B1863" w:rsidRDefault="00B60986" w:rsidP="00FE0E18">
      <w:pPr>
        <w:tabs>
          <w:tab w:val="left" w:pos="1530"/>
          <w:tab w:val="left" w:pos="1800"/>
        </w:tabs>
        <w:spacing w:line="276" w:lineRule="auto"/>
        <w:ind w:left="1080" w:hanging="720"/>
        <w:rPr>
          <w:b/>
          <w:smallCaps/>
        </w:rPr>
      </w:pPr>
    </w:p>
    <w:p w14:paraId="5528C255" w14:textId="77777777" w:rsidR="00782EEC" w:rsidRPr="00B60986" w:rsidRDefault="00782EEC" w:rsidP="00FE0E18">
      <w:pPr>
        <w:pStyle w:val="ListParagraph"/>
        <w:numPr>
          <w:ilvl w:val="0"/>
          <w:numId w:val="11"/>
        </w:numPr>
        <w:tabs>
          <w:tab w:val="left" w:pos="1170"/>
        </w:tabs>
        <w:ind w:left="1440" w:hanging="630"/>
      </w:pPr>
      <w:r w:rsidRPr="009C6968">
        <w:rPr>
          <w:rFonts w:ascii="Times New Roman" w:hAnsi="Times New Roman" w:cs="Times New Roman"/>
          <w:sz w:val="24"/>
          <w:szCs w:val="24"/>
        </w:rPr>
        <w:t>Informal Conferences</w:t>
      </w:r>
    </w:p>
    <w:p w14:paraId="771BEC5B" w14:textId="1C79F158" w:rsidR="00F05CFD" w:rsidRDefault="00CD7E80" w:rsidP="00FE0E18">
      <w:pPr>
        <w:tabs>
          <w:tab w:val="left" w:pos="1170"/>
        </w:tabs>
        <w:spacing w:line="276" w:lineRule="auto"/>
        <w:ind w:left="810"/>
      </w:pPr>
      <w:r>
        <w:t>IL OSHA</w:t>
      </w:r>
      <w:r w:rsidR="00F05CFD">
        <w:t xml:space="preserve">’s procedures for conducting informal conferences closely align with OSHA’s and are outlined in Chapter 8, Settlements of the Illinois FOM. As a state and local government state plan, </w:t>
      </w:r>
      <w:r>
        <w:t>IL OSHA</w:t>
      </w:r>
      <w:r w:rsidR="00F05CFD">
        <w:t xml:space="preserve"> does a limited number of informal conferences a year. Employers are given 15 working days to request and participate in an informal conference.  </w:t>
      </w:r>
      <w:r w:rsidR="00DA2204" w:rsidRPr="009E7552">
        <w:t>The Illinois FOM requires extensive meeting notes and documentation associated with the Informal Conference meeting to record all actions taken. The employer’s arguments and presented evidence shall be recorded along with the actions taken by the management team. Modifications to the citations, including changes to penalties and classifications, are required to be well documented and appropriate for the circumstances.</w:t>
      </w:r>
    </w:p>
    <w:p w14:paraId="05476329" w14:textId="77777777" w:rsidR="00F05CFD" w:rsidRDefault="00F05CFD" w:rsidP="00FE0E18">
      <w:pPr>
        <w:tabs>
          <w:tab w:val="left" w:pos="1170"/>
        </w:tabs>
        <w:spacing w:line="276" w:lineRule="auto"/>
        <w:ind w:left="810"/>
      </w:pPr>
    </w:p>
    <w:p w14:paraId="3CF93792" w14:textId="694F2422" w:rsidR="00B60986" w:rsidRDefault="00DD2DA7" w:rsidP="00FE0E18">
      <w:pPr>
        <w:tabs>
          <w:tab w:val="left" w:pos="1170"/>
        </w:tabs>
        <w:spacing w:line="276" w:lineRule="auto"/>
        <w:ind w:left="810"/>
      </w:pPr>
      <w:r w:rsidRPr="009E7552">
        <w:t xml:space="preserve">In FY 2023 the State Plan had one </w:t>
      </w:r>
      <w:r w:rsidR="005B70C6" w:rsidRPr="009E7552">
        <w:t>employer participate in an informal conference and</w:t>
      </w:r>
      <w:r w:rsidR="003F749D">
        <w:t xml:space="preserve"> two other</w:t>
      </w:r>
      <w:r w:rsidR="005B70C6" w:rsidRPr="009E7552">
        <w:t xml:space="preserve"> </w:t>
      </w:r>
      <w:r w:rsidR="003F749D" w:rsidRPr="009E7552">
        <w:t>request</w:t>
      </w:r>
      <w:r w:rsidR="00807206">
        <w:t>s</w:t>
      </w:r>
      <w:r w:rsidR="003F749D" w:rsidRPr="009E7552">
        <w:t xml:space="preserve"> </w:t>
      </w:r>
      <w:r w:rsidR="00807206">
        <w:t xml:space="preserve">pending </w:t>
      </w:r>
      <w:r w:rsidR="005B70C6" w:rsidRPr="009E7552">
        <w:t>at the time</w:t>
      </w:r>
      <w:r w:rsidR="000B24F6" w:rsidRPr="009E7552">
        <w:t xml:space="preserve"> of the FAME audit</w:t>
      </w:r>
      <w:r w:rsidR="00752DBC" w:rsidRPr="009E7552">
        <w:t>.  This inspection</w:t>
      </w:r>
      <w:r w:rsidR="000B24F6" w:rsidRPr="009E7552">
        <w:t xml:space="preserve"> was not included in the audit.  Historically, </w:t>
      </w:r>
      <w:r w:rsidR="0017083D" w:rsidRPr="009E7552">
        <w:t>t</w:t>
      </w:r>
      <w:r w:rsidR="00F05CFD" w:rsidRPr="009E7552">
        <w:t xml:space="preserve">he </w:t>
      </w:r>
      <w:r w:rsidR="0017083D" w:rsidRPr="009E7552">
        <w:t xml:space="preserve">State Plan </w:t>
      </w:r>
      <w:r w:rsidR="00DA2204">
        <w:t>has been</w:t>
      </w:r>
      <w:r w:rsidR="0017083D" w:rsidRPr="009E7552">
        <w:t xml:space="preserve"> effective at</w:t>
      </w:r>
      <w:r w:rsidR="009F5C7C" w:rsidRPr="009E7552">
        <w:t xml:space="preserve"> the</w:t>
      </w:r>
      <w:r w:rsidR="0017083D" w:rsidRPr="009E7552">
        <w:t xml:space="preserve"> </w:t>
      </w:r>
      <w:r w:rsidR="00F05CFD" w:rsidRPr="009E7552">
        <w:t xml:space="preserve">informal conference in reaching an informal settlement agreement.  </w:t>
      </w:r>
    </w:p>
    <w:p w14:paraId="5B624B00" w14:textId="77777777" w:rsidR="00B4093E" w:rsidRDefault="00B4093E" w:rsidP="00FE0E18">
      <w:pPr>
        <w:tabs>
          <w:tab w:val="left" w:pos="1170"/>
        </w:tabs>
        <w:spacing w:line="276" w:lineRule="auto"/>
        <w:ind w:left="810"/>
      </w:pPr>
    </w:p>
    <w:p w14:paraId="097662F1" w14:textId="2AFA6B31" w:rsidR="00B60986" w:rsidRDefault="00B4093E" w:rsidP="00FE0E18">
      <w:pPr>
        <w:tabs>
          <w:tab w:val="left" w:pos="1170"/>
        </w:tabs>
        <w:spacing w:line="276" w:lineRule="auto"/>
        <w:ind w:left="810"/>
      </w:pPr>
      <w:r w:rsidRPr="00B4093E">
        <w:lastRenderedPageBreak/>
        <w:t>As a state and local government state plan,</w:t>
      </w:r>
      <w:r w:rsidR="00EE466B" w:rsidRPr="00EE466B">
        <w:t xml:space="preserve"> </w:t>
      </w:r>
      <w:r w:rsidR="00EE466B">
        <w:t>civil penalties and criminal penalties provided in the Illinois OSH Act are used on a limited basis to</w:t>
      </w:r>
      <w:r w:rsidR="00547EE1">
        <w:t xml:space="preserve"> </w:t>
      </w:r>
      <w:r w:rsidR="00EE466B">
        <w:t>serve as an effective deterrent for public sector employers.</w:t>
      </w:r>
      <w:r w:rsidR="00547EE1">
        <w:t xml:space="preserve">  </w:t>
      </w:r>
      <w:r w:rsidR="0000726F">
        <w:t xml:space="preserve">Section 85 of the Illinois OSH Act provides the Director of IDOL with the statutory authority to propose civil penalties for violations of the Act.  </w:t>
      </w:r>
      <w:r w:rsidR="002978B9">
        <w:t>While t</w:t>
      </w:r>
      <w:r w:rsidR="00054454">
        <w:t xml:space="preserve">he State Plan </w:t>
      </w:r>
      <w:r w:rsidR="00564CE6">
        <w:t>can assess</w:t>
      </w:r>
      <w:r w:rsidR="00054454">
        <w:t xml:space="preserve"> penalties for </w:t>
      </w:r>
      <w:r w:rsidR="00564CE6">
        <w:t xml:space="preserve">all types of </w:t>
      </w:r>
      <w:r w:rsidR="00A51719">
        <w:t>violation classification</w:t>
      </w:r>
      <w:r w:rsidR="002978B9">
        <w:t>s</w:t>
      </w:r>
      <w:r w:rsidR="00A51719">
        <w:t xml:space="preserve">, they are normally assessed for </w:t>
      </w:r>
      <w:r w:rsidR="0021358C">
        <w:t>repeat, willful, failure-to-abate,</w:t>
      </w:r>
      <w:r w:rsidR="00705EDA">
        <w:t xml:space="preserve"> instance-by-instance, and</w:t>
      </w:r>
      <w:r w:rsidR="002978B9">
        <w:t>,</w:t>
      </w:r>
      <w:r w:rsidR="00705EDA">
        <w:t xml:space="preserve"> in special circumstances</w:t>
      </w:r>
      <w:r w:rsidR="002978B9">
        <w:t>,</w:t>
      </w:r>
      <w:r w:rsidR="00952CF6">
        <w:t xml:space="preserve"> serious violations.</w:t>
      </w:r>
      <w:r w:rsidR="00774C21">
        <w:t xml:space="preserve">  In FY 2023 </w:t>
      </w:r>
      <w:r w:rsidR="00CD7E80">
        <w:t>IL OSHA</w:t>
      </w:r>
      <w:r w:rsidR="00774C21">
        <w:t xml:space="preserve"> </w:t>
      </w:r>
      <w:r w:rsidR="00B11A0F">
        <w:t xml:space="preserve">issued penalties in </w:t>
      </w:r>
      <w:r w:rsidR="00116508">
        <w:t>12</w:t>
      </w:r>
      <w:r w:rsidR="00B11A0F">
        <w:t xml:space="preserve"> cases, with </w:t>
      </w:r>
      <w:r w:rsidR="00C93FE6">
        <w:t xml:space="preserve">a total of </w:t>
      </w:r>
      <w:r w:rsidR="00116508">
        <w:t>$116,670.00</w:t>
      </w:r>
      <w:r w:rsidR="00B00BCA">
        <w:t xml:space="preserve"> issued.</w:t>
      </w:r>
      <w:r w:rsidR="00C424C9">
        <w:t xml:space="preserve">  Of the 12 cases, two were </w:t>
      </w:r>
      <w:r w:rsidR="00A80A8E">
        <w:t xml:space="preserve">currently </w:t>
      </w:r>
      <w:r w:rsidR="007619A0">
        <w:t>contested and</w:t>
      </w:r>
      <w:r w:rsidR="00574AA7">
        <w:t xml:space="preserve"> one was in the Informal Conference</w:t>
      </w:r>
      <w:r w:rsidR="007619A0">
        <w:t xml:space="preserve"> settlement process</w:t>
      </w:r>
      <w:r w:rsidR="00C630AB">
        <w:t xml:space="preserve">. </w:t>
      </w:r>
      <w:r w:rsidR="001F1DDE">
        <w:t xml:space="preserve"> </w:t>
      </w:r>
      <w:r w:rsidR="00C630AB">
        <w:t>O</w:t>
      </w:r>
      <w:r w:rsidR="001F1DDE">
        <w:t>f the</w:t>
      </w:r>
      <w:r w:rsidR="00B6535D">
        <w:t xml:space="preserve"> </w:t>
      </w:r>
      <w:r w:rsidR="00C630AB">
        <w:t>nine</w:t>
      </w:r>
      <w:r w:rsidR="00B6535D">
        <w:t xml:space="preserve"> remaining cases with penalties, </w:t>
      </w:r>
      <w:r w:rsidR="00CD7E80">
        <w:t>IL OSHA</w:t>
      </w:r>
      <w:r w:rsidR="00B6535D">
        <w:t xml:space="preserve"> maintained the full </w:t>
      </w:r>
      <w:r w:rsidR="005E016B">
        <w:t xml:space="preserve">initially assessed </w:t>
      </w:r>
      <w:r w:rsidR="00B6535D">
        <w:t>penalty amount</w:t>
      </w:r>
      <w:r w:rsidR="005E016B">
        <w:t>.</w:t>
      </w:r>
      <w:r w:rsidR="00E75769">
        <w:t xml:space="preserve">  </w:t>
      </w:r>
    </w:p>
    <w:p w14:paraId="6DA51DBB" w14:textId="77777777" w:rsidR="00582701" w:rsidRPr="008B1863" w:rsidRDefault="00582701" w:rsidP="00FE0E18">
      <w:pPr>
        <w:widowControl/>
        <w:tabs>
          <w:tab w:val="left" w:pos="1890"/>
        </w:tabs>
        <w:autoSpaceDE/>
        <w:autoSpaceDN/>
        <w:adjustRightInd/>
        <w:spacing w:line="276" w:lineRule="auto"/>
        <w:ind w:left="1901"/>
        <w:contextualSpacing/>
      </w:pPr>
    </w:p>
    <w:p w14:paraId="72728877" w14:textId="77777777" w:rsidR="00782EEC" w:rsidRPr="00BA6A18" w:rsidRDefault="00782EEC" w:rsidP="00FE0E18">
      <w:pPr>
        <w:pStyle w:val="ListParagraph"/>
        <w:numPr>
          <w:ilvl w:val="0"/>
          <w:numId w:val="11"/>
        </w:numPr>
        <w:tabs>
          <w:tab w:val="left" w:pos="1170"/>
        </w:tabs>
        <w:spacing w:after="0"/>
        <w:ind w:left="1170"/>
      </w:pPr>
      <w:r w:rsidRPr="009C6968">
        <w:rPr>
          <w:rFonts w:ascii="Times New Roman" w:hAnsi="Times New Roman" w:cs="Times New Roman"/>
          <w:sz w:val="24"/>
          <w:szCs w:val="24"/>
        </w:rPr>
        <w:t>Formal Review of Citations</w:t>
      </w:r>
    </w:p>
    <w:p w14:paraId="23F30316" w14:textId="77777777" w:rsidR="00BA6A18" w:rsidRDefault="00BA6A18" w:rsidP="00FE0E18">
      <w:pPr>
        <w:tabs>
          <w:tab w:val="left" w:pos="1170"/>
        </w:tabs>
        <w:spacing w:line="276" w:lineRule="auto"/>
      </w:pPr>
    </w:p>
    <w:p w14:paraId="77F8D869" w14:textId="4EDD90CE" w:rsidR="00BA6A18" w:rsidRDefault="00BA6A18" w:rsidP="00FE0E18">
      <w:pPr>
        <w:tabs>
          <w:tab w:val="left" w:pos="1170"/>
        </w:tabs>
        <w:spacing w:line="276" w:lineRule="auto"/>
        <w:ind w:left="810"/>
      </w:pPr>
      <w:r w:rsidRPr="00BA6A18">
        <w:t>Section 100 of the Illinois OSH Act describes the policies and procedures to be followed in the request for a formal review or hearing of the citations.  When an employer files a Notice of Intent to Contest, the Division Manager forwards the case to the Chief Administrative Law Judge (ALJ), at which time the case is in litigation. The Illinois Legal Division becomes involved and any action relating to the contested case must first have the concurrence of the Legal Division. Attempts are then made to reach a settlement prior to hearing.</w:t>
      </w:r>
    </w:p>
    <w:p w14:paraId="09B7F9E5" w14:textId="77777777" w:rsidR="00BA6A18" w:rsidRDefault="00BA6A18" w:rsidP="00FE0E18">
      <w:pPr>
        <w:tabs>
          <w:tab w:val="left" w:pos="1170"/>
        </w:tabs>
        <w:spacing w:line="276" w:lineRule="auto"/>
        <w:ind w:left="810"/>
      </w:pPr>
    </w:p>
    <w:p w14:paraId="71E3BFDD" w14:textId="71E6D0F9" w:rsidR="003B675F" w:rsidRPr="003B675F" w:rsidRDefault="003B675F" w:rsidP="00FE0E18">
      <w:pPr>
        <w:tabs>
          <w:tab w:val="left" w:pos="1170"/>
        </w:tabs>
        <w:spacing w:line="276" w:lineRule="auto"/>
        <w:ind w:left="810"/>
      </w:pPr>
      <w:r w:rsidRPr="003B675F">
        <w:t xml:space="preserve">Of the </w:t>
      </w:r>
      <w:r w:rsidR="00E93256">
        <w:t>315</w:t>
      </w:r>
      <w:r w:rsidRPr="003B675F">
        <w:t xml:space="preserve"> inspections conducted in FY 202</w:t>
      </w:r>
      <w:r w:rsidR="00E93256">
        <w:t>3</w:t>
      </w:r>
      <w:r w:rsidRPr="003B675F">
        <w:t xml:space="preserve">, only </w:t>
      </w:r>
      <w:r w:rsidR="009F0C64">
        <w:t>four</w:t>
      </w:r>
      <w:r w:rsidRPr="003B675F">
        <w:t xml:space="preserve"> cases were contested and all </w:t>
      </w:r>
      <w:r w:rsidR="00B75CDE">
        <w:t>four</w:t>
      </w:r>
      <w:r w:rsidR="00FA397D">
        <w:t xml:space="preserve"> were still in contest at the end of </w:t>
      </w:r>
      <w:r w:rsidR="00D92B0A">
        <w:t>FY 2023</w:t>
      </w:r>
      <w:r w:rsidR="00FA397D">
        <w:t>.</w:t>
      </w:r>
      <w:r w:rsidRPr="003B675F">
        <w:t xml:space="preserve"> </w:t>
      </w:r>
      <w:r w:rsidR="00C014BB" w:rsidRPr="00C014BB">
        <w:t xml:space="preserve">(Source: </w:t>
      </w:r>
      <w:r w:rsidR="00C014BB">
        <w:t>Scan</w:t>
      </w:r>
      <w:r w:rsidR="00C014BB" w:rsidRPr="00C014BB">
        <w:t xml:space="preserve"> Summary Report dated January </w:t>
      </w:r>
      <w:r w:rsidR="004743C4">
        <w:t>23</w:t>
      </w:r>
      <w:r w:rsidR="00C014BB" w:rsidRPr="00C014BB">
        <w:t>, 2024)</w:t>
      </w:r>
    </w:p>
    <w:p w14:paraId="653122B6" w14:textId="77777777" w:rsidR="00782EEC" w:rsidRPr="008B1863" w:rsidRDefault="00782EEC" w:rsidP="00FE0E18">
      <w:pPr>
        <w:spacing w:line="276" w:lineRule="auto"/>
        <w:rPr>
          <w:b/>
          <w:smallCaps/>
        </w:rPr>
      </w:pPr>
    </w:p>
    <w:p w14:paraId="290D9A2D" w14:textId="77777777" w:rsidR="00782EEC" w:rsidRDefault="009C6968" w:rsidP="00FE0E18">
      <w:pPr>
        <w:spacing w:line="276" w:lineRule="auto"/>
        <w:ind w:left="810" w:hanging="450"/>
        <w:rPr>
          <w:b/>
          <w:caps/>
        </w:rPr>
      </w:pPr>
      <w:r>
        <w:rPr>
          <w:b/>
          <w:smallCaps/>
        </w:rPr>
        <w:t>4</w:t>
      </w:r>
      <w:r w:rsidR="00782EEC" w:rsidRPr="00B43641">
        <w:rPr>
          <w:b/>
          <w:smallCaps/>
        </w:rPr>
        <w:t xml:space="preserve">.  </w:t>
      </w:r>
      <w:r w:rsidR="009A23E7" w:rsidRPr="00B43641">
        <w:rPr>
          <w:b/>
          <w:smallCaps/>
        </w:rPr>
        <w:t xml:space="preserve">  </w:t>
      </w:r>
      <w:r w:rsidR="00782EEC" w:rsidRPr="00B43641">
        <w:rPr>
          <w:b/>
          <w:caps/>
        </w:rPr>
        <w:t>Stand</w:t>
      </w:r>
      <w:r w:rsidR="009A23E7" w:rsidRPr="00B43641">
        <w:rPr>
          <w:b/>
          <w:caps/>
        </w:rPr>
        <w:t>ards and Federal Program</w:t>
      </w:r>
      <w:r w:rsidR="009A23E7">
        <w:rPr>
          <w:b/>
          <w:caps/>
        </w:rPr>
        <w:t xml:space="preserve"> Change</w:t>
      </w:r>
      <w:r w:rsidR="00782EEC" w:rsidRPr="008B1863">
        <w:rPr>
          <w:b/>
          <w:caps/>
        </w:rPr>
        <w:t xml:space="preserve"> (</w:t>
      </w:r>
      <w:r w:rsidR="009A23E7">
        <w:rPr>
          <w:b/>
        </w:rPr>
        <w:t>FPC</w:t>
      </w:r>
      <w:r w:rsidR="009A23E7">
        <w:rPr>
          <w:b/>
          <w:caps/>
        </w:rPr>
        <w:t xml:space="preserve">) </w:t>
      </w:r>
      <w:r w:rsidR="00782EEC" w:rsidRPr="008B1863">
        <w:rPr>
          <w:b/>
          <w:caps/>
        </w:rPr>
        <w:t>Adoption</w:t>
      </w:r>
    </w:p>
    <w:p w14:paraId="2EBCE097" w14:textId="77777777" w:rsidR="001D16CE" w:rsidRPr="008B1863" w:rsidRDefault="001D16CE" w:rsidP="00FE0E18">
      <w:pPr>
        <w:spacing w:line="276" w:lineRule="auto"/>
        <w:ind w:left="810" w:hanging="450"/>
        <w:rPr>
          <w:b/>
          <w:caps/>
        </w:rPr>
      </w:pPr>
    </w:p>
    <w:p w14:paraId="09E08612" w14:textId="77777777" w:rsidR="00782EEC" w:rsidRPr="001D16CE" w:rsidRDefault="00782EEC" w:rsidP="00FE0E18">
      <w:pPr>
        <w:pStyle w:val="ListParagraph"/>
        <w:numPr>
          <w:ilvl w:val="0"/>
          <w:numId w:val="13"/>
        </w:numPr>
        <w:tabs>
          <w:tab w:val="left" w:pos="2160"/>
        </w:tabs>
        <w:ind w:left="1170"/>
      </w:pPr>
      <w:r w:rsidRPr="009C6968">
        <w:rPr>
          <w:rFonts w:ascii="Times New Roman" w:hAnsi="Times New Roman" w:cs="Times New Roman"/>
          <w:sz w:val="24"/>
          <w:szCs w:val="24"/>
        </w:rPr>
        <w:t>Standards Adoption</w:t>
      </w:r>
    </w:p>
    <w:p w14:paraId="37C5C7C5" w14:textId="77777777" w:rsidR="00566451" w:rsidRDefault="00566451" w:rsidP="00FE0E18">
      <w:pPr>
        <w:tabs>
          <w:tab w:val="left" w:pos="2160"/>
        </w:tabs>
        <w:spacing w:line="276" w:lineRule="auto"/>
        <w:ind w:left="810"/>
      </w:pPr>
      <w:r w:rsidRPr="009229A0">
        <w:t>The Illinois Occupational Safety &amp; Health Act (IOSHA) (820 ILCS 219/25) adopted all OSHA standards which the United States Secretary of Labor promulgated or modified in accordance with the federal Occupational Safety and Health Act of 1970, and which were in effect on January 1, 2015. The Illinois OSH Act also established a policy that all OSHA standards, which the United States Secretary of Labor promulgates or modifies, would automatically become adopted within 6 months after their federal promulgation date.</w:t>
      </w:r>
    </w:p>
    <w:p w14:paraId="398D9773" w14:textId="77777777" w:rsidR="00566451" w:rsidRDefault="00566451" w:rsidP="00FE0E18">
      <w:pPr>
        <w:tabs>
          <w:tab w:val="left" w:pos="2160"/>
        </w:tabs>
        <w:spacing w:line="276" w:lineRule="auto"/>
        <w:ind w:left="810"/>
      </w:pPr>
    </w:p>
    <w:p w14:paraId="4870B7D8" w14:textId="645E77C3" w:rsidR="00A01E87" w:rsidRDefault="00A01E87" w:rsidP="00FE0E18">
      <w:pPr>
        <w:tabs>
          <w:tab w:val="left" w:pos="2160"/>
        </w:tabs>
        <w:spacing w:line="276" w:lineRule="auto"/>
        <w:ind w:left="810"/>
      </w:pPr>
      <w:r w:rsidRPr="00B43641">
        <w:t xml:space="preserve">During FY 2022 and FY 2023, six applicable standards were </w:t>
      </w:r>
      <w:r w:rsidR="00B3152D" w:rsidRPr="00B43641">
        <w:t xml:space="preserve">initially </w:t>
      </w:r>
      <w:r w:rsidRPr="00B43641">
        <w:t xml:space="preserve">required to be adopted, including the annual adjustments to civil penalties, COVID-19 Emergency Temporary Standard, and the Final Rule to Improve Tracking of Workplace Injuries and Illnesses.  </w:t>
      </w:r>
      <w:r w:rsidR="00B3152D" w:rsidRPr="00B43641">
        <w:t>The Emergen</w:t>
      </w:r>
      <w:r w:rsidR="00B3152D" w:rsidRPr="00B3152D">
        <w:t>cy Temporary Standard for COVID-19 Vaccination and Testing was withdrawn</w:t>
      </w:r>
      <w:r w:rsidR="00B3152D">
        <w:t xml:space="preserve"> </w:t>
      </w:r>
      <w:r w:rsidR="00326016">
        <w:t xml:space="preserve">and </w:t>
      </w:r>
      <w:r w:rsidR="00CD7E80">
        <w:t>IL OSHA</w:t>
      </w:r>
      <w:r w:rsidR="00326016">
        <w:t xml:space="preserve"> did not </w:t>
      </w:r>
      <w:r w:rsidR="007B008F">
        <w:t>adopt the standard.</w:t>
      </w:r>
      <w:r w:rsidR="00B3152D">
        <w:t xml:space="preserve"> </w:t>
      </w:r>
    </w:p>
    <w:p w14:paraId="2749A2FA" w14:textId="77777777" w:rsidR="00A01E87" w:rsidRDefault="00A01E87" w:rsidP="00FE0E18">
      <w:pPr>
        <w:tabs>
          <w:tab w:val="left" w:pos="2160"/>
        </w:tabs>
        <w:spacing w:line="276" w:lineRule="auto"/>
        <w:ind w:left="810"/>
      </w:pPr>
    </w:p>
    <w:p w14:paraId="4EFE0B90" w14:textId="77777777" w:rsidR="00A01E87" w:rsidRPr="00DB4951" w:rsidRDefault="00A01E87" w:rsidP="00FE0E18">
      <w:pPr>
        <w:spacing w:line="276" w:lineRule="auto"/>
        <w:ind w:left="810"/>
        <w:rPr>
          <w:rFonts w:eastAsiaTheme="minorHAnsi"/>
          <w:color w:val="000000"/>
        </w:rPr>
      </w:pPr>
      <w:r w:rsidRPr="00DB4951">
        <w:rPr>
          <w:rFonts w:eastAsiaTheme="minorHAnsi"/>
          <w:color w:val="000000"/>
        </w:rPr>
        <w:t xml:space="preserve">In accordance with the Federal Civil Penalties Inflation Adjustment Act of 1990, as amended by the Federal Civil Penalties Inflation Adjustment Act Improvements Act of 2015 on November 2, 2015, OSHA published a rule on July 1, 2016, raising its maximum and minimum penalties. See </w:t>
      </w:r>
      <w:hyperlink r:id="rId13" w:history="1">
        <w:r w:rsidRPr="00DB4951">
          <w:rPr>
            <w:rStyle w:val="Hyperlink"/>
            <w:rFonts w:eastAsiaTheme="minorHAnsi"/>
          </w:rPr>
          <w:t>81 FR 43429</w:t>
        </w:r>
      </w:hyperlink>
      <w:r w:rsidRPr="00DB4951">
        <w:rPr>
          <w:rFonts w:eastAsiaTheme="minorHAnsi"/>
          <w:color w:val="000000"/>
        </w:rPr>
        <w:t xml:space="preserve">.  As required by law, OSHA then increased penalties annually, most recently on January </w:t>
      </w:r>
      <w:r>
        <w:rPr>
          <w:rFonts w:eastAsiaTheme="minorHAnsi"/>
          <w:color w:val="000000"/>
        </w:rPr>
        <w:t>15</w:t>
      </w:r>
      <w:r w:rsidRPr="00DB4951">
        <w:rPr>
          <w:rFonts w:eastAsiaTheme="minorHAnsi"/>
          <w:color w:val="000000"/>
        </w:rPr>
        <w:t>, 202</w:t>
      </w:r>
      <w:r>
        <w:rPr>
          <w:rFonts w:eastAsiaTheme="minorHAnsi"/>
          <w:color w:val="000000"/>
        </w:rPr>
        <w:t>4</w:t>
      </w:r>
      <w:r w:rsidRPr="00DB4951">
        <w:rPr>
          <w:rFonts w:eastAsiaTheme="minorHAnsi"/>
          <w:color w:val="000000"/>
        </w:rPr>
        <w:t>, according to the Consumer Price Index (CPI).  See 202</w:t>
      </w:r>
      <w:r>
        <w:rPr>
          <w:rFonts w:eastAsiaTheme="minorHAnsi"/>
          <w:color w:val="000000"/>
        </w:rPr>
        <w:t>4</w:t>
      </w:r>
      <w:r w:rsidRPr="00DB4951">
        <w:rPr>
          <w:rFonts w:eastAsiaTheme="minorHAnsi"/>
          <w:color w:val="000000"/>
        </w:rPr>
        <w:t xml:space="preserve"> Annual Adjustments to OSHA Civil Penalties, available at </w:t>
      </w:r>
      <w:hyperlink r:id="rId14" w:history="1">
        <w:r w:rsidRPr="005614D5">
          <w:rPr>
            <w:rStyle w:val="Hyperlink"/>
          </w:rPr>
          <w:t>2024 Annual Adjustments to OSHA Civil Penalties | Occupational Safety and Health Administration</w:t>
        </w:r>
      </w:hyperlink>
      <w:r w:rsidRPr="00DB4951">
        <w:rPr>
          <w:rFonts w:eastAsiaTheme="minorHAnsi"/>
          <w:color w:val="000000"/>
        </w:rPr>
        <w:t xml:space="preserve">; </w:t>
      </w:r>
      <w:hyperlink r:id="rId15" w:history="1">
        <w:r w:rsidRPr="00DB4951">
          <w:rPr>
            <w:rStyle w:val="Hyperlink"/>
            <w:rFonts w:eastAsiaTheme="minorHAnsi"/>
          </w:rPr>
          <w:t>8</w:t>
        </w:r>
        <w:r>
          <w:rPr>
            <w:rStyle w:val="Hyperlink"/>
            <w:rFonts w:eastAsiaTheme="minorHAnsi"/>
          </w:rPr>
          <w:t>9</w:t>
        </w:r>
        <w:r w:rsidRPr="00DB4951">
          <w:rPr>
            <w:rStyle w:val="Hyperlink"/>
            <w:rFonts w:eastAsiaTheme="minorHAnsi"/>
          </w:rPr>
          <w:t xml:space="preserve"> FR </w:t>
        </w:r>
        <w:r>
          <w:rPr>
            <w:rStyle w:val="Hyperlink"/>
            <w:shd w:val="clear" w:color="auto" w:fill="FFFFFF"/>
          </w:rPr>
          <w:t>1810</w:t>
        </w:r>
      </w:hyperlink>
      <w:r w:rsidRPr="00DB4951">
        <w:rPr>
          <w:rFonts w:eastAsiaTheme="minorHAnsi"/>
          <w:color w:val="000000"/>
        </w:rPr>
        <w:t xml:space="preserve"> (Jan. </w:t>
      </w:r>
      <w:r>
        <w:rPr>
          <w:rFonts w:eastAsiaTheme="minorHAnsi"/>
          <w:color w:val="000000"/>
        </w:rPr>
        <w:t>11</w:t>
      </w:r>
      <w:r w:rsidRPr="00DB4951">
        <w:rPr>
          <w:rFonts w:eastAsiaTheme="minorHAnsi"/>
          <w:color w:val="000000"/>
        </w:rPr>
        <w:t>, 202</w:t>
      </w:r>
      <w:r>
        <w:rPr>
          <w:rFonts w:eastAsiaTheme="minorHAnsi"/>
          <w:color w:val="000000"/>
        </w:rPr>
        <w:t>4</w:t>
      </w:r>
      <w:r w:rsidRPr="00DB4951">
        <w:rPr>
          <w:rFonts w:eastAsiaTheme="minorHAnsi"/>
          <w:color w:val="000000"/>
        </w:rPr>
        <w:t>).</w:t>
      </w:r>
    </w:p>
    <w:p w14:paraId="030E7CBE" w14:textId="77777777" w:rsidR="00A01E87" w:rsidRDefault="00A01E87" w:rsidP="00FE0E18">
      <w:pPr>
        <w:tabs>
          <w:tab w:val="left" w:pos="2160"/>
        </w:tabs>
        <w:spacing w:line="276" w:lineRule="auto"/>
        <w:ind w:left="810"/>
      </w:pPr>
    </w:p>
    <w:p w14:paraId="5DD427F0" w14:textId="77777777" w:rsidR="00A01E87" w:rsidRDefault="00A01E87" w:rsidP="00FE0E18">
      <w:pPr>
        <w:tabs>
          <w:tab w:val="left" w:pos="2160"/>
        </w:tabs>
        <w:spacing w:line="276" w:lineRule="auto"/>
        <w:ind w:left="810"/>
      </w:pPr>
      <w:r w:rsidRPr="0073235F">
        <w:t xml:space="preserve">There are currently 22 State Plans covering both private sector and state and local government workers, and there are </w:t>
      </w:r>
      <w:r>
        <w:t>seven</w:t>
      </w:r>
      <w:r w:rsidRPr="0073235F">
        <w:t xml:space="preserve"> State Plans covering only state and local government workers.</w:t>
      </w:r>
      <w:r>
        <w:t xml:space="preserve">  </w:t>
      </w:r>
      <w:r w:rsidRPr="00FC3CD1">
        <w:t xml:space="preserve">The Illinois State plan </w:t>
      </w:r>
      <w:r w:rsidRPr="00DB7178">
        <w:t>is included in the Code of Federal Regulations (CFR) at </w:t>
      </w:r>
      <w:hyperlink r:id="rId16" w:tgtFrame="_self" w:tooltip="Summary of Illinois State Plan" w:history="1">
        <w:r w:rsidRPr="00DB7178">
          <w:rPr>
            <w:rStyle w:val="Hyperlink"/>
          </w:rPr>
          <w:t>29 CFR 1952.27</w:t>
        </w:r>
      </w:hyperlink>
      <w:r>
        <w:t xml:space="preserve"> and is one of the seven State Plans that </w:t>
      </w:r>
      <w:r w:rsidRPr="00AD2DCF">
        <w:t xml:space="preserve">only covers </w:t>
      </w:r>
      <w:r w:rsidRPr="002E61C5">
        <w:t>state/local government workers only</w:t>
      </w:r>
      <w:r w:rsidRPr="00AD2DCF">
        <w:t>.</w:t>
      </w:r>
      <w:r>
        <w:t xml:space="preserve">  As a public employer only program the State Plan is not required to adopt the </w:t>
      </w:r>
      <w:r w:rsidRPr="00717C4B">
        <w:t>Annual Adjustment to Civil Penalties for Inflation</w:t>
      </w:r>
      <w:r>
        <w:t xml:space="preserve">.  </w:t>
      </w:r>
      <w:r w:rsidRPr="004F6102">
        <w:t>The Illinois Occupational Safety &amp; Health Act provides the statutory authority to propose civil penalties for violations of the act for state and local government agencies.</w:t>
      </w:r>
    </w:p>
    <w:p w14:paraId="5AD35670" w14:textId="77777777" w:rsidR="00AB1CEB" w:rsidRDefault="00AB1CEB" w:rsidP="00FE0E18">
      <w:pPr>
        <w:tabs>
          <w:tab w:val="left" w:pos="2160"/>
        </w:tabs>
        <w:spacing w:line="276" w:lineRule="auto"/>
        <w:ind w:left="810"/>
      </w:pPr>
    </w:p>
    <w:p w14:paraId="561170ED" w14:textId="6965EB49" w:rsidR="00AB1CEB" w:rsidRDefault="00AB1CEB" w:rsidP="00FE0E18">
      <w:pPr>
        <w:tabs>
          <w:tab w:val="left" w:pos="2160"/>
        </w:tabs>
        <w:spacing w:line="276" w:lineRule="auto"/>
        <w:ind w:left="810"/>
      </w:pPr>
      <w:r>
        <w:t xml:space="preserve">The Illinois State Plan </w:t>
      </w:r>
      <w:r w:rsidR="002C717B">
        <w:t xml:space="preserve">submitted all applicable </w:t>
      </w:r>
      <w:r w:rsidR="00AE1704">
        <w:t>standard rule</w:t>
      </w:r>
      <w:r w:rsidR="002C717B">
        <w:t xml:space="preserve"> responses</w:t>
      </w:r>
      <w:r w:rsidR="00C3054C">
        <w:t xml:space="preserve"> timely and adopted all applicable </w:t>
      </w:r>
      <w:r w:rsidR="00B43641">
        <w:t>standards</w:t>
      </w:r>
      <w:r w:rsidR="00C3054C">
        <w:t xml:space="preserve"> </w:t>
      </w:r>
      <w:r w:rsidR="00B43641">
        <w:t>timely.</w:t>
      </w:r>
    </w:p>
    <w:p w14:paraId="19D0A4F8" w14:textId="77777777" w:rsidR="00850A10" w:rsidRDefault="00850A10" w:rsidP="00FE0E18">
      <w:pPr>
        <w:tabs>
          <w:tab w:val="left" w:pos="2160"/>
        </w:tabs>
        <w:spacing w:line="276" w:lineRule="auto"/>
        <w:ind w:left="810"/>
      </w:pPr>
    </w:p>
    <w:p w14:paraId="46F6A7C7" w14:textId="77777777" w:rsidR="00850A10" w:rsidRPr="006713E8" w:rsidRDefault="00850A10" w:rsidP="00850A10">
      <w:pPr>
        <w:rPr>
          <w:rFonts w:ascii="Calibri" w:hAnsi="Calibri" w:cs="Calibri"/>
          <w:b/>
        </w:rPr>
      </w:pPr>
      <w:r w:rsidRPr="006713E8">
        <w:rPr>
          <w:rFonts w:ascii="Calibri" w:hAnsi="Calibri" w:cs="Calibri"/>
          <w:b/>
          <w:bCs/>
        </w:rPr>
        <w:t>Table A</w:t>
      </w:r>
    </w:p>
    <w:p w14:paraId="7F8F661D" w14:textId="77777777" w:rsidR="00850A10" w:rsidRPr="006713E8" w:rsidRDefault="00850A10" w:rsidP="00850A10">
      <w:pPr>
        <w:tabs>
          <w:tab w:val="left" w:pos="8367"/>
        </w:tabs>
        <w:rPr>
          <w:rFonts w:ascii="Calibri" w:hAnsi="Calibri" w:cs="Calibri"/>
          <w:b/>
          <w:bCs/>
        </w:rPr>
      </w:pPr>
      <w:r w:rsidRPr="006713E8">
        <w:rPr>
          <w:rFonts w:ascii="Calibri" w:hAnsi="Calibri" w:cs="Calibri"/>
          <w:b/>
          <w:bCs/>
        </w:rPr>
        <w:t>Status of FY 2022 and FY 2023 Federal Standards Where Adoption Was Required</w:t>
      </w:r>
    </w:p>
    <w:p w14:paraId="3B4D6B29" w14:textId="77777777" w:rsidR="00850A10" w:rsidRPr="006713E8" w:rsidRDefault="00850A10" w:rsidP="00850A10">
      <w:pPr>
        <w:widowControl/>
        <w:autoSpaceDE/>
        <w:autoSpaceDN/>
        <w:adjustRightInd/>
        <w:rPr>
          <w:rFonts w:ascii="Calibri" w:hAnsi="Calibri" w:cs="Calibri"/>
        </w:rPr>
      </w:pPr>
      <w:r w:rsidRPr="006713E8">
        <w:rPr>
          <w:rFonts w:ascii="Calibri" w:hAnsi="Calibri" w:cs="Calibri"/>
          <w:bCs/>
        </w:rPr>
        <w:t>(May include any delinquent standards from earlier fiscal years)</w:t>
      </w:r>
    </w:p>
    <w:tbl>
      <w:tblPr>
        <w:tblStyle w:val="TableGrid"/>
        <w:tblW w:w="10255" w:type="dxa"/>
        <w:jc w:val="center"/>
        <w:tblLook w:val="06A0" w:firstRow="1" w:lastRow="0" w:firstColumn="1" w:lastColumn="0" w:noHBand="1" w:noVBand="1"/>
        <w:tblCaption w:val="Status of FY 2021 Federal Standards Adoption"/>
        <w:tblDescription w:val="Table A"/>
      </w:tblPr>
      <w:tblGrid>
        <w:gridCol w:w="2732"/>
        <w:gridCol w:w="1375"/>
        <w:gridCol w:w="1375"/>
        <w:gridCol w:w="1112"/>
        <w:gridCol w:w="1080"/>
        <w:gridCol w:w="1259"/>
        <w:gridCol w:w="1322"/>
      </w:tblGrid>
      <w:tr w:rsidR="00850A10" w:rsidRPr="006713E8" w14:paraId="56A52934" w14:textId="77777777" w:rsidTr="00D54D7E">
        <w:trPr>
          <w:cantSplit/>
          <w:tblHeader/>
          <w:jc w:val="center"/>
        </w:trPr>
        <w:tc>
          <w:tcPr>
            <w:tcW w:w="2785" w:type="dxa"/>
            <w:shd w:val="clear" w:color="auto" w:fill="44546A"/>
            <w:hideMark/>
          </w:tcPr>
          <w:p w14:paraId="2414CADB" w14:textId="77777777" w:rsidR="00850A10" w:rsidRPr="006713E8" w:rsidRDefault="00850A10" w:rsidP="00D54D7E">
            <w:pPr>
              <w:widowControl/>
              <w:autoSpaceDE/>
              <w:autoSpaceDN/>
              <w:adjustRightInd/>
              <w:rPr>
                <w:rFonts w:ascii="Calibri" w:eastAsia="Calibri" w:hAnsi="Calibri" w:cs="Calibri"/>
                <w:b/>
                <w:color w:val="FFFFFF"/>
              </w:rPr>
            </w:pPr>
            <w:r w:rsidRPr="006713E8">
              <w:rPr>
                <w:rFonts w:ascii="Calibri" w:eastAsia="Calibri" w:hAnsi="Calibri" w:cs="Calibri"/>
                <w:b/>
                <w:color w:val="FFFFFF"/>
              </w:rPr>
              <w:t>Standard</w:t>
            </w:r>
          </w:p>
        </w:tc>
        <w:tc>
          <w:tcPr>
            <w:tcW w:w="1298" w:type="dxa"/>
            <w:shd w:val="clear" w:color="auto" w:fill="44546A"/>
          </w:tcPr>
          <w:p w14:paraId="4CB6E78F" w14:textId="77777777" w:rsidR="00850A10" w:rsidRPr="006713E8" w:rsidRDefault="00850A10" w:rsidP="00D54D7E">
            <w:pPr>
              <w:widowControl/>
              <w:autoSpaceDE/>
              <w:autoSpaceDN/>
              <w:adjustRightInd/>
              <w:rPr>
                <w:rFonts w:ascii="Calibri" w:eastAsia="Calibri" w:hAnsi="Calibri" w:cs="Calibri"/>
                <w:b/>
                <w:color w:val="FFFFFF"/>
              </w:rPr>
            </w:pPr>
            <w:r w:rsidRPr="006713E8">
              <w:rPr>
                <w:rFonts w:ascii="Calibri" w:eastAsia="Calibri" w:hAnsi="Calibri" w:cs="Calibri"/>
                <w:b/>
                <w:color w:val="FFFFFF"/>
              </w:rPr>
              <w:t>Response Due Date</w:t>
            </w:r>
          </w:p>
        </w:tc>
        <w:tc>
          <w:tcPr>
            <w:tcW w:w="1375" w:type="dxa"/>
            <w:shd w:val="clear" w:color="auto" w:fill="44546A"/>
            <w:hideMark/>
          </w:tcPr>
          <w:p w14:paraId="1FDE350A" w14:textId="77777777" w:rsidR="00850A10" w:rsidRPr="006713E8" w:rsidRDefault="00850A10" w:rsidP="00D54D7E">
            <w:pPr>
              <w:widowControl/>
              <w:autoSpaceDE/>
              <w:autoSpaceDN/>
              <w:adjustRightInd/>
              <w:rPr>
                <w:rFonts w:ascii="Calibri" w:eastAsia="Calibri" w:hAnsi="Calibri" w:cs="Calibri"/>
                <w:b/>
                <w:color w:val="FFFFFF"/>
              </w:rPr>
            </w:pPr>
            <w:r w:rsidRPr="006713E8">
              <w:rPr>
                <w:rFonts w:ascii="Calibri" w:eastAsia="Calibri" w:hAnsi="Calibri" w:cs="Calibri"/>
                <w:b/>
                <w:color w:val="FFFFFF"/>
              </w:rPr>
              <w:t>State Plan Response Date</w:t>
            </w:r>
          </w:p>
        </w:tc>
        <w:tc>
          <w:tcPr>
            <w:tcW w:w="1131" w:type="dxa"/>
            <w:shd w:val="clear" w:color="auto" w:fill="44546A"/>
            <w:hideMark/>
          </w:tcPr>
          <w:p w14:paraId="2AA57D2D" w14:textId="77777777" w:rsidR="00850A10" w:rsidRPr="006713E8" w:rsidRDefault="00850A10" w:rsidP="00D54D7E">
            <w:pPr>
              <w:widowControl/>
              <w:autoSpaceDE/>
              <w:autoSpaceDN/>
              <w:adjustRightInd/>
              <w:rPr>
                <w:rFonts w:ascii="Calibri" w:eastAsia="Calibri" w:hAnsi="Calibri" w:cs="Calibri"/>
                <w:b/>
                <w:color w:val="FFFFFF"/>
              </w:rPr>
            </w:pPr>
            <w:r w:rsidRPr="006713E8">
              <w:rPr>
                <w:rFonts w:ascii="Calibri" w:eastAsia="Calibri" w:hAnsi="Calibri" w:cs="Calibri"/>
                <w:b/>
                <w:color w:val="FFFFFF"/>
              </w:rPr>
              <w:t>Intent to Adopt</w:t>
            </w:r>
          </w:p>
        </w:tc>
        <w:tc>
          <w:tcPr>
            <w:tcW w:w="1080" w:type="dxa"/>
            <w:shd w:val="clear" w:color="auto" w:fill="44546A"/>
            <w:hideMark/>
          </w:tcPr>
          <w:p w14:paraId="29BFF832" w14:textId="77777777" w:rsidR="00850A10" w:rsidRPr="006713E8" w:rsidRDefault="00850A10" w:rsidP="00D54D7E">
            <w:pPr>
              <w:widowControl/>
              <w:autoSpaceDE/>
              <w:autoSpaceDN/>
              <w:adjustRightInd/>
              <w:rPr>
                <w:rFonts w:ascii="Calibri" w:eastAsia="Calibri" w:hAnsi="Calibri" w:cs="Calibri"/>
                <w:b/>
                <w:color w:val="FFFFFF"/>
              </w:rPr>
            </w:pPr>
            <w:r w:rsidRPr="006713E8">
              <w:rPr>
                <w:rFonts w:ascii="Calibri" w:eastAsia="Calibri" w:hAnsi="Calibri" w:cs="Calibri"/>
                <w:b/>
                <w:color w:val="FFFFFF"/>
              </w:rPr>
              <w:t>Adopt Identical</w:t>
            </w:r>
          </w:p>
        </w:tc>
        <w:tc>
          <w:tcPr>
            <w:tcW w:w="1259" w:type="dxa"/>
            <w:shd w:val="clear" w:color="auto" w:fill="44546A"/>
            <w:hideMark/>
          </w:tcPr>
          <w:p w14:paraId="44A16FA1" w14:textId="77777777" w:rsidR="00850A10" w:rsidRPr="006713E8" w:rsidRDefault="00850A10" w:rsidP="00D54D7E">
            <w:pPr>
              <w:widowControl/>
              <w:autoSpaceDE/>
              <w:autoSpaceDN/>
              <w:adjustRightInd/>
              <w:rPr>
                <w:rFonts w:ascii="Calibri" w:eastAsia="Calibri" w:hAnsi="Calibri" w:cs="Calibri"/>
                <w:b/>
                <w:color w:val="FFFFFF"/>
              </w:rPr>
            </w:pPr>
            <w:r w:rsidRPr="006713E8">
              <w:rPr>
                <w:rFonts w:ascii="Calibri" w:eastAsia="Calibri" w:hAnsi="Calibri" w:cs="Calibri"/>
                <w:b/>
                <w:color w:val="FFFFFF"/>
              </w:rPr>
              <w:t>Adoption Due Date</w:t>
            </w:r>
          </w:p>
        </w:tc>
        <w:tc>
          <w:tcPr>
            <w:tcW w:w="1327" w:type="dxa"/>
            <w:shd w:val="clear" w:color="auto" w:fill="44546A"/>
            <w:hideMark/>
          </w:tcPr>
          <w:p w14:paraId="004448B0" w14:textId="77777777" w:rsidR="00850A10" w:rsidRPr="006713E8" w:rsidRDefault="00850A10" w:rsidP="00D54D7E">
            <w:pPr>
              <w:widowControl/>
              <w:autoSpaceDE/>
              <w:autoSpaceDN/>
              <w:adjustRightInd/>
              <w:rPr>
                <w:rFonts w:ascii="Calibri" w:eastAsia="Calibri" w:hAnsi="Calibri" w:cs="Calibri"/>
                <w:b/>
                <w:color w:val="FFFFFF"/>
              </w:rPr>
            </w:pPr>
            <w:r w:rsidRPr="006713E8">
              <w:rPr>
                <w:rFonts w:ascii="Calibri" w:eastAsia="Calibri" w:hAnsi="Calibri" w:cs="Calibri"/>
                <w:b/>
                <w:color w:val="FFFFFF"/>
              </w:rPr>
              <w:t>State Plan Adoption Date</w:t>
            </w:r>
          </w:p>
        </w:tc>
      </w:tr>
      <w:tr w:rsidR="00850A10" w:rsidRPr="006713E8" w14:paraId="6145C468" w14:textId="77777777" w:rsidTr="00D54D7E">
        <w:trPr>
          <w:cantSplit/>
          <w:jc w:val="center"/>
        </w:trPr>
        <w:tc>
          <w:tcPr>
            <w:tcW w:w="2785" w:type="dxa"/>
          </w:tcPr>
          <w:p w14:paraId="192AA29C" w14:textId="77777777" w:rsidR="00850A10" w:rsidRPr="006713E8" w:rsidRDefault="00850A10" w:rsidP="00D54D7E">
            <w:pPr>
              <w:rPr>
                <w:rFonts w:ascii="Calibri" w:hAnsi="Calibri" w:cs="Calibri"/>
              </w:rPr>
            </w:pPr>
            <w:r w:rsidRPr="006713E8">
              <w:rPr>
                <w:rFonts w:ascii="Calibri" w:hAnsi="Calibri" w:cs="Calibri"/>
              </w:rPr>
              <w:t>COVID-19 Vaccination and Testing; Emergency Temporary Standard</w:t>
            </w:r>
          </w:p>
          <w:p w14:paraId="13AD000F" w14:textId="77777777" w:rsidR="00850A10" w:rsidRPr="006713E8" w:rsidRDefault="00850A10" w:rsidP="00D54D7E">
            <w:pPr>
              <w:rPr>
                <w:rFonts w:ascii="Calibri" w:hAnsi="Calibri" w:cs="Calibri"/>
              </w:rPr>
            </w:pPr>
            <w:r w:rsidRPr="006713E8">
              <w:rPr>
                <w:rFonts w:ascii="Calibri" w:hAnsi="Calibri" w:cs="Calibri"/>
              </w:rPr>
              <w:t>29 CFR 1910, 15, 17, 18, 26, 28</w:t>
            </w:r>
          </w:p>
          <w:p w14:paraId="6EE7FA91" w14:textId="77777777" w:rsidR="00850A10" w:rsidRPr="006713E8" w:rsidRDefault="00850A10" w:rsidP="00D54D7E">
            <w:pPr>
              <w:rPr>
                <w:rFonts w:ascii="Calibri" w:hAnsi="Calibri" w:cs="Calibri"/>
              </w:rPr>
            </w:pPr>
            <w:r w:rsidRPr="006713E8">
              <w:rPr>
                <w:rFonts w:ascii="Calibri" w:hAnsi="Calibri" w:cs="Calibri"/>
              </w:rPr>
              <w:t>(11/5/2021)</w:t>
            </w:r>
          </w:p>
        </w:tc>
        <w:tc>
          <w:tcPr>
            <w:tcW w:w="1298" w:type="dxa"/>
          </w:tcPr>
          <w:p w14:paraId="54847294" w14:textId="77777777" w:rsidR="00850A10" w:rsidRPr="006713E8" w:rsidRDefault="00850A10" w:rsidP="00D54D7E">
            <w:pPr>
              <w:rPr>
                <w:rFonts w:ascii="Calibri" w:eastAsia="Calibri" w:hAnsi="Calibri" w:cs="Calibri"/>
              </w:rPr>
            </w:pPr>
            <w:r w:rsidRPr="006713E8">
              <w:rPr>
                <w:rFonts w:ascii="Calibri" w:eastAsia="Calibri" w:hAnsi="Calibri" w:cs="Calibri"/>
              </w:rPr>
              <w:t>11/20/2021</w:t>
            </w:r>
          </w:p>
        </w:tc>
        <w:tc>
          <w:tcPr>
            <w:tcW w:w="1375" w:type="dxa"/>
          </w:tcPr>
          <w:p w14:paraId="782C72CD" w14:textId="77777777" w:rsidR="00850A10" w:rsidRPr="006713E8" w:rsidRDefault="00850A10" w:rsidP="00D54D7E">
            <w:pPr>
              <w:rPr>
                <w:rFonts w:ascii="Calibri" w:hAnsi="Calibri" w:cs="Calibri"/>
              </w:rPr>
            </w:pPr>
            <w:r w:rsidRPr="006713E8">
              <w:rPr>
                <w:rFonts w:ascii="Calibri" w:hAnsi="Calibri" w:cs="Calibri"/>
              </w:rPr>
              <w:t>N/A</w:t>
            </w:r>
          </w:p>
        </w:tc>
        <w:tc>
          <w:tcPr>
            <w:tcW w:w="1131" w:type="dxa"/>
          </w:tcPr>
          <w:p w14:paraId="5C3D16E9" w14:textId="77777777" w:rsidR="00850A10" w:rsidRPr="006713E8" w:rsidRDefault="00850A10" w:rsidP="00D54D7E">
            <w:pPr>
              <w:rPr>
                <w:rFonts w:ascii="Calibri" w:hAnsi="Calibri" w:cs="Calibri"/>
              </w:rPr>
            </w:pPr>
            <w:r w:rsidRPr="006713E8">
              <w:rPr>
                <w:rFonts w:ascii="Calibri" w:hAnsi="Calibri" w:cs="Calibri"/>
              </w:rPr>
              <w:t>N/A</w:t>
            </w:r>
          </w:p>
        </w:tc>
        <w:tc>
          <w:tcPr>
            <w:tcW w:w="1080" w:type="dxa"/>
          </w:tcPr>
          <w:p w14:paraId="2EA4CCFA" w14:textId="77777777" w:rsidR="00850A10" w:rsidRPr="006713E8" w:rsidRDefault="00850A10" w:rsidP="00D54D7E">
            <w:pPr>
              <w:rPr>
                <w:rFonts w:ascii="Calibri" w:hAnsi="Calibri" w:cs="Calibri"/>
              </w:rPr>
            </w:pPr>
            <w:r w:rsidRPr="006713E8">
              <w:rPr>
                <w:rFonts w:ascii="Calibri" w:hAnsi="Calibri" w:cs="Calibri"/>
              </w:rPr>
              <w:t>N/A</w:t>
            </w:r>
          </w:p>
        </w:tc>
        <w:tc>
          <w:tcPr>
            <w:tcW w:w="1259" w:type="dxa"/>
          </w:tcPr>
          <w:p w14:paraId="03584E9E" w14:textId="77777777" w:rsidR="00850A10" w:rsidRPr="006713E8" w:rsidRDefault="00850A10" w:rsidP="00D54D7E">
            <w:pPr>
              <w:rPr>
                <w:rFonts w:ascii="Calibri" w:hAnsi="Calibri" w:cs="Calibri"/>
              </w:rPr>
            </w:pPr>
            <w:r w:rsidRPr="006713E8">
              <w:rPr>
                <w:rFonts w:ascii="Calibri" w:hAnsi="Calibri" w:cs="Calibri"/>
              </w:rPr>
              <w:t>12/5/2021</w:t>
            </w:r>
          </w:p>
        </w:tc>
        <w:tc>
          <w:tcPr>
            <w:tcW w:w="1327" w:type="dxa"/>
          </w:tcPr>
          <w:p w14:paraId="6DCCB4EC" w14:textId="77777777" w:rsidR="00850A10" w:rsidRPr="006713E8" w:rsidRDefault="00850A10" w:rsidP="00D54D7E">
            <w:pPr>
              <w:rPr>
                <w:rFonts w:ascii="Calibri" w:hAnsi="Calibri" w:cs="Calibri"/>
              </w:rPr>
            </w:pPr>
            <w:r w:rsidRPr="006713E8">
              <w:rPr>
                <w:rFonts w:ascii="Calibri" w:hAnsi="Calibri" w:cs="Calibri"/>
              </w:rPr>
              <w:t>N/A</w:t>
            </w:r>
          </w:p>
        </w:tc>
      </w:tr>
      <w:tr w:rsidR="00850A10" w:rsidRPr="006713E8" w14:paraId="3D751F7A" w14:textId="77777777" w:rsidTr="00D54D7E">
        <w:trPr>
          <w:cantSplit/>
          <w:jc w:val="center"/>
        </w:trPr>
        <w:tc>
          <w:tcPr>
            <w:tcW w:w="2785" w:type="dxa"/>
          </w:tcPr>
          <w:p w14:paraId="4C8CC197" w14:textId="77777777" w:rsidR="00850A10" w:rsidRPr="006713E8" w:rsidRDefault="00850A10" w:rsidP="00D54D7E">
            <w:pPr>
              <w:rPr>
                <w:rFonts w:ascii="Calibri" w:hAnsi="Calibri" w:cs="Calibri"/>
              </w:rPr>
            </w:pPr>
            <w:r w:rsidRPr="006713E8">
              <w:rPr>
                <w:rFonts w:ascii="Calibri" w:hAnsi="Calibri" w:cs="Calibri"/>
              </w:rPr>
              <w:t>Updated COVID-19 Vaccination and Testing; Emergency Temporary Standard</w:t>
            </w:r>
          </w:p>
          <w:p w14:paraId="4EEBA8B4" w14:textId="77777777" w:rsidR="00850A10" w:rsidRPr="006713E8" w:rsidRDefault="00850A10" w:rsidP="00D54D7E">
            <w:pPr>
              <w:rPr>
                <w:rFonts w:ascii="Calibri" w:hAnsi="Calibri" w:cs="Calibri"/>
              </w:rPr>
            </w:pPr>
            <w:r w:rsidRPr="006713E8">
              <w:rPr>
                <w:rFonts w:ascii="Calibri" w:hAnsi="Calibri" w:cs="Calibri"/>
              </w:rPr>
              <w:t>29 CFR 1910</w:t>
            </w:r>
          </w:p>
          <w:p w14:paraId="41B3DBFB" w14:textId="77777777" w:rsidR="00850A10" w:rsidRPr="006713E8" w:rsidRDefault="00850A10" w:rsidP="00D54D7E">
            <w:pPr>
              <w:rPr>
                <w:rFonts w:ascii="Calibri" w:hAnsi="Calibri" w:cs="Calibri"/>
              </w:rPr>
            </w:pPr>
            <w:r w:rsidRPr="006713E8">
              <w:rPr>
                <w:rFonts w:ascii="Calibri" w:hAnsi="Calibri" w:cs="Calibri"/>
              </w:rPr>
              <w:t>(11/5/2021)</w:t>
            </w:r>
          </w:p>
        </w:tc>
        <w:tc>
          <w:tcPr>
            <w:tcW w:w="1298" w:type="dxa"/>
          </w:tcPr>
          <w:p w14:paraId="2C0AF6D0" w14:textId="77777777" w:rsidR="00850A10" w:rsidRPr="006713E8" w:rsidRDefault="00850A10" w:rsidP="00D54D7E">
            <w:pPr>
              <w:rPr>
                <w:rFonts w:ascii="Calibri" w:eastAsia="Calibri" w:hAnsi="Calibri" w:cs="Calibri"/>
              </w:rPr>
            </w:pPr>
            <w:r w:rsidRPr="006713E8">
              <w:rPr>
                <w:rFonts w:ascii="Calibri" w:eastAsia="Calibri" w:hAnsi="Calibri" w:cs="Calibri"/>
              </w:rPr>
              <w:t>1/7/2022</w:t>
            </w:r>
          </w:p>
        </w:tc>
        <w:tc>
          <w:tcPr>
            <w:tcW w:w="1375" w:type="dxa"/>
          </w:tcPr>
          <w:p w14:paraId="3BAB601B" w14:textId="77777777" w:rsidR="00850A10" w:rsidRPr="006713E8" w:rsidRDefault="00850A10" w:rsidP="00D54D7E">
            <w:pPr>
              <w:rPr>
                <w:rFonts w:ascii="Calibri" w:hAnsi="Calibri" w:cs="Calibri"/>
              </w:rPr>
            </w:pPr>
            <w:r w:rsidRPr="006713E8">
              <w:rPr>
                <w:rFonts w:ascii="Calibri" w:hAnsi="Calibri" w:cs="Calibri"/>
              </w:rPr>
              <w:t>12/22/2021</w:t>
            </w:r>
          </w:p>
        </w:tc>
        <w:tc>
          <w:tcPr>
            <w:tcW w:w="1131" w:type="dxa"/>
          </w:tcPr>
          <w:p w14:paraId="3892BDC8" w14:textId="77777777" w:rsidR="00850A10" w:rsidRPr="006713E8" w:rsidRDefault="00850A10" w:rsidP="00D54D7E">
            <w:pPr>
              <w:rPr>
                <w:rFonts w:ascii="Calibri" w:hAnsi="Calibri" w:cs="Calibri"/>
              </w:rPr>
            </w:pPr>
            <w:r w:rsidRPr="006713E8">
              <w:rPr>
                <w:rFonts w:ascii="Calibri" w:hAnsi="Calibri" w:cs="Calibri"/>
              </w:rPr>
              <w:t>No</w:t>
            </w:r>
          </w:p>
        </w:tc>
        <w:tc>
          <w:tcPr>
            <w:tcW w:w="1080" w:type="dxa"/>
          </w:tcPr>
          <w:p w14:paraId="7087708E" w14:textId="77777777" w:rsidR="00850A10" w:rsidRPr="006713E8" w:rsidRDefault="00850A10" w:rsidP="00D54D7E">
            <w:pPr>
              <w:rPr>
                <w:rFonts w:ascii="Calibri" w:hAnsi="Calibri" w:cs="Calibri"/>
              </w:rPr>
            </w:pPr>
            <w:r w:rsidRPr="006713E8">
              <w:rPr>
                <w:rFonts w:ascii="Calibri" w:hAnsi="Calibri" w:cs="Calibri"/>
              </w:rPr>
              <w:t>N/A</w:t>
            </w:r>
          </w:p>
        </w:tc>
        <w:tc>
          <w:tcPr>
            <w:tcW w:w="1259" w:type="dxa"/>
          </w:tcPr>
          <w:p w14:paraId="16F5DBB1" w14:textId="77777777" w:rsidR="00850A10" w:rsidRPr="006713E8" w:rsidRDefault="00850A10" w:rsidP="00D54D7E">
            <w:pPr>
              <w:rPr>
                <w:rFonts w:ascii="Calibri" w:hAnsi="Calibri" w:cs="Calibri"/>
              </w:rPr>
            </w:pPr>
            <w:r w:rsidRPr="006713E8">
              <w:rPr>
                <w:rFonts w:ascii="Calibri" w:hAnsi="Calibri" w:cs="Calibri"/>
              </w:rPr>
              <w:t>1/24/2022</w:t>
            </w:r>
          </w:p>
        </w:tc>
        <w:tc>
          <w:tcPr>
            <w:tcW w:w="1327" w:type="dxa"/>
          </w:tcPr>
          <w:p w14:paraId="70F9E28D" w14:textId="77777777" w:rsidR="00850A10" w:rsidRPr="006713E8" w:rsidRDefault="00850A10" w:rsidP="00D54D7E">
            <w:pPr>
              <w:rPr>
                <w:rFonts w:ascii="Calibri" w:hAnsi="Calibri" w:cs="Calibri"/>
              </w:rPr>
            </w:pPr>
            <w:r w:rsidRPr="006713E8">
              <w:rPr>
                <w:rFonts w:ascii="Calibri" w:hAnsi="Calibri" w:cs="Calibri"/>
              </w:rPr>
              <w:t>N</w:t>
            </w:r>
            <w:r>
              <w:rPr>
                <w:rFonts w:ascii="Calibri" w:hAnsi="Calibri" w:cs="Calibri"/>
              </w:rPr>
              <w:t>/A</w:t>
            </w:r>
          </w:p>
        </w:tc>
      </w:tr>
      <w:tr w:rsidR="00850A10" w:rsidRPr="006713E8" w14:paraId="35211BA3" w14:textId="77777777" w:rsidTr="00D54D7E">
        <w:trPr>
          <w:cantSplit/>
          <w:jc w:val="center"/>
        </w:trPr>
        <w:tc>
          <w:tcPr>
            <w:tcW w:w="2785" w:type="dxa"/>
          </w:tcPr>
          <w:p w14:paraId="514566A8" w14:textId="77777777" w:rsidR="00850A10" w:rsidRPr="006713E8" w:rsidRDefault="00850A10" w:rsidP="00D54D7E">
            <w:pPr>
              <w:rPr>
                <w:rFonts w:ascii="Calibri" w:hAnsi="Calibri" w:cs="Calibri"/>
              </w:rPr>
            </w:pPr>
            <w:r w:rsidRPr="006713E8">
              <w:rPr>
                <w:rFonts w:ascii="Calibri" w:hAnsi="Calibri" w:cs="Calibri"/>
              </w:rPr>
              <w:t>Final Rule on the Department of Labor Civil Penalties for Inflation Adjustment Act – Annual Adjustment for 2022</w:t>
            </w:r>
          </w:p>
          <w:p w14:paraId="6E8024FA" w14:textId="77777777" w:rsidR="00850A10" w:rsidRPr="006713E8" w:rsidRDefault="00850A10" w:rsidP="00D54D7E">
            <w:pPr>
              <w:rPr>
                <w:rFonts w:ascii="Calibri" w:hAnsi="Calibri" w:cs="Calibri"/>
              </w:rPr>
            </w:pPr>
            <w:r w:rsidRPr="006713E8">
              <w:rPr>
                <w:rFonts w:ascii="Calibri" w:hAnsi="Calibri" w:cs="Calibri"/>
              </w:rPr>
              <w:t>29 CFR 1903</w:t>
            </w:r>
          </w:p>
          <w:p w14:paraId="451784E1" w14:textId="77777777" w:rsidR="00850A10" w:rsidRPr="006713E8" w:rsidRDefault="00850A10" w:rsidP="00D54D7E">
            <w:pPr>
              <w:rPr>
                <w:rFonts w:ascii="Calibri" w:hAnsi="Calibri" w:cs="Calibri"/>
              </w:rPr>
            </w:pPr>
            <w:r w:rsidRPr="006713E8">
              <w:rPr>
                <w:rFonts w:ascii="Calibri" w:hAnsi="Calibri" w:cs="Calibri"/>
              </w:rPr>
              <w:t>(1/15/2022)</w:t>
            </w:r>
          </w:p>
        </w:tc>
        <w:tc>
          <w:tcPr>
            <w:tcW w:w="1298" w:type="dxa"/>
          </w:tcPr>
          <w:p w14:paraId="32518188" w14:textId="77777777" w:rsidR="00850A10" w:rsidRPr="006713E8" w:rsidRDefault="00850A10" w:rsidP="00D54D7E">
            <w:pPr>
              <w:rPr>
                <w:rFonts w:ascii="Calibri" w:eastAsia="Calibri" w:hAnsi="Calibri" w:cs="Calibri"/>
              </w:rPr>
            </w:pPr>
            <w:r w:rsidRPr="006713E8">
              <w:rPr>
                <w:rFonts w:ascii="Calibri" w:eastAsia="Calibri" w:hAnsi="Calibri" w:cs="Calibri"/>
              </w:rPr>
              <w:t>3/15/2022</w:t>
            </w:r>
          </w:p>
        </w:tc>
        <w:tc>
          <w:tcPr>
            <w:tcW w:w="1375" w:type="dxa"/>
          </w:tcPr>
          <w:p w14:paraId="7BE3176B" w14:textId="77777777" w:rsidR="00850A10" w:rsidRPr="006713E8" w:rsidRDefault="00850A10" w:rsidP="00D54D7E">
            <w:pPr>
              <w:rPr>
                <w:rFonts w:ascii="Calibri" w:eastAsia="Calibri" w:hAnsi="Calibri" w:cs="Calibri"/>
              </w:rPr>
            </w:pPr>
            <w:r>
              <w:rPr>
                <w:rFonts w:ascii="Calibri" w:eastAsia="Calibri" w:hAnsi="Calibri" w:cs="Calibri"/>
              </w:rPr>
              <w:t>N/A</w:t>
            </w:r>
          </w:p>
        </w:tc>
        <w:tc>
          <w:tcPr>
            <w:tcW w:w="1131" w:type="dxa"/>
          </w:tcPr>
          <w:p w14:paraId="52065BFB" w14:textId="77777777" w:rsidR="00850A10" w:rsidRPr="006713E8" w:rsidRDefault="00850A10" w:rsidP="00D54D7E">
            <w:pPr>
              <w:rPr>
                <w:rFonts w:ascii="Calibri" w:eastAsia="Calibri" w:hAnsi="Calibri" w:cs="Calibri"/>
              </w:rPr>
            </w:pPr>
            <w:r>
              <w:rPr>
                <w:rFonts w:ascii="Calibri" w:eastAsia="Calibri" w:hAnsi="Calibri" w:cs="Calibri"/>
              </w:rPr>
              <w:t>N/A</w:t>
            </w:r>
          </w:p>
        </w:tc>
        <w:tc>
          <w:tcPr>
            <w:tcW w:w="1080" w:type="dxa"/>
          </w:tcPr>
          <w:p w14:paraId="59038C9D" w14:textId="77777777" w:rsidR="00850A10" w:rsidRPr="006713E8" w:rsidRDefault="00850A10" w:rsidP="00D54D7E">
            <w:pPr>
              <w:rPr>
                <w:rFonts w:ascii="Calibri" w:eastAsia="Calibri" w:hAnsi="Calibri" w:cs="Calibri"/>
              </w:rPr>
            </w:pPr>
            <w:r>
              <w:rPr>
                <w:rFonts w:ascii="Calibri" w:eastAsia="Calibri" w:hAnsi="Calibri" w:cs="Calibri"/>
              </w:rPr>
              <w:t>N/A</w:t>
            </w:r>
          </w:p>
        </w:tc>
        <w:tc>
          <w:tcPr>
            <w:tcW w:w="1259" w:type="dxa"/>
          </w:tcPr>
          <w:p w14:paraId="78365A78" w14:textId="77777777" w:rsidR="00850A10" w:rsidRPr="006713E8" w:rsidRDefault="00850A10" w:rsidP="00D54D7E">
            <w:pPr>
              <w:rPr>
                <w:rFonts w:ascii="Calibri" w:hAnsi="Calibri" w:cs="Calibri"/>
              </w:rPr>
            </w:pPr>
            <w:r w:rsidRPr="006713E8">
              <w:rPr>
                <w:rFonts w:ascii="Calibri" w:hAnsi="Calibri" w:cs="Calibri"/>
              </w:rPr>
              <w:t>7/15/2022</w:t>
            </w:r>
          </w:p>
        </w:tc>
        <w:tc>
          <w:tcPr>
            <w:tcW w:w="1327" w:type="dxa"/>
          </w:tcPr>
          <w:p w14:paraId="58399BF6" w14:textId="77777777" w:rsidR="00850A10" w:rsidRPr="006713E8" w:rsidRDefault="00850A10" w:rsidP="00D54D7E">
            <w:pPr>
              <w:rPr>
                <w:rFonts w:ascii="Calibri" w:hAnsi="Calibri" w:cs="Calibri"/>
              </w:rPr>
            </w:pPr>
            <w:r>
              <w:rPr>
                <w:rFonts w:ascii="Calibri" w:hAnsi="Calibri" w:cs="Calibri"/>
              </w:rPr>
              <w:t>N/A</w:t>
            </w:r>
          </w:p>
        </w:tc>
      </w:tr>
      <w:tr w:rsidR="00850A10" w:rsidRPr="006713E8" w14:paraId="264ED83D" w14:textId="77777777" w:rsidTr="00D54D7E">
        <w:trPr>
          <w:cantSplit/>
          <w:jc w:val="center"/>
        </w:trPr>
        <w:tc>
          <w:tcPr>
            <w:tcW w:w="2785" w:type="dxa"/>
          </w:tcPr>
          <w:p w14:paraId="522E0BF0" w14:textId="77777777" w:rsidR="00850A10" w:rsidRPr="006713E8" w:rsidRDefault="00850A10" w:rsidP="00D54D7E">
            <w:pPr>
              <w:rPr>
                <w:rFonts w:ascii="Calibri" w:hAnsi="Calibri" w:cs="Calibri"/>
              </w:rPr>
            </w:pPr>
            <w:r w:rsidRPr="006713E8">
              <w:rPr>
                <w:rFonts w:ascii="Calibri" w:hAnsi="Calibri" w:cs="Calibri"/>
              </w:rPr>
              <w:lastRenderedPageBreak/>
              <w:t>Occupational Exposure to COVID-19; Healthcare Emergency Temporary Standard: COVID-19 Log and Reporting Provisions</w:t>
            </w:r>
          </w:p>
          <w:p w14:paraId="4B8CDA37" w14:textId="77777777" w:rsidR="00850A10" w:rsidRPr="006713E8" w:rsidRDefault="00850A10" w:rsidP="00D54D7E">
            <w:pPr>
              <w:rPr>
                <w:rFonts w:ascii="Calibri" w:hAnsi="Calibri" w:cs="Calibri"/>
              </w:rPr>
            </w:pPr>
            <w:r w:rsidRPr="006713E8">
              <w:rPr>
                <w:rFonts w:ascii="Calibri" w:hAnsi="Calibri" w:cs="Calibri"/>
              </w:rPr>
              <w:t>29 CFR 1910.502(q)(2)(ii), (q)(3)(ii)-(iv) and (r)</w:t>
            </w:r>
          </w:p>
          <w:p w14:paraId="759C5CA0" w14:textId="77777777" w:rsidR="00850A10" w:rsidRPr="006713E8" w:rsidRDefault="00850A10" w:rsidP="00D54D7E">
            <w:pPr>
              <w:rPr>
                <w:rFonts w:ascii="Calibri" w:hAnsi="Calibri" w:cs="Calibri"/>
              </w:rPr>
            </w:pPr>
            <w:r w:rsidRPr="006713E8">
              <w:rPr>
                <w:rFonts w:ascii="Calibri" w:hAnsi="Calibri" w:cs="Calibri"/>
              </w:rPr>
              <w:t>(2/14/2022)</w:t>
            </w:r>
          </w:p>
        </w:tc>
        <w:tc>
          <w:tcPr>
            <w:tcW w:w="1298" w:type="dxa"/>
          </w:tcPr>
          <w:p w14:paraId="0A9A4E81" w14:textId="77777777" w:rsidR="00850A10" w:rsidRPr="006713E8" w:rsidRDefault="00850A10" w:rsidP="00D54D7E">
            <w:pPr>
              <w:rPr>
                <w:rFonts w:ascii="Calibri" w:eastAsia="Calibri" w:hAnsi="Calibri" w:cs="Calibri"/>
              </w:rPr>
            </w:pPr>
            <w:r w:rsidRPr="006713E8">
              <w:rPr>
                <w:rFonts w:ascii="Calibri" w:eastAsia="Calibri" w:hAnsi="Calibri" w:cs="Calibri"/>
              </w:rPr>
              <w:t>4/14/2022</w:t>
            </w:r>
          </w:p>
        </w:tc>
        <w:tc>
          <w:tcPr>
            <w:tcW w:w="1375" w:type="dxa"/>
          </w:tcPr>
          <w:p w14:paraId="5CC25F63" w14:textId="77777777" w:rsidR="00850A10" w:rsidRPr="006713E8" w:rsidRDefault="00850A10" w:rsidP="00D54D7E">
            <w:pPr>
              <w:rPr>
                <w:rFonts w:ascii="Calibri" w:eastAsia="Calibri" w:hAnsi="Calibri" w:cs="Calibri"/>
              </w:rPr>
            </w:pPr>
            <w:r>
              <w:rPr>
                <w:rFonts w:ascii="Calibri" w:eastAsia="Calibri" w:hAnsi="Calibri" w:cs="Calibri"/>
              </w:rPr>
              <w:t>2/15/2022</w:t>
            </w:r>
          </w:p>
        </w:tc>
        <w:tc>
          <w:tcPr>
            <w:tcW w:w="1131" w:type="dxa"/>
          </w:tcPr>
          <w:p w14:paraId="27D23F78" w14:textId="77777777" w:rsidR="00850A10" w:rsidRPr="006713E8" w:rsidRDefault="00850A10" w:rsidP="00D54D7E">
            <w:pPr>
              <w:rPr>
                <w:rFonts w:ascii="Calibri" w:eastAsia="Calibri" w:hAnsi="Calibri" w:cs="Calibri"/>
              </w:rPr>
            </w:pPr>
            <w:r>
              <w:rPr>
                <w:rFonts w:ascii="Calibri" w:eastAsia="Calibri" w:hAnsi="Calibri" w:cs="Calibri"/>
              </w:rPr>
              <w:t>Yes</w:t>
            </w:r>
          </w:p>
        </w:tc>
        <w:tc>
          <w:tcPr>
            <w:tcW w:w="1080" w:type="dxa"/>
          </w:tcPr>
          <w:p w14:paraId="47D9A4A7" w14:textId="77777777" w:rsidR="00850A10" w:rsidRPr="006713E8" w:rsidRDefault="00850A10" w:rsidP="00D54D7E">
            <w:pPr>
              <w:rPr>
                <w:rFonts w:ascii="Calibri" w:eastAsia="Calibri" w:hAnsi="Calibri" w:cs="Calibri"/>
              </w:rPr>
            </w:pPr>
            <w:r>
              <w:rPr>
                <w:rFonts w:ascii="Calibri" w:eastAsia="Calibri" w:hAnsi="Calibri" w:cs="Calibri"/>
              </w:rPr>
              <w:t>Yes</w:t>
            </w:r>
          </w:p>
        </w:tc>
        <w:tc>
          <w:tcPr>
            <w:tcW w:w="1259" w:type="dxa"/>
          </w:tcPr>
          <w:p w14:paraId="038E6E24" w14:textId="77777777" w:rsidR="00850A10" w:rsidRPr="006713E8" w:rsidRDefault="00850A10" w:rsidP="00D54D7E">
            <w:pPr>
              <w:rPr>
                <w:rFonts w:ascii="Calibri" w:hAnsi="Calibri" w:cs="Calibri"/>
              </w:rPr>
            </w:pPr>
            <w:r w:rsidRPr="006713E8">
              <w:rPr>
                <w:rFonts w:ascii="Calibri" w:hAnsi="Calibri" w:cs="Calibri"/>
              </w:rPr>
              <w:t>8/14/2022</w:t>
            </w:r>
          </w:p>
        </w:tc>
        <w:tc>
          <w:tcPr>
            <w:tcW w:w="1327" w:type="dxa"/>
          </w:tcPr>
          <w:p w14:paraId="0A241BE5" w14:textId="77777777" w:rsidR="00850A10" w:rsidRPr="006713E8" w:rsidRDefault="00850A10" w:rsidP="00D54D7E">
            <w:pPr>
              <w:rPr>
                <w:rFonts w:ascii="Calibri" w:hAnsi="Calibri" w:cs="Calibri"/>
              </w:rPr>
            </w:pPr>
            <w:r>
              <w:rPr>
                <w:rFonts w:ascii="Calibri" w:hAnsi="Calibri" w:cs="Calibri"/>
              </w:rPr>
              <w:t>8/14/2022</w:t>
            </w:r>
          </w:p>
        </w:tc>
      </w:tr>
      <w:tr w:rsidR="00850A10" w:rsidRPr="006713E8" w14:paraId="27A7A25A" w14:textId="77777777" w:rsidTr="00D54D7E">
        <w:trPr>
          <w:cantSplit/>
          <w:jc w:val="center"/>
        </w:trPr>
        <w:tc>
          <w:tcPr>
            <w:tcW w:w="2785" w:type="dxa"/>
          </w:tcPr>
          <w:p w14:paraId="39CA70E8" w14:textId="77777777" w:rsidR="00850A10" w:rsidRPr="006713E8" w:rsidRDefault="00850A10" w:rsidP="00D54D7E">
            <w:pPr>
              <w:rPr>
                <w:rFonts w:ascii="Calibri" w:hAnsi="Calibri" w:cs="Calibri"/>
              </w:rPr>
            </w:pPr>
            <w:r w:rsidRPr="006713E8">
              <w:rPr>
                <w:rFonts w:ascii="Calibri" w:hAnsi="Calibri" w:cs="Calibri"/>
              </w:rPr>
              <w:t>Final Rule on the Department of Labor Civil Penalties for Inflation Adjustment Act – Annual Adjustment for 2023</w:t>
            </w:r>
          </w:p>
          <w:p w14:paraId="265A3878" w14:textId="77777777" w:rsidR="00850A10" w:rsidRPr="006713E8" w:rsidRDefault="00850A10" w:rsidP="00D54D7E">
            <w:pPr>
              <w:rPr>
                <w:rFonts w:ascii="Calibri" w:hAnsi="Calibri" w:cs="Calibri"/>
              </w:rPr>
            </w:pPr>
            <w:r w:rsidRPr="006713E8">
              <w:rPr>
                <w:rFonts w:ascii="Calibri" w:hAnsi="Calibri" w:cs="Calibri"/>
              </w:rPr>
              <w:t>29 CFR 1903</w:t>
            </w:r>
          </w:p>
          <w:p w14:paraId="6E35124E" w14:textId="77777777" w:rsidR="00850A10" w:rsidRPr="006713E8" w:rsidRDefault="00850A10" w:rsidP="00D54D7E">
            <w:pPr>
              <w:rPr>
                <w:rFonts w:ascii="Calibri" w:hAnsi="Calibri" w:cs="Calibri"/>
              </w:rPr>
            </w:pPr>
            <w:r w:rsidRPr="006713E8">
              <w:rPr>
                <w:rFonts w:ascii="Calibri" w:hAnsi="Calibri" w:cs="Calibri"/>
              </w:rPr>
              <w:t>(1/15/2023)</w:t>
            </w:r>
          </w:p>
        </w:tc>
        <w:tc>
          <w:tcPr>
            <w:tcW w:w="1298" w:type="dxa"/>
          </w:tcPr>
          <w:p w14:paraId="050C3BD1" w14:textId="77777777" w:rsidR="00850A10" w:rsidRPr="006713E8" w:rsidRDefault="00850A10" w:rsidP="00D54D7E">
            <w:pPr>
              <w:rPr>
                <w:rFonts w:ascii="Calibri" w:eastAsia="Calibri" w:hAnsi="Calibri" w:cs="Calibri"/>
              </w:rPr>
            </w:pPr>
            <w:r w:rsidRPr="006713E8">
              <w:rPr>
                <w:rFonts w:ascii="Calibri" w:eastAsia="Calibri" w:hAnsi="Calibri" w:cs="Calibri"/>
              </w:rPr>
              <w:t>3/15/2023</w:t>
            </w:r>
          </w:p>
        </w:tc>
        <w:tc>
          <w:tcPr>
            <w:tcW w:w="1375" w:type="dxa"/>
          </w:tcPr>
          <w:p w14:paraId="415F6F9B" w14:textId="77777777" w:rsidR="00850A10" w:rsidRPr="006713E8" w:rsidRDefault="00850A10" w:rsidP="00D54D7E">
            <w:pPr>
              <w:rPr>
                <w:rFonts w:ascii="Calibri" w:eastAsia="Calibri" w:hAnsi="Calibri" w:cs="Calibri"/>
              </w:rPr>
            </w:pPr>
            <w:r>
              <w:rPr>
                <w:rFonts w:ascii="Calibri" w:eastAsia="Calibri" w:hAnsi="Calibri" w:cs="Calibri"/>
              </w:rPr>
              <w:t>N/A</w:t>
            </w:r>
          </w:p>
        </w:tc>
        <w:tc>
          <w:tcPr>
            <w:tcW w:w="1131" w:type="dxa"/>
          </w:tcPr>
          <w:p w14:paraId="05496D5F" w14:textId="77777777" w:rsidR="00850A10" w:rsidRPr="006713E8" w:rsidRDefault="00850A10" w:rsidP="00D54D7E">
            <w:pPr>
              <w:rPr>
                <w:rFonts w:ascii="Calibri" w:eastAsia="Calibri" w:hAnsi="Calibri" w:cs="Calibri"/>
              </w:rPr>
            </w:pPr>
            <w:r>
              <w:rPr>
                <w:rFonts w:ascii="Calibri" w:eastAsia="Calibri" w:hAnsi="Calibri" w:cs="Calibri"/>
              </w:rPr>
              <w:t>N/A</w:t>
            </w:r>
          </w:p>
        </w:tc>
        <w:tc>
          <w:tcPr>
            <w:tcW w:w="1080" w:type="dxa"/>
          </w:tcPr>
          <w:p w14:paraId="6CF583BD" w14:textId="77777777" w:rsidR="00850A10" w:rsidRPr="006713E8" w:rsidRDefault="00850A10" w:rsidP="00D54D7E">
            <w:pPr>
              <w:rPr>
                <w:rFonts w:ascii="Calibri" w:eastAsia="Calibri" w:hAnsi="Calibri" w:cs="Calibri"/>
              </w:rPr>
            </w:pPr>
            <w:r>
              <w:rPr>
                <w:rFonts w:ascii="Calibri" w:eastAsia="Calibri" w:hAnsi="Calibri" w:cs="Calibri"/>
              </w:rPr>
              <w:t>N/A</w:t>
            </w:r>
          </w:p>
        </w:tc>
        <w:tc>
          <w:tcPr>
            <w:tcW w:w="1259" w:type="dxa"/>
          </w:tcPr>
          <w:p w14:paraId="21CBECA3" w14:textId="77777777" w:rsidR="00850A10" w:rsidRPr="006713E8" w:rsidRDefault="00850A10" w:rsidP="00D54D7E">
            <w:pPr>
              <w:rPr>
                <w:rFonts w:ascii="Calibri" w:hAnsi="Calibri" w:cs="Calibri"/>
              </w:rPr>
            </w:pPr>
            <w:r w:rsidRPr="006713E8">
              <w:rPr>
                <w:rFonts w:ascii="Calibri" w:hAnsi="Calibri" w:cs="Calibri"/>
              </w:rPr>
              <w:t>7/15/2023</w:t>
            </w:r>
          </w:p>
        </w:tc>
        <w:tc>
          <w:tcPr>
            <w:tcW w:w="1327" w:type="dxa"/>
          </w:tcPr>
          <w:p w14:paraId="2741F02C" w14:textId="77777777" w:rsidR="00850A10" w:rsidRPr="006713E8" w:rsidRDefault="00850A10" w:rsidP="00D54D7E">
            <w:pPr>
              <w:rPr>
                <w:rFonts w:ascii="Calibri" w:hAnsi="Calibri" w:cs="Calibri"/>
              </w:rPr>
            </w:pPr>
            <w:r>
              <w:rPr>
                <w:rFonts w:ascii="Calibri" w:hAnsi="Calibri" w:cs="Calibri"/>
              </w:rPr>
              <w:t>N/A</w:t>
            </w:r>
          </w:p>
        </w:tc>
      </w:tr>
      <w:tr w:rsidR="00850A10" w:rsidRPr="006713E8" w14:paraId="4C7BE83C" w14:textId="77777777" w:rsidTr="00D54D7E">
        <w:trPr>
          <w:cantSplit/>
          <w:jc w:val="center"/>
        </w:trPr>
        <w:tc>
          <w:tcPr>
            <w:tcW w:w="2785" w:type="dxa"/>
          </w:tcPr>
          <w:p w14:paraId="650C0C6B" w14:textId="77777777" w:rsidR="00850A10" w:rsidRPr="006713E8" w:rsidRDefault="00850A10" w:rsidP="00D54D7E">
            <w:pPr>
              <w:rPr>
                <w:rFonts w:ascii="Calibri" w:hAnsi="Calibri" w:cs="Calibri"/>
              </w:rPr>
            </w:pPr>
            <w:r w:rsidRPr="006713E8">
              <w:rPr>
                <w:rFonts w:ascii="Calibri" w:hAnsi="Calibri" w:cs="Calibri"/>
              </w:rPr>
              <w:t>Final Rule to Improve Tracking of Workplace Injuries and Illnesses</w:t>
            </w:r>
          </w:p>
          <w:p w14:paraId="1A4547C7" w14:textId="77777777" w:rsidR="00850A10" w:rsidRPr="006713E8" w:rsidRDefault="00850A10" w:rsidP="00D54D7E">
            <w:pPr>
              <w:rPr>
                <w:rFonts w:ascii="Calibri" w:hAnsi="Calibri" w:cs="Calibri"/>
              </w:rPr>
            </w:pPr>
            <w:r w:rsidRPr="006713E8">
              <w:rPr>
                <w:rFonts w:ascii="Calibri" w:hAnsi="Calibri" w:cs="Calibri"/>
              </w:rPr>
              <w:t>29 CFR 1904</w:t>
            </w:r>
          </w:p>
          <w:p w14:paraId="6EDF6E23" w14:textId="77777777" w:rsidR="00850A10" w:rsidRPr="006713E8" w:rsidRDefault="00850A10" w:rsidP="00D54D7E">
            <w:pPr>
              <w:rPr>
                <w:rFonts w:ascii="Calibri" w:hAnsi="Calibri" w:cs="Calibri"/>
              </w:rPr>
            </w:pPr>
            <w:r w:rsidRPr="006713E8">
              <w:rPr>
                <w:rFonts w:ascii="Calibri" w:hAnsi="Calibri" w:cs="Calibri"/>
              </w:rPr>
              <w:t>(7/21/2023)</w:t>
            </w:r>
          </w:p>
        </w:tc>
        <w:tc>
          <w:tcPr>
            <w:tcW w:w="1298" w:type="dxa"/>
          </w:tcPr>
          <w:p w14:paraId="0C91348C" w14:textId="77777777" w:rsidR="00850A10" w:rsidRPr="006713E8" w:rsidRDefault="00850A10" w:rsidP="00D54D7E">
            <w:pPr>
              <w:rPr>
                <w:rFonts w:ascii="Calibri" w:eastAsia="Calibri" w:hAnsi="Calibri" w:cs="Calibri"/>
              </w:rPr>
            </w:pPr>
            <w:r w:rsidRPr="006713E8">
              <w:rPr>
                <w:rFonts w:ascii="Calibri" w:eastAsia="Calibri" w:hAnsi="Calibri" w:cs="Calibri"/>
              </w:rPr>
              <w:t>9/21/2023</w:t>
            </w:r>
          </w:p>
        </w:tc>
        <w:tc>
          <w:tcPr>
            <w:tcW w:w="1375" w:type="dxa"/>
          </w:tcPr>
          <w:p w14:paraId="39998DD7" w14:textId="77777777" w:rsidR="00850A10" w:rsidRPr="006713E8" w:rsidRDefault="00850A10" w:rsidP="00D54D7E">
            <w:pPr>
              <w:rPr>
                <w:rFonts w:ascii="Calibri" w:eastAsia="Calibri" w:hAnsi="Calibri" w:cs="Calibri"/>
              </w:rPr>
            </w:pPr>
            <w:r>
              <w:rPr>
                <w:rFonts w:ascii="Calibri" w:eastAsia="Calibri" w:hAnsi="Calibri" w:cs="Calibri"/>
              </w:rPr>
              <w:t>9/8/2023</w:t>
            </w:r>
          </w:p>
        </w:tc>
        <w:tc>
          <w:tcPr>
            <w:tcW w:w="1131" w:type="dxa"/>
          </w:tcPr>
          <w:p w14:paraId="52E346AC" w14:textId="77777777" w:rsidR="00850A10" w:rsidRPr="006713E8" w:rsidRDefault="00850A10" w:rsidP="00D54D7E">
            <w:pPr>
              <w:rPr>
                <w:rFonts w:ascii="Calibri" w:eastAsia="Calibri" w:hAnsi="Calibri" w:cs="Calibri"/>
              </w:rPr>
            </w:pPr>
            <w:r>
              <w:rPr>
                <w:rFonts w:ascii="Calibri" w:eastAsia="Calibri" w:hAnsi="Calibri" w:cs="Calibri"/>
              </w:rPr>
              <w:t>Yes</w:t>
            </w:r>
          </w:p>
        </w:tc>
        <w:tc>
          <w:tcPr>
            <w:tcW w:w="1080" w:type="dxa"/>
          </w:tcPr>
          <w:p w14:paraId="741B1EF4" w14:textId="77777777" w:rsidR="00850A10" w:rsidRPr="006713E8" w:rsidRDefault="00850A10" w:rsidP="00D54D7E">
            <w:pPr>
              <w:rPr>
                <w:rFonts w:ascii="Calibri" w:eastAsia="Calibri" w:hAnsi="Calibri" w:cs="Calibri"/>
              </w:rPr>
            </w:pPr>
            <w:r>
              <w:rPr>
                <w:rFonts w:ascii="Calibri" w:eastAsia="Calibri" w:hAnsi="Calibri" w:cs="Calibri"/>
              </w:rPr>
              <w:t>Yes</w:t>
            </w:r>
          </w:p>
        </w:tc>
        <w:tc>
          <w:tcPr>
            <w:tcW w:w="1259" w:type="dxa"/>
          </w:tcPr>
          <w:p w14:paraId="4F7F7B1D" w14:textId="77777777" w:rsidR="00850A10" w:rsidRPr="006713E8" w:rsidRDefault="00850A10" w:rsidP="00D54D7E">
            <w:pPr>
              <w:rPr>
                <w:rFonts w:ascii="Calibri" w:hAnsi="Calibri" w:cs="Calibri"/>
              </w:rPr>
            </w:pPr>
            <w:r w:rsidRPr="006713E8">
              <w:rPr>
                <w:rFonts w:ascii="Calibri" w:hAnsi="Calibri" w:cs="Calibri"/>
              </w:rPr>
              <w:t>1/21/2024</w:t>
            </w:r>
          </w:p>
        </w:tc>
        <w:tc>
          <w:tcPr>
            <w:tcW w:w="1327" w:type="dxa"/>
          </w:tcPr>
          <w:p w14:paraId="68A2E6C4" w14:textId="77777777" w:rsidR="00850A10" w:rsidRPr="006713E8" w:rsidRDefault="00850A10" w:rsidP="00D54D7E">
            <w:pPr>
              <w:rPr>
                <w:rFonts w:ascii="Calibri" w:hAnsi="Calibri" w:cs="Calibri"/>
              </w:rPr>
            </w:pPr>
            <w:r>
              <w:rPr>
                <w:rFonts w:ascii="Calibri" w:hAnsi="Calibri" w:cs="Calibri"/>
              </w:rPr>
              <w:t>1/21/2024</w:t>
            </w:r>
          </w:p>
        </w:tc>
      </w:tr>
    </w:tbl>
    <w:p w14:paraId="2F0D14C2" w14:textId="77777777" w:rsidR="00A01E87" w:rsidRDefault="00A01E87" w:rsidP="00FE0E18">
      <w:pPr>
        <w:tabs>
          <w:tab w:val="left" w:pos="2160"/>
        </w:tabs>
        <w:spacing w:line="276" w:lineRule="auto"/>
        <w:ind w:left="810"/>
      </w:pPr>
    </w:p>
    <w:p w14:paraId="23E2168B" w14:textId="77777777" w:rsidR="00A01E87" w:rsidRPr="009C6968" w:rsidRDefault="00A01E87" w:rsidP="00FE0E18">
      <w:pPr>
        <w:pStyle w:val="ListParagraph"/>
        <w:numPr>
          <w:ilvl w:val="0"/>
          <w:numId w:val="13"/>
        </w:numPr>
        <w:tabs>
          <w:tab w:val="left" w:pos="810"/>
          <w:tab w:val="left" w:pos="1170"/>
        </w:tabs>
        <w:spacing w:after="0"/>
        <w:ind w:hanging="1710"/>
      </w:pPr>
      <w:r w:rsidRPr="009C6968">
        <w:rPr>
          <w:rFonts w:ascii="Times New Roman" w:hAnsi="Times New Roman" w:cs="Times New Roman"/>
          <w:sz w:val="24"/>
          <w:szCs w:val="24"/>
        </w:rPr>
        <w:t>Federal Program Change (FPC) Adoption</w:t>
      </w:r>
    </w:p>
    <w:p w14:paraId="33879196" w14:textId="77777777" w:rsidR="00A01E87" w:rsidRDefault="00A01E87" w:rsidP="00FE0E18">
      <w:pPr>
        <w:spacing w:line="276" w:lineRule="auto"/>
      </w:pPr>
    </w:p>
    <w:p w14:paraId="4D26580A" w14:textId="0EEDC932" w:rsidR="00463A3D" w:rsidRDefault="00463A3D" w:rsidP="00FE0E18">
      <w:pPr>
        <w:spacing w:line="276" w:lineRule="auto"/>
        <w:ind w:left="810"/>
      </w:pPr>
      <w:bookmarkStart w:id="7" w:name="_Hlk162009029"/>
      <w:r>
        <w:t xml:space="preserve">The State Plan continues to provide FPC adoption responses timely.  </w:t>
      </w:r>
      <w:r w:rsidRPr="00914256">
        <w:t>All responses were submitted timely,</w:t>
      </w:r>
      <w:r>
        <w:t xml:space="preserve"> and the State Plan adopted all the FPC’s where the OSHA directives were </w:t>
      </w:r>
      <w:r w:rsidR="00892437">
        <w:t>required,</w:t>
      </w:r>
      <w:r>
        <w:t xml:space="preserve"> and equivalent directives were allowed.  The State Plan adopted three (50%) of the six FPC’s where equivalency was required.  All applicable FPC’s were adopted by their respective due dates</w:t>
      </w:r>
      <w:r w:rsidRPr="00914256">
        <w:t xml:space="preserve">.  </w:t>
      </w:r>
      <w:r>
        <w:t xml:space="preserve">The State Plan did not adopt the identical compliance directives for the OSHA Whistleblower Investigations Manual, CPL 02-03-011; Severe Violator Enforcement Program (SVEP), CPL 02-00-169; and Site-Specific Targeting (SST), CPL 02-01-064.  </w:t>
      </w:r>
      <w:r w:rsidRPr="00B34AF5">
        <w:t>As a public employer only program the State Plan</w:t>
      </w:r>
      <w:r>
        <w:t xml:space="preserve"> established their own compliance directives to reflect their jurisdictional coverage and internal policies and procedures.  All three equivalent directives were submitted timely to OSHA for review and approval.  </w:t>
      </w:r>
      <w:r w:rsidR="00CD7E80">
        <w:t>IL OSHA</w:t>
      </w:r>
      <w:r w:rsidRPr="00914256">
        <w:t xml:space="preserve"> did not adopt the National Emphasis Program for </w:t>
      </w:r>
      <w:r>
        <w:t>– Outdoor and Indoor Heat-Related Hazards CPL 03-00-024 (4/8/2022).</w:t>
      </w:r>
    </w:p>
    <w:p w14:paraId="530C5405" w14:textId="77777777" w:rsidR="00463A3D" w:rsidRDefault="00463A3D" w:rsidP="00FE0E18">
      <w:pPr>
        <w:spacing w:line="276" w:lineRule="auto"/>
        <w:ind w:left="810"/>
      </w:pPr>
      <w:r>
        <w:t xml:space="preserve"> </w:t>
      </w:r>
    </w:p>
    <w:p w14:paraId="1EBB74CC" w14:textId="45ABEC25" w:rsidR="008D19A7" w:rsidRDefault="00463A3D" w:rsidP="00850A10">
      <w:pPr>
        <w:tabs>
          <w:tab w:val="left" w:pos="2160"/>
        </w:tabs>
        <w:spacing w:line="276" w:lineRule="auto"/>
        <w:ind w:left="810"/>
        <w:rPr>
          <w:rFonts w:ascii="Calibri" w:hAnsi="Calibri" w:cs="Calibri"/>
          <w:b/>
          <w:bCs/>
        </w:rPr>
      </w:pPr>
      <w:r>
        <w:t xml:space="preserve">The Illinois State Plan established a new Illinois Whistleblower Investigations Manual and generally utilized the specific language from the OSHA Whistleblower Investigations Manual, CPL 02-03-011 2022 1875, while appropriately modifying areas not applicable to state and local government employees.  </w:t>
      </w:r>
      <w:r w:rsidR="00CD7E80">
        <w:t>IL OSHA</w:t>
      </w:r>
      <w:r>
        <w:t xml:space="preserve"> established an equivalent Site-Specific Targeting (SST) plan developed for covered state and local government agencies. Focus is on high hazard industries, Local Fire Protection (NAICS 922160), County/Local Road (e.g. highway, street, alley) </w:t>
      </w:r>
      <w:r>
        <w:lastRenderedPageBreak/>
        <w:t>Maintenance and Construction (NAICS 237310), Water Supply and Distribution (NAICS 221310), and Sewage Treatment (NAICS 221320)</w:t>
      </w:r>
      <w:bookmarkEnd w:id="7"/>
      <w:r w:rsidR="00850A10">
        <w:t>.</w:t>
      </w:r>
    </w:p>
    <w:p w14:paraId="2C0221CF" w14:textId="4144A4C5" w:rsidR="006713E8" w:rsidRPr="006713E8" w:rsidRDefault="006713E8" w:rsidP="00AC5436">
      <w:pPr>
        <w:tabs>
          <w:tab w:val="left" w:pos="8367"/>
        </w:tabs>
        <w:rPr>
          <w:rFonts w:ascii="Calibri" w:hAnsi="Calibri" w:cs="Calibri"/>
        </w:rPr>
      </w:pPr>
    </w:p>
    <w:p w14:paraId="68D7DFA2" w14:textId="77777777" w:rsidR="006713E8" w:rsidRPr="006713E8" w:rsidRDefault="006713E8" w:rsidP="006713E8">
      <w:pPr>
        <w:widowControl/>
        <w:autoSpaceDE/>
        <w:autoSpaceDN/>
        <w:adjustRightInd/>
        <w:rPr>
          <w:rFonts w:ascii="Calibri" w:hAnsi="Calibri" w:cs="Calibri"/>
          <w:b/>
        </w:rPr>
      </w:pPr>
      <w:r w:rsidRPr="006713E8">
        <w:rPr>
          <w:rFonts w:ascii="Calibri" w:hAnsi="Calibri" w:cs="Calibri"/>
          <w:b/>
          <w:bCs/>
        </w:rPr>
        <w:t>Table B</w:t>
      </w:r>
    </w:p>
    <w:p w14:paraId="3CAB3719" w14:textId="77777777" w:rsidR="006713E8" w:rsidRPr="006713E8" w:rsidRDefault="006713E8" w:rsidP="006713E8">
      <w:pPr>
        <w:widowControl/>
        <w:autoSpaceDE/>
        <w:autoSpaceDN/>
        <w:adjustRightInd/>
        <w:rPr>
          <w:rFonts w:ascii="Calibri" w:hAnsi="Calibri" w:cs="Calibri"/>
          <w:b/>
          <w:bCs/>
        </w:rPr>
      </w:pPr>
      <w:r w:rsidRPr="006713E8">
        <w:rPr>
          <w:rFonts w:ascii="Calibri" w:hAnsi="Calibri" w:cs="Calibri"/>
          <w:b/>
          <w:bCs/>
        </w:rPr>
        <w:t>Status of FY 2022 and FY 2023 Federal Program Changes (FPCs) Where Adoption Was Required</w:t>
      </w:r>
    </w:p>
    <w:p w14:paraId="0F6D8D7B" w14:textId="77777777" w:rsidR="006713E8" w:rsidRPr="006713E8" w:rsidRDefault="006713E8" w:rsidP="006713E8">
      <w:pPr>
        <w:widowControl/>
        <w:autoSpaceDE/>
        <w:autoSpaceDN/>
        <w:adjustRightInd/>
        <w:rPr>
          <w:rFonts w:ascii="Calibri" w:hAnsi="Calibri" w:cs="Calibri"/>
          <w:bCs/>
        </w:rPr>
      </w:pPr>
      <w:r w:rsidRPr="006713E8">
        <w:rPr>
          <w:rFonts w:ascii="Calibri" w:hAnsi="Calibri" w:cs="Calibri"/>
          <w:bCs/>
        </w:rPr>
        <w:t>(May include any delinquent FPCs from earlier fiscal years)</w:t>
      </w: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784"/>
        <w:gridCol w:w="1261"/>
        <w:gridCol w:w="1350"/>
        <w:gridCol w:w="1163"/>
        <w:gridCol w:w="1087"/>
        <w:gridCol w:w="1260"/>
        <w:gridCol w:w="1362"/>
      </w:tblGrid>
      <w:tr w:rsidR="006713E8" w:rsidRPr="006713E8" w14:paraId="3100FC24" w14:textId="77777777" w:rsidTr="00003282">
        <w:trPr>
          <w:cantSplit/>
          <w:trHeight w:val="20"/>
          <w:tblHeader/>
          <w:jc w:val="center"/>
        </w:trPr>
        <w:tc>
          <w:tcPr>
            <w:tcW w:w="2784" w:type="dxa"/>
            <w:shd w:val="clear" w:color="auto" w:fill="44546A"/>
            <w:hideMark/>
          </w:tcPr>
          <w:p w14:paraId="78D96186" w14:textId="77777777" w:rsidR="006713E8" w:rsidRPr="006713E8" w:rsidRDefault="006713E8" w:rsidP="006713E8">
            <w:pPr>
              <w:widowControl/>
              <w:autoSpaceDE/>
              <w:autoSpaceDN/>
              <w:adjustRightInd/>
              <w:rPr>
                <w:rFonts w:ascii="Calibri" w:eastAsia="Calibri" w:hAnsi="Calibri" w:cs="Calibri"/>
                <w:b/>
                <w:color w:val="FFFFFF"/>
              </w:rPr>
            </w:pPr>
            <w:r w:rsidRPr="006713E8">
              <w:rPr>
                <w:rFonts w:ascii="Calibri" w:eastAsia="Calibri" w:hAnsi="Calibri" w:cs="Calibri"/>
                <w:b/>
                <w:color w:val="FFFFFF"/>
              </w:rPr>
              <w:t>FPC Directive/Subject</w:t>
            </w:r>
          </w:p>
        </w:tc>
        <w:tc>
          <w:tcPr>
            <w:tcW w:w="1261" w:type="dxa"/>
            <w:shd w:val="clear" w:color="auto" w:fill="44546A"/>
          </w:tcPr>
          <w:p w14:paraId="467F5A93" w14:textId="77777777" w:rsidR="006713E8" w:rsidRPr="006713E8" w:rsidRDefault="006713E8" w:rsidP="006713E8">
            <w:pPr>
              <w:widowControl/>
              <w:autoSpaceDE/>
              <w:autoSpaceDN/>
              <w:adjustRightInd/>
              <w:rPr>
                <w:rFonts w:ascii="Calibri" w:eastAsia="Calibri" w:hAnsi="Calibri" w:cs="Calibri"/>
                <w:b/>
                <w:color w:val="FFFFFF"/>
              </w:rPr>
            </w:pPr>
            <w:r w:rsidRPr="006713E8">
              <w:rPr>
                <w:rFonts w:ascii="Calibri" w:eastAsia="Calibri" w:hAnsi="Calibri" w:cs="Calibri"/>
                <w:b/>
                <w:color w:val="FFFFFF"/>
              </w:rPr>
              <w:t>Response Due Date</w:t>
            </w:r>
          </w:p>
        </w:tc>
        <w:tc>
          <w:tcPr>
            <w:tcW w:w="1350" w:type="dxa"/>
            <w:shd w:val="clear" w:color="auto" w:fill="44546A"/>
            <w:hideMark/>
          </w:tcPr>
          <w:p w14:paraId="1EC28DD9" w14:textId="77777777" w:rsidR="006713E8" w:rsidRPr="006713E8" w:rsidRDefault="006713E8" w:rsidP="006713E8">
            <w:pPr>
              <w:widowControl/>
              <w:autoSpaceDE/>
              <w:autoSpaceDN/>
              <w:adjustRightInd/>
              <w:rPr>
                <w:rFonts w:ascii="Calibri" w:hAnsi="Calibri" w:cs="Calibri"/>
                <w:b/>
                <w:color w:val="FFFFFF"/>
              </w:rPr>
            </w:pPr>
            <w:r w:rsidRPr="006713E8">
              <w:rPr>
                <w:rFonts w:ascii="Calibri" w:eastAsia="Calibri" w:hAnsi="Calibri" w:cs="Calibri"/>
                <w:b/>
                <w:color w:val="FFFFFF"/>
              </w:rPr>
              <w:t>State Plan Response Date</w:t>
            </w:r>
          </w:p>
        </w:tc>
        <w:tc>
          <w:tcPr>
            <w:tcW w:w="1163" w:type="dxa"/>
            <w:shd w:val="clear" w:color="auto" w:fill="44546A"/>
            <w:hideMark/>
          </w:tcPr>
          <w:p w14:paraId="28C88C82" w14:textId="77777777" w:rsidR="006713E8" w:rsidRPr="006713E8" w:rsidRDefault="006713E8" w:rsidP="006713E8">
            <w:pPr>
              <w:widowControl/>
              <w:autoSpaceDE/>
              <w:autoSpaceDN/>
              <w:adjustRightInd/>
              <w:rPr>
                <w:rFonts w:ascii="Calibri" w:hAnsi="Calibri" w:cs="Calibri"/>
                <w:b/>
                <w:color w:val="FFFFFF"/>
              </w:rPr>
            </w:pPr>
            <w:r w:rsidRPr="006713E8">
              <w:rPr>
                <w:rFonts w:ascii="Calibri" w:eastAsia="Calibri" w:hAnsi="Calibri" w:cs="Calibri"/>
                <w:b/>
                <w:color w:val="FFFFFF"/>
              </w:rPr>
              <w:t>Intent to Adopt</w:t>
            </w:r>
          </w:p>
        </w:tc>
        <w:tc>
          <w:tcPr>
            <w:tcW w:w="1087" w:type="dxa"/>
            <w:shd w:val="clear" w:color="auto" w:fill="44546A"/>
            <w:hideMark/>
          </w:tcPr>
          <w:p w14:paraId="30C3266D" w14:textId="77777777" w:rsidR="006713E8" w:rsidRPr="006713E8" w:rsidRDefault="006713E8" w:rsidP="006713E8">
            <w:pPr>
              <w:widowControl/>
              <w:autoSpaceDE/>
              <w:autoSpaceDN/>
              <w:adjustRightInd/>
              <w:rPr>
                <w:rFonts w:ascii="Calibri" w:hAnsi="Calibri" w:cs="Calibri"/>
                <w:b/>
                <w:color w:val="FFFFFF"/>
              </w:rPr>
            </w:pPr>
            <w:r w:rsidRPr="006713E8">
              <w:rPr>
                <w:rFonts w:ascii="Calibri" w:eastAsia="Calibri" w:hAnsi="Calibri" w:cs="Calibri"/>
                <w:b/>
                <w:color w:val="FFFFFF"/>
              </w:rPr>
              <w:t>Adopt Identical</w:t>
            </w:r>
          </w:p>
        </w:tc>
        <w:tc>
          <w:tcPr>
            <w:tcW w:w="1260" w:type="dxa"/>
            <w:shd w:val="clear" w:color="auto" w:fill="44546A"/>
            <w:hideMark/>
          </w:tcPr>
          <w:p w14:paraId="49A5FD36" w14:textId="77777777" w:rsidR="006713E8" w:rsidRPr="006713E8" w:rsidRDefault="006713E8" w:rsidP="006713E8">
            <w:pPr>
              <w:widowControl/>
              <w:autoSpaceDE/>
              <w:autoSpaceDN/>
              <w:adjustRightInd/>
              <w:rPr>
                <w:rFonts w:ascii="Calibri" w:hAnsi="Calibri" w:cs="Calibri"/>
                <w:b/>
                <w:color w:val="FFFFFF"/>
              </w:rPr>
            </w:pPr>
            <w:r w:rsidRPr="006713E8">
              <w:rPr>
                <w:rFonts w:ascii="Calibri" w:eastAsia="Calibri" w:hAnsi="Calibri" w:cs="Calibri"/>
                <w:b/>
                <w:color w:val="FFFFFF"/>
              </w:rPr>
              <w:t>Adoption Due Date</w:t>
            </w:r>
          </w:p>
        </w:tc>
        <w:tc>
          <w:tcPr>
            <w:tcW w:w="1362" w:type="dxa"/>
            <w:shd w:val="clear" w:color="auto" w:fill="44546A"/>
            <w:hideMark/>
          </w:tcPr>
          <w:p w14:paraId="7FEFE3BE" w14:textId="77777777" w:rsidR="006713E8" w:rsidRPr="006713E8" w:rsidRDefault="006713E8" w:rsidP="006713E8">
            <w:pPr>
              <w:widowControl/>
              <w:autoSpaceDE/>
              <w:autoSpaceDN/>
              <w:adjustRightInd/>
              <w:rPr>
                <w:rFonts w:ascii="Calibri" w:hAnsi="Calibri" w:cs="Calibri"/>
                <w:b/>
                <w:color w:val="FFFFFF"/>
              </w:rPr>
            </w:pPr>
            <w:r w:rsidRPr="006713E8">
              <w:rPr>
                <w:rFonts w:ascii="Calibri" w:eastAsia="Calibri" w:hAnsi="Calibri" w:cs="Calibri"/>
                <w:b/>
                <w:color w:val="FFFFFF"/>
              </w:rPr>
              <w:t>State Plan Adoption Date</w:t>
            </w:r>
          </w:p>
        </w:tc>
      </w:tr>
      <w:tr w:rsidR="006713E8" w:rsidRPr="006713E8" w14:paraId="19B161F6" w14:textId="77777777" w:rsidTr="00003282">
        <w:trPr>
          <w:cantSplit/>
          <w:trHeight w:val="1232"/>
          <w:jc w:val="center"/>
        </w:trPr>
        <w:tc>
          <w:tcPr>
            <w:tcW w:w="2784" w:type="dxa"/>
          </w:tcPr>
          <w:p w14:paraId="0DD5BE55" w14:textId="77777777" w:rsidR="006713E8" w:rsidRPr="006713E8" w:rsidRDefault="006713E8" w:rsidP="006713E8">
            <w:pPr>
              <w:rPr>
                <w:rFonts w:ascii="Calibri" w:hAnsi="Calibri" w:cs="Calibri"/>
              </w:rPr>
            </w:pPr>
            <w:r w:rsidRPr="006713E8">
              <w:rPr>
                <w:rFonts w:ascii="Calibri" w:hAnsi="Calibri" w:cs="Calibri"/>
              </w:rPr>
              <w:t xml:space="preserve">Revised Combustible Dust National Emphasis Program </w:t>
            </w:r>
          </w:p>
          <w:p w14:paraId="5BF380C5" w14:textId="77777777" w:rsidR="006713E8" w:rsidRPr="006713E8" w:rsidRDefault="006713E8" w:rsidP="006713E8">
            <w:pPr>
              <w:rPr>
                <w:rFonts w:ascii="Calibri" w:hAnsi="Calibri" w:cs="Calibri"/>
              </w:rPr>
            </w:pPr>
            <w:r w:rsidRPr="006713E8">
              <w:rPr>
                <w:rFonts w:ascii="Calibri" w:hAnsi="Calibri" w:cs="Calibri"/>
              </w:rPr>
              <w:t>CPL 03-00-008</w:t>
            </w:r>
          </w:p>
          <w:p w14:paraId="279FE0C2"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(1/30/2023)</w:t>
            </w:r>
          </w:p>
        </w:tc>
        <w:tc>
          <w:tcPr>
            <w:tcW w:w="1261" w:type="dxa"/>
          </w:tcPr>
          <w:p w14:paraId="3B7E2820"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3/31/2023</w:t>
            </w:r>
          </w:p>
        </w:tc>
        <w:tc>
          <w:tcPr>
            <w:tcW w:w="1350" w:type="dxa"/>
          </w:tcPr>
          <w:p w14:paraId="71D62F8F" w14:textId="63B09F09" w:rsidR="006713E8" w:rsidRPr="006713E8" w:rsidRDefault="007E34A1" w:rsidP="006713E8">
            <w:pPr>
              <w:widowControl/>
              <w:autoSpaceDE/>
              <w:autoSpaceDN/>
              <w:adjustRightInd/>
              <w:rPr>
                <w:rFonts w:ascii="Calibri" w:hAnsi="Calibri" w:cs="Calibri"/>
              </w:rPr>
            </w:pPr>
            <w:r>
              <w:rPr>
                <w:rFonts w:ascii="Calibri" w:hAnsi="Calibri" w:cs="Calibri"/>
              </w:rPr>
              <w:t>3/16/2023</w:t>
            </w:r>
          </w:p>
        </w:tc>
        <w:tc>
          <w:tcPr>
            <w:tcW w:w="1163" w:type="dxa"/>
          </w:tcPr>
          <w:p w14:paraId="40EB7C48" w14:textId="715C6F59" w:rsidR="006713E8" w:rsidRPr="006713E8" w:rsidRDefault="00003282" w:rsidP="006713E8">
            <w:pPr>
              <w:widowControl/>
              <w:autoSpaceDE/>
              <w:autoSpaceDN/>
              <w:adjustRightInd/>
              <w:rPr>
                <w:rFonts w:ascii="Calibri" w:hAnsi="Calibri" w:cs="Calibri"/>
              </w:rPr>
            </w:pPr>
            <w:r>
              <w:rPr>
                <w:rFonts w:ascii="Calibri" w:hAnsi="Calibri" w:cs="Calibri"/>
              </w:rPr>
              <w:t>Yes</w:t>
            </w:r>
          </w:p>
        </w:tc>
        <w:tc>
          <w:tcPr>
            <w:tcW w:w="1087" w:type="dxa"/>
          </w:tcPr>
          <w:p w14:paraId="250BAF66" w14:textId="2B61DE7B" w:rsidR="006713E8" w:rsidRPr="006713E8" w:rsidRDefault="00003282" w:rsidP="006713E8">
            <w:pPr>
              <w:widowControl/>
              <w:autoSpaceDE/>
              <w:autoSpaceDN/>
              <w:adjustRightInd/>
              <w:rPr>
                <w:rFonts w:ascii="Calibri" w:hAnsi="Calibri" w:cs="Calibri"/>
              </w:rPr>
            </w:pPr>
            <w:r>
              <w:rPr>
                <w:rFonts w:ascii="Calibri" w:hAnsi="Calibri" w:cs="Calibri"/>
              </w:rPr>
              <w:t>Yes</w:t>
            </w:r>
          </w:p>
        </w:tc>
        <w:tc>
          <w:tcPr>
            <w:tcW w:w="1260" w:type="dxa"/>
          </w:tcPr>
          <w:p w14:paraId="4C549C58"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7/30/2023</w:t>
            </w:r>
          </w:p>
        </w:tc>
        <w:tc>
          <w:tcPr>
            <w:tcW w:w="1362" w:type="dxa"/>
          </w:tcPr>
          <w:p w14:paraId="64FEAFF6" w14:textId="40982F3C" w:rsidR="006713E8" w:rsidRPr="006713E8" w:rsidRDefault="00003282" w:rsidP="006713E8">
            <w:pPr>
              <w:widowControl/>
              <w:autoSpaceDE/>
              <w:autoSpaceDN/>
              <w:adjustRightInd/>
              <w:rPr>
                <w:rFonts w:ascii="Calibri" w:hAnsi="Calibri" w:cs="Calibri"/>
              </w:rPr>
            </w:pPr>
            <w:r>
              <w:rPr>
                <w:rFonts w:ascii="Calibri" w:hAnsi="Calibri" w:cs="Calibri"/>
              </w:rPr>
              <w:t>3/16/2023</w:t>
            </w:r>
          </w:p>
        </w:tc>
      </w:tr>
      <w:tr w:rsidR="006713E8" w:rsidRPr="006713E8" w14:paraId="1005EBD3" w14:textId="77777777" w:rsidTr="00003282">
        <w:trPr>
          <w:cantSplit/>
          <w:trHeight w:val="791"/>
          <w:jc w:val="center"/>
        </w:trPr>
        <w:tc>
          <w:tcPr>
            <w:tcW w:w="2784" w:type="dxa"/>
          </w:tcPr>
          <w:p w14:paraId="4507DBEE" w14:textId="77777777" w:rsidR="006713E8" w:rsidRPr="006713E8" w:rsidRDefault="006713E8" w:rsidP="006713E8">
            <w:pPr>
              <w:rPr>
                <w:rFonts w:ascii="Calibri" w:hAnsi="Calibri" w:cs="Calibri"/>
              </w:rPr>
            </w:pPr>
            <w:r w:rsidRPr="006713E8">
              <w:rPr>
                <w:rFonts w:ascii="Calibri" w:hAnsi="Calibri" w:cs="Calibri"/>
              </w:rPr>
              <w:t>National Emphasis Program on Warehousing and Distribution Center Operations</w:t>
            </w:r>
          </w:p>
          <w:p w14:paraId="598D10D3" w14:textId="77777777" w:rsidR="006713E8" w:rsidRPr="006713E8" w:rsidRDefault="006713E8" w:rsidP="006713E8">
            <w:pPr>
              <w:rPr>
                <w:rFonts w:ascii="Calibri" w:hAnsi="Calibri" w:cs="Calibri"/>
              </w:rPr>
            </w:pPr>
            <w:r w:rsidRPr="006713E8">
              <w:rPr>
                <w:rFonts w:ascii="Calibri" w:hAnsi="Calibri" w:cs="Calibri"/>
              </w:rPr>
              <w:t>CPL 03-00-026</w:t>
            </w:r>
          </w:p>
          <w:p w14:paraId="13CB66EA"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(7/13/2023)</w:t>
            </w:r>
          </w:p>
        </w:tc>
        <w:tc>
          <w:tcPr>
            <w:tcW w:w="1261" w:type="dxa"/>
          </w:tcPr>
          <w:p w14:paraId="7D37E6F0"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9/11/2023</w:t>
            </w:r>
          </w:p>
        </w:tc>
        <w:tc>
          <w:tcPr>
            <w:tcW w:w="1350" w:type="dxa"/>
          </w:tcPr>
          <w:p w14:paraId="64A36D69" w14:textId="569ED0EF" w:rsidR="006713E8" w:rsidRPr="006713E8" w:rsidRDefault="007C1BF3" w:rsidP="006713E8">
            <w:pPr>
              <w:widowControl/>
              <w:autoSpaceDE/>
              <w:autoSpaceDN/>
              <w:adjustRightInd/>
              <w:rPr>
                <w:rFonts w:ascii="Calibri" w:hAnsi="Calibri" w:cs="Calibri"/>
              </w:rPr>
            </w:pPr>
            <w:r>
              <w:rPr>
                <w:rFonts w:ascii="Calibri" w:hAnsi="Calibri" w:cs="Calibri"/>
              </w:rPr>
              <w:t>9/8/2023</w:t>
            </w:r>
          </w:p>
        </w:tc>
        <w:tc>
          <w:tcPr>
            <w:tcW w:w="1163" w:type="dxa"/>
          </w:tcPr>
          <w:p w14:paraId="6CA94875" w14:textId="503F33C3" w:rsidR="006713E8" w:rsidRPr="006713E8" w:rsidRDefault="00002185" w:rsidP="006713E8">
            <w:pPr>
              <w:widowControl/>
              <w:autoSpaceDE/>
              <w:autoSpaceDN/>
              <w:adjustRightInd/>
              <w:rPr>
                <w:rFonts w:ascii="Calibri" w:hAnsi="Calibri" w:cs="Calibri"/>
              </w:rPr>
            </w:pPr>
            <w:r>
              <w:rPr>
                <w:rFonts w:ascii="Calibri" w:hAnsi="Calibri" w:cs="Calibri"/>
              </w:rPr>
              <w:t>Yes</w:t>
            </w:r>
          </w:p>
        </w:tc>
        <w:tc>
          <w:tcPr>
            <w:tcW w:w="1087" w:type="dxa"/>
          </w:tcPr>
          <w:p w14:paraId="354D9F40" w14:textId="09113811" w:rsidR="006713E8" w:rsidRPr="006713E8" w:rsidRDefault="00002185" w:rsidP="006713E8">
            <w:pPr>
              <w:widowControl/>
              <w:autoSpaceDE/>
              <w:autoSpaceDN/>
              <w:adjustRightInd/>
              <w:rPr>
                <w:rFonts w:ascii="Calibri" w:hAnsi="Calibri" w:cs="Calibri"/>
              </w:rPr>
            </w:pPr>
            <w:r>
              <w:rPr>
                <w:rFonts w:ascii="Calibri" w:hAnsi="Calibri" w:cs="Calibri"/>
              </w:rPr>
              <w:t>Yes</w:t>
            </w:r>
          </w:p>
        </w:tc>
        <w:tc>
          <w:tcPr>
            <w:tcW w:w="1260" w:type="dxa"/>
          </w:tcPr>
          <w:p w14:paraId="7DE31FB4"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1/9/2024</w:t>
            </w:r>
          </w:p>
        </w:tc>
        <w:tc>
          <w:tcPr>
            <w:tcW w:w="1362" w:type="dxa"/>
          </w:tcPr>
          <w:p w14:paraId="0D444B35" w14:textId="65E18ECD" w:rsidR="006713E8" w:rsidRPr="006713E8" w:rsidRDefault="00002185" w:rsidP="006713E8">
            <w:pPr>
              <w:widowControl/>
              <w:autoSpaceDE/>
              <w:autoSpaceDN/>
              <w:adjustRightInd/>
              <w:rPr>
                <w:rFonts w:ascii="Calibri" w:hAnsi="Calibri" w:cs="Calibri"/>
              </w:rPr>
            </w:pPr>
            <w:r>
              <w:rPr>
                <w:rFonts w:ascii="Calibri" w:hAnsi="Calibri" w:cs="Calibri"/>
              </w:rPr>
              <w:t>9/11/2023</w:t>
            </w:r>
          </w:p>
        </w:tc>
      </w:tr>
    </w:tbl>
    <w:p w14:paraId="58CF15E3" w14:textId="77777777" w:rsidR="006713E8" w:rsidRPr="006713E8" w:rsidRDefault="006713E8" w:rsidP="006713E8">
      <w:pPr>
        <w:tabs>
          <w:tab w:val="num" w:pos="1440"/>
        </w:tabs>
        <w:rPr>
          <w:rFonts w:ascii="Calibri" w:hAnsi="Calibri" w:cs="Calibri"/>
        </w:rPr>
      </w:pPr>
    </w:p>
    <w:p w14:paraId="1B879C27" w14:textId="77777777" w:rsidR="006713E8" w:rsidRPr="006713E8" w:rsidRDefault="006713E8" w:rsidP="006713E8">
      <w:pPr>
        <w:widowControl/>
        <w:autoSpaceDE/>
        <w:autoSpaceDN/>
        <w:adjustRightInd/>
        <w:rPr>
          <w:rFonts w:ascii="Calibri" w:hAnsi="Calibri" w:cs="Calibri"/>
          <w:b/>
        </w:rPr>
      </w:pPr>
      <w:r w:rsidRPr="006713E8">
        <w:rPr>
          <w:rFonts w:ascii="Calibri" w:hAnsi="Calibri" w:cs="Calibri"/>
          <w:b/>
          <w:bCs/>
        </w:rPr>
        <w:t>Table C</w:t>
      </w:r>
    </w:p>
    <w:p w14:paraId="3C7E5338" w14:textId="77777777" w:rsidR="006713E8" w:rsidRPr="006713E8" w:rsidRDefault="006713E8" w:rsidP="006713E8">
      <w:pPr>
        <w:widowControl/>
        <w:autoSpaceDE/>
        <w:autoSpaceDN/>
        <w:adjustRightInd/>
        <w:rPr>
          <w:rFonts w:ascii="Calibri" w:hAnsi="Calibri" w:cs="Calibri"/>
          <w:b/>
          <w:bCs/>
        </w:rPr>
      </w:pPr>
      <w:r w:rsidRPr="006713E8">
        <w:rPr>
          <w:rFonts w:ascii="Calibri" w:hAnsi="Calibri" w:cs="Calibri"/>
          <w:b/>
          <w:bCs/>
        </w:rPr>
        <w:t>Status of FY 2022 and FY 2023 Federal Program Changes (FPCs) Where Equivalency Was Required</w:t>
      </w:r>
    </w:p>
    <w:p w14:paraId="554B5705" w14:textId="77777777" w:rsidR="006713E8" w:rsidRPr="006713E8" w:rsidRDefault="006713E8" w:rsidP="006713E8">
      <w:pPr>
        <w:tabs>
          <w:tab w:val="num" w:pos="1440"/>
        </w:tabs>
        <w:rPr>
          <w:rFonts w:ascii="Calibri" w:hAnsi="Calibri" w:cs="Calibri"/>
        </w:rPr>
      </w:pPr>
      <w:r w:rsidRPr="006713E8">
        <w:rPr>
          <w:rFonts w:ascii="Calibri" w:hAnsi="Calibri" w:cs="Calibri"/>
          <w:bCs/>
        </w:rPr>
        <w:t>(May include any delinquent FPCs from earlier fiscal years)</w:t>
      </w:r>
    </w:p>
    <w:tbl>
      <w:tblPr>
        <w:tblStyle w:val="TableGrid"/>
        <w:tblW w:w="10267" w:type="dxa"/>
        <w:jc w:val="center"/>
        <w:tblLayout w:type="fixed"/>
        <w:tblLook w:val="06A0" w:firstRow="1" w:lastRow="0" w:firstColumn="1" w:lastColumn="0" w:noHBand="1" w:noVBand="1"/>
        <w:tblCaption w:val="Status of FY 20XX Federal Program Change (FPC) Adoption"/>
        <w:tblDescription w:val="Table B"/>
      </w:tblPr>
      <w:tblGrid>
        <w:gridCol w:w="2515"/>
        <w:gridCol w:w="1440"/>
        <w:gridCol w:w="1440"/>
        <w:gridCol w:w="900"/>
        <w:gridCol w:w="1080"/>
        <w:gridCol w:w="1440"/>
        <w:gridCol w:w="1452"/>
      </w:tblGrid>
      <w:tr w:rsidR="00C1745D" w:rsidRPr="006713E8" w14:paraId="183A1E70" w14:textId="77777777" w:rsidTr="00943352">
        <w:trPr>
          <w:cantSplit/>
          <w:trHeight w:val="20"/>
          <w:tblHeader/>
          <w:jc w:val="center"/>
        </w:trPr>
        <w:tc>
          <w:tcPr>
            <w:tcW w:w="2515" w:type="dxa"/>
            <w:shd w:val="clear" w:color="auto" w:fill="44546A"/>
            <w:hideMark/>
          </w:tcPr>
          <w:p w14:paraId="46564630" w14:textId="77777777" w:rsidR="006713E8" w:rsidRPr="006713E8" w:rsidRDefault="006713E8" w:rsidP="006713E8">
            <w:pPr>
              <w:widowControl/>
              <w:autoSpaceDE/>
              <w:autoSpaceDN/>
              <w:adjustRightInd/>
              <w:rPr>
                <w:rFonts w:ascii="Calibri" w:eastAsia="Calibri" w:hAnsi="Calibri" w:cs="Calibri"/>
                <w:b/>
                <w:color w:val="FFFFFF"/>
              </w:rPr>
            </w:pPr>
            <w:r w:rsidRPr="006713E8">
              <w:rPr>
                <w:rFonts w:ascii="Calibri" w:eastAsia="Calibri" w:hAnsi="Calibri" w:cs="Calibri"/>
                <w:b/>
                <w:color w:val="FFFFFF"/>
              </w:rPr>
              <w:t>FPC Directive/Subject</w:t>
            </w:r>
          </w:p>
        </w:tc>
        <w:tc>
          <w:tcPr>
            <w:tcW w:w="1440" w:type="dxa"/>
            <w:shd w:val="clear" w:color="auto" w:fill="44546A"/>
          </w:tcPr>
          <w:p w14:paraId="76CF8470" w14:textId="77777777" w:rsidR="006713E8" w:rsidRPr="006713E8" w:rsidRDefault="006713E8" w:rsidP="006713E8">
            <w:pPr>
              <w:widowControl/>
              <w:autoSpaceDE/>
              <w:autoSpaceDN/>
              <w:adjustRightInd/>
              <w:rPr>
                <w:rFonts w:ascii="Calibri" w:eastAsia="Calibri" w:hAnsi="Calibri" w:cs="Calibri"/>
                <w:b/>
                <w:color w:val="FFFFFF"/>
              </w:rPr>
            </w:pPr>
            <w:r w:rsidRPr="006713E8">
              <w:rPr>
                <w:rFonts w:ascii="Calibri" w:eastAsia="Calibri" w:hAnsi="Calibri" w:cs="Calibri"/>
                <w:b/>
                <w:color w:val="FFFFFF"/>
              </w:rPr>
              <w:t>Response Due Date</w:t>
            </w:r>
          </w:p>
        </w:tc>
        <w:tc>
          <w:tcPr>
            <w:tcW w:w="1440" w:type="dxa"/>
            <w:shd w:val="clear" w:color="auto" w:fill="44546A"/>
            <w:hideMark/>
          </w:tcPr>
          <w:p w14:paraId="1218B733" w14:textId="77777777" w:rsidR="006713E8" w:rsidRPr="006713E8" w:rsidRDefault="006713E8" w:rsidP="006713E8">
            <w:pPr>
              <w:widowControl/>
              <w:autoSpaceDE/>
              <w:autoSpaceDN/>
              <w:adjustRightInd/>
              <w:rPr>
                <w:rFonts w:ascii="Calibri" w:hAnsi="Calibri" w:cs="Calibri"/>
                <w:b/>
                <w:color w:val="FFFFFF"/>
              </w:rPr>
            </w:pPr>
            <w:r w:rsidRPr="006713E8">
              <w:rPr>
                <w:rFonts w:ascii="Calibri" w:eastAsia="Calibri" w:hAnsi="Calibri" w:cs="Calibri"/>
                <w:b/>
                <w:color w:val="FFFFFF"/>
              </w:rPr>
              <w:t>State Plan Response Date</w:t>
            </w:r>
          </w:p>
        </w:tc>
        <w:tc>
          <w:tcPr>
            <w:tcW w:w="900" w:type="dxa"/>
            <w:shd w:val="clear" w:color="auto" w:fill="44546A"/>
            <w:hideMark/>
          </w:tcPr>
          <w:p w14:paraId="5938D267" w14:textId="77777777" w:rsidR="006713E8" w:rsidRPr="006713E8" w:rsidRDefault="006713E8" w:rsidP="006713E8">
            <w:pPr>
              <w:widowControl/>
              <w:autoSpaceDE/>
              <w:autoSpaceDN/>
              <w:adjustRightInd/>
              <w:rPr>
                <w:rFonts w:ascii="Calibri" w:hAnsi="Calibri" w:cs="Calibri"/>
                <w:b/>
                <w:color w:val="FFFFFF"/>
              </w:rPr>
            </w:pPr>
            <w:r w:rsidRPr="006713E8">
              <w:rPr>
                <w:rFonts w:ascii="Calibri" w:eastAsia="Calibri" w:hAnsi="Calibri" w:cs="Calibri"/>
                <w:b/>
                <w:color w:val="FFFFFF"/>
              </w:rPr>
              <w:t>Intent to Adopt</w:t>
            </w:r>
          </w:p>
        </w:tc>
        <w:tc>
          <w:tcPr>
            <w:tcW w:w="1080" w:type="dxa"/>
            <w:shd w:val="clear" w:color="auto" w:fill="44546A"/>
            <w:hideMark/>
          </w:tcPr>
          <w:p w14:paraId="73ECA011" w14:textId="77777777" w:rsidR="006713E8" w:rsidRPr="006713E8" w:rsidRDefault="006713E8" w:rsidP="006713E8">
            <w:pPr>
              <w:widowControl/>
              <w:autoSpaceDE/>
              <w:autoSpaceDN/>
              <w:adjustRightInd/>
              <w:rPr>
                <w:rFonts w:ascii="Calibri" w:hAnsi="Calibri" w:cs="Calibri"/>
                <w:b/>
                <w:color w:val="FFFFFF"/>
              </w:rPr>
            </w:pPr>
            <w:r w:rsidRPr="006713E8">
              <w:rPr>
                <w:rFonts w:ascii="Calibri" w:eastAsia="Calibri" w:hAnsi="Calibri" w:cs="Calibri"/>
                <w:b/>
                <w:color w:val="FFFFFF"/>
              </w:rPr>
              <w:t>Adopt Identical</w:t>
            </w:r>
          </w:p>
        </w:tc>
        <w:tc>
          <w:tcPr>
            <w:tcW w:w="1440" w:type="dxa"/>
            <w:shd w:val="clear" w:color="auto" w:fill="44546A"/>
            <w:hideMark/>
          </w:tcPr>
          <w:p w14:paraId="57C5A688" w14:textId="77777777" w:rsidR="006713E8" w:rsidRPr="006713E8" w:rsidRDefault="006713E8" w:rsidP="006713E8">
            <w:pPr>
              <w:widowControl/>
              <w:autoSpaceDE/>
              <w:autoSpaceDN/>
              <w:adjustRightInd/>
              <w:rPr>
                <w:rFonts w:ascii="Calibri" w:hAnsi="Calibri" w:cs="Calibri"/>
                <w:b/>
                <w:color w:val="FFFFFF"/>
              </w:rPr>
            </w:pPr>
            <w:r w:rsidRPr="006713E8">
              <w:rPr>
                <w:rFonts w:ascii="Calibri" w:eastAsia="Calibri" w:hAnsi="Calibri" w:cs="Calibri"/>
                <w:b/>
                <w:color w:val="FFFFFF"/>
              </w:rPr>
              <w:t>Adoption Due Date</w:t>
            </w:r>
          </w:p>
        </w:tc>
        <w:tc>
          <w:tcPr>
            <w:tcW w:w="1452" w:type="dxa"/>
            <w:shd w:val="clear" w:color="auto" w:fill="44546A"/>
            <w:hideMark/>
          </w:tcPr>
          <w:p w14:paraId="5492A112" w14:textId="77777777" w:rsidR="006713E8" w:rsidRPr="006713E8" w:rsidRDefault="006713E8" w:rsidP="006713E8">
            <w:pPr>
              <w:widowControl/>
              <w:autoSpaceDE/>
              <w:autoSpaceDN/>
              <w:adjustRightInd/>
              <w:rPr>
                <w:rFonts w:ascii="Calibri" w:hAnsi="Calibri" w:cs="Calibri"/>
                <w:b/>
                <w:color w:val="FFFFFF"/>
              </w:rPr>
            </w:pPr>
            <w:r w:rsidRPr="006713E8">
              <w:rPr>
                <w:rFonts w:ascii="Calibri" w:eastAsia="Calibri" w:hAnsi="Calibri" w:cs="Calibri"/>
                <w:b/>
                <w:color w:val="FFFFFF"/>
              </w:rPr>
              <w:t>State Plan Adoption Date</w:t>
            </w:r>
          </w:p>
        </w:tc>
      </w:tr>
      <w:tr w:rsidR="00307456" w:rsidRPr="006713E8" w14:paraId="367A9480" w14:textId="77777777" w:rsidTr="00943352">
        <w:trPr>
          <w:cantSplit/>
          <w:jc w:val="center"/>
        </w:trPr>
        <w:tc>
          <w:tcPr>
            <w:tcW w:w="2515" w:type="dxa"/>
          </w:tcPr>
          <w:p w14:paraId="08AE5B93"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Compliance Directive for Cranes and Derricks in Construction Standard</w:t>
            </w:r>
          </w:p>
          <w:p w14:paraId="23FBC250"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CPL 02-01-063</w:t>
            </w:r>
          </w:p>
          <w:p w14:paraId="0C5A3B7A"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(2/11/2022)</w:t>
            </w:r>
          </w:p>
        </w:tc>
        <w:tc>
          <w:tcPr>
            <w:tcW w:w="1440" w:type="dxa"/>
          </w:tcPr>
          <w:p w14:paraId="7CA86493" w14:textId="77777777" w:rsidR="006713E8" w:rsidRPr="006713E8" w:rsidRDefault="006713E8" w:rsidP="006713E8">
            <w:pPr>
              <w:rPr>
                <w:rFonts w:ascii="Calibri" w:hAnsi="Calibri" w:cs="Calibri"/>
              </w:rPr>
            </w:pPr>
            <w:r w:rsidRPr="006713E8">
              <w:rPr>
                <w:rFonts w:ascii="Calibri" w:hAnsi="Calibri" w:cs="Calibri"/>
              </w:rPr>
              <w:t>7/3/2022</w:t>
            </w:r>
          </w:p>
        </w:tc>
        <w:tc>
          <w:tcPr>
            <w:tcW w:w="1440" w:type="dxa"/>
          </w:tcPr>
          <w:p w14:paraId="63275083" w14:textId="6D708403" w:rsidR="006713E8" w:rsidRPr="006713E8" w:rsidRDefault="00D36015" w:rsidP="006713E8">
            <w:pPr>
              <w:rPr>
                <w:rFonts w:ascii="Calibri" w:hAnsi="Calibri" w:cs="Calibri"/>
              </w:rPr>
            </w:pPr>
            <w:r>
              <w:rPr>
                <w:rFonts w:ascii="Calibri" w:hAnsi="Calibri" w:cs="Calibri"/>
              </w:rPr>
              <w:t>6/13/2022</w:t>
            </w:r>
          </w:p>
        </w:tc>
        <w:tc>
          <w:tcPr>
            <w:tcW w:w="900" w:type="dxa"/>
          </w:tcPr>
          <w:p w14:paraId="7648AE31" w14:textId="6B5A4509" w:rsidR="006713E8" w:rsidRPr="006713E8" w:rsidRDefault="00D36015" w:rsidP="006713E8">
            <w:pPr>
              <w:rPr>
                <w:rFonts w:ascii="Calibri" w:hAnsi="Calibri" w:cs="Calibri"/>
              </w:rPr>
            </w:pPr>
            <w:r>
              <w:rPr>
                <w:rFonts w:ascii="Calibri" w:hAnsi="Calibri" w:cs="Calibri"/>
              </w:rPr>
              <w:t>Yes</w:t>
            </w:r>
          </w:p>
        </w:tc>
        <w:tc>
          <w:tcPr>
            <w:tcW w:w="1080" w:type="dxa"/>
          </w:tcPr>
          <w:p w14:paraId="5D4F90A0" w14:textId="481C5AC0" w:rsidR="006713E8" w:rsidRPr="006713E8" w:rsidRDefault="00D36015" w:rsidP="006713E8">
            <w:pPr>
              <w:rPr>
                <w:rFonts w:ascii="Calibri" w:hAnsi="Calibri" w:cs="Calibri"/>
              </w:rPr>
            </w:pPr>
            <w:r>
              <w:rPr>
                <w:rFonts w:ascii="Calibri" w:hAnsi="Calibri" w:cs="Calibri"/>
              </w:rPr>
              <w:t>Yes</w:t>
            </w:r>
          </w:p>
        </w:tc>
        <w:tc>
          <w:tcPr>
            <w:tcW w:w="1440" w:type="dxa"/>
          </w:tcPr>
          <w:p w14:paraId="506C29A8" w14:textId="77777777" w:rsidR="006713E8" w:rsidRPr="006713E8" w:rsidRDefault="006713E8" w:rsidP="006713E8">
            <w:pPr>
              <w:rPr>
                <w:rFonts w:ascii="Calibri" w:hAnsi="Calibri" w:cs="Calibri"/>
              </w:rPr>
            </w:pPr>
            <w:r w:rsidRPr="006713E8">
              <w:rPr>
                <w:rFonts w:ascii="Calibri" w:hAnsi="Calibri" w:cs="Calibri"/>
              </w:rPr>
              <w:t>11/3/2022</w:t>
            </w:r>
          </w:p>
        </w:tc>
        <w:tc>
          <w:tcPr>
            <w:tcW w:w="1452" w:type="dxa"/>
          </w:tcPr>
          <w:p w14:paraId="60870292" w14:textId="7E52EA61" w:rsidR="006713E8" w:rsidRPr="006713E8" w:rsidRDefault="00D36015" w:rsidP="006713E8">
            <w:pPr>
              <w:widowControl/>
              <w:autoSpaceDE/>
              <w:autoSpaceDN/>
              <w:adjustRightInd/>
              <w:rPr>
                <w:rFonts w:ascii="Calibri" w:hAnsi="Calibri" w:cs="Calibri"/>
              </w:rPr>
            </w:pPr>
            <w:r>
              <w:rPr>
                <w:rFonts w:ascii="Calibri" w:hAnsi="Calibri" w:cs="Calibri"/>
              </w:rPr>
              <w:t>8/1/2022</w:t>
            </w:r>
          </w:p>
        </w:tc>
      </w:tr>
      <w:tr w:rsidR="00307456" w:rsidRPr="006713E8" w14:paraId="4D0B86B7" w14:textId="77777777" w:rsidTr="00943352">
        <w:trPr>
          <w:cantSplit/>
          <w:jc w:val="center"/>
        </w:trPr>
        <w:tc>
          <w:tcPr>
            <w:tcW w:w="2515" w:type="dxa"/>
          </w:tcPr>
          <w:p w14:paraId="179FB6D6"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OSHA Whistleblower Investigations Manual</w:t>
            </w:r>
          </w:p>
          <w:p w14:paraId="6535FC64"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CPL 02-03-011</w:t>
            </w:r>
          </w:p>
          <w:p w14:paraId="6320818F"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(4/29/2022)</w:t>
            </w:r>
          </w:p>
        </w:tc>
        <w:tc>
          <w:tcPr>
            <w:tcW w:w="1440" w:type="dxa"/>
          </w:tcPr>
          <w:p w14:paraId="7117471A" w14:textId="77777777" w:rsidR="006713E8" w:rsidRPr="006713E8" w:rsidRDefault="006713E8" w:rsidP="006713E8">
            <w:pPr>
              <w:rPr>
                <w:rFonts w:ascii="Calibri" w:hAnsi="Calibri" w:cs="Calibri"/>
              </w:rPr>
            </w:pPr>
            <w:r w:rsidRPr="006713E8">
              <w:rPr>
                <w:rFonts w:ascii="Calibri" w:hAnsi="Calibri" w:cs="Calibri"/>
              </w:rPr>
              <w:t>10/11/2022</w:t>
            </w:r>
          </w:p>
        </w:tc>
        <w:tc>
          <w:tcPr>
            <w:tcW w:w="1440" w:type="dxa"/>
          </w:tcPr>
          <w:p w14:paraId="250FAFD3" w14:textId="4DD3EF2D" w:rsidR="006713E8" w:rsidRPr="006713E8" w:rsidRDefault="00C36464" w:rsidP="006713E8">
            <w:pPr>
              <w:rPr>
                <w:rFonts w:ascii="Calibri" w:hAnsi="Calibri" w:cs="Calibri"/>
              </w:rPr>
            </w:pPr>
            <w:r>
              <w:rPr>
                <w:rFonts w:ascii="Calibri" w:hAnsi="Calibri" w:cs="Calibri"/>
              </w:rPr>
              <w:t>9/29/2022</w:t>
            </w:r>
          </w:p>
        </w:tc>
        <w:tc>
          <w:tcPr>
            <w:tcW w:w="900" w:type="dxa"/>
          </w:tcPr>
          <w:p w14:paraId="65D90366" w14:textId="0A788D1D" w:rsidR="006713E8" w:rsidRPr="006713E8" w:rsidRDefault="00C36464" w:rsidP="006713E8">
            <w:pPr>
              <w:rPr>
                <w:rFonts w:ascii="Calibri" w:hAnsi="Calibri" w:cs="Calibri"/>
              </w:rPr>
            </w:pPr>
            <w:r>
              <w:rPr>
                <w:rFonts w:ascii="Calibri" w:hAnsi="Calibri" w:cs="Calibri"/>
              </w:rPr>
              <w:t>Yes</w:t>
            </w:r>
          </w:p>
        </w:tc>
        <w:tc>
          <w:tcPr>
            <w:tcW w:w="1080" w:type="dxa"/>
          </w:tcPr>
          <w:p w14:paraId="51644069" w14:textId="6558C3A7" w:rsidR="006713E8" w:rsidRPr="006713E8" w:rsidRDefault="00C36464" w:rsidP="006713E8">
            <w:pPr>
              <w:rPr>
                <w:rFonts w:ascii="Calibri" w:hAnsi="Calibri" w:cs="Calibri"/>
              </w:rPr>
            </w:pPr>
            <w:r>
              <w:rPr>
                <w:rFonts w:ascii="Calibri" w:hAnsi="Calibri" w:cs="Calibri"/>
              </w:rPr>
              <w:t>No</w:t>
            </w:r>
          </w:p>
        </w:tc>
        <w:tc>
          <w:tcPr>
            <w:tcW w:w="1440" w:type="dxa"/>
          </w:tcPr>
          <w:p w14:paraId="0E07EC9E" w14:textId="77777777" w:rsidR="006713E8" w:rsidRPr="006713E8" w:rsidRDefault="006713E8" w:rsidP="006713E8">
            <w:pPr>
              <w:rPr>
                <w:rFonts w:ascii="Calibri" w:hAnsi="Calibri" w:cs="Calibri"/>
              </w:rPr>
            </w:pPr>
            <w:r w:rsidRPr="006713E8">
              <w:rPr>
                <w:rFonts w:ascii="Calibri" w:hAnsi="Calibri" w:cs="Calibri"/>
              </w:rPr>
              <w:t>2/11/2023</w:t>
            </w:r>
          </w:p>
        </w:tc>
        <w:tc>
          <w:tcPr>
            <w:tcW w:w="1452" w:type="dxa"/>
          </w:tcPr>
          <w:p w14:paraId="610D0F29" w14:textId="13C74E34" w:rsidR="006713E8" w:rsidRPr="006713E8" w:rsidRDefault="00C36464" w:rsidP="006713E8">
            <w:pPr>
              <w:widowControl/>
              <w:autoSpaceDE/>
              <w:autoSpaceDN/>
              <w:adjustRightInd/>
              <w:rPr>
                <w:rFonts w:ascii="Calibri" w:hAnsi="Calibri" w:cs="Calibri"/>
              </w:rPr>
            </w:pPr>
            <w:r>
              <w:rPr>
                <w:rFonts w:ascii="Calibri" w:hAnsi="Calibri" w:cs="Calibri"/>
              </w:rPr>
              <w:t>10/28/2022</w:t>
            </w:r>
          </w:p>
        </w:tc>
      </w:tr>
      <w:tr w:rsidR="00307456" w:rsidRPr="006713E8" w14:paraId="677A0192" w14:textId="77777777" w:rsidTr="00943352">
        <w:trPr>
          <w:cantSplit/>
          <w:jc w:val="center"/>
        </w:trPr>
        <w:tc>
          <w:tcPr>
            <w:tcW w:w="2515" w:type="dxa"/>
          </w:tcPr>
          <w:p w14:paraId="4E3BE6C2"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Severe Violator Enforcement Program (SVEP)</w:t>
            </w:r>
          </w:p>
          <w:p w14:paraId="6B1076DE"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CPL 02-00-169</w:t>
            </w:r>
          </w:p>
          <w:p w14:paraId="71AD0D0B"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(9/15/2022)</w:t>
            </w:r>
          </w:p>
        </w:tc>
        <w:tc>
          <w:tcPr>
            <w:tcW w:w="1440" w:type="dxa"/>
          </w:tcPr>
          <w:p w14:paraId="16DA5C81" w14:textId="77777777" w:rsidR="006713E8" w:rsidRPr="006713E8" w:rsidRDefault="006713E8" w:rsidP="006713E8">
            <w:pPr>
              <w:rPr>
                <w:rFonts w:ascii="Calibri" w:hAnsi="Calibri" w:cs="Calibri"/>
              </w:rPr>
            </w:pPr>
            <w:r w:rsidRPr="006713E8">
              <w:rPr>
                <w:rFonts w:ascii="Calibri" w:hAnsi="Calibri" w:cs="Calibri"/>
              </w:rPr>
              <w:t>11/15/2022</w:t>
            </w:r>
          </w:p>
        </w:tc>
        <w:tc>
          <w:tcPr>
            <w:tcW w:w="1440" w:type="dxa"/>
          </w:tcPr>
          <w:p w14:paraId="521B7DEE" w14:textId="4F49B683" w:rsidR="006713E8" w:rsidRPr="006713E8" w:rsidRDefault="00AC25D0" w:rsidP="006713E8">
            <w:pPr>
              <w:rPr>
                <w:rFonts w:ascii="Calibri" w:hAnsi="Calibri" w:cs="Calibri"/>
              </w:rPr>
            </w:pPr>
            <w:r>
              <w:rPr>
                <w:rFonts w:ascii="Calibri" w:hAnsi="Calibri" w:cs="Calibri"/>
              </w:rPr>
              <w:t>11/9/2022</w:t>
            </w:r>
          </w:p>
        </w:tc>
        <w:tc>
          <w:tcPr>
            <w:tcW w:w="900" w:type="dxa"/>
          </w:tcPr>
          <w:p w14:paraId="03BAEEBA" w14:textId="26884BB2" w:rsidR="006713E8" w:rsidRPr="006713E8" w:rsidRDefault="00AC25D0" w:rsidP="006713E8">
            <w:pPr>
              <w:rPr>
                <w:rFonts w:ascii="Calibri" w:hAnsi="Calibri" w:cs="Calibri"/>
              </w:rPr>
            </w:pPr>
            <w:r>
              <w:rPr>
                <w:rFonts w:ascii="Calibri" w:hAnsi="Calibri" w:cs="Calibri"/>
              </w:rPr>
              <w:t>Yes</w:t>
            </w:r>
          </w:p>
        </w:tc>
        <w:tc>
          <w:tcPr>
            <w:tcW w:w="1080" w:type="dxa"/>
          </w:tcPr>
          <w:p w14:paraId="35651230" w14:textId="2A4C0859" w:rsidR="006713E8" w:rsidRPr="006713E8" w:rsidRDefault="00AC25D0" w:rsidP="006713E8">
            <w:pPr>
              <w:rPr>
                <w:rFonts w:ascii="Calibri" w:hAnsi="Calibri" w:cs="Calibri"/>
              </w:rPr>
            </w:pPr>
            <w:r>
              <w:rPr>
                <w:rFonts w:ascii="Calibri" w:hAnsi="Calibri" w:cs="Calibri"/>
              </w:rPr>
              <w:t>No</w:t>
            </w:r>
          </w:p>
        </w:tc>
        <w:tc>
          <w:tcPr>
            <w:tcW w:w="1440" w:type="dxa"/>
          </w:tcPr>
          <w:p w14:paraId="01779342" w14:textId="77777777" w:rsidR="006713E8" w:rsidRPr="006713E8" w:rsidRDefault="006713E8" w:rsidP="006713E8">
            <w:pPr>
              <w:rPr>
                <w:rFonts w:ascii="Calibri" w:hAnsi="Calibri" w:cs="Calibri"/>
              </w:rPr>
            </w:pPr>
            <w:r w:rsidRPr="006713E8">
              <w:rPr>
                <w:rFonts w:ascii="Calibri" w:hAnsi="Calibri" w:cs="Calibri"/>
              </w:rPr>
              <w:t>3/15/2023</w:t>
            </w:r>
          </w:p>
        </w:tc>
        <w:tc>
          <w:tcPr>
            <w:tcW w:w="1452" w:type="dxa"/>
          </w:tcPr>
          <w:p w14:paraId="6358F9F4" w14:textId="009E8CF4" w:rsidR="006713E8" w:rsidRPr="006713E8" w:rsidRDefault="00AC25D0" w:rsidP="006713E8">
            <w:pPr>
              <w:widowControl/>
              <w:autoSpaceDE/>
              <w:autoSpaceDN/>
              <w:adjustRightInd/>
              <w:rPr>
                <w:rFonts w:ascii="Calibri" w:hAnsi="Calibri" w:cs="Calibri"/>
              </w:rPr>
            </w:pPr>
            <w:r>
              <w:rPr>
                <w:rFonts w:ascii="Calibri" w:hAnsi="Calibri" w:cs="Calibri"/>
              </w:rPr>
              <w:t>3/15/2023</w:t>
            </w:r>
          </w:p>
        </w:tc>
      </w:tr>
      <w:tr w:rsidR="00307456" w:rsidRPr="006713E8" w14:paraId="26FCD5EA" w14:textId="77777777" w:rsidTr="00943352">
        <w:trPr>
          <w:cantSplit/>
          <w:jc w:val="center"/>
        </w:trPr>
        <w:tc>
          <w:tcPr>
            <w:tcW w:w="2515" w:type="dxa"/>
          </w:tcPr>
          <w:p w14:paraId="4E9B33FA"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Site-Specific Targeting (SST)</w:t>
            </w:r>
          </w:p>
          <w:p w14:paraId="3325D3EA"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CPL 02-01-064</w:t>
            </w:r>
          </w:p>
          <w:p w14:paraId="4D3F8688"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(2/7/2023)</w:t>
            </w:r>
          </w:p>
        </w:tc>
        <w:tc>
          <w:tcPr>
            <w:tcW w:w="1440" w:type="dxa"/>
          </w:tcPr>
          <w:p w14:paraId="1918F709" w14:textId="77777777" w:rsidR="006713E8" w:rsidRPr="006713E8" w:rsidRDefault="006713E8" w:rsidP="006713E8">
            <w:pPr>
              <w:rPr>
                <w:rFonts w:ascii="Calibri" w:hAnsi="Calibri" w:cs="Calibri"/>
              </w:rPr>
            </w:pPr>
            <w:r w:rsidRPr="006713E8">
              <w:rPr>
                <w:rFonts w:ascii="Calibri" w:hAnsi="Calibri" w:cs="Calibri"/>
              </w:rPr>
              <w:t>4/8/2023</w:t>
            </w:r>
          </w:p>
        </w:tc>
        <w:tc>
          <w:tcPr>
            <w:tcW w:w="1440" w:type="dxa"/>
          </w:tcPr>
          <w:p w14:paraId="6DC9CFC3" w14:textId="7D62D939" w:rsidR="006713E8" w:rsidRPr="006713E8" w:rsidRDefault="00CD7A26" w:rsidP="006713E8">
            <w:pPr>
              <w:rPr>
                <w:rFonts w:ascii="Calibri" w:hAnsi="Calibri" w:cs="Calibri"/>
              </w:rPr>
            </w:pPr>
            <w:r>
              <w:rPr>
                <w:rFonts w:ascii="Calibri" w:hAnsi="Calibri" w:cs="Calibri"/>
              </w:rPr>
              <w:t>2/16/2023</w:t>
            </w:r>
          </w:p>
        </w:tc>
        <w:tc>
          <w:tcPr>
            <w:tcW w:w="900" w:type="dxa"/>
          </w:tcPr>
          <w:p w14:paraId="72344E38" w14:textId="576535E5" w:rsidR="006713E8" w:rsidRPr="006713E8" w:rsidRDefault="001F2752" w:rsidP="006713E8">
            <w:pPr>
              <w:rPr>
                <w:rFonts w:ascii="Calibri" w:hAnsi="Calibri" w:cs="Calibri"/>
              </w:rPr>
            </w:pPr>
            <w:r>
              <w:rPr>
                <w:rFonts w:ascii="Calibri" w:hAnsi="Calibri" w:cs="Calibri"/>
              </w:rPr>
              <w:t>Yes</w:t>
            </w:r>
          </w:p>
        </w:tc>
        <w:tc>
          <w:tcPr>
            <w:tcW w:w="1080" w:type="dxa"/>
          </w:tcPr>
          <w:p w14:paraId="5BA9A737" w14:textId="5EC82DF4" w:rsidR="006713E8" w:rsidRPr="006713E8" w:rsidRDefault="001F2752" w:rsidP="006713E8">
            <w:pPr>
              <w:rPr>
                <w:rFonts w:ascii="Calibri" w:hAnsi="Calibri" w:cs="Calibri"/>
              </w:rPr>
            </w:pPr>
            <w:r>
              <w:rPr>
                <w:rFonts w:ascii="Calibri" w:hAnsi="Calibri" w:cs="Calibri"/>
              </w:rPr>
              <w:t>No</w:t>
            </w:r>
          </w:p>
        </w:tc>
        <w:tc>
          <w:tcPr>
            <w:tcW w:w="1440" w:type="dxa"/>
          </w:tcPr>
          <w:p w14:paraId="1680BFFA" w14:textId="77777777" w:rsidR="006713E8" w:rsidRPr="006713E8" w:rsidRDefault="006713E8" w:rsidP="006713E8">
            <w:pPr>
              <w:rPr>
                <w:rFonts w:ascii="Calibri" w:hAnsi="Calibri" w:cs="Calibri"/>
              </w:rPr>
            </w:pPr>
            <w:r w:rsidRPr="006713E8">
              <w:rPr>
                <w:rFonts w:ascii="Calibri" w:hAnsi="Calibri" w:cs="Calibri"/>
              </w:rPr>
              <w:t>8/6/2023</w:t>
            </w:r>
          </w:p>
        </w:tc>
        <w:tc>
          <w:tcPr>
            <w:tcW w:w="1452" w:type="dxa"/>
          </w:tcPr>
          <w:p w14:paraId="645188E0" w14:textId="08956BC9" w:rsidR="006713E8" w:rsidRPr="006713E8" w:rsidRDefault="00C829D0" w:rsidP="006713E8">
            <w:pPr>
              <w:widowControl/>
              <w:autoSpaceDE/>
              <w:autoSpaceDN/>
              <w:adjustRightInd/>
              <w:rPr>
                <w:rFonts w:ascii="Calibri" w:hAnsi="Calibri" w:cs="Calibri"/>
              </w:rPr>
            </w:pPr>
            <w:r>
              <w:rPr>
                <w:rFonts w:ascii="Calibri" w:hAnsi="Calibri" w:cs="Calibri"/>
              </w:rPr>
              <w:t>3/15/2023</w:t>
            </w:r>
          </w:p>
        </w:tc>
      </w:tr>
      <w:tr w:rsidR="00307456" w:rsidRPr="006713E8" w14:paraId="13B3A59F" w14:textId="77777777" w:rsidTr="00943352">
        <w:trPr>
          <w:cantSplit/>
          <w:jc w:val="center"/>
        </w:trPr>
        <w:tc>
          <w:tcPr>
            <w:tcW w:w="2515" w:type="dxa"/>
          </w:tcPr>
          <w:p w14:paraId="4CA731FF"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lastRenderedPageBreak/>
              <w:t>National Emphasis Program – Falls</w:t>
            </w:r>
          </w:p>
          <w:p w14:paraId="4535E21F"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CPL 03-00-025</w:t>
            </w:r>
          </w:p>
          <w:p w14:paraId="3F309AF9"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(5/1/2023)</w:t>
            </w:r>
          </w:p>
        </w:tc>
        <w:tc>
          <w:tcPr>
            <w:tcW w:w="1440" w:type="dxa"/>
          </w:tcPr>
          <w:p w14:paraId="46B628E2" w14:textId="77777777" w:rsidR="006713E8" w:rsidRPr="006713E8" w:rsidRDefault="006713E8" w:rsidP="006713E8">
            <w:pPr>
              <w:rPr>
                <w:rFonts w:ascii="Calibri" w:hAnsi="Calibri" w:cs="Calibri"/>
              </w:rPr>
            </w:pPr>
            <w:r w:rsidRPr="006713E8">
              <w:rPr>
                <w:rFonts w:ascii="Calibri" w:hAnsi="Calibri" w:cs="Calibri"/>
              </w:rPr>
              <w:t>6/30/2023</w:t>
            </w:r>
          </w:p>
        </w:tc>
        <w:tc>
          <w:tcPr>
            <w:tcW w:w="1440" w:type="dxa"/>
          </w:tcPr>
          <w:p w14:paraId="554B4B8E" w14:textId="5CA11BEC" w:rsidR="006713E8" w:rsidRPr="006713E8" w:rsidRDefault="00EB7F90" w:rsidP="006713E8">
            <w:pPr>
              <w:rPr>
                <w:rFonts w:ascii="Calibri" w:hAnsi="Calibri" w:cs="Calibri"/>
              </w:rPr>
            </w:pPr>
            <w:r>
              <w:rPr>
                <w:rFonts w:ascii="Calibri" w:hAnsi="Calibri" w:cs="Calibri"/>
              </w:rPr>
              <w:t>6/22/2023</w:t>
            </w:r>
          </w:p>
        </w:tc>
        <w:tc>
          <w:tcPr>
            <w:tcW w:w="900" w:type="dxa"/>
          </w:tcPr>
          <w:p w14:paraId="449E5E2D" w14:textId="48F41C9E" w:rsidR="006713E8" w:rsidRPr="006713E8" w:rsidRDefault="00EB7F90" w:rsidP="006713E8">
            <w:pPr>
              <w:rPr>
                <w:rFonts w:ascii="Calibri" w:hAnsi="Calibri" w:cs="Calibri"/>
              </w:rPr>
            </w:pPr>
            <w:r>
              <w:rPr>
                <w:rFonts w:ascii="Calibri" w:hAnsi="Calibri" w:cs="Calibri"/>
              </w:rPr>
              <w:t>Yes</w:t>
            </w:r>
          </w:p>
        </w:tc>
        <w:tc>
          <w:tcPr>
            <w:tcW w:w="1080" w:type="dxa"/>
          </w:tcPr>
          <w:p w14:paraId="0A8FCB27" w14:textId="2644A22F" w:rsidR="006713E8" w:rsidRPr="006713E8" w:rsidRDefault="00EB7F90" w:rsidP="006713E8">
            <w:pPr>
              <w:rPr>
                <w:rFonts w:ascii="Calibri" w:hAnsi="Calibri" w:cs="Calibri"/>
              </w:rPr>
            </w:pPr>
            <w:r>
              <w:rPr>
                <w:rFonts w:ascii="Calibri" w:hAnsi="Calibri" w:cs="Calibri"/>
              </w:rPr>
              <w:t>Yes</w:t>
            </w:r>
          </w:p>
        </w:tc>
        <w:tc>
          <w:tcPr>
            <w:tcW w:w="1440" w:type="dxa"/>
          </w:tcPr>
          <w:p w14:paraId="497152BC" w14:textId="77777777" w:rsidR="006713E8" w:rsidRPr="006713E8" w:rsidRDefault="006713E8" w:rsidP="006713E8">
            <w:pPr>
              <w:rPr>
                <w:rFonts w:ascii="Calibri" w:hAnsi="Calibri" w:cs="Calibri"/>
              </w:rPr>
            </w:pPr>
            <w:r w:rsidRPr="006713E8">
              <w:rPr>
                <w:rFonts w:ascii="Calibri" w:hAnsi="Calibri" w:cs="Calibri"/>
              </w:rPr>
              <w:t>10/28/2023</w:t>
            </w:r>
          </w:p>
        </w:tc>
        <w:tc>
          <w:tcPr>
            <w:tcW w:w="1452" w:type="dxa"/>
          </w:tcPr>
          <w:p w14:paraId="1B7FDFA6" w14:textId="006C8238" w:rsidR="006713E8" w:rsidRPr="006713E8" w:rsidRDefault="00C1745D" w:rsidP="006713E8">
            <w:pPr>
              <w:widowControl/>
              <w:autoSpaceDE/>
              <w:autoSpaceDN/>
              <w:adjustRightInd/>
              <w:rPr>
                <w:rFonts w:ascii="Calibri" w:hAnsi="Calibri" w:cs="Calibri"/>
              </w:rPr>
            </w:pPr>
            <w:r>
              <w:rPr>
                <w:rFonts w:ascii="Calibri" w:hAnsi="Calibri" w:cs="Calibri"/>
              </w:rPr>
              <w:t>6/30/2023</w:t>
            </w:r>
          </w:p>
        </w:tc>
      </w:tr>
      <w:tr w:rsidR="00307456" w:rsidRPr="006713E8" w14:paraId="7338E8E5" w14:textId="77777777" w:rsidTr="00943352">
        <w:trPr>
          <w:cantSplit/>
          <w:jc w:val="center"/>
        </w:trPr>
        <w:tc>
          <w:tcPr>
            <w:tcW w:w="2515" w:type="dxa"/>
          </w:tcPr>
          <w:p w14:paraId="6DE56EB8"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 xml:space="preserve">Consultation Policies and Procedures Manual </w:t>
            </w:r>
          </w:p>
          <w:p w14:paraId="15D57E42"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CSP 02-00-005</w:t>
            </w:r>
          </w:p>
          <w:p w14:paraId="3A5975BB"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 xml:space="preserve">(9/29/2023)   </w:t>
            </w:r>
          </w:p>
        </w:tc>
        <w:tc>
          <w:tcPr>
            <w:tcW w:w="1440" w:type="dxa"/>
          </w:tcPr>
          <w:p w14:paraId="150652EA" w14:textId="77777777" w:rsidR="006713E8" w:rsidRPr="006713E8" w:rsidRDefault="006713E8" w:rsidP="006713E8">
            <w:pPr>
              <w:rPr>
                <w:rFonts w:ascii="Calibri" w:hAnsi="Calibri" w:cs="Calibri"/>
              </w:rPr>
            </w:pPr>
            <w:r w:rsidRPr="006713E8">
              <w:rPr>
                <w:rFonts w:ascii="Calibri" w:hAnsi="Calibri" w:cs="Calibri"/>
              </w:rPr>
              <w:t>11/28/2023</w:t>
            </w:r>
          </w:p>
        </w:tc>
        <w:tc>
          <w:tcPr>
            <w:tcW w:w="1440" w:type="dxa"/>
          </w:tcPr>
          <w:p w14:paraId="2EA79587" w14:textId="5A576B3B" w:rsidR="006713E8" w:rsidRPr="006713E8" w:rsidRDefault="00E07B62" w:rsidP="006713E8">
            <w:pPr>
              <w:rPr>
                <w:rFonts w:ascii="Calibri" w:hAnsi="Calibri" w:cs="Calibri"/>
              </w:rPr>
            </w:pPr>
            <w:r>
              <w:rPr>
                <w:rFonts w:ascii="Calibri" w:hAnsi="Calibri" w:cs="Calibri"/>
              </w:rPr>
              <w:t>10/30/2023</w:t>
            </w:r>
          </w:p>
        </w:tc>
        <w:tc>
          <w:tcPr>
            <w:tcW w:w="900" w:type="dxa"/>
          </w:tcPr>
          <w:p w14:paraId="6E20308F" w14:textId="2EE14323" w:rsidR="006713E8" w:rsidRPr="006713E8" w:rsidRDefault="00943352" w:rsidP="006713E8">
            <w:pPr>
              <w:rPr>
                <w:rFonts w:ascii="Calibri" w:hAnsi="Calibri" w:cs="Calibri"/>
              </w:rPr>
            </w:pPr>
            <w:r>
              <w:rPr>
                <w:rFonts w:ascii="Calibri" w:hAnsi="Calibri" w:cs="Calibri"/>
              </w:rPr>
              <w:t>Yes</w:t>
            </w:r>
          </w:p>
        </w:tc>
        <w:tc>
          <w:tcPr>
            <w:tcW w:w="1080" w:type="dxa"/>
          </w:tcPr>
          <w:p w14:paraId="63F3D9F4" w14:textId="46D1B270" w:rsidR="006713E8" w:rsidRPr="006713E8" w:rsidRDefault="00943352" w:rsidP="006713E8">
            <w:pPr>
              <w:rPr>
                <w:rFonts w:ascii="Calibri" w:hAnsi="Calibri" w:cs="Calibri"/>
              </w:rPr>
            </w:pPr>
            <w:r>
              <w:rPr>
                <w:rFonts w:ascii="Calibri" w:hAnsi="Calibri" w:cs="Calibri"/>
              </w:rPr>
              <w:t>Yes</w:t>
            </w:r>
          </w:p>
        </w:tc>
        <w:tc>
          <w:tcPr>
            <w:tcW w:w="1440" w:type="dxa"/>
          </w:tcPr>
          <w:p w14:paraId="1CFD5729" w14:textId="77777777" w:rsidR="006713E8" w:rsidRPr="006713E8" w:rsidRDefault="006713E8" w:rsidP="006713E8">
            <w:pPr>
              <w:rPr>
                <w:rFonts w:ascii="Calibri" w:hAnsi="Calibri" w:cs="Calibri"/>
              </w:rPr>
            </w:pPr>
            <w:r w:rsidRPr="006713E8">
              <w:rPr>
                <w:rFonts w:ascii="Calibri" w:hAnsi="Calibri" w:cs="Calibri"/>
              </w:rPr>
              <w:t>3/27/2024</w:t>
            </w:r>
          </w:p>
        </w:tc>
        <w:tc>
          <w:tcPr>
            <w:tcW w:w="1452" w:type="dxa"/>
          </w:tcPr>
          <w:p w14:paraId="3E057A7D" w14:textId="6E31DF48" w:rsidR="006713E8" w:rsidRPr="006713E8" w:rsidRDefault="00943352" w:rsidP="006713E8">
            <w:pPr>
              <w:widowControl/>
              <w:autoSpaceDE/>
              <w:autoSpaceDN/>
              <w:adjustRightInd/>
              <w:rPr>
                <w:rFonts w:ascii="Calibri" w:hAnsi="Calibri" w:cs="Calibri"/>
              </w:rPr>
            </w:pPr>
            <w:r>
              <w:rPr>
                <w:rFonts w:ascii="Calibri" w:hAnsi="Calibri" w:cs="Calibri"/>
              </w:rPr>
              <w:t>11/28/2023</w:t>
            </w:r>
          </w:p>
        </w:tc>
      </w:tr>
    </w:tbl>
    <w:p w14:paraId="694B9113" w14:textId="77777777" w:rsidR="006713E8" w:rsidRPr="006713E8" w:rsidRDefault="006713E8" w:rsidP="006713E8">
      <w:pPr>
        <w:widowControl/>
        <w:autoSpaceDE/>
        <w:autoSpaceDN/>
        <w:adjustRightInd/>
        <w:jc w:val="center"/>
        <w:rPr>
          <w:rFonts w:ascii="Calibri" w:hAnsi="Calibri" w:cs="Calibri"/>
          <w:b/>
          <w:bCs/>
        </w:rPr>
      </w:pPr>
    </w:p>
    <w:p w14:paraId="130977B9" w14:textId="77777777" w:rsidR="006713E8" w:rsidRPr="006713E8" w:rsidRDefault="006713E8" w:rsidP="006713E8">
      <w:pPr>
        <w:widowControl/>
        <w:autoSpaceDE/>
        <w:autoSpaceDN/>
        <w:adjustRightInd/>
        <w:rPr>
          <w:rFonts w:ascii="Calibri" w:hAnsi="Calibri" w:cs="Calibri"/>
          <w:b/>
        </w:rPr>
      </w:pPr>
      <w:r w:rsidRPr="006713E8">
        <w:rPr>
          <w:rFonts w:ascii="Calibri" w:hAnsi="Calibri" w:cs="Calibri"/>
          <w:b/>
          <w:bCs/>
        </w:rPr>
        <w:t>Table D</w:t>
      </w:r>
    </w:p>
    <w:p w14:paraId="6D42A44F" w14:textId="77777777" w:rsidR="006713E8" w:rsidRPr="006713E8" w:rsidRDefault="006713E8" w:rsidP="006713E8">
      <w:pPr>
        <w:widowControl/>
        <w:autoSpaceDE/>
        <w:autoSpaceDN/>
        <w:adjustRightInd/>
        <w:rPr>
          <w:rFonts w:ascii="Calibri" w:hAnsi="Calibri" w:cs="Calibri"/>
          <w:b/>
          <w:bCs/>
        </w:rPr>
      </w:pPr>
      <w:r w:rsidRPr="006713E8">
        <w:rPr>
          <w:rFonts w:ascii="Calibri" w:hAnsi="Calibri" w:cs="Calibri"/>
          <w:b/>
          <w:bCs/>
        </w:rPr>
        <w:t>Status of FY 2022 and FY 2023 Federal Program Changes (FPCs) Where Adoption Was Encouraged</w:t>
      </w:r>
    </w:p>
    <w:p w14:paraId="30A65C11" w14:textId="77777777" w:rsidR="006713E8" w:rsidRPr="006713E8" w:rsidRDefault="006713E8" w:rsidP="006713E8">
      <w:pPr>
        <w:tabs>
          <w:tab w:val="num" w:pos="1440"/>
        </w:tabs>
        <w:rPr>
          <w:rFonts w:ascii="Calibri" w:hAnsi="Calibri" w:cs="Calibri"/>
          <w:bCs/>
        </w:rPr>
      </w:pPr>
      <w:r w:rsidRPr="006713E8">
        <w:rPr>
          <w:rFonts w:ascii="Calibri" w:hAnsi="Calibri" w:cs="Calibri"/>
          <w:bCs/>
        </w:rPr>
        <w:t>(May include any delinquent FPCs from earlier fiscal years)</w:t>
      </w:r>
    </w:p>
    <w:tbl>
      <w:tblPr>
        <w:tblStyle w:val="TableGrid"/>
        <w:tblW w:w="9985" w:type="dxa"/>
        <w:jc w:val="center"/>
        <w:tblLook w:val="06A0" w:firstRow="1" w:lastRow="0" w:firstColumn="1" w:lastColumn="0" w:noHBand="1" w:noVBand="1"/>
        <w:tblCaption w:val="Status of FY 20XX Federal Program Change (FPC) Adoption"/>
        <w:tblDescription w:val="Table B"/>
      </w:tblPr>
      <w:tblGrid>
        <w:gridCol w:w="2929"/>
        <w:gridCol w:w="1656"/>
        <w:gridCol w:w="1260"/>
        <w:gridCol w:w="1260"/>
        <w:gridCol w:w="1170"/>
        <w:gridCol w:w="1710"/>
      </w:tblGrid>
      <w:tr w:rsidR="006713E8" w:rsidRPr="006713E8" w14:paraId="12093CBD" w14:textId="77777777" w:rsidTr="005A2B27">
        <w:trPr>
          <w:cantSplit/>
          <w:trHeight w:val="20"/>
          <w:tblHeader/>
          <w:jc w:val="center"/>
        </w:trPr>
        <w:tc>
          <w:tcPr>
            <w:tcW w:w="2929" w:type="dxa"/>
            <w:shd w:val="clear" w:color="auto" w:fill="44546A"/>
            <w:hideMark/>
          </w:tcPr>
          <w:p w14:paraId="7926CB45" w14:textId="77777777" w:rsidR="006713E8" w:rsidRPr="006713E8" w:rsidRDefault="006713E8" w:rsidP="006713E8">
            <w:pPr>
              <w:widowControl/>
              <w:autoSpaceDE/>
              <w:autoSpaceDN/>
              <w:adjustRightInd/>
              <w:rPr>
                <w:rFonts w:ascii="Calibri" w:eastAsia="Calibri" w:hAnsi="Calibri" w:cs="Calibri"/>
                <w:b/>
                <w:color w:val="FFFFFF"/>
              </w:rPr>
            </w:pPr>
            <w:r w:rsidRPr="006713E8">
              <w:rPr>
                <w:rFonts w:ascii="Calibri" w:eastAsia="Calibri" w:hAnsi="Calibri" w:cs="Calibri"/>
                <w:b/>
                <w:color w:val="FFFFFF"/>
              </w:rPr>
              <w:t>FPC Directive/Subject</w:t>
            </w:r>
          </w:p>
        </w:tc>
        <w:tc>
          <w:tcPr>
            <w:tcW w:w="1656" w:type="dxa"/>
            <w:shd w:val="clear" w:color="auto" w:fill="44546A"/>
          </w:tcPr>
          <w:p w14:paraId="605100C3" w14:textId="77777777" w:rsidR="006713E8" w:rsidRPr="006713E8" w:rsidRDefault="006713E8" w:rsidP="006713E8">
            <w:pPr>
              <w:widowControl/>
              <w:autoSpaceDE/>
              <w:autoSpaceDN/>
              <w:adjustRightInd/>
              <w:rPr>
                <w:rFonts w:ascii="Calibri" w:eastAsia="Calibri" w:hAnsi="Calibri" w:cs="Calibri"/>
                <w:b/>
                <w:color w:val="FFFFFF"/>
              </w:rPr>
            </w:pPr>
            <w:r w:rsidRPr="006713E8">
              <w:rPr>
                <w:rFonts w:ascii="Calibri" w:eastAsia="Calibri" w:hAnsi="Calibri" w:cs="Calibri"/>
                <w:b/>
                <w:color w:val="FFFFFF"/>
              </w:rPr>
              <w:t>Response Due Date</w:t>
            </w:r>
          </w:p>
        </w:tc>
        <w:tc>
          <w:tcPr>
            <w:tcW w:w="1260" w:type="dxa"/>
            <w:shd w:val="clear" w:color="auto" w:fill="44546A"/>
            <w:hideMark/>
          </w:tcPr>
          <w:p w14:paraId="1E972BDB" w14:textId="77777777" w:rsidR="006713E8" w:rsidRPr="006713E8" w:rsidRDefault="006713E8" w:rsidP="006713E8">
            <w:pPr>
              <w:widowControl/>
              <w:autoSpaceDE/>
              <w:autoSpaceDN/>
              <w:adjustRightInd/>
              <w:rPr>
                <w:rFonts w:ascii="Calibri" w:hAnsi="Calibri" w:cs="Calibri"/>
                <w:b/>
                <w:color w:val="FFFFFF"/>
              </w:rPr>
            </w:pPr>
            <w:r w:rsidRPr="006713E8">
              <w:rPr>
                <w:rFonts w:ascii="Calibri" w:eastAsia="Calibri" w:hAnsi="Calibri" w:cs="Calibri"/>
                <w:b/>
                <w:color w:val="FFFFFF"/>
              </w:rPr>
              <w:t>State Plan Response Date</w:t>
            </w:r>
          </w:p>
        </w:tc>
        <w:tc>
          <w:tcPr>
            <w:tcW w:w="1260" w:type="dxa"/>
            <w:shd w:val="clear" w:color="auto" w:fill="44546A"/>
            <w:hideMark/>
          </w:tcPr>
          <w:p w14:paraId="287A436E" w14:textId="77777777" w:rsidR="006713E8" w:rsidRPr="006713E8" w:rsidRDefault="006713E8" w:rsidP="006713E8">
            <w:pPr>
              <w:widowControl/>
              <w:autoSpaceDE/>
              <w:autoSpaceDN/>
              <w:adjustRightInd/>
              <w:rPr>
                <w:rFonts w:ascii="Calibri" w:hAnsi="Calibri" w:cs="Calibri"/>
                <w:b/>
                <w:color w:val="FFFFFF"/>
              </w:rPr>
            </w:pPr>
            <w:r w:rsidRPr="006713E8">
              <w:rPr>
                <w:rFonts w:ascii="Calibri" w:eastAsia="Calibri" w:hAnsi="Calibri" w:cs="Calibri"/>
                <w:b/>
                <w:color w:val="FFFFFF"/>
              </w:rPr>
              <w:t>Intent to Adopt</w:t>
            </w:r>
          </w:p>
        </w:tc>
        <w:tc>
          <w:tcPr>
            <w:tcW w:w="1170" w:type="dxa"/>
            <w:shd w:val="clear" w:color="auto" w:fill="44546A"/>
            <w:hideMark/>
          </w:tcPr>
          <w:p w14:paraId="7579A8C0" w14:textId="77777777" w:rsidR="006713E8" w:rsidRPr="006713E8" w:rsidRDefault="006713E8" w:rsidP="006713E8">
            <w:pPr>
              <w:widowControl/>
              <w:autoSpaceDE/>
              <w:autoSpaceDN/>
              <w:adjustRightInd/>
              <w:rPr>
                <w:rFonts w:ascii="Calibri" w:hAnsi="Calibri" w:cs="Calibri"/>
                <w:b/>
                <w:color w:val="FFFFFF"/>
              </w:rPr>
            </w:pPr>
            <w:r w:rsidRPr="006713E8">
              <w:rPr>
                <w:rFonts w:ascii="Calibri" w:eastAsia="Calibri" w:hAnsi="Calibri" w:cs="Calibri"/>
                <w:b/>
                <w:color w:val="FFFFFF"/>
              </w:rPr>
              <w:t>Adopt Identical</w:t>
            </w:r>
          </w:p>
        </w:tc>
        <w:tc>
          <w:tcPr>
            <w:tcW w:w="1710" w:type="dxa"/>
            <w:shd w:val="clear" w:color="auto" w:fill="44546A"/>
            <w:hideMark/>
          </w:tcPr>
          <w:p w14:paraId="574BCD21" w14:textId="77777777" w:rsidR="006713E8" w:rsidRPr="006713E8" w:rsidRDefault="006713E8" w:rsidP="006713E8">
            <w:pPr>
              <w:widowControl/>
              <w:autoSpaceDE/>
              <w:autoSpaceDN/>
              <w:adjustRightInd/>
              <w:rPr>
                <w:rFonts w:ascii="Calibri" w:hAnsi="Calibri" w:cs="Calibri"/>
                <w:b/>
                <w:color w:val="FFFFFF"/>
              </w:rPr>
            </w:pPr>
            <w:r w:rsidRPr="006713E8">
              <w:rPr>
                <w:rFonts w:ascii="Calibri" w:eastAsia="Calibri" w:hAnsi="Calibri" w:cs="Calibri"/>
                <w:b/>
                <w:color w:val="FFFFFF"/>
              </w:rPr>
              <w:t>State Plan Adoption Date</w:t>
            </w:r>
          </w:p>
        </w:tc>
      </w:tr>
      <w:tr w:rsidR="006713E8" w:rsidRPr="006713E8" w14:paraId="132AF6BE" w14:textId="77777777" w:rsidTr="005A2B27">
        <w:trPr>
          <w:cantSplit/>
          <w:trHeight w:val="1223"/>
          <w:jc w:val="center"/>
        </w:trPr>
        <w:tc>
          <w:tcPr>
            <w:tcW w:w="2929" w:type="dxa"/>
          </w:tcPr>
          <w:p w14:paraId="076BD8A9"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OSHA’s Use of Small Unmanned Aircraft Systems</w:t>
            </w:r>
          </w:p>
          <w:p w14:paraId="4F636F22"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CPL 02-01-169</w:t>
            </w:r>
          </w:p>
          <w:p w14:paraId="34AB5DD8"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(12/22/2021)</w:t>
            </w:r>
          </w:p>
        </w:tc>
        <w:tc>
          <w:tcPr>
            <w:tcW w:w="1656" w:type="dxa"/>
          </w:tcPr>
          <w:p w14:paraId="2D3BEFED"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2/22/2022</w:t>
            </w:r>
          </w:p>
        </w:tc>
        <w:tc>
          <w:tcPr>
            <w:tcW w:w="1260" w:type="dxa"/>
          </w:tcPr>
          <w:p w14:paraId="6F70235F" w14:textId="5BC8560B" w:rsidR="006713E8" w:rsidRPr="006713E8" w:rsidRDefault="005A2B27" w:rsidP="006713E8">
            <w:pPr>
              <w:widowControl/>
              <w:autoSpaceDE/>
              <w:autoSpaceDN/>
              <w:adjustRightInd/>
              <w:rPr>
                <w:rFonts w:ascii="Calibri" w:hAnsi="Calibri" w:cs="Calibri"/>
              </w:rPr>
            </w:pPr>
            <w:r>
              <w:rPr>
                <w:rFonts w:ascii="Calibri" w:hAnsi="Calibri" w:cs="Calibri"/>
              </w:rPr>
              <w:t>1/27/2022</w:t>
            </w:r>
          </w:p>
        </w:tc>
        <w:tc>
          <w:tcPr>
            <w:tcW w:w="1260" w:type="dxa"/>
          </w:tcPr>
          <w:p w14:paraId="3C09F045" w14:textId="049AE817" w:rsidR="006713E8" w:rsidRPr="006713E8" w:rsidRDefault="005A2B27" w:rsidP="006713E8">
            <w:pPr>
              <w:widowControl/>
              <w:autoSpaceDE/>
              <w:autoSpaceDN/>
              <w:adjustRightInd/>
              <w:rPr>
                <w:rFonts w:ascii="Calibri" w:hAnsi="Calibri" w:cs="Calibri"/>
              </w:rPr>
            </w:pPr>
            <w:r>
              <w:rPr>
                <w:rFonts w:ascii="Calibri" w:hAnsi="Calibri" w:cs="Calibri"/>
              </w:rPr>
              <w:t>Yes</w:t>
            </w:r>
          </w:p>
        </w:tc>
        <w:tc>
          <w:tcPr>
            <w:tcW w:w="1170" w:type="dxa"/>
          </w:tcPr>
          <w:p w14:paraId="64534B2D" w14:textId="32ED5DEC" w:rsidR="006713E8" w:rsidRPr="006713E8" w:rsidRDefault="005A2B27" w:rsidP="006713E8">
            <w:pPr>
              <w:widowControl/>
              <w:autoSpaceDE/>
              <w:autoSpaceDN/>
              <w:adjustRightInd/>
              <w:rPr>
                <w:rFonts w:ascii="Calibri" w:hAnsi="Calibri" w:cs="Calibri"/>
              </w:rPr>
            </w:pPr>
            <w:r>
              <w:rPr>
                <w:rFonts w:ascii="Calibri" w:hAnsi="Calibri" w:cs="Calibri"/>
              </w:rPr>
              <w:t>Yes</w:t>
            </w:r>
          </w:p>
        </w:tc>
        <w:tc>
          <w:tcPr>
            <w:tcW w:w="1710" w:type="dxa"/>
          </w:tcPr>
          <w:p w14:paraId="6A77DB75" w14:textId="7718A3AF" w:rsidR="006713E8" w:rsidRPr="006713E8" w:rsidRDefault="005A2B27" w:rsidP="006713E8">
            <w:pPr>
              <w:widowControl/>
              <w:autoSpaceDE/>
              <w:autoSpaceDN/>
              <w:adjustRightInd/>
              <w:rPr>
                <w:rFonts w:ascii="Calibri" w:hAnsi="Calibri" w:cs="Calibri"/>
              </w:rPr>
            </w:pPr>
            <w:r>
              <w:rPr>
                <w:rFonts w:ascii="Calibri" w:hAnsi="Calibri" w:cs="Calibri"/>
              </w:rPr>
              <w:t>1/27/2022</w:t>
            </w:r>
          </w:p>
        </w:tc>
      </w:tr>
      <w:tr w:rsidR="006713E8" w:rsidRPr="006713E8" w14:paraId="5181AB76" w14:textId="77777777" w:rsidTr="005A2B27">
        <w:trPr>
          <w:cantSplit/>
          <w:trHeight w:val="1430"/>
          <w:jc w:val="center"/>
        </w:trPr>
        <w:tc>
          <w:tcPr>
            <w:tcW w:w="2929" w:type="dxa"/>
          </w:tcPr>
          <w:p w14:paraId="72488554"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National Emphasis Program – Outdoor and Indoor Heat-Related Hazards</w:t>
            </w:r>
          </w:p>
          <w:p w14:paraId="632FCB18"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CPL 03-00-024</w:t>
            </w:r>
          </w:p>
          <w:p w14:paraId="3B8F40FE"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(4/8/2022)</w:t>
            </w:r>
          </w:p>
        </w:tc>
        <w:tc>
          <w:tcPr>
            <w:tcW w:w="1656" w:type="dxa"/>
          </w:tcPr>
          <w:p w14:paraId="01BD31FC" w14:textId="77777777" w:rsidR="006713E8" w:rsidRPr="006713E8" w:rsidRDefault="006713E8" w:rsidP="006713E8">
            <w:pPr>
              <w:widowControl/>
              <w:autoSpaceDE/>
              <w:autoSpaceDN/>
              <w:adjustRightInd/>
              <w:rPr>
                <w:rFonts w:ascii="Calibri" w:hAnsi="Calibri" w:cs="Calibri"/>
              </w:rPr>
            </w:pPr>
            <w:r w:rsidRPr="006713E8">
              <w:rPr>
                <w:rFonts w:ascii="Calibri" w:hAnsi="Calibri" w:cs="Calibri"/>
              </w:rPr>
              <w:t>6/8/2022</w:t>
            </w:r>
          </w:p>
        </w:tc>
        <w:tc>
          <w:tcPr>
            <w:tcW w:w="1260" w:type="dxa"/>
          </w:tcPr>
          <w:p w14:paraId="52333EA1" w14:textId="6559B3F8" w:rsidR="006713E8" w:rsidRPr="006713E8" w:rsidRDefault="003A65D9" w:rsidP="006713E8">
            <w:pPr>
              <w:widowControl/>
              <w:autoSpaceDE/>
              <w:autoSpaceDN/>
              <w:adjustRightInd/>
              <w:rPr>
                <w:rFonts w:ascii="Calibri" w:hAnsi="Calibri" w:cs="Calibri"/>
              </w:rPr>
            </w:pPr>
            <w:r>
              <w:rPr>
                <w:rFonts w:ascii="Calibri" w:hAnsi="Calibri" w:cs="Calibri"/>
              </w:rPr>
              <w:t>6/8/2022</w:t>
            </w:r>
          </w:p>
        </w:tc>
        <w:tc>
          <w:tcPr>
            <w:tcW w:w="1260" w:type="dxa"/>
          </w:tcPr>
          <w:p w14:paraId="12F6752B" w14:textId="464A977E" w:rsidR="006713E8" w:rsidRPr="006713E8" w:rsidRDefault="003A65D9" w:rsidP="006713E8">
            <w:pPr>
              <w:widowControl/>
              <w:autoSpaceDE/>
              <w:autoSpaceDN/>
              <w:adjustRightInd/>
              <w:rPr>
                <w:rFonts w:ascii="Calibri" w:hAnsi="Calibri" w:cs="Calibri"/>
              </w:rPr>
            </w:pPr>
            <w:r>
              <w:rPr>
                <w:rFonts w:ascii="Calibri" w:hAnsi="Calibri" w:cs="Calibri"/>
              </w:rPr>
              <w:t>No</w:t>
            </w:r>
          </w:p>
        </w:tc>
        <w:tc>
          <w:tcPr>
            <w:tcW w:w="1170" w:type="dxa"/>
          </w:tcPr>
          <w:p w14:paraId="13F9B277" w14:textId="44A9461B" w:rsidR="006713E8" w:rsidRPr="006713E8" w:rsidRDefault="00C83033" w:rsidP="006713E8">
            <w:pPr>
              <w:widowControl/>
              <w:autoSpaceDE/>
              <w:autoSpaceDN/>
              <w:adjustRightInd/>
              <w:rPr>
                <w:rFonts w:ascii="Calibri" w:hAnsi="Calibri" w:cs="Calibri"/>
              </w:rPr>
            </w:pPr>
            <w:r>
              <w:rPr>
                <w:rFonts w:ascii="Calibri" w:hAnsi="Calibri" w:cs="Calibri"/>
              </w:rPr>
              <w:t>N/A</w:t>
            </w:r>
          </w:p>
        </w:tc>
        <w:tc>
          <w:tcPr>
            <w:tcW w:w="1710" w:type="dxa"/>
          </w:tcPr>
          <w:p w14:paraId="6D40296A" w14:textId="43740CE8" w:rsidR="006713E8" w:rsidRPr="006713E8" w:rsidRDefault="00C83033" w:rsidP="006713E8">
            <w:pPr>
              <w:widowControl/>
              <w:autoSpaceDE/>
              <w:autoSpaceDN/>
              <w:adjustRightInd/>
              <w:rPr>
                <w:rFonts w:ascii="Calibri" w:hAnsi="Calibri" w:cs="Calibri"/>
              </w:rPr>
            </w:pPr>
            <w:r>
              <w:rPr>
                <w:rFonts w:ascii="Calibri" w:hAnsi="Calibri" w:cs="Calibri"/>
              </w:rPr>
              <w:t>N/A</w:t>
            </w:r>
          </w:p>
        </w:tc>
      </w:tr>
    </w:tbl>
    <w:p w14:paraId="769BB3B1" w14:textId="77777777" w:rsidR="006713E8" w:rsidRPr="006713E8" w:rsidRDefault="006713E8" w:rsidP="006713E8">
      <w:pPr>
        <w:rPr>
          <w:rFonts w:ascii="Calibri" w:hAnsi="Calibri" w:cs="Calibri"/>
        </w:rPr>
      </w:pPr>
    </w:p>
    <w:p w14:paraId="60157B70" w14:textId="77777777" w:rsidR="006713E8" w:rsidRPr="006713E8" w:rsidRDefault="006713E8" w:rsidP="006713E8">
      <w:pPr>
        <w:widowControl/>
        <w:autoSpaceDE/>
        <w:autoSpaceDN/>
        <w:adjustRightInd/>
        <w:rPr>
          <w:rFonts w:ascii="Calibri" w:hAnsi="Calibri" w:cs="Calibri"/>
          <w:b/>
          <w:bCs/>
        </w:rPr>
      </w:pPr>
      <w:r w:rsidRPr="006713E8">
        <w:rPr>
          <w:rFonts w:ascii="Calibri" w:hAnsi="Calibri" w:cs="Calibri"/>
          <w:b/>
          <w:bCs/>
        </w:rPr>
        <w:t>Table E</w:t>
      </w:r>
    </w:p>
    <w:p w14:paraId="332D54C0" w14:textId="77777777" w:rsidR="006713E8" w:rsidRPr="006713E8" w:rsidRDefault="006713E8" w:rsidP="006713E8">
      <w:pPr>
        <w:tabs>
          <w:tab w:val="left" w:pos="8367"/>
        </w:tabs>
        <w:rPr>
          <w:rFonts w:ascii="Calibri" w:hAnsi="Calibri" w:cs="Calibri"/>
          <w:b/>
          <w:i/>
        </w:rPr>
      </w:pPr>
      <w:r w:rsidRPr="006713E8">
        <w:rPr>
          <w:rFonts w:ascii="Calibri" w:hAnsi="Calibri" w:cs="Calibri"/>
          <w:b/>
          <w:bCs/>
        </w:rPr>
        <w:t>FY 2022 and FY 2023 State-Initiated Changes</w:t>
      </w:r>
    </w:p>
    <w:tbl>
      <w:tblPr>
        <w:tblStyle w:val="TableGrid"/>
        <w:tblW w:w="9265" w:type="dxa"/>
        <w:tblLayout w:type="fixed"/>
        <w:tblLook w:val="05A0" w:firstRow="1" w:lastRow="0" w:firstColumn="1" w:lastColumn="1" w:noHBand="0" w:noVBand="1"/>
        <w:tblCaption w:val="Status of FY 2021 Federal Standards Adoption"/>
        <w:tblDescription w:val="Table A"/>
      </w:tblPr>
      <w:tblGrid>
        <w:gridCol w:w="6385"/>
        <w:gridCol w:w="1530"/>
        <w:gridCol w:w="1350"/>
      </w:tblGrid>
      <w:tr w:rsidR="006713E8" w:rsidRPr="006713E8" w14:paraId="5D855BDA" w14:textId="77777777" w:rsidTr="006713E8">
        <w:trPr>
          <w:cantSplit/>
          <w:tblHeader/>
        </w:trPr>
        <w:tc>
          <w:tcPr>
            <w:tcW w:w="6385" w:type="dxa"/>
            <w:shd w:val="clear" w:color="auto" w:fill="44546A"/>
            <w:hideMark/>
          </w:tcPr>
          <w:p w14:paraId="6D191427" w14:textId="77777777" w:rsidR="006713E8" w:rsidRPr="006713E8" w:rsidRDefault="006713E8" w:rsidP="006713E8">
            <w:pPr>
              <w:tabs>
                <w:tab w:val="center" w:pos="1778"/>
                <w:tab w:val="left" w:pos="2691"/>
              </w:tabs>
              <w:rPr>
                <w:rFonts w:ascii="Calibri" w:eastAsia="Calibri" w:hAnsi="Calibri" w:cs="Calibri"/>
                <w:b/>
                <w:color w:val="FFFFFF"/>
              </w:rPr>
            </w:pPr>
            <w:r w:rsidRPr="006713E8">
              <w:rPr>
                <w:rFonts w:ascii="Calibri" w:eastAsia="Calibri" w:hAnsi="Calibri" w:cs="Calibri"/>
                <w:b/>
                <w:bCs/>
                <w:color w:val="FFFFFF"/>
              </w:rPr>
              <w:t>State-Initiated Change</w:t>
            </w:r>
          </w:p>
        </w:tc>
        <w:tc>
          <w:tcPr>
            <w:tcW w:w="1530" w:type="dxa"/>
            <w:shd w:val="clear" w:color="auto" w:fill="44546A"/>
          </w:tcPr>
          <w:p w14:paraId="7627042A" w14:textId="77777777" w:rsidR="006713E8" w:rsidRPr="006713E8" w:rsidRDefault="006713E8" w:rsidP="006713E8">
            <w:pPr>
              <w:rPr>
                <w:rFonts w:ascii="Calibri" w:eastAsia="Calibri" w:hAnsi="Calibri" w:cs="Calibri"/>
                <w:b/>
                <w:bCs/>
                <w:color w:val="FFFFFF"/>
              </w:rPr>
            </w:pPr>
            <w:r w:rsidRPr="006713E8">
              <w:rPr>
                <w:rFonts w:ascii="Calibri" w:eastAsia="Calibri" w:hAnsi="Calibri" w:cs="Calibri"/>
                <w:b/>
                <w:bCs/>
                <w:color w:val="FFFFFF"/>
              </w:rPr>
              <w:t>Adoption Date</w:t>
            </w:r>
          </w:p>
        </w:tc>
        <w:tc>
          <w:tcPr>
            <w:tcW w:w="1350" w:type="dxa"/>
            <w:shd w:val="clear" w:color="auto" w:fill="44546A"/>
            <w:hideMark/>
          </w:tcPr>
          <w:p w14:paraId="51D7C3F4" w14:textId="77777777" w:rsidR="006713E8" w:rsidRPr="006713E8" w:rsidRDefault="006713E8" w:rsidP="006713E8">
            <w:pPr>
              <w:rPr>
                <w:rFonts w:ascii="Calibri" w:eastAsia="Calibri" w:hAnsi="Calibri" w:cs="Calibri"/>
                <w:b/>
                <w:color w:val="FFFFFF"/>
              </w:rPr>
            </w:pPr>
            <w:r w:rsidRPr="006713E8">
              <w:rPr>
                <w:rFonts w:ascii="Calibri" w:eastAsia="Calibri" w:hAnsi="Calibri" w:cs="Calibri"/>
                <w:b/>
                <w:bCs/>
                <w:color w:val="FFFFFF"/>
              </w:rPr>
              <w:t>Effective Date</w:t>
            </w:r>
          </w:p>
        </w:tc>
      </w:tr>
      <w:tr w:rsidR="006713E8" w:rsidRPr="006713E8" w14:paraId="297F6301" w14:textId="77777777" w:rsidTr="00DF1AFF">
        <w:trPr>
          <w:cantSplit/>
        </w:trPr>
        <w:tc>
          <w:tcPr>
            <w:tcW w:w="6385" w:type="dxa"/>
            <w:vAlign w:val="bottom"/>
          </w:tcPr>
          <w:p w14:paraId="6021AFD5" w14:textId="2E7A0835" w:rsidR="006713E8" w:rsidRPr="006713E8" w:rsidRDefault="00BC79E1" w:rsidP="006713E8">
            <w:pPr>
              <w:widowControl/>
              <w:autoSpaceDE/>
              <w:autoSpaceDN/>
              <w:adjustRightInd/>
              <w:rPr>
                <w:rFonts w:ascii="Calibri" w:hAnsi="Calibri" w:cs="Calibri"/>
              </w:rPr>
            </w:pPr>
            <w:r>
              <w:rPr>
                <w:rFonts w:ascii="Calibri" w:hAnsi="Calibri" w:cs="Calibri"/>
              </w:rPr>
              <w:t>None</w:t>
            </w:r>
          </w:p>
        </w:tc>
        <w:tc>
          <w:tcPr>
            <w:tcW w:w="1530" w:type="dxa"/>
            <w:vAlign w:val="center"/>
          </w:tcPr>
          <w:p w14:paraId="07635EF7" w14:textId="77777777" w:rsidR="006713E8" w:rsidRPr="006713E8" w:rsidRDefault="006713E8" w:rsidP="006713E8">
            <w:pPr>
              <w:rPr>
                <w:rFonts w:ascii="Calibri" w:eastAsia="Calibri" w:hAnsi="Calibri" w:cs="Calibri"/>
              </w:rPr>
            </w:pPr>
          </w:p>
        </w:tc>
        <w:tc>
          <w:tcPr>
            <w:tcW w:w="1350" w:type="dxa"/>
            <w:vAlign w:val="center"/>
          </w:tcPr>
          <w:p w14:paraId="0A3EE261" w14:textId="77777777" w:rsidR="006713E8" w:rsidRPr="006713E8" w:rsidRDefault="006713E8" w:rsidP="006713E8">
            <w:pPr>
              <w:rPr>
                <w:rFonts w:ascii="Calibri" w:eastAsia="Calibri" w:hAnsi="Calibri" w:cs="Calibri"/>
              </w:rPr>
            </w:pPr>
          </w:p>
        </w:tc>
      </w:tr>
    </w:tbl>
    <w:p w14:paraId="7D6602C6" w14:textId="77777777" w:rsidR="006713E8" w:rsidRDefault="006713E8" w:rsidP="00E0508E">
      <w:pPr>
        <w:rPr>
          <w:b/>
          <w:bCs/>
        </w:rPr>
      </w:pPr>
    </w:p>
    <w:p w14:paraId="336C9AE8" w14:textId="77777777" w:rsidR="009A23E7" w:rsidRDefault="009C6968" w:rsidP="00002207">
      <w:pPr>
        <w:tabs>
          <w:tab w:val="left" w:pos="720"/>
          <w:tab w:val="left" w:pos="810"/>
        </w:tabs>
        <w:spacing w:line="276" w:lineRule="auto"/>
        <w:ind w:firstLine="360"/>
        <w:rPr>
          <w:b/>
          <w:caps/>
        </w:rPr>
      </w:pPr>
      <w:r>
        <w:rPr>
          <w:b/>
        </w:rPr>
        <w:t>5</w:t>
      </w:r>
      <w:r w:rsidR="00782EEC" w:rsidRPr="008B1863">
        <w:rPr>
          <w:b/>
        </w:rPr>
        <w:t xml:space="preserve">. </w:t>
      </w:r>
      <w:r w:rsidR="009A23E7">
        <w:rPr>
          <w:b/>
        </w:rPr>
        <w:t xml:space="preserve">   </w:t>
      </w:r>
      <w:r w:rsidR="00782EEC" w:rsidRPr="008B1863">
        <w:rPr>
          <w:b/>
          <w:caps/>
        </w:rPr>
        <w:t xml:space="preserve">Variances </w:t>
      </w:r>
    </w:p>
    <w:p w14:paraId="2BF9716E" w14:textId="77777777" w:rsidR="002B1FCE" w:rsidRDefault="002B1FCE" w:rsidP="00002207">
      <w:pPr>
        <w:tabs>
          <w:tab w:val="left" w:pos="720"/>
          <w:tab w:val="left" w:pos="810"/>
        </w:tabs>
        <w:spacing w:line="276" w:lineRule="auto"/>
        <w:ind w:firstLine="360"/>
        <w:rPr>
          <w:b/>
          <w:caps/>
        </w:rPr>
      </w:pPr>
    </w:p>
    <w:p w14:paraId="64188BBA" w14:textId="7F24233D" w:rsidR="00C37EE5" w:rsidRDefault="007F24C0" w:rsidP="00850A10">
      <w:pPr>
        <w:spacing w:line="276" w:lineRule="auto"/>
        <w:ind w:left="360"/>
      </w:pPr>
      <w:r w:rsidRPr="005F3455">
        <w:t>With the creation of the Illinois Occupational Safety and Health Act [820 ILCS 219] in January 2015, the State Plan implemented administrative rules providing for the granting of temporary or permanent variances. During FY 20</w:t>
      </w:r>
      <w:r>
        <w:t>22 and FY 2023</w:t>
      </w:r>
      <w:r w:rsidRPr="005F3455">
        <w:t>, there were no variance requests received or variances granted.</w:t>
      </w:r>
    </w:p>
    <w:p w14:paraId="0A953735" w14:textId="77777777" w:rsidR="00113EED" w:rsidRDefault="00113EED" w:rsidP="00850A10">
      <w:pPr>
        <w:spacing w:line="276" w:lineRule="auto"/>
        <w:ind w:left="360"/>
      </w:pPr>
    </w:p>
    <w:p w14:paraId="050B4BDE" w14:textId="77777777" w:rsidR="00113EED" w:rsidRDefault="00113EED" w:rsidP="00850A10">
      <w:pPr>
        <w:spacing w:line="276" w:lineRule="auto"/>
        <w:ind w:left="360"/>
      </w:pPr>
    </w:p>
    <w:p w14:paraId="5AD0E3CD" w14:textId="77777777" w:rsidR="00850A10" w:rsidRDefault="00850A10" w:rsidP="00850A10">
      <w:pPr>
        <w:spacing w:line="276" w:lineRule="auto"/>
        <w:ind w:left="360"/>
        <w:rPr>
          <w:b/>
        </w:rPr>
      </w:pPr>
    </w:p>
    <w:p w14:paraId="1BEE0E8F" w14:textId="24FB9F3C" w:rsidR="00782EEC" w:rsidRDefault="00091167" w:rsidP="00002207">
      <w:pPr>
        <w:spacing w:line="276" w:lineRule="auto"/>
        <w:ind w:left="1530" w:hanging="1170"/>
        <w:rPr>
          <w:b/>
          <w:caps/>
        </w:rPr>
      </w:pPr>
      <w:r>
        <w:rPr>
          <w:b/>
        </w:rPr>
        <w:lastRenderedPageBreak/>
        <w:t>6</w:t>
      </w:r>
      <w:r w:rsidR="00782EEC" w:rsidRPr="008B1863">
        <w:rPr>
          <w:b/>
        </w:rPr>
        <w:t xml:space="preserve">. </w:t>
      </w:r>
      <w:r w:rsidR="009A23E7">
        <w:rPr>
          <w:b/>
        </w:rPr>
        <w:t xml:space="preserve">   </w:t>
      </w:r>
      <w:r w:rsidR="00782EEC">
        <w:rPr>
          <w:b/>
          <w:caps/>
        </w:rPr>
        <w:t xml:space="preserve">STATE AND LOCAL government WORKER </w:t>
      </w:r>
      <w:r w:rsidR="00782EEC" w:rsidRPr="008B1863">
        <w:rPr>
          <w:b/>
          <w:caps/>
        </w:rPr>
        <w:t>Program</w:t>
      </w:r>
    </w:p>
    <w:p w14:paraId="2054644C" w14:textId="77777777" w:rsidR="007F24C0" w:rsidRDefault="007F24C0" w:rsidP="00002207">
      <w:pPr>
        <w:spacing w:line="276" w:lineRule="auto"/>
        <w:ind w:left="1530" w:hanging="1170"/>
        <w:rPr>
          <w:b/>
          <w:caps/>
        </w:rPr>
      </w:pPr>
    </w:p>
    <w:p w14:paraId="0FC5803A" w14:textId="6A1E781E" w:rsidR="00634970" w:rsidRPr="00AE79D1" w:rsidRDefault="00CD7E80" w:rsidP="00002207">
      <w:pPr>
        <w:spacing w:line="276" w:lineRule="auto"/>
        <w:ind w:left="360"/>
      </w:pPr>
      <w:r>
        <w:t>IL OSHA</w:t>
      </w:r>
      <w:r w:rsidR="00634970" w:rsidRPr="00AE79D1">
        <w:t xml:space="preserve"> is a state and local government only plan; 100% of the </w:t>
      </w:r>
      <w:r w:rsidR="00634970">
        <w:t>315</w:t>
      </w:r>
      <w:r w:rsidR="00634970" w:rsidRPr="00D57263">
        <w:t xml:space="preserve"> </w:t>
      </w:r>
      <w:r w:rsidR="00634970" w:rsidRPr="00AE79D1">
        <w:t xml:space="preserve">inspections were in state and local government. While penalties are </w:t>
      </w:r>
      <w:r w:rsidR="00893B3A">
        <w:t xml:space="preserve">normally </w:t>
      </w:r>
      <w:r w:rsidR="00634970" w:rsidRPr="00AE79D1">
        <w:t xml:space="preserve">not issued for first sanction serious citations, penalties are issued for </w:t>
      </w:r>
      <w:r w:rsidR="00634970" w:rsidRPr="00BE088F">
        <w:t>repeat, willful, and FTA violations.  In FY 202</w:t>
      </w:r>
      <w:r w:rsidR="00634970">
        <w:t>3</w:t>
      </w:r>
      <w:r w:rsidR="00634970" w:rsidRPr="00BE088F">
        <w:t xml:space="preserve"> the State Plan issued </w:t>
      </w:r>
      <w:r w:rsidR="00091CD0">
        <w:t xml:space="preserve">$16,000.00 in serious penalties; </w:t>
      </w:r>
      <w:r w:rsidR="00634970" w:rsidRPr="00BE088F">
        <w:t>$</w:t>
      </w:r>
      <w:r w:rsidR="00091CD0">
        <w:t>80,670</w:t>
      </w:r>
      <w:r w:rsidR="00634970" w:rsidRPr="00BE088F">
        <w:t xml:space="preserve">.00 in </w:t>
      </w:r>
      <w:r w:rsidR="00634970">
        <w:t>r</w:t>
      </w:r>
      <w:r w:rsidR="00634970" w:rsidRPr="00BE088F">
        <w:t xml:space="preserve">epeat penalties; </w:t>
      </w:r>
      <w:r w:rsidR="00B63CDE">
        <w:t xml:space="preserve">and </w:t>
      </w:r>
      <w:r w:rsidR="00634970" w:rsidRPr="00BE088F">
        <w:t>$</w:t>
      </w:r>
      <w:r w:rsidR="00091CD0">
        <w:t>20,000</w:t>
      </w:r>
      <w:r w:rsidR="00634970" w:rsidRPr="00BE088F">
        <w:t xml:space="preserve">.00 in </w:t>
      </w:r>
      <w:r w:rsidR="00634970">
        <w:t>w</w:t>
      </w:r>
      <w:r w:rsidR="00634970" w:rsidRPr="00BE088F">
        <w:t>illful penalties, for a total of $</w:t>
      </w:r>
      <w:r w:rsidR="00F639B6">
        <w:t>116,670</w:t>
      </w:r>
      <w:r w:rsidR="00634970" w:rsidRPr="00BE088F">
        <w:t xml:space="preserve">.00 in penalties. (Source: </w:t>
      </w:r>
      <w:r w:rsidR="00017FCB">
        <w:t>Scan Detail</w:t>
      </w:r>
      <w:r w:rsidR="00634970" w:rsidRPr="00BE088F">
        <w:t xml:space="preserve"> Report dated January 1</w:t>
      </w:r>
      <w:r w:rsidR="00BF4316">
        <w:t>8</w:t>
      </w:r>
      <w:r w:rsidR="00634970" w:rsidRPr="00BE088F">
        <w:t>, 202</w:t>
      </w:r>
      <w:r w:rsidR="00BF4316">
        <w:t>4</w:t>
      </w:r>
      <w:r w:rsidR="00634970" w:rsidRPr="00BE088F">
        <w:t>)</w:t>
      </w:r>
    </w:p>
    <w:p w14:paraId="52DD7A2C" w14:textId="77777777" w:rsidR="00981B3E" w:rsidRDefault="00981B3E" w:rsidP="00002207">
      <w:pPr>
        <w:spacing w:line="276" w:lineRule="auto"/>
        <w:rPr>
          <w:b/>
        </w:rPr>
      </w:pPr>
    </w:p>
    <w:p w14:paraId="15A4D1D7" w14:textId="066883AA" w:rsidR="00782EEC" w:rsidRDefault="00091167" w:rsidP="00002207">
      <w:pPr>
        <w:spacing w:line="276" w:lineRule="auto"/>
        <w:ind w:left="1800" w:hanging="1440"/>
        <w:rPr>
          <w:i/>
        </w:rPr>
      </w:pPr>
      <w:r>
        <w:rPr>
          <w:b/>
        </w:rPr>
        <w:t>7</w:t>
      </w:r>
      <w:r w:rsidR="00782EEC" w:rsidRPr="008B1863">
        <w:rPr>
          <w:b/>
        </w:rPr>
        <w:t xml:space="preserve">.  </w:t>
      </w:r>
      <w:r w:rsidR="00602922">
        <w:rPr>
          <w:b/>
        </w:rPr>
        <w:t xml:space="preserve"> </w:t>
      </w:r>
      <w:r w:rsidR="009A23E7">
        <w:rPr>
          <w:b/>
        </w:rPr>
        <w:t>WHISTL</w:t>
      </w:r>
      <w:r>
        <w:rPr>
          <w:b/>
        </w:rPr>
        <w:t>E</w:t>
      </w:r>
      <w:r w:rsidR="009A23E7">
        <w:rPr>
          <w:b/>
        </w:rPr>
        <w:t>BLOWER</w:t>
      </w:r>
      <w:r w:rsidR="00782EEC">
        <w:rPr>
          <w:b/>
        </w:rPr>
        <w:t xml:space="preserve"> </w:t>
      </w:r>
      <w:r w:rsidR="00782EEC" w:rsidRPr="008B1863">
        <w:rPr>
          <w:b/>
          <w:caps/>
        </w:rPr>
        <w:t>Program</w:t>
      </w:r>
    </w:p>
    <w:p w14:paraId="389026DD" w14:textId="77777777" w:rsidR="00041469" w:rsidRDefault="00041469" w:rsidP="00002207">
      <w:pPr>
        <w:spacing w:line="276" w:lineRule="auto"/>
        <w:ind w:left="1800" w:hanging="1440"/>
        <w:rPr>
          <w:i/>
        </w:rPr>
      </w:pPr>
    </w:p>
    <w:p w14:paraId="7C0FFF6C" w14:textId="61C45260" w:rsidR="00041469" w:rsidRDefault="00A552D1" w:rsidP="00002207">
      <w:pPr>
        <w:spacing w:line="276" w:lineRule="auto"/>
        <w:ind w:left="360"/>
        <w:rPr>
          <w:iCs/>
        </w:rPr>
      </w:pPr>
      <w:r w:rsidRPr="00175A5C">
        <w:t xml:space="preserve">The </w:t>
      </w:r>
      <w:r w:rsidR="00CD7E80">
        <w:t>IL OSHA</w:t>
      </w:r>
      <w:r w:rsidRPr="00175A5C">
        <w:t xml:space="preserve"> </w:t>
      </w:r>
      <w:r w:rsidR="002973A5" w:rsidRPr="00175A5C">
        <w:t>Whistleblower Protection Program</w:t>
      </w:r>
      <w:r w:rsidR="00FD1657" w:rsidRPr="00175A5C">
        <w:t xml:space="preserve"> is </w:t>
      </w:r>
      <w:r w:rsidR="00175A5C">
        <w:t>staffed</w:t>
      </w:r>
      <w:r w:rsidR="00FD1657" w:rsidRPr="00175A5C">
        <w:t xml:space="preserve"> by the </w:t>
      </w:r>
      <w:r w:rsidR="00175A5C">
        <w:t>State Plan’s</w:t>
      </w:r>
      <w:r w:rsidR="00175A5C" w:rsidRPr="00175A5C">
        <w:t xml:space="preserve"> Occupational Safety and Health (OSH) Coordinator</w:t>
      </w:r>
      <w:r w:rsidR="00175A5C">
        <w:t xml:space="preserve">, who manages the program, and two </w:t>
      </w:r>
      <w:r w:rsidR="00C46EF6">
        <w:t>whistleblower investigators who split time between</w:t>
      </w:r>
      <w:r w:rsidR="00064C8B">
        <w:t xml:space="preserve"> safety inspections and whistleblower investigations</w:t>
      </w:r>
      <w:r w:rsidR="00175A5C" w:rsidRPr="00175A5C">
        <w:t xml:space="preserve">. </w:t>
      </w:r>
      <w:r w:rsidR="00064C8B">
        <w:t>In FY 2023 t</w:t>
      </w:r>
      <w:r w:rsidR="00175A5C" w:rsidRPr="00175A5C">
        <w:t xml:space="preserve">he OSH Coordinator focused on </w:t>
      </w:r>
      <w:r w:rsidR="00064C8B">
        <w:t xml:space="preserve">the </w:t>
      </w:r>
      <w:r w:rsidR="00175A5C" w:rsidRPr="00175A5C">
        <w:t>organization and administration of the whistleblower program including a comprehensive update to the Whistleblower Information Manual</w:t>
      </w:r>
      <w:r w:rsidR="00175A5C" w:rsidRPr="00175A5C">
        <w:rPr>
          <w:iCs/>
        </w:rPr>
        <w:t>.</w:t>
      </w:r>
    </w:p>
    <w:p w14:paraId="6CD5CFF8" w14:textId="77777777" w:rsidR="004760C4" w:rsidRDefault="004760C4" w:rsidP="00002207">
      <w:pPr>
        <w:spacing w:line="276" w:lineRule="auto"/>
        <w:ind w:left="360"/>
        <w:rPr>
          <w:iCs/>
        </w:rPr>
      </w:pPr>
    </w:p>
    <w:p w14:paraId="0712ADFA" w14:textId="293EEA44" w:rsidR="00C43146" w:rsidRDefault="00C43146" w:rsidP="00002207">
      <w:pPr>
        <w:spacing w:line="276" w:lineRule="auto"/>
        <w:ind w:left="360"/>
        <w:rPr>
          <w:iCs/>
        </w:rPr>
      </w:pPr>
      <w:r w:rsidRPr="00C43146">
        <w:rPr>
          <w:iCs/>
        </w:rPr>
        <w:t xml:space="preserve">Procedurally, the </w:t>
      </w:r>
      <w:r w:rsidR="00CD7E80">
        <w:rPr>
          <w:iCs/>
        </w:rPr>
        <w:t>IL OSHA</w:t>
      </w:r>
      <w:r w:rsidRPr="00C43146">
        <w:rPr>
          <w:iCs/>
        </w:rPr>
        <w:t xml:space="preserve"> Whistleblower Program adheres to the Illinois Department of Labor Whistleblower Investigation Manual, Effective February 16, 2023, which primarily mirrors OSHA’s Whistleblower Investigations Manual, CPL 02-03-011, and which provides guidelines for the investigation and disposition of discrimination complaints.  Intakes are received by </w:t>
      </w:r>
      <w:r w:rsidR="00CD7E80">
        <w:rPr>
          <w:iCs/>
        </w:rPr>
        <w:t>IL OSHA</w:t>
      </w:r>
      <w:r w:rsidRPr="00C43146">
        <w:rPr>
          <w:iCs/>
        </w:rPr>
        <w:t xml:space="preserve"> via phone, mail, or email.  Additionally, there is a website for individuals to file online complaints.  In FY 2023 all complaints were forwarded to a supervisor, who assigned the complaint to an investigator for screening when available or screened it themselves.</w:t>
      </w:r>
    </w:p>
    <w:p w14:paraId="50414B0E" w14:textId="77777777" w:rsidR="00FA3AA6" w:rsidRDefault="00FA3AA6" w:rsidP="00002207">
      <w:pPr>
        <w:spacing w:line="276" w:lineRule="auto"/>
        <w:ind w:left="360"/>
        <w:rPr>
          <w:iCs/>
        </w:rPr>
      </w:pPr>
    </w:p>
    <w:p w14:paraId="57188125" w14:textId="43E2BEB1" w:rsidR="00FA3AA6" w:rsidRDefault="00FA3AA6" w:rsidP="00002207">
      <w:pPr>
        <w:spacing w:line="276" w:lineRule="auto"/>
        <w:ind w:left="360"/>
        <w:rPr>
          <w:iCs/>
        </w:rPr>
      </w:pPr>
      <w:r w:rsidRPr="00FA3AA6">
        <w:rPr>
          <w:iCs/>
        </w:rPr>
        <w:t xml:space="preserve">During FY 2023, </w:t>
      </w:r>
      <w:r w:rsidR="00CD7E80">
        <w:rPr>
          <w:iCs/>
        </w:rPr>
        <w:t>IL OSHA</w:t>
      </w:r>
      <w:r w:rsidRPr="00FA3AA6">
        <w:rPr>
          <w:iCs/>
        </w:rPr>
        <w:t xml:space="preserve"> docketed </w:t>
      </w:r>
      <w:r w:rsidR="00140274">
        <w:rPr>
          <w:iCs/>
        </w:rPr>
        <w:t>nine</w:t>
      </w:r>
      <w:r w:rsidRPr="00FA3AA6">
        <w:rPr>
          <w:iCs/>
        </w:rPr>
        <w:t xml:space="preserve"> cases for investigation and </w:t>
      </w:r>
      <w:r w:rsidR="00140274">
        <w:rPr>
          <w:iCs/>
        </w:rPr>
        <w:t xml:space="preserve">administratively </w:t>
      </w:r>
      <w:r w:rsidRPr="00FA3AA6">
        <w:rPr>
          <w:iCs/>
        </w:rPr>
        <w:t xml:space="preserve">closed </w:t>
      </w:r>
      <w:r w:rsidR="00140274">
        <w:rPr>
          <w:iCs/>
        </w:rPr>
        <w:t>nine</w:t>
      </w:r>
      <w:r w:rsidRPr="00FA3AA6">
        <w:rPr>
          <w:iCs/>
        </w:rPr>
        <w:t xml:space="preserve"> cases.  </w:t>
      </w:r>
      <w:r w:rsidR="005C683F">
        <w:rPr>
          <w:iCs/>
        </w:rPr>
        <w:t xml:space="preserve">All </w:t>
      </w:r>
      <w:r w:rsidR="00586F3D">
        <w:rPr>
          <w:iCs/>
        </w:rPr>
        <w:t xml:space="preserve">18 whistleblower case files were </w:t>
      </w:r>
      <w:r w:rsidR="00C53AD3">
        <w:rPr>
          <w:iCs/>
        </w:rPr>
        <w:t xml:space="preserve">reviewed </w:t>
      </w:r>
      <w:r w:rsidR="00D0562E">
        <w:rPr>
          <w:iCs/>
        </w:rPr>
        <w:t xml:space="preserve">to address </w:t>
      </w:r>
      <w:r w:rsidR="00B62C2E">
        <w:rPr>
          <w:iCs/>
        </w:rPr>
        <w:t xml:space="preserve">three previous </w:t>
      </w:r>
      <w:r w:rsidR="007C4B89">
        <w:rPr>
          <w:iCs/>
        </w:rPr>
        <w:t>findings associated with the whistleblower program.</w:t>
      </w:r>
      <w:r w:rsidR="008F37CF">
        <w:rPr>
          <w:iCs/>
        </w:rPr>
        <w:t xml:space="preserve">  The </w:t>
      </w:r>
      <w:r w:rsidR="006C7D1C">
        <w:rPr>
          <w:iCs/>
        </w:rPr>
        <w:t>concerns</w:t>
      </w:r>
      <w:r w:rsidR="008F37CF">
        <w:rPr>
          <w:iCs/>
        </w:rPr>
        <w:t xml:space="preserve"> </w:t>
      </w:r>
      <w:r w:rsidR="00DB06F8">
        <w:rPr>
          <w:iCs/>
        </w:rPr>
        <w:t xml:space="preserve">included </w:t>
      </w:r>
      <w:r w:rsidR="006C7D1C">
        <w:rPr>
          <w:iCs/>
        </w:rPr>
        <w:t xml:space="preserve">Finding </w:t>
      </w:r>
      <w:r w:rsidR="00DB06F8">
        <w:rPr>
          <w:iCs/>
        </w:rPr>
        <w:t>FY 2022-03</w:t>
      </w:r>
      <w:r w:rsidR="00332DFA">
        <w:rPr>
          <w:iCs/>
        </w:rPr>
        <w:t>:</w:t>
      </w:r>
      <w:r w:rsidR="00FD0112">
        <w:rPr>
          <w:iCs/>
        </w:rPr>
        <w:t xml:space="preserve"> </w:t>
      </w:r>
      <w:r w:rsidR="006E56E2">
        <w:rPr>
          <w:iCs/>
        </w:rPr>
        <w:t>w</w:t>
      </w:r>
      <w:r w:rsidR="006E56E2" w:rsidRPr="006E56E2">
        <w:rPr>
          <w:iCs/>
        </w:rPr>
        <w:t>histleblower complaints were not properly processed</w:t>
      </w:r>
      <w:r w:rsidR="00332DFA">
        <w:rPr>
          <w:iCs/>
        </w:rPr>
        <w:t>,</w:t>
      </w:r>
      <w:r w:rsidR="00F27A7A">
        <w:rPr>
          <w:iCs/>
        </w:rPr>
        <w:t xml:space="preserve"> Finding FY 2022-04</w:t>
      </w:r>
      <w:r w:rsidR="00332DFA">
        <w:rPr>
          <w:iCs/>
        </w:rPr>
        <w:t>:</w:t>
      </w:r>
      <w:r w:rsidR="00431878">
        <w:rPr>
          <w:iCs/>
        </w:rPr>
        <w:t xml:space="preserve"> </w:t>
      </w:r>
      <w:r w:rsidR="00431878" w:rsidRPr="00431878">
        <w:rPr>
          <w:iCs/>
        </w:rPr>
        <w:t>administratively closed whistleblower intakes had an inaccurate or missing activity or telephone log</w:t>
      </w:r>
      <w:r w:rsidR="00332DFA">
        <w:rPr>
          <w:iCs/>
        </w:rPr>
        <w:t>,</w:t>
      </w:r>
      <w:r w:rsidR="00431878">
        <w:rPr>
          <w:iCs/>
        </w:rPr>
        <w:t xml:space="preserve"> and </w:t>
      </w:r>
      <w:r w:rsidR="00FD0112">
        <w:rPr>
          <w:iCs/>
        </w:rPr>
        <w:t>Finding FY 2022-05</w:t>
      </w:r>
      <w:r w:rsidR="00332DFA">
        <w:rPr>
          <w:iCs/>
        </w:rPr>
        <w:t>:</w:t>
      </w:r>
      <w:r w:rsidR="00FD0112">
        <w:rPr>
          <w:iCs/>
        </w:rPr>
        <w:t xml:space="preserve"> </w:t>
      </w:r>
      <w:r w:rsidR="00843B53">
        <w:rPr>
          <w:iCs/>
        </w:rPr>
        <w:t>d</w:t>
      </w:r>
      <w:r w:rsidR="00843B53" w:rsidRPr="00843B53">
        <w:rPr>
          <w:iCs/>
        </w:rPr>
        <w:t xml:space="preserve">uring FY 2022, the State Plan closed or completed zero whistleblower investigations.  </w:t>
      </w:r>
    </w:p>
    <w:p w14:paraId="4C934B2E" w14:textId="77777777" w:rsidR="00843B53" w:rsidRDefault="00843B53" w:rsidP="00002207">
      <w:pPr>
        <w:spacing w:line="276" w:lineRule="auto"/>
        <w:ind w:left="360"/>
        <w:rPr>
          <w:iCs/>
        </w:rPr>
      </w:pPr>
    </w:p>
    <w:p w14:paraId="32393F63" w14:textId="5262DE3A" w:rsidR="00843B53" w:rsidRDefault="007C672B" w:rsidP="00002207">
      <w:pPr>
        <w:spacing w:line="276" w:lineRule="auto"/>
        <w:ind w:left="360"/>
        <w:rPr>
          <w:iCs/>
        </w:rPr>
      </w:pPr>
      <w:r>
        <w:rPr>
          <w:iCs/>
        </w:rPr>
        <w:t>I</w:t>
      </w:r>
      <w:r w:rsidR="002C56F7">
        <w:rPr>
          <w:iCs/>
        </w:rPr>
        <w:t xml:space="preserve">n </w:t>
      </w:r>
      <w:r w:rsidR="00213CD4" w:rsidRPr="00213CD4">
        <w:rPr>
          <w:iCs/>
        </w:rPr>
        <w:t>17 of 18 cases reviewed,</w:t>
      </w:r>
      <w:r w:rsidR="003B4E44" w:rsidRPr="003B4E44">
        <w:t xml:space="preserve"> </w:t>
      </w:r>
      <w:r w:rsidR="00F21F56">
        <w:rPr>
          <w:iCs/>
        </w:rPr>
        <w:t xml:space="preserve">prior to closing the case, </w:t>
      </w:r>
      <w:r w:rsidR="00FD7825" w:rsidRPr="003B4E44">
        <w:rPr>
          <w:iCs/>
        </w:rPr>
        <w:t xml:space="preserve">the complainant </w:t>
      </w:r>
      <w:r w:rsidR="000254E8">
        <w:rPr>
          <w:iCs/>
        </w:rPr>
        <w:t xml:space="preserve">was </w:t>
      </w:r>
      <w:r w:rsidR="000254E8" w:rsidRPr="003B4E44">
        <w:rPr>
          <w:iCs/>
        </w:rPr>
        <w:t>contact</w:t>
      </w:r>
      <w:r w:rsidR="000254E8">
        <w:rPr>
          <w:iCs/>
        </w:rPr>
        <w:t>ed</w:t>
      </w:r>
      <w:r w:rsidR="000254E8" w:rsidRPr="003B4E44">
        <w:rPr>
          <w:iCs/>
        </w:rPr>
        <w:t xml:space="preserve"> to conduct an interview and to obtain the complainant’s concurrence</w:t>
      </w:r>
      <w:r w:rsidR="009F5B30">
        <w:rPr>
          <w:iCs/>
        </w:rPr>
        <w:t xml:space="preserve"> for closing</w:t>
      </w:r>
      <w:r w:rsidR="004E6E31">
        <w:rPr>
          <w:iCs/>
        </w:rPr>
        <w:t>.</w:t>
      </w:r>
      <w:r w:rsidR="003B4E44" w:rsidRPr="003B4E44">
        <w:rPr>
          <w:iCs/>
        </w:rPr>
        <w:t xml:space="preserve"> </w:t>
      </w:r>
      <w:r w:rsidR="002B034D">
        <w:rPr>
          <w:iCs/>
        </w:rPr>
        <w:t xml:space="preserve"> A</w:t>
      </w:r>
      <w:r w:rsidR="00213CD4" w:rsidRPr="00213CD4">
        <w:rPr>
          <w:iCs/>
        </w:rPr>
        <w:t xml:space="preserve"> memo to file was created to document the interview of the complainant and why the complaint was closed</w:t>
      </w:r>
      <w:r w:rsidR="00213CD4">
        <w:rPr>
          <w:iCs/>
        </w:rPr>
        <w:t>.</w:t>
      </w:r>
      <w:r w:rsidR="00B2453C">
        <w:rPr>
          <w:iCs/>
        </w:rPr>
        <w:t xml:space="preserve">  </w:t>
      </w:r>
      <w:r w:rsidR="00752D71" w:rsidRPr="00752D71">
        <w:rPr>
          <w:iCs/>
        </w:rPr>
        <w:t xml:space="preserve">In the final instance, the supervisor utilized </w:t>
      </w:r>
      <w:r w:rsidR="00643835">
        <w:rPr>
          <w:iCs/>
        </w:rPr>
        <w:t>an</w:t>
      </w:r>
      <w:r w:rsidR="00752D71" w:rsidRPr="00752D71">
        <w:rPr>
          <w:iCs/>
        </w:rPr>
        <w:t xml:space="preserve"> allowance</w:t>
      </w:r>
      <w:r w:rsidR="00643835">
        <w:rPr>
          <w:iCs/>
        </w:rPr>
        <w:t xml:space="preserve"> </w:t>
      </w:r>
      <w:r w:rsidR="00752D71" w:rsidRPr="00752D71">
        <w:rPr>
          <w:iCs/>
        </w:rPr>
        <w:t>for supervisory review and administrative closure of complaints that do not meet threshold requirements.</w:t>
      </w:r>
      <w:r w:rsidR="00643835">
        <w:rPr>
          <w:iCs/>
        </w:rPr>
        <w:t xml:space="preserve">  </w:t>
      </w:r>
      <w:r w:rsidR="00CD7E80">
        <w:rPr>
          <w:iCs/>
        </w:rPr>
        <w:t>IL OSHA</w:t>
      </w:r>
      <w:r w:rsidRPr="007C672B">
        <w:rPr>
          <w:iCs/>
        </w:rPr>
        <w:t xml:space="preserve"> followed established procedures in all 18 cases reviewed</w:t>
      </w:r>
      <w:r>
        <w:rPr>
          <w:iCs/>
        </w:rPr>
        <w:t>.</w:t>
      </w:r>
      <w:r w:rsidR="00BD364E">
        <w:rPr>
          <w:iCs/>
        </w:rPr>
        <w:t xml:space="preserve">  Finding FY 2022-03 is </w:t>
      </w:r>
      <w:r w:rsidR="00B11DA2">
        <w:rPr>
          <w:iCs/>
        </w:rPr>
        <w:t>completed.</w:t>
      </w:r>
    </w:p>
    <w:p w14:paraId="1F4E0300" w14:textId="77777777" w:rsidR="00A90348" w:rsidRDefault="00A90348" w:rsidP="00002207">
      <w:pPr>
        <w:spacing w:line="276" w:lineRule="auto"/>
        <w:ind w:left="360"/>
        <w:rPr>
          <w:iCs/>
        </w:rPr>
      </w:pPr>
    </w:p>
    <w:p w14:paraId="3DDB9C74" w14:textId="159F03E8" w:rsidR="00A90348" w:rsidRDefault="00F744CB" w:rsidP="00002207">
      <w:pPr>
        <w:spacing w:line="276" w:lineRule="auto"/>
        <w:ind w:left="360"/>
        <w:rPr>
          <w:iCs/>
        </w:rPr>
      </w:pPr>
      <w:r>
        <w:rPr>
          <w:iCs/>
        </w:rPr>
        <w:t xml:space="preserve">All </w:t>
      </w:r>
      <w:r w:rsidRPr="00F744CB">
        <w:rPr>
          <w:iCs/>
        </w:rPr>
        <w:t xml:space="preserve">18 </w:t>
      </w:r>
      <w:r w:rsidR="006E0A4A">
        <w:rPr>
          <w:iCs/>
        </w:rPr>
        <w:t xml:space="preserve">whistleblower </w:t>
      </w:r>
      <w:r w:rsidRPr="00F744CB">
        <w:rPr>
          <w:iCs/>
        </w:rPr>
        <w:t xml:space="preserve">case files reviewed during </w:t>
      </w:r>
      <w:r w:rsidR="006E0A4A">
        <w:rPr>
          <w:iCs/>
        </w:rPr>
        <w:t xml:space="preserve">the FY 2023 FAME audit </w:t>
      </w:r>
      <w:r w:rsidRPr="00F744CB">
        <w:rPr>
          <w:iCs/>
        </w:rPr>
        <w:t>contained an adequate activity or telephone log.</w:t>
      </w:r>
      <w:r w:rsidR="006E0A4A">
        <w:rPr>
          <w:iCs/>
        </w:rPr>
        <w:t xml:space="preserve">  Finding FY 2022-04</w:t>
      </w:r>
      <w:r w:rsidR="00705AFC">
        <w:rPr>
          <w:iCs/>
        </w:rPr>
        <w:t xml:space="preserve"> is completed.</w:t>
      </w:r>
    </w:p>
    <w:p w14:paraId="25616049" w14:textId="77777777" w:rsidR="00705AFC" w:rsidRDefault="00705AFC" w:rsidP="00002207">
      <w:pPr>
        <w:spacing w:line="276" w:lineRule="auto"/>
        <w:ind w:left="360"/>
        <w:rPr>
          <w:iCs/>
        </w:rPr>
      </w:pPr>
    </w:p>
    <w:p w14:paraId="55353DF1" w14:textId="11E00DCB" w:rsidR="00705AFC" w:rsidRDefault="0033549E" w:rsidP="00002207">
      <w:pPr>
        <w:spacing w:line="276" w:lineRule="auto"/>
        <w:ind w:left="360"/>
        <w:rPr>
          <w:iCs/>
        </w:rPr>
      </w:pPr>
      <w:r>
        <w:rPr>
          <w:rFonts w:eastAsia="Calibri"/>
        </w:rPr>
        <w:t xml:space="preserve">In the second quarter of FY 2021, </w:t>
      </w:r>
      <w:r w:rsidRPr="003B3986">
        <w:rPr>
          <w:rFonts w:eastAsia="Calibri"/>
        </w:rPr>
        <w:t>the Illinois Department of Labor Conciliation and Mediation Division (CONMED)</w:t>
      </w:r>
      <w:r w:rsidR="00854426">
        <w:rPr>
          <w:rFonts w:eastAsia="Calibri"/>
        </w:rPr>
        <w:t xml:space="preserve"> transferred the </w:t>
      </w:r>
      <w:r w:rsidR="009836AE">
        <w:rPr>
          <w:rFonts w:eastAsia="Calibri"/>
        </w:rPr>
        <w:t xml:space="preserve">whistleblower protection responsibilities to the Illinois State </w:t>
      </w:r>
      <w:r w:rsidR="009836AE">
        <w:rPr>
          <w:rFonts w:eastAsia="Calibri"/>
        </w:rPr>
        <w:lastRenderedPageBreak/>
        <w:t xml:space="preserve">plan.  </w:t>
      </w:r>
      <w:r w:rsidR="0048777B">
        <w:rPr>
          <w:rFonts w:eastAsia="Calibri"/>
        </w:rPr>
        <w:t>T</w:t>
      </w:r>
      <w:r w:rsidR="00B93AA4">
        <w:rPr>
          <w:iCs/>
        </w:rPr>
        <w:t xml:space="preserve">he Illinois State Plan </w:t>
      </w:r>
      <w:r w:rsidR="00187F38">
        <w:rPr>
          <w:iCs/>
        </w:rPr>
        <w:t>worked</w:t>
      </w:r>
      <w:r w:rsidR="0048777B">
        <w:rPr>
          <w:iCs/>
        </w:rPr>
        <w:t xml:space="preserve"> to staff and </w:t>
      </w:r>
      <w:r w:rsidR="00CC1803">
        <w:rPr>
          <w:iCs/>
        </w:rPr>
        <w:t>train investigators and management in the</w:t>
      </w:r>
      <w:r w:rsidR="00C534E6">
        <w:rPr>
          <w:iCs/>
        </w:rPr>
        <w:t xml:space="preserve"> </w:t>
      </w:r>
      <w:bookmarkStart w:id="8" w:name="_Hlk162014045"/>
      <w:r w:rsidR="00C534E6" w:rsidRPr="003B3986">
        <w:rPr>
          <w:rFonts w:eastAsia="Calibri"/>
        </w:rPr>
        <w:t xml:space="preserve">Whistleblower Protection Program </w:t>
      </w:r>
      <w:bookmarkEnd w:id="8"/>
      <w:r w:rsidR="00187F38">
        <w:rPr>
          <w:rFonts w:eastAsia="Calibri"/>
        </w:rPr>
        <w:t xml:space="preserve">policies and procedures through the rest of FY 2021 and </w:t>
      </w:r>
      <w:r w:rsidR="00E0496A">
        <w:rPr>
          <w:rFonts w:eastAsia="Calibri"/>
        </w:rPr>
        <w:t>through FY 2022</w:t>
      </w:r>
      <w:r w:rsidR="006349B9">
        <w:rPr>
          <w:rFonts w:eastAsia="Calibri"/>
        </w:rPr>
        <w:t>.  Finding FY 2022-05</w:t>
      </w:r>
      <w:r w:rsidR="00692FC0">
        <w:rPr>
          <w:rFonts w:eastAsia="Calibri"/>
        </w:rPr>
        <w:t xml:space="preserve"> addressed</w:t>
      </w:r>
      <w:r w:rsidR="00E66305">
        <w:rPr>
          <w:iCs/>
        </w:rPr>
        <w:t xml:space="preserve"> the</w:t>
      </w:r>
      <w:r w:rsidR="00C534E6">
        <w:rPr>
          <w:iCs/>
        </w:rPr>
        <w:t xml:space="preserve"> State Plan</w:t>
      </w:r>
      <w:r w:rsidR="00C52ED2">
        <w:rPr>
          <w:iCs/>
        </w:rPr>
        <w:t>’s</w:t>
      </w:r>
      <w:r w:rsidR="00931F0D">
        <w:rPr>
          <w:iCs/>
        </w:rPr>
        <w:t xml:space="preserve"> struggle</w:t>
      </w:r>
      <w:r w:rsidR="00692FC0">
        <w:rPr>
          <w:iCs/>
        </w:rPr>
        <w:t>s</w:t>
      </w:r>
      <w:r w:rsidR="00931F0D">
        <w:rPr>
          <w:iCs/>
        </w:rPr>
        <w:t xml:space="preserve"> to </w:t>
      </w:r>
      <w:r w:rsidR="00C534E6">
        <w:rPr>
          <w:iCs/>
        </w:rPr>
        <w:t xml:space="preserve">complete and close </w:t>
      </w:r>
      <w:r w:rsidR="00B21BFD">
        <w:rPr>
          <w:iCs/>
        </w:rPr>
        <w:t>any whistleblower cases</w:t>
      </w:r>
      <w:r w:rsidR="00692FC0">
        <w:rPr>
          <w:iCs/>
        </w:rPr>
        <w:t xml:space="preserve"> and </w:t>
      </w:r>
      <w:r w:rsidR="00E0496A">
        <w:rPr>
          <w:iCs/>
        </w:rPr>
        <w:t>addressed the</w:t>
      </w:r>
      <w:r w:rsidR="00692FC0">
        <w:rPr>
          <w:iCs/>
        </w:rPr>
        <w:t xml:space="preserve"> five docketed cases with </w:t>
      </w:r>
      <w:r w:rsidR="00C52ED2">
        <w:rPr>
          <w:iCs/>
        </w:rPr>
        <w:t>931 average days pending</w:t>
      </w:r>
      <w:r w:rsidR="00B21BFD">
        <w:rPr>
          <w:iCs/>
        </w:rPr>
        <w:t>.  D</w:t>
      </w:r>
      <w:r w:rsidR="00B21BFD" w:rsidRPr="00EE1261">
        <w:rPr>
          <w:iCs/>
        </w:rPr>
        <w:t>uring FY</w:t>
      </w:r>
      <w:r w:rsidR="00AB47F5">
        <w:rPr>
          <w:iCs/>
        </w:rPr>
        <w:t xml:space="preserve"> </w:t>
      </w:r>
      <w:r w:rsidR="00B21BFD" w:rsidRPr="00EE1261">
        <w:rPr>
          <w:iCs/>
        </w:rPr>
        <w:t xml:space="preserve">2023 </w:t>
      </w:r>
      <w:r w:rsidR="00CD7E80">
        <w:rPr>
          <w:iCs/>
        </w:rPr>
        <w:t>IL OSHA</w:t>
      </w:r>
      <w:r w:rsidR="00EE1261" w:rsidRPr="00EE1261">
        <w:rPr>
          <w:iCs/>
        </w:rPr>
        <w:t xml:space="preserve"> </w:t>
      </w:r>
      <w:r w:rsidR="002062A1">
        <w:rPr>
          <w:iCs/>
        </w:rPr>
        <w:t xml:space="preserve">worked diligently to implement effective </w:t>
      </w:r>
      <w:r w:rsidR="002D7F0E">
        <w:rPr>
          <w:iCs/>
        </w:rPr>
        <w:t xml:space="preserve">processes for </w:t>
      </w:r>
      <w:r w:rsidR="00CD1DDC">
        <w:rPr>
          <w:iCs/>
        </w:rPr>
        <w:t xml:space="preserve">the management of the whistleblower investigations and </w:t>
      </w:r>
      <w:r w:rsidR="00EE1261" w:rsidRPr="00EE1261">
        <w:rPr>
          <w:iCs/>
        </w:rPr>
        <w:t xml:space="preserve">closed nine fully investigated cases using proper investigative methods and completed twenty administrative closures. </w:t>
      </w:r>
      <w:r w:rsidR="00E66305">
        <w:rPr>
          <w:iCs/>
        </w:rPr>
        <w:t xml:space="preserve"> </w:t>
      </w:r>
      <w:r w:rsidR="006A7F55">
        <w:rPr>
          <w:iCs/>
        </w:rPr>
        <w:t>FY 2023 saw an increase in whistleblower complaints and c</w:t>
      </w:r>
      <w:r w:rsidR="00E66305" w:rsidRPr="00EE1261">
        <w:rPr>
          <w:iCs/>
        </w:rPr>
        <w:t xml:space="preserve">urrently </w:t>
      </w:r>
      <w:r w:rsidR="00CD7E80">
        <w:rPr>
          <w:iCs/>
        </w:rPr>
        <w:t>IL OSHA</w:t>
      </w:r>
      <w:r w:rsidR="00EE1261" w:rsidRPr="00EE1261">
        <w:rPr>
          <w:iCs/>
        </w:rPr>
        <w:t xml:space="preserve"> has thirteen open whistleblower complaints pending investigation, and three pending intakes. Four of those cases pending investigation are aged case</w:t>
      </w:r>
      <w:r w:rsidR="000D2A25">
        <w:rPr>
          <w:iCs/>
        </w:rPr>
        <w:t>s</w:t>
      </w:r>
      <w:r w:rsidR="00EE1261" w:rsidRPr="00EE1261">
        <w:rPr>
          <w:iCs/>
        </w:rPr>
        <w:t xml:space="preserve"> over three years. </w:t>
      </w:r>
      <w:r w:rsidR="002F6BED">
        <w:rPr>
          <w:iCs/>
        </w:rPr>
        <w:t>With the</w:t>
      </w:r>
      <w:r w:rsidR="00EE1261" w:rsidRPr="00EE1261">
        <w:rPr>
          <w:iCs/>
        </w:rPr>
        <w:t xml:space="preserve"> substantial improvement </w:t>
      </w:r>
      <w:r w:rsidR="002F6BED">
        <w:rPr>
          <w:iCs/>
        </w:rPr>
        <w:t xml:space="preserve">by </w:t>
      </w:r>
      <w:r w:rsidR="00CD7E80">
        <w:rPr>
          <w:iCs/>
        </w:rPr>
        <w:t>IL OSHA</w:t>
      </w:r>
      <w:r w:rsidR="00F05C07">
        <w:rPr>
          <w:iCs/>
        </w:rPr>
        <w:t xml:space="preserve"> </w:t>
      </w:r>
      <w:r w:rsidR="009C7A9D">
        <w:rPr>
          <w:iCs/>
        </w:rPr>
        <w:t xml:space="preserve">to improve the whistleblower case management processes </w:t>
      </w:r>
      <w:r w:rsidR="00F05C07" w:rsidRPr="00EE1261">
        <w:rPr>
          <w:iCs/>
        </w:rPr>
        <w:t>during</w:t>
      </w:r>
      <w:r w:rsidR="00EE1261" w:rsidRPr="00EE1261">
        <w:rPr>
          <w:iCs/>
        </w:rPr>
        <w:t xml:space="preserve"> FY</w:t>
      </w:r>
      <w:r w:rsidR="002F6BED">
        <w:rPr>
          <w:iCs/>
        </w:rPr>
        <w:t xml:space="preserve"> </w:t>
      </w:r>
      <w:r w:rsidR="00EE1261" w:rsidRPr="00EE1261">
        <w:rPr>
          <w:iCs/>
        </w:rPr>
        <w:t>2023</w:t>
      </w:r>
      <w:r w:rsidR="007F51DC">
        <w:rPr>
          <w:iCs/>
        </w:rPr>
        <w:t xml:space="preserve">, Finding FY 2022-05 is being </w:t>
      </w:r>
      <w:r w:rsidR="006336A3">
        <w:rPr>
          <w:iCs/>
        </w:rPr>
        <w:t xml:space="preserve">converted to Observation </w:t>
      </w:r>
      <w:r w:rsidR="0010565F">
        <w:rPr>
          <w:iCs/>
        </w:rPr>
        <w:t>FY</w:t>
      </w:r>
      <w:r w:rsidR="00793A41">
        <w:rPr>
          <w:iCs/>
        </w:rPr>
        <w:t xml:space="preserve"> 2023-OB-03.</w:t>
      </w:r>
    </w:p>
    <w:p w14:paraId="7723C7DF" w14:textId="77777777" w:rsidR="00793A41" w:rsidRDefault="00793A41" w:rsidP="00002207">
      <w:pPr>
        <w:spacing w:line="276" w:lineRule="auto"/>
        <w:ind w:left="360"/>
        <w:rPr>
          <w:iCs/>
        </w:rPr>
      </w:pPr>
    </w:p>
    <w:p w14:paraId="7F3C4C2B" w14:textId="691B711B" w:rsidR="00793A41" w:rsidRDefault="00793A41" w:rsidP="00002207">
      <w:pPr>
        <w:spacing w:line="276" w:lineRule="auto"/>
        <w:ind w:left="360"/>
        <w:rPr>
          <w:iCs/>
          <w:lang w:bidi="en-US"/>
        </w:rPr>
      </w:pPr>
      <w:r w:rsidRPr="008E7486">
        <w:rPr>
          <w:b/>
          <w:bCs/>
          <w:iCs/>
          <w:lang w:bidi="en-US"/>
        </w:rPr>
        <w:t>Observation FY 202</w:t>
      </w:r>
      <w:r>
        <w:rPr>
          <w:b/>
          <w:bCs/>
          <w:iCs/>
          <w:lang w:bidi="en-US"/>
        </w:rPr>
        <w:t>3</w:t>
      </w:r>
      <w:r w:rsidRPr="008E7486">
        <w:rPr>
          <w:b/>
          <w:bCs/>
          <w:iCs/>
          <w:lang w:bidi="en-US"/>
        </w:rPr>
        <w:t>-OB-0</w:t>
      </w:r>
      <w:r>
        <w:rPr>
          <w:b/>
          <w:bCs/>
          <w:iCs/>
          <w:lang w:bidi="en-US"/>
        </w:rPr>
        <w:t>3</w:t>
      </w:r>
      <w:r w:rsidRPr="008E7486">
        <w:rPr>
          <w:b/>
          <w:bCs/>
          <w:iCs/>
          <w:lang w:bidi="en-US"/>
        </w:rPr>
        <w:t xml:space="preserve"> (FY 202</w:t>
      </w:r>
      <w:r>
        <w:rPr>
          <w:b/>
          <w:bCs/>
          <w:iCs/>
          <w:lang w:bidi="en-US"/>
        </w:rPr>
        <w:t>2</w:t>
      </w:r>
      <w:r w:rsidRPr="008E7486">
        <w:rPr>
          <w:b/>
          <w:bCs/>
          <w:iCs/>
          <w:lang w:bidi="en-US"/>
        </w:rPr>
        <w:t>-</w:t>
      </w:r>
      <w:r w:rsidR="00434555" w:rsidRPr="008E7486">
        <w:rPr>
          <w:b/>
          <w:bCs/>
          <w:iCs/>
          <w:lang w:bidi="en-US"/>
        </w:rPr>
        <w:t xml:space="preserve"> </w:t>
      </w:r>
      <w:r w:rsidRPr="008E7486">
        <w:rPr>
          <w:b/>
          <w:bCs/>
          <w:iCs/>
          <w:lang w:bidi="en-US"/>
        </w:rPr>
        <w:t>0</w:t>
      </w:r>
      <w:r w:rsidR="00434555">
        <w:rPr>
          <w:b/>
          <w:bCs/>
          <w:iCs/>
          <w:lang w:bidi="en-US"/>
        </w:rPr>
        <w:t>5</w:t>
      </w:r>
      <w:r w:rsidRPr="008E7486">
        <w:rPr>
          <w:b/>
          <w:bCs/>
          <w:iCs/>
          <w:lang w:bidi="en-US"/>
        </w:rPr>
        <w:t>):</w:t>
      </w:r>
      <w:r>
        <w:rPr>
          <w:b/>
          <w:bCs/>
          <w:iCs/>
          <w:lang w:bidi="en-US"/>
        </w:rPr>
        <w:t xml:space="preserve"> </w:t>
      </w:r>
      <w:r w:rsidR="00062378" w:rsidRPr="00062378">
        <w:rPr>
          <w:iCs/>
          <w:lang w:bidi="en-US"/>
        </w:rPr>
        <w:t>The Illinois State Plan currently has three pending docketed whistleblower cases and one pending whistleblower intake with 1,526 average days pending</w:t>
      </w:r>
      <w:r w:rsidRPr="00FF536D">
        <w:rPr>
          <w:iCs/>
          <w:lang w:bidi="en-US"/>
        </w:rPr>
        <w:t>.</w:t>
      </w:r>
    </w:p>
    <w:p w14:paraId="474308E1" w14:textId="77777777" w:rsidR="00793A41" w:rsidRDefault="00793A41" w:rsidP="00002207">
      <w:pPr>
        <w:spacing w:line="276" w:lineRule="auto"/>
        <w:ind w:left="360"/>
      </w:pPr>
    </w:p>
    <w:p w14:paraId="71B871EF" w14:textId="213AFEF7" w:rsidR="00793A41" w:rsidRDefault="00793A41" w:rsidP="00002207">
      <w:pPr>
        <w:spacing w:line="276" w:lineRule="auto"/>
        <w:ind w:left="360"/>
        <w:rPr>
          <w:iCs/>
        </w:rPr>
      </w:pPr>
      <w:r w:rsidRPr="00EC1572">
        <w:rPr>
          <w:b/>
          <w:bCs/>
          <w:iCs/>
        </w:rPr>
        <w:t>Federal Monitoring Plan FY 20</w:t>
      </w:r>
      <w:r>
        <w:rPr>
          <w:b/>
          <w:bCs/>
          <w:iCs/>
        </w:rPr>
        <w:t>23</w:t>
      </w:r>
      <w:r w:rsidRPr="00EC1572">
        <w:rPr>
          <w:b/>
          <w:bCs/>
          <w:iCs/>
        </w:rPr>
        <w:t xml:space="preserve">-OB-01: </w:t>
      </w:r>
      <w:r w:rsidR="00A10AF9" w:rsidRPr="00A10AF9">
        <w:rPr>
          <w:iCs/>
        </w:rPr>
        <w:t>OSHA will discuss and evaluate Illinois OSHA’s progress to close docketed cases during quarterly monitoring meetings.</w:t>
      </w:r>
    </w:p>
    <w:p w14:paraId="19FF64F7" w14:textId="77777777" w:rsidR="00BC4909" w:rsidRPr="00F66AFB" w:rsidRDefault="00BC4909" w:rsidP="00002207">
      <w:pPr>
        <w:widowControl/>
        <w:autoSpaceDE/>
        <w:autoSpaceDN/>
        <w:adjustRightInd/>
        <w:spacing w:after="200" w:line="276" w:lineRule="auto"/>
        <w:ind w:left="1170" w:hanging="360"/>
        <w:contextualSpacing/>
      </w:pPr>
    </w:p>
    <w:p w14:paraId="75D112D9" w14:textId="77777777" w:rsidR="00602922" w:rsidRDefault="00091167" w:rsidP="00002207">
      <w:pPr>
        <w:tabs>
          <w:tab w:val="left" w:pos="1620"/>
        </w:tabs>
        <w:spacing w:line="276" w:lineRule="auto"/>
        <w:ind w:left="1440" w:hanging="1080"/>
        <w:rPr>
          <w:b/>
        </w:rPr>
      </w:pPr>
      <w:r>
        <w:rPr>
          <w:b/>
        </w:rPr>
        <w:t>8</w:t>
      </w:r>
      <w:r w:rsidR="00782EEC" w:rsidRPr="008B1863">
        <w:rPr>
          <w:b/>
        </w:rPr>
        <w:t xml:space="preserve">.  </w:t>
      </w:r>
      <w:r w:rsidR="00782EEC" w:rsidRPr="00836129">
        <w:rPr>
          <w:rFonts w:ascii="Times New Roman Bold" w:hAnsi="Times New Roman Bold"/>
          <w:b/>
          <w:caps/>
        </w:rPr>
        <w:t>Complaint About State Program Administration</w:t>
      </w:r>
      <w:r w:rsidR="00782EEC">
        <w:rPr>
          <w:b/>
        </w:rPr>
        <w:t xml:space="preserve"> (CASPA) </w:t>
      </w:r>
    </w:p>
    <w:p w14:paraId="4E296A7F" w14:textId="77777777" w:rsidR="00782EEC" w:rsidRPr="00EC2D8D" w:rsidRDefault="00782EEC" w:rsidP="00002207">
      <w:pPr>
        <w:spacing w:line="276" w:lineRule="auto"/>
        <w:contextualSpacing/>
        <w:rPr>
          <w:iCs/>
        </w:rPr>
      </w:pPr>
    </w:p>
    <w:p w14:paraId="7E77BA7B" w14:textId="0580D885" w:rsidR="00EC2D8D" w:rsidRPr="00EC2D8D" w:rsidRDefault="00681772" w:rsidP="00002207">
      <w:pPr>
        <w:spacing w:line="276" w:lineRule="auto"/>
        <w:ind w:left="360"/>
        <w:contextualSpacing/>
        <w:rPr>
          <w:iCs/>
        </w:rPr>
      </w:pPr>
      <w:r w:rsidRPr="00681772">
        <w:rPr>
          <w:iCs/>
        </w:rPr>
        <w:t xml:space="preserve">No CASPAs were received regarding </w:t>
      </w:r>
      <w:r w:rsidR="00CD7E80">
        <w:rPr>
          <w:iCs/>
        </w:rPr>
        <w:t>IL OSHA</w:t>
      </w:r>
      <w:r w:rsidRPr="00681772">
        <w:rPr>
          <w:iCs/>
        </w:rPr>
        <w:t xml:space="preserve"> during FY 20</w:t>
      </w:r>
      <w:r>
        <w:rPr>
          <w:iCs/>
        </w:rPr>
        <w:t>22 or FY 2023</w:t>
      </w:r>
      <w:r w:rsidRPr="00681772">
        <w:rPr>
          <w:iCs/>
        </w:rPr>
        <w:t>.</w:t>
      </w:r>
    </w:p>
    <w:p w14:paraId="14412D3C" w14:textId="77777777" w:rsidR="00EC2D8D" w:rsidRDefault="00EC2D8D" w:rsidP="00002207">
      <w:pPr>
        <w:spacing w:line="276" w:lineRule="auto"/>
        <w:contextualSpacing/>
        <w:rPr>
          <w:i/>
        </w:rPr>
      </w:pPr>
    </w:p>
    <w:p w14:paraId="25E7688C" w14:textId="77777777" w:rsidR="00782EEC" w:rsidRDefault="00091167" w:rsidP="00002207">
      <w:pPr>
        <w:spacing w:line="276" w:lineRule="auto"/>
        <w:ind w:left="450"/>
        <w:rPr>
          <w:b/>
          <w:caps/>
        </w:rPr>
      </w:pPr>
      <w:r>
        <w:rPr>
          <w:b/>
        </w:rPr>
        <w:t>9</w:t>
      </w:r>
      <w:r w:rsidR="00782EEC" w:rsidRPr="008B1863">
        <w:rPr>
          <w:b/>
        </w:rPr>
        <w:t xml:space="preserve">. </w:t>
      </w:r>
      <w:r w:rsidR="00782EEC">
        <w:rPr>
          <w:b/>
        </w:rPr>
        <w:t xml:space="preserve"> </w:t>
      </w:r>
      <w:r w:rsidR="00602922">
        <w:rPr>
          <w:b/>
        </w:rPr>
        <w:t xml:space="preserve"> </w:t>
      </w:r>
      <w:r w:rsidR="00782EEC" w:rsidRPr="008B1863">
        <w:rPr>
          <w:b/>
          <w:caps/>
        </w:rPr>
        <w:t>Voluntary Compliance Program</w:t>
      </w:r>
    </w:p>
    <w:p w14:paraId="7C74AC15" w14:textId="77777777" w:rsidR="007E7B7E" w:rsidRPr="007E7B7E" w:rsidRDefault="007E7B7E" w:rsidP="00002207">
      <w:pPr>
        <w:spacing w:line="276" w:lineRule="auto"/>
        <w:ind w:left="450"/>
        <w:rPr>
          <w:bCs/>
          <w:caps/>
        </w:rPr>
      </w:pPr>
    </w:p>
    <w:p w14:paraId="70F5DF0B" w14:textId="0C86E38C" w:rsidR="006A0BB0" w:rsidRDefault="00CD7E80" w:rsidP="00002207">
      <w:pPr>
        <w:spacing w:line="276" w:lineRule="auto"/>
        <w:ind w:left="450"/>
        <w:rPr>
          <w:bCs/>
        </w:rPr>
      </w:pPr>
      <w:r>
        <w:t>IL OSHA</w:t>
      </w:r>
      <w:r w:rsidR="00135F83" w:rsidRPr="00384E73">
        <w:t xml:space="preserve"> </w:t>
      </w:r>
      <w:r w:rsidR="00D13BB1">
        <w:t>continued their</w:t>
      </w:r>
      <w:r w:rsidR="00135F83" w:rsidRPr="00384E73">
        <w:t xml:space="preserve"> Safety and Health Achievement Recognition Program (SHARP) for small state and local government employers in FY </w:t>
      </w:r>
      <w:r w:rsidR="00D13BB1">
        <w:t>2023</w:t>
      </w:r>
      <w:r w:rsidR="00135F83" w:rsidRPr="00384E73">
        <w:t>.</w:t>
      </w:r>
      <w:r w:rsidR="00CB2BA8">
        <w:t xml:space="preserve">  </w:t>
      </w:r>
      <w:r>
        <w:rPr>
          <w:bCs/>
        </w:rPr>
        <w:t>IL OSHA</w:t>
      </w:r>
      <w:r w:rsidR="00135F83" w:rsidRPr="00C908B8">
        <w:rPr>
          <w:bCs/>
        </w:rPr>
        <w:t xml:space="preserve"> </w:t>
      </w:r>
      <w:r w:rsidR="00383302">
        <w:rPr>
          <w:bCs/>
        </w:rPr>
        <w:t>had a goal to maintain three</w:t>
      </w:r>
      <w:r w:rsidR="00135F83" w:rsidRPr="00C908B8">
        <w:rPr>
          <w:bCs/>
        </w:rPr>
        <w:t xml:space="preserve"> </w:t>
      </w:r>
      <w:r w:rsidR="0047103F" w:rsidRPr="0047103F">
        <w:rPr>
          <w:bCs/>
        </w:rPr>
        <w:t xml:space="preserve">state and local government workplaces </w:t>
      </w:r>
      <w:r w:rsidR="00A26B38">
        <w:rPr>
          <w:bCs/>
        </w:rPr>
        <w:t>in the</w:t>
      </w:r>
      <w:r w:rsidR="00135F83" w:rsidRPr="00C908B8">
        <w:rPr>
          <w:bCs/>
        </w:rPr>
        <w:t xml:space="preserve"> SHARP</w:t>
      </w:r>
      <w:r w:rsidR="00A26B38">
        <w:rPr>
          <w:bCs/>
        </w:rPr>
        <w:t xml:space="preserve"> program</w:t>
      </w:r>
      <w:r w:rsidR="00135F83">
        <w:rPr>
          <w:bCs/>
        </w:rPr>
        <w:t xml:space="preserve">. </w:t>
      </w:r>
      <w:r w:rsidR="00135F83" w:rsidRPr="00C908B8">
        <w:rPr>
          <w:bCs/>
        </w:rPr>
        <w:t xml:space="preserve"> In FY 202</w:t>
      </w:r>
      <w:r w:rsidR="00A26B38">
        <w:rPr>
          <w:bCs/>
        </w:rPr>
        <w:t>3</w:t>
      </w:r>
      <w:r w:rsidR="007407AA">
        <w:rPr>
          <w:bCs/>
        </w:rPr>
        <w:t xml:space="preserve"> </w:t>
      </w:r>
      <w:r>
        <w:rPr>
          <w:bCs/>
        </w:rPr>
        <w:t>IL OSHA</w:t>
      </w:r>
      <w:r w:rsidR="00135F83" w:rsidRPr="00C908B8">
        <w:rPr>
          <w:bCs/>
        </w:rPr>
        <w:t xml:space="preserve"> </w:t>
      </w:r>
      <w:r w:rsidR="007407AA">
        <w:rPr>
          <w:bCs/>
        </w:rPr>
        <w:t xml:space="preserve">exceeded the goal and </w:t>
      </w:r>
      <w:r w:rsidR="0017739E">
        <w:rPr>
          <w:bCs/>
        </w:rPr>
        <w:t>added</w:t>
      </w:r>
      <w:r w:rsidR="00135F83" w:rsidRPr="00C908B8">
        <w:rPr>
          <w:bCs/>
        </w:rPr>
        <w:t xml:space="preserve"> one </w:t>
      </w:r>
      <w:r w:rsidR="007407AA">
        <w:rPr>
          <w:bCs/>
        </w:rPr>
        <w:t xml:space="preserve">new </w:t>
      </w:r>
      <w:r w:rsidR="00A76481" w:rsidRPr="00A76481">
        <w:rPr>
          <w:bCs/>
        </w:rPr>
        <w:t>state and local government agenc</w:t>
      </w:r>
      <w:r w:rsidR="00A76481">
        <w:rPr>
          <w:bCs/>
        </w:rPr>
        <w:t>y to the</w:t>
      </w:r>
      <w:r w:rsidR="00A76481" w:rsidRPr="00A76481">
        <w:rPr>
          <w:bCs/>
        </w:rPr>
        <w:t xml:space="preserve"> </w:t>
      </w:r>
      <w:r w:rsidR="00135F83" w:rsidRPr="00C908B8">
        <w:rPr>
          <w:bCs/>
        </w:rPr>
        <w:t xml:space="preserve">SHARP </w:t>
      </w:r>
      <w:r w:rsidR="0017739E">
        <w:rPr>
          <w:bCs/>
        </w:rPr>
        <w:t>program</w:t>
      </w:r>
      <w:r w:rsidR="00135F83" w:rsidRPr="00C908B8">
        <w:rPr>
          <w:bCs/>
        </w:rPr>
        <w:t xml:space="preserve">. </w:t>
      </w:r>
      <w:r w:rsidR="00135F83">
        <w:rPr>
          <w:bCs/>
        </w:rPr>
        <w:t xml:space="preserve"> </w:t>
      </w:r>
    </w:p>
    <w:p w14:paraId="2E5CD450" w14:textId="77777777" w:rsidR="00E14FB3" w:rsidRDefault="00E14FB3" w:rsidP="00002207">
      <w:pPr>
        <w:spacing w:line="276" w:lineRule="auto"/>
        <w:ind w:left="450"/>
        <w:rPr>
          <w:bCs/>
        </w:rPr>
      </w:pPr>
    </w:p>
    <w:p w14:paraId="10490CBF" w14:textId="77777777" w:rsidR="00782EEC" w:rsidRPr="008B1863" w:rsidRDefault="00091167" w:rsidP="00002207">
      <w:pPr>
        <w:tabs>
          <w:tab w:val="left" w:pos="1170"/>
        </w:tabs>
        <w:spacing w:line="276" w:lineRule="auto"/>
        <w:ind w:left="810" w:hanging="450"/>
        <w:rPr>
          <w:b/>
          <w:caps/>
        </w:rPr>
      </w:pPr>
      <w:r>
        <w:rPr>
          <w:b/>
          <w:caps/>
        </w:rPr>
        <w:t>10</w:t>
      </w:r>
      <w:r w:rsidR="00782EEC" w:rsidRPr="008B1863">
        <w:rPr>
          <w:b/>
          <w:caps/>
        </w:rPr>
        <w:t xml:space="preserve">.  </w:t>
      </w:r>
      <w:r w:rsidR="00782EEC">
        <w:rPr>
          <w:b/>
          <w:caps/>
        </w:rPr>
        <w:t xml:space="preserve"> STATE AND LOCAL </w:t>
      </w:r>
      <w:r w:rsidR="00782EEC" w:rsidRPr="00456950">
        <w:rPr>
          <w:b/>
          <w:caps/>
        </w:rPr>
        <w:t>GOVERNMENT</w:t>
      </w:r>
      <w:r w:rsidR="00782EEC" w:rsidRPr="008B1863">
        <w:rPr>
          <w:b/>
          <w:caps/>
        </w:rPr>
        <w:t xml:space="preserve"> 23</w:t>
      </w:r>
      <w:r w:rsidR="00782EEC" w:rsidRPr="008B1863">
        <w:rPr>
          <w:rFonts w:ascii="Times New Roman Bold" w:hAnsi="Times New Roman Bold"/>
          <w:b/>
        </w:rPr>
        <w:t>(</w:t>
      </w:r>
      <w:r w:rsidR="00782EEC">
        <w:rPr>
          <w:rFonts w:ascii="Times New Roman Bold" w:hAnsi="Times New Roman Bold"/>
          <w:b/>
        </w:rPr>
        <w:t>g</w:t>
      </w:r>
      <w:r w:rsidR="00782EEC" w:rsidRPr="008B1863">
        <w:rPr>
          <w:b/>
          <w:caps/>
        </w:rPr>
        <w:t xml:space="preserve">) </w:t>
      </w:r>
      <w:r w:rsidR="00782EEC">
        <w:rPr>
          <w:b/>
          <w:caps/>
        </w:rPr>
        <w:t xml:space="preserve">On-site </w:t>
      </w:r>
      <w:r w:rsidRPr="008B1863">
        <w:rPr>
          <w:b/>
          <w:caps/>
        </w:rPr>
        <w:t>CONSULTATION PROGRAM</w:t>
      </w:r>
      <w:r w:rsidR="00782EEC" w:rsidRPr="008B1863">
        <w:rPr>
          <w:b/>
          <w:caps/>
        </w:rPr>
        <w:t xml:space="preserve"> </w:t>
      </w:r>
    </w:p>
    <w:p w14:paraId="1B282EAE" w14:textId="77777777" w:rsidR="006B457E" w:rsidRPr="006B457E" w:rsidRDefault="006B457E" w:rsidP="00002207">
      <w:pPr>
        <w:spacing w:line="276" w:lineRule="auto"/>
        <w:ind w:left="360"/>
        <w:rPr>
          <w:iCs/>
        </w:rPr>
      </w:pPr>
    </w:p>
    <w:p w14:paraId="00C9E7E8" w14:textId="3DAC314C" w:rsidR="00782EEC" w:rsidRPr="00D05BE0" w:rsidRDefault="00CD7E80" w:rsidP="00002207">
      <w:pPr>
        <w:spacing w:line="276" w:lineRule="auto"/>
        <w:ind w:left="360"/>
        <w:rPr>
          <w:iCs/>
        </w:rPr>
      </w:pPr>
      <w:r>
        <w:rPr>
          <w:iCs/>
        </w:rPr>
        <w:t>IL OSHA</w:t>
      </w:r>
      <w:r w:rsidR="00B629E0" w:rsidRPr="00B629E0">
        <w:rPr>
          <w:iCs/>
        </w:rPr>
        <w:t xml:space="preserve"> provides consultation services to state and local government employers through the sharing of 21(d) Consultation Program employees. In the annual performance plan for FY 202</w:t>
      </w:r>
      <w:r w:rsidR="00B629E0">
        <w:rPr>
          <w:iCs/>
        </w:rPr>
        <w:t>3</w:t>
      </w:r>
      <w:r w:rsidR="00B629E0" w:rsidRPr="00B629E0">
        <w:rPr>
          <w:iCs/>
        </w:rPr>
        <w:t>, the State Plan 23(g) On-Site Consultation Program projected 20 state and local government consultation visits. In FY 202</w:t>
      </w:r>
      <w:r w:rsidR="00582DE3">
        <w:rPr>
          <w:iCs/>
        </w:rPr>
        <w:t>3</w:t>
      </w:r>
      <w:r w:rsidR="00B629E0" w:rsidRPr="00B629E0">
        <w:rPr>
          <w:iCs/>
        </w:rPr>
        <w:t>, the State Plan conducted 3</w:t>
      </w:r>
      <w:r w:rsidR="00582DE3">
        <w:rPr>
          <w:iCs/>
        </w:rPr>
        <w:t>8</w:t>
      </w:r>
      <w:r w:rsidR="00B629E0" w:rsidRPr="00B629E0">
        <w:rPr>
          <w:iCs/>
        </w:rPr>
        <w:t xml:space="preserve"> total visits, exceeding their goal for </w:t>
      </w:r>
      <w:r w:rsidR="00B629E0" w:rsidRPr="00D05BE0">
        <w:rPr>
          <w:iCs/>
        </w:rPr>
        <w:t xml:space="preserve">the year. The visits consisted of </w:t>
      </w:r>
      <w:r w:rsidR="00D17D2A" w:rsidRPr="00D05BE0">
        <w:rPr>
          <w:iCs/>
        </w:rPr>
        <w:t>31</w:t>
      </w:r>
      <w:r w:rsidR="00B629E0" w:rsidRPr="00D05BE0">
        <w:rPr>
          <w:iCs/>
        </w:rPr>
        <w:t xml:space="preserve"> first time initial visits and all </w:t>
      </w:r>
      <w:r w:rsidR="00D17D2A" w:rsidRPr="00D05BE0">
        <w:rPr>
          <w:iCs/>
        </w:rPr>
        <w:t>31</w:t>
      </w:r>
      <w:r w:rsidR="00B629E0" w:rsidRPr="00D05BE0">
        <w:rPr>
          <w:iCs/>
        </w:rPr>
        <w:t xml:space="preserve"> (100%) initial visits were in high hazard establishments. The consultants conferred with employees on all </w:t>
      </w:r>
      <w:r w:rsidR="00E63083" w:rsidRPr="00D05BE0">
        <w:rPr>
          <w:iCs/>
        </w:rPr>
        <w:t>31</w:t>
      </w:r>
      <w:r w:rsidR="00B629E0" w:rsidRPr="00D05BE0">
        <w:rPr>
          <w:iCs/>
        </w:rPr>
        <w:t xml:space="preserve"> visits. The visits resulted in </w:t>
      </w:r>
      <w:r w:rsidR="00E63083" w:rsidRPr="00D05BE0">
        <w:rPr>
          <w:iCs/>
        </w:rPr>
        <w:t>51</w:t>
      </w:r>
      <w:r w:rsidR="00B629E0" w:rsidRPr="00D05BE0">
        <w:rPr>
          <w:iCs/>
        </w:rPr>
        <w:t xml:space="preserve"> serious hazards being identified, with 100% of the hazards being corrected in a timely manner. (Source: IL FY 202</w:t>
      </w:r>
      <w:r w:rsidR="00D05BE0" w:rsidRPr="00D05BE0">
        <w:rPr>
          <w:iCs/>
        </w:rPr>
        <w:t>3</w:t>
      </w:r>
      <w:r w:rsidR="00B629E0" w:rsidRPr="00D05BE0">
        <w:rPr>
          <w:iCs/>
        </w:rPr>
        <w:t xml:space="preserve"> EOY State and Local Government MARC Report dated </w:t>
      </w:r>
      <w:r w:rsidR="00507DFE" w:rsidRPr="00D05BE0">
        <w:rPr>
          <w:iCs/>
        </w:rPr>
        <w:t>November</w:t>
      </w:r>
      <w:r w:rsidR="00B629E0" w:rsidRPr="00D05BE0">
        <w:rPr>
          <w:iCs/>
        </w:rPr>
        <w:t xml:space="preserve"> </w:t>
      </w:r>
      <w:r w:rsidR="00507DFE" w:rsidRPr="00D05BE0">
        <w:rPr>
          <w:iCs/>
        </w:rPr>
        <w:t>16</w:t>
      </w:r>
      <w:r w:rsidR="00B629E0" w:rsidRPr="00D05BE0">
        <w:rPr>
          <w:iCs/>
        </w:rPr>
        <w:t>, 202</w:t>
      </w:r>
      <w:r w:rsidR="00D05BE0" w:rsidRPr="00D05BE0">
        <w:rPr>
          <w:iCs/>
        </w:rPr>
        <w:t>3</w:t>
      </w:r>
      <w:r w:rsidR="00B629E0" w:rsidRPr="00D05BE0">
        <w:rPr>
          <w:iCs/>
        </w:rPr>
        <w:t>)</w:t>
      </w:r>
    </w:p>
    <w:p w14:paraId="5CD2538C" w14:textId="77777777" w:rsidR="00091167" w:rsidRPr="004044D4" w:rsidRDefault="00091167" w:rsidP="00091167">
      <w:pPr>
        <w:rPr>
          <w:i/>
        </w:rPr>
        <w:sectPr w:rsidR="00091167" w:rsidRPr="004044D4" w:rsidSect="00D276EA">
          <w:footerReference w:type="default" r:id="rId17"/>
          <w:footerReference w:type="first" r:id="rId18"/>
          <w:pgSz w:w="12240" w:h="15840"/>
          <w:pgMar w:top="1170" w:right="900" w:bottom="720" w:left="1170" w:header="720" w:footer="443" w:gutter="0"/>
          <w:pgNumType w:start="1"/>
          <w:cols w:space="720"/>
          <w:titlePg/>
          <w:rtlGutter/>
          <w:docGrid w:linePitch="360"/>
        </w:sectPr>
      </w:pPr>
    </w:p>
    <w:tbl>
      <w:tblPr>
        <w:tblStyle w:val="TableGrid"/>
        <w:tblpPr w:leftFromText="180" w:rightFromText="180" w:vertAnchor="page" w:horzAnchor="margin" w:tblpY="2266"/>
        <w:tblW w:w="12870" w:type="dxa"/>
        <w:tblLook w:val="01E0" w:firstRow="1" w:lastRow="1" w:firstColumn="1" w:lastColumn="1" w:noHBand="0" w:noVBand="0"/>
        <w:tblCaption w:val="New and Continued Findings and Recommendations"/>
        <w:tblDescription w:val="Appendix X"/>
      </w:tblPr>
      <w:tblGrid>
        <w:gridCol w:w="1440"/>
        <w:gridCol w:w="4721"/>
        <w:gridCol w:w="4819"/>
        <w:gridCol w:w="1890"/>
      </w:tblGrid>
      <w:tr w:rsidR="00156BBB" w:rsidRPr="00156BBB" w14:paraId="7012A54A" w14:textId="77777777" w:rsidTr="0097111D">
        <w:trPr>
          <w:trHeight w:val="350"/>
          <w:tblHeader/>
        </w:trPr>
        <w:tc>
          <w:tcPr>
            <w:tcW w:w="1440" w:type="dxa"/>
            <w:shd w:val="clear" w:color="auto" w:fill="1F497D" w:themeFill="text2"/>
          </w:tcPr>
          <w:p w14:paraId="0BDBF868" w14:textId="061FE860" w:rsidR="006529AA" w:rsidRPr="00156BBB" w:rsidRDefault="006529AA" w:rsidP="0097111D">
            <w:pPr>
              <w:widowControl/>
              <w:autoSpaceDE/>
              <w:autoSpaceDN/>
              <w:adjustRightInd/>
              <w:jc w:val="center"/>
              <w:rPr>
                <w:b/>
                <w:color w:val="FFFFFF" w:themeColor="background1"/>
              </w:rPr>
            </w:pPr>
            <w:r w:rsidRPr="00156BBB">
              <w:rPr>
                <w:b/>
                <w:color w:val="FFFFFF" w:themeColor="background1"/>
              </w:rPr>
              <w:lastRenderedPageBreak/>
              <w:t>FY 20</w:t>
            </w:r>
            <w:r w:rsidR="00227D84">
              <w:rPr>
                <w:b/>
                <w:color w:val="FFFFFF" w:themeColor="background1"/>
              </w:rPr>
              <w:t>23</w:t>
            </w:r>
            <w:r w:rsidRPr="00156BBB">
              <w:rPr>
                <w:b/>
                <w:color w:val="FFFFFF" w:themeColor="background1"/>
              </w:rPr>
              <w:t>-#</w:t>
            </w:r>
          </w:p>
        </w:tc>
        <w:tc>
          <w:tcPr>
            <w:tcW w:w="4721" w:type="dxa"/>
            <w:shd w:val="clear" w:color="auto" w:fill="1F497D" w:themeFill="text2"/>
          </w:tcPr>
          <w:p w14:paraId="10D564DB" w14:textId="77777777" w:rsidR="006529AA" w:rsidRPr="00156BBB" w:rsidRDefault="006529AA" w:rsidP="0097111D">
            <w:pPr>
              <w:widowControl/>
              <w:autoSpaceDE/>
              <w:autoSpaceDN/>
              <w:adjustRightInd/>
              <w:jc w:val="center"/>
              <w:rPr>
                <w:b/>
                <w:color w:val="FFFFFF" w:themeColor="background1"/>
              </w:rPr>
            </w:pPr>
            <w:r w:rsidRPr="00156BBB">
              <w:rPr>
                <w:b/>
                <w:color w:val="FFFFFF" w:themeColor="background1"/>
              </w:rPr>
              <w:t>Finding</w:t>
            </w:r>
          </w:p>
        </w:tc>
        <w:tc>
          <w:tcPr>
            <w:tcW w:w="4819" w:type="dxa"/>
            <w:shd w:val="clear" w:color="auto" w:fill="1F497D" w:themeFill="text2"/>
          </w:tcPr>
          <w:p w14:paraId="658AEC70" w14:textId="77777777" w:rsidR="006529AA" w:rsidRPr="00156BBB" w:rsidRDefault="006529AA" w:rsidP="0097111D">
            <w:pPr>
              <w:widowControl/>
              <w:autoSpaceDE/>
              <w:autoSpaceDN/>
              <w:adjustRightInd/>
              <w:jc w:val="center"/>
              <w:rPr>
                <w:b/>
                <w:color w:val="FFFFFF" w:themeColor="background1"/>
              </w:rPr>
            </w:pPr>
            <w:r w:rsidRPr="00156BBB">
              <w:rPr>
                <w:b/>
                <w:color w:val="FFFFFF" w:themeColor="background1"/>
              </w:rPr>
              <w:t>Recommendation</w:t>
            </w:r>
          </w:p>
        </w:tc>
        <w:tc>
          <w:tcPr>
            <w:tcW w:w="1890" w:type="dxa"/>
            <w:shd w:val="clear" w:color="auto" w:fill="1F497D" w:themeFill="text2"/>
          </w:tcPr>
          <w:p w14:paraId="1D9D7E73" w14:textId="46B49809" w:rsidR="006529AA" w:rsidRPr="00156BBB" w:rsidRDefault="006529AA" w:rsidP="0097111D">
            <w:pPr>
              <w:widowControl/>
              <w:autoSpaceDE/>
              <w:autoSpaceDN/>
              <w:adjustRightInd/>
              <w:jc w:val="center"/>
              <w:rPr>
                <w:b/>
                <w:color w:val="FFFFFF" w:themeColor="background1"/>
              </w:rPr>
            </w:pPr>
            <w:r w:rsidRPr="00156BBB">
              <w:rPr>
                <w:b/>
                <w:color w:val="FFFFFF" w:themeColor="background1"/>
              </w:rPr>
              <w:t>FY 20</w:t>
            </w:r>
            <w:r w:rsidR="00DC21A8">
              <w:rPr>
                <w:b/>
                <w:color w:val="FFFFFF" w:themeColor="background1"/>
              </w:rPr>
              <w:t>22</w:t>
            </w:r>
            <w:r w:rsidRPr="00156BBB">
              <w:rPr>
                <w:b/>
                <w:color w:val="FFFFFF" w:themeColor="background1"/>
              </w:rPr>
              <w:t xml:space="preserve">-# or </w:t>
            </w:r>
          </w:p>
          <w:p w14:paraId="3E08BB9F" w14:textId="0763C62E" w:rsidR="006529AA" w:rsidRPr="00156BBB" w:rsidRDefault="006529AA" w:rsidP="0097111D">
            <w:pPr>
              <w:widowControl/>
              <w:autoSpaceDE/>
              <w:autoSpaceDN/>
              <w:adjustRightInd/>
              <w:jc w:val="center"/>
              <w:rPr>
                <w:b/>
                <w:color w:val="FFFFFF" w:themeColor="background1"/>
              </w:rPr>
            </w:pPr>
            <w:r w:rsidRPr="00156BBB">
              <w:rPr>
                <w:b/>
                <w:color w:val="FFFFFF" w:themeColor="background1"/>
              </w:rPr>
              <w:t>FY 20</w:t>
            </w:r>
            <w:r w:rsidR="00DC21A8">
              <w:rPr>
                <w:b/>
                <w:color w:val="FFFFFF" w:themeColor="background1"/>
              </w:rPr>
              <w:t>22</w:t>
            </w:r>
            <w:r w:rsidRPr="00156BBB">
              <w:rPr>
                <w:b/>
                <w:color w:val="FFFFFF" w:themeColor="background1"/>
              </w:rPr>
              <w:t>-OB-#</w:t>
            </w:r>
          </w:p>
        </w:tc>
      </w:tr>
      <w:tr w:rsidR="006529AA" w:rsidRPr="000A134A" w14:paraId="54B16CEE" w14:textId="77777777" w:rsidTr="0097111D">
        <w:tc>
          <w:tcPr>
            <w:tcW w:w="1440" w:type="dxa"/>
          </w:tcPr>
          <w:p w14:paraId="165C029E" w14:textId="77777777" w:rsidR="006529AA" w:rsidRPr="000A134A" w:rsidRDefault="006529AA" w:rsidP="0097111D">
            <w:pPr>
              <w:widowControl/>
              <w:autoSpaceDE/>
              <w:autoSpaceDN/>
              <w:adjustRightInd/>
            </w:pPr>
            <w:r w:rsidRPr="000A134A">
              <w:t xml:space="preserve"> </w:t>
            </w:r>
          </w:p>
          <w:p w14:paraId="62DD2F41" w14:textId="77777777" w:rsidR="006529AA" w:rsidRPr="000A134A" w:rsidRDefault="006529AA" w:rsidP="0097111D">
            <w:pPr>
              <w:widowControl/>
              <w:autoSpaceDE/>
              <w:autoSpaceDN/>
              <w:adjustRightInd/>
            </w:pPr>
          </w:p>
        </w:tc>
        <w:tc>
          <w:tcPr>
            <w:tcW w:w="4721" w:type="dxa"/>
          </w:tcPr>
          <w:p w14:paraId="5A6AB1DE" w14:textId="3D74AAEE" w:rsidR="006529AA" w:rsidRPr="000A134A" w:rsidRDefault="006529AA" w:rsidP="0097111D">
            <w:pPr>
              <w:widowControl/>
              <w:autoSpaceDE/>
              <w:autoSpaceDN/>
              <w:adjustRightInd/>
            </w:pPr>
            <w:r w:rsidRPr="000A134A">
              <w:t xml:space="preserve">   </w:t>
            </w:r>
            <w:r w:rsidR="00DC21A8">
              <w:t>None</w:t>
            </w:r>
          </w:p>
        </w:tc>
        <w:tc>
          <w:tcPr>
            <w:tcW w:w="4819" w:type="dxa"/>
          </w:tcPr>
          <w:p w14:paraId="4A368902" w14:textId="77777777" w:rsidR="006529AA" w:rsidRPr="000A134A" w:rsidRDefault="006529AA" w:rsidP="0097111D">
            <w:pPr>
              <w:widowControl/>
              <w:autoSpaceDE/>
              <w:autoSpaceDN/>
              <w:adjustRightInd/>
            </w:pPr>
            <w:r w:rsidRPr="000A134A">
              <w:t xml:space="preserve"> </w:t>
            </w:r>
          </w:p>
          <w:p w14:paraId="2932F921" w14:textId="77777777" w:rsidR="006529AA" w:rsidRPr="000A134A" w:rsidRDefault="006529AA" w:rsidP="0097111D">
            <w:pPr>
              <w:widowControl/>
              <w:autoSpaceDE/>
              <w:autoSpaceDN/>
              <w:adjustRightInd/>
            </w:pPr>
          </w:p>
        </w:tc>
        <w:tc>
          <w:tcPr>
            <w:tcW w:w="1890" w:type="dxa"/>
          </w:tcPr>
          <w:p w14:paraId="238C33F1" w14:textId="77777777" w:rsidR="006529AA" w:rsidRPr="000A134A" w:rsidRDefault="006529AA" w:rsidP="0097111D">
            <w:pPr>
              <w:widowControl/>
              <w:autoSpaceDE/>
              <w:autoSpaceDN/>
              <w:adjustRightInd/>
            </w:pPr>
            <w:r w:rsidRPr="000A134A">
              <w:t xml:space="preserve"> </w:t>
            </w:r>
          </w:p>
        </w:tc>
      </w:tr>
    </w:tbl>
    <w:p w14:paraId="3A4DD99A" w14:textId="77777777" w:rsidR="00D1582D" w:rsidRDefault="00D1582D" w:rsidP="002F356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16"/>
          <w:szCs w:val="16"/>
        </w:rPr>
      </w:pPr>
    </w:p>
    <w:p w14:paraId="76C8CCB3" w14:textId="77777777" w:rsidR="0097111D" w:rsidRDefault="0097111D" w:rsidP="002F356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16"/>
          <w:szCs w:val="16"/>
        </w:rPr>
      </w:pPr>
    </w:p>
    <w:p w14:paraId="151B5F1A" w14:textId="77777777" w:rsidR="0097111D" w:rsidRDefault="0097111D" w:rsidP="002F356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16"/>
          <w:szCs w:val="16"/>
        </w:rPr>
      </w:pPr>
    </w:p>
    <w:p w14:paraId="1067D2E6" w14:textId="77777777" w:rsidR="0097111D" w:rsidRDefault="0097111D" w:rsidP="002F356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16"/>
          <w:szCs w:val="16"/>
        </w:rPr>
      </w:pPr>
    </w:p>
    <w:p w14:paraId="7DCAF2E1" w14:textId="77777777" w:rsidR="0097111D" w:rsidRDefault="0097111D" w:rsidP="002F356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16"/>
          <w:szCs w:val="16"/>
        </w:rPr>
      </w:pPr>
    </w:p>
    <w:p w14:paraId="11190F17" w14:textId="77777777" w:rsidR="0097111D" w:rsidRPr="00D50E0E" w:rsidRDefault="0097111D" w:rsidP="002F356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16"/>
          <w:szCs w:val="16"/>
        </w:rPr>
      </w:pPr>
    </w:p>
    <w:p w14:paraId="70703095" w14:textId="77777777" w:rsidR="0052265F" w:rsidRDefault="0052265F" w:rsidP="007A71AC">
      <w:pPr>
        <w:widowControl/>
        <w:autoSpaceDE/>
        <w:autoSpaceDN/>
        <w:adjustRightInd/>
        <w:rPr>
          <w:i/>
          <w:sz w:val="22"/>
          <w:szCs w:val="22"/>
        </w:rPr>
      </w:pPr>
    </w:p>
    <w:p w14:paraId="05563E51" w14:textId="77777777" w:rsidR="00131D63" w:rsidRDefault="00131D63" w:rsidP="007A71AC">
      <w:pPr>
        <w:widowControl/>
        <w:autoSpaceDE/>
        <w:autoSpaceDN/>
        <w:adjustRightInd/>
        <w:rPr>
          <w:iCs/>
          <w:sz w:val="22"/>
          <w:szCs w:val="22"/>
        </w:rPr>
        <w:sectPr w:rsidR="00131D63" w:rsidSect="0097111D">
          <w:headerReference w:type="default" r:id="rId19"/>
          <w:footerReference w:type="default" r:id="rId20"/>
          <w:type w:val="continuous"/>
          <w:pgSz w:w="15840" w:h="12240" w:orient="landscape" w:code="1"/>
          <w:pgMar w:top="1440" w:right="1440" w:bottom="1440" w:left="1440" w:header="720" w:footer="720" w:gutter="0"/>
          <w:pgNumType w:start="1"/>
          <w:cols w:space="720"/>
          <w:rtlGutter/>
          <w:docGrid w:linePitch="360"/>
        </w:sectPr>
      </w:pPr>
    </w:p>
    <w:tbl>
      <w:tblPr>
        <w:tblStyle w:val="TableGrid"/>
        <w:tblpPr w:leftFromText="180" w:rightFromText="180" w:vertAnchor="text" w:horzAnchor="margin" w:tblpXSpec="center" w:tblpY="77"/>
        <w:tblW w:w="13968" w:type="dxa"/>
        <w:tblLook w:val="01E0" w:firstRow="1" w:lastRow="1" w:firstColumn="1" w:lastColumn="1" w:noHBand="0" w:noVBand="0"/>
        <w:tblCaption w:val="Observations Subject to New and Continued Findings"/>
        <w:tblDescription w:val="Appendix B"/>
      </w:tblPr>
      <w:tblGrid>
        <w:gridCol w:w="1815"/>
        <w:gridCol w:w="1603"/>
        <w:gridCol w:w="4905"/>
        <w:gridCol w:w="4559"/>
        <w:gridCol w:w="1086"/>
      </w:tblGrid>
      <w:tr w:rsidR="00156BBB" w:rsidRPr="00156BBB" w14:paraId="52741B7A" w14:textId="77777777" w:rsidTr="00F71855">
        <w:trPr>
          <w:trHeight w:val="411"/>
          <w:tblHeader/>
        </w:trPr>
        <w:tc>
          <w:tcPr>
            <w:tcW w:w="1815" w:type="dxa"/>
            <w:shd w:val="clear" w:color="auto" w:fill="1F497D" w:themeFill="text2"/>
          </w:tcPr>
          <w:p w14:paraId="1DD6461E" w14:textId="77777777"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lastRenderedPageBreak/>
              <w:t>Observation #</w:t>
            </w:r>
          </w:p>
          <w:p w14:paraId="404CB4AE" w14:textId="192EE0A0"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t>FY 20</w:t>
            </w:r>
            <w:r w:rsidR="00610D8E">
              <w:rPr>
                <w:b/>
                <w:color w:val="FFFFFF" w:themeColor="background1"/>
              </w:rPr>
              <w:t>23</w:t>
            </w:r>
            <w:r w:rsidRPr="00156BBB">
              <w:rPr>
                <w:b/>
                <w:color w:val="FFFFFF" w:themeColor="background1"/>
              </w:rPr>
              <w:t>-OB-#</w:t>
            </w:r>
          </w:p>
        </w:tc>
        <w:tc>
          <w:tcPr>
            <w:tcW w:w="1603" w:type="dxa"/>
            <w:shd w:val="clear" w:color="auto" w:fill="1F497D" w:themeFill="text2"/>
          </w:tcPr>
          <w:p w14:paraId="59BC5180" w14:textId="77777777"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t>Observation#</w:t>
            </w:r>
          </w:p>
          <w:p w14:paraId="288F709F" w14:textId="3B250F8D"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t>FY 20</w:t>
            </w:r>
            <w:r w:rsidR="00610D8E">
              <w:rPr>
                <w:b/>
                <w:color w:val="FFFFFF" w:themeColor="background1"/>
              </w:rPr>
              <w:t>22</w:t>
            </w:r>
            <w:r w:rsidRPr="00156BBB">
              <w:rPr>
                <w:b/>
                <w:color w:val="FFFFFF" w:themeColor="background1"/>
              </w:rPr>
              <w:t xml:space="preserve">-OB-# </w:t>
            </w:r>
            <w:r w:rsidRPr="00156BBB">
              <w:rPr>
                <w:b/>
                <w:i/>
                <w:color w:val="FFFFFF" w:themeColor="background1"/>
              </w:rPr>
              <w:t>or</w:t>
            </w:r>
            <w:r w:rsidRPr="00156BBB">
              <w:rPr>
                <w:b/>
                <w:color w:val="FFFFFF" w:themeColor="background1"/>
              </w:rPr>
              <w:t xml:space="preserve"> FY 20</w:t>
            </w:r>
            <w:r w:rsidR="00610D8E">
              <w:rPr>
                <w:b/>
                <w:color w:val="FFFFFF" w:themeColor="background1"/>
              </w:rPr>
              <w:t>22</w:t>
            </w:r>
            <w:r w:rsidRPr="00156BBB">
              <w:rPr>
                <w:b/>
                <w:color w:val="FFFFFF" w:themeColor="background1"/>
              </w:rPr>
              <w:t>-#</w:t>
            </w:r>
          </w:p>
        </w:tc>
        <w:tc>
          <w:tcPr>
            <w:tcW w:w="4905" w:type="dxa"/>
            <w:shd w:val="clear" w:color="auto" w:fill="1F497D" w:themeFill="text2"/>
          </w:tcPr>
          <w:p w14:paraId="21E0446D" w14:textId="77777777"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t>Observation</w:t>
            </w:r>
          </w:p>
        </w:tc>
        <w:tc>
          <w:tcPr>
            <w:tcW w:w="4559" w:type="dxa"/>
            <w:shd w:val="clear" w:color="auto" w:fill="1F497D" w:themeFill="text2"/>
          </w:tcPr>
          <w:p w14:paraId="33ADDA12" w14:textId="77777777"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t>Federal Monitoring Plan</w:t>
            </w:r>
          </w:p>
        </w:tc>
        <w:tc>
          <w:tcPr>
            <w:tcW w:w="1086" w:type="dxa"/>
            <w:shd w:val="clear" w:color="auto" w:fill="1F497D" w:themeFill="text2"/>
          </w:tcPr>
          <w:p w14:paraId="2F93C187" w14:textId="77777777"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t>Current Status</w:t>
            </w:r>
          </w:p>
        </w:tc>
      </w:tr>
      <w:tr w:rsidR="003F550C" w:rsidRPr="00717F29" w14:paraId="7B22B00A" w14:textId="77777777" w:rsidTr="00F71855">
        <w:trPr>
          <w:trHeight w:val="411"/>
          <w:tblHeader/>
        </w:trPr>
        <w:tc>
          <w:tcPr>
            <w:tcW w:w="1815" w:type="dxa"/>
            <w:shd w:val="clear" w:color="auto" w:fill="auto"/>
          </w:tcPr>
          <w:p w14:paraId="2F99205F" w14:textId="77777777" w:rsidR="004771CC" w:rsidRPr="00717F29" w:rsidRDefault="004771CC" w:rsidP="00DA2770">
            <w:pPr>
              <w:widowControl/>
              <w:autoSpaceDE/>
              <w:autoSpaceDN/>
              <w:adjustRightInd/>
              <w:rPr>
                <w:bCs/>
                <w:sz w:val="20"/>
                <w:szCs w:val="20"/>
              </w:rPr>
            </w:pPr>
          </w:p>
        </w:tc>
        <w:tc>
          <w:tcPr>
            <w:tcW w:w="1603" w:type="dxa"/>
            <w:shd w:val="clear" w:color="auto" w:fill="auto"/>
          </w:tcPr>
          <w:p w14:paraId="5443AE2A" w14:textId="77777777" w:rsidR="003F550C" w:rsidRPr="00717F29" w:rsidRDefault="003F550C" w:rsidP="00DA2770">
            <w:pPr>
              <w:rPr>
                <w:bCs/>
                <w:sz w:val="20"/>
                <w:szCs w:val="20"/>
              </w:rPr>
            </w:pPr>
            <w:r w:rsidRPr="00717F29">
              <w:rPr>
                <w:bCs/>
                <w:sz w:val="20"/>
                <w:szCs w:val="20"/>
              </w:rPr>
              <w:t>FY 2022-OB-01</w:t>
            </w:r>
          </w:p>
          <w:p w14:paraId="207B9B4E" w14:textId="77777777" w:rsidR="004771CC" w:rsidRPr="00717F29" w:rsidRDefault="004771CC" w:rsidP="00DA2770">
            <w:pPr>
              <w:widowControl/>
              <w:autoSpaceDE/>
              <w:autoSpaceDN/>
              <w:adjustRightInd/>
              <w:rPr>
                <w:bCs/>
                <w:sz w:val="20"/>
                <w:szCs w:val="20"/>
              </w:rPr>
            </w:pPr>
          </w:p>
        </w:tc>
        <w:tc>
          <w:tcPr>
            <w:tcW w:w="4905" w:type="dxa"/>
            <w:shd w:val="clear" w:color="auto" w:fill="auto"/>
          </w:tcPr>
          <w:p w14:paraId="4101BB0E" w14:textId="4F7F9611" w:rsidR="004771CC" w:rsidRPr="00717F29" w:rsidRDefault="00DA2770" w:rsidP="00DA2770">
            <w:pPr>
              <w:widowControl/>
              <w:autoSpaceDE/>
              <w:autoSpaceDN/>
              <w:adjustRightInd/>
              <w:rPr>
                <w:bCs/>
                <w:sz w:val="20"/>
                <w:szCs w:val="20"/>
              </w:rPr>
            </w:pPr>
            <w:r w:rsidRPr="00DA2770">
              <w:rPr>
                <w:bCs/>
                <w:sz w:val="20"/>
                <w:szCs w:val="20"/>
              </w:rPr>
              <w:t>In six (100%) of the fatality inspections reviewed in FY 2021, the investigation summary form narrative lacked sufficient detail and information needed to provide a clear representation of the fatal incident and the factual circumstances surrounding the event consistent with Illinois OSHA FOM, Chapter 10-2, Paragraph D, subparagraph 2.</w:t>
            </w:r>
          </w:p>
        </w:tc>
        <w:tc>
          <w:tcPr>
            <w:tcW w:w="4559" w:type="dxa"/>
            <w:shd w:val="clear" w:color="auto" w:fill="auto"/>
          </w:tcPr>
          <w:p w14:paraId="7A71D901" w14:textId="24898B7B" w:rsidR="004771CC" w:rsidRPr="00717F29" w:rsidRDefault="004771CC" w:rsidP="00DA2770">
            <w:pPr>
              <w:widowControl/>
              <w:autoSpaceDE/>
              <w:autoSpaceDN/>
              <w:adjustRightInd/>
              <w:rPr>
                <w:bCs/>
                <w:sz w:val="20"/>
                <w:szCs w:val="20"/>
              </w:rPr>
            </w:pPr>
          </w:p>
        </w:tc>
        <w:tc>
          <w:tcPr>
            <w:tcW w:w="1086" w:type="dxa"/>
            <w:shd w:val="clear" w:color="auto" w:fill="auto"/>
          </w:tcPr>
          <w:p w14:paraId="7C9F0228" w14:textId="04D54402" w:rsidR="004771CC" w:rsidRPr="00717F29" w:rsidRDefault="005E30D6" w:rsidP="00DA2770">
            <w:pPr>
              <w:widowControl/>
              <w:autoSpaceDE/>
              <w:autoSpaceDN/>
              <w:adjustRightInd/>
              <w:rPr>
                <w:bCs/>
                <w:sz w:val="20"/>
                <w:szCs w:val="20"/>
              </w:rPr>
            </w:pPr>
            <w:r>
              <w:rPr>
                <w:bCs/>
                <w:sz w:val="20"/>
                <w:szCs w:val="20"/>
              </w:rPr>
              <w:t>Closed</w:t>
            </w:r>
          </w:p>
        </w:tc>
      </w:tr>
      <w:tr w:rsidR="00F71855" w:rsidRPr="00717F29" w14:paraId="0965C7CC" w14:textId="77777777" w:rsidTr="00F71855">
        <w:trPr>
          <w:trHeight w:val="411"/>
          <w:tblHeader/>
        </w:trPr>
        <w:tc>
          <w:tcPr>
            <w:tcW w:w="1815" w:type="dxa"/>
            <w:shd w:val="clear" w:color="auto" w:fill="auto"/>
          </w:tcPr>
          <w:p w14:paraId="19302004" w14:textId="77777777" w:rsidR="004771CC" w:rsidRPr="00717F29" w:rsidRDefault="004771CC" w:rsidP="00DA2770">
            <w:pPr>
              <w:widowControl/>
              <w:autoSpaceDE/>
              <w:autoSpaceDN/>
              <w:adjustRightInd/>
              <w:rPr>
                <w:bCs/>
                <w:sz w:val="20"/>
                <w:szCs w:val="20"/>
              </w:rPr>
            </w:pPr>
          </w:p>
        </w:tc>
        <w:tc>
          <w:tcPr>
            <w:tcW w:w="1603" w:type="dxa"/>
            <w:shd w:val="clear" w:color="auto" w:fill="auto"/>
          </w:tcPr>
          <w:p w14:paraId="6648E62F" w14:textId="13CA9FF4" w:rsidR="004771CC" w:rsidRPr="00717F29" w:rsidRDefault="00875980" w:rsidP="00DA2770">
            <w:pPr>
              <w:widowControl/>
              <w:autoSpaceDE/>
              <w:autoSpaceDN/>
              <w:adjustRightInd/>
              <w:rPr>
                <w:bCs/>
                <w:sz w:val="20"/>
                <w:szCs w:val="20"/>
              </w:rPr>
            </w:pPr>
            <w:r w:rsidRPr="00875980">
              <w:rPr>
                <w:bCs/>
                <w:sz w:val="20"/>
                <w:szCs w:val="20"/>
              </w:rPr>
              <w:t>FY 2022-OB-02</w:t>
            </w:r>
          </w:p>
        </w:tc>
        <w:tc>
          <w:tcPr>
            <w:tcW w:w="4905" w:type="dxa"/>
            <w:shd w:val="clear" w:color="auto" w:fill="auto"/>
          </w:tcPr>
          <w:p w14:paraId="15B383C6" w14:textId="6C9EEC62" w:rsidR="004771CC" w:rsidRPr="00717F29" w:rsidRDefault="008232D9" w:rsidP="00DA2770">
            <w:pPr>
              <w:widowControl/>
              <w:autoSpaceDE/>
              <w:autoSpaceDN/>
              <w:adjustRightInd/>
              <w:rPr>
                <w:bCs/>
                <w:sz w:val="20"/>
                <w:szCs w:val="20"/>
              </w:rPr>
            </w:pPr>
            <w:r w:rsidRPr="008232D9">
              <w:rPr>
                <w:bCs/>
                <w:sz w:val="20"/>
                <w:szCs w:val="20"/>
              </w:rPr>
              <w:t>In all six (100%) of the fatality cases reviewed, there was no initial telephone contact with the next-of-kin of employees involved in fatal occupational injuries or illnesses consistent with OSHA Instruction CPL 02-00-166 (CPL 02-00-153) Communicating OSHA Fatality Inspection Procedures to a Victim’s Family.</w:t>
            </w:r>
          </w:p>
        </w:tc>
        <w:tc>
          <w:tcPr>
            <w:tcW w:w="4559" w:type="dxa"/>
            <w:shd w:val="clear" w:color="auto" w:fill="auto"/>
          </w:tcPr>
          <w:p w14:paraId="22D30F95" w14:textId="4BB8A116" w:rsidR="004771CC" w:rsidRPr="00717F29" w:rsidRDefault="004771CC" w:rsidP="00DA2770">
            <w:pPr>
              <w:widowControl/>
              <w:autoSpaceDE/>
              <w:autoSpaceDN/>
              <w:adjustRightInd/>
              <w:rPr>
                <w:bCs/>
                <w:sz w:val="20"/>
                <w:szCs w:val="20"/>
              </w:rPr>
            </w:pPr>
          </w:p>
        </w:tc>
        <w:tc>
          <w:tcPr>
            <w:tcW w:w="1086" w:type="dxa"/>
            <w:shd w:val="clear" w:color="auto" w:fill="auto"/>
          </w:tcPr>
          <w:p w14:paraId="16099A01" w14:textId="28F41FB7" w:rsidR="004771CC" w:rsidRPr="00717F29" w:rsidRDefault="005E30D6" w:rsidP="00DA2770">
            <w:pPr>
              <w:widowControl/>
              <w:autoSpaceDE/>
              <w:autoSpaceDN/>
              <w:adjustRightInd/>
              <w:rPr>
                <w:bCs/>
                <w:sz w:val="20"/>
                <w:szCs w:val="20"/>
              </w:rPr>
            </w:pPr>
            <w:r w:rsidRPr="005E30D6">
              <w:rPr>
                <w:bCs/>
                <w:sz w:val="20"/>
                <w:szCs w:val="20"/>
              </w:rPr>
              <w:t>Closed</w:t>
            </w:r>
          </w:p>
        </w:tc>
      </w:tr>
      <w:tr w:rsidR="00F71855" w:rsidRPr="00717F29" w14:paraId="1CADC331" w14:textId="77777777" w:rsidTr="00F71855">
        <w:trPr>
          <w:trHeight w:val="411"/>
          <w:tblHeader/>
        </w:trPr>
        <w:tc>
          <w:tcPr>
            <w:tcW w:w="1815" w:type="dxa"/>
            <w:shd w:val="clear" w:color="auto" w:fill="auto"/>
          </w:tcPr>
          <w:p w14:paraId="4E85483B" w14:textId="77777777" w:rsidR="004771CC" w:rsidRPr="00717F29" w:rsidRDefault="004771CC" w:rsidP="00DA2770">
            <w:pPr>
              <w:widowControl/>
              <w:autoSpaceDE/>
              <w:autoSpaceDN/>
              <w:adjustRightInd/>
              <w:rPr>
                <w:bCs/>
                <w:sz w:val="20"/>
                <w:szCs w:val="20"/>
              </w:rPr>
            </w:pPr>
          </w:p>
        </w:tc>
        <w:tc>
          <w:tcPr>
            <w:tcW w:w="1603" w:type="dxa"/>
            <w:shd w:val="clear" w:color="auto" w:fill="auto"/>
          </w:tcPr>
          <w:p w14:paraId="6A30DFDD" w14:textId="4C0E1E2E" w:rsidR="004771CC" w:rsidRPr="00717F29" w:rsidRDefault="00875980" w:rsidP="00DA2770">
            <w:pPr>
              <w:widowControl/>
              <w:autoSpaceDE/>
              <w:autoSpaceDN/>
              <w:adjustRightInd/>
              <w:rPr>
                <w:bCs/>
                <w:sz w:val="20"/>
                <w:szCs w:val="20"/>
              </w:rPr>
            </w:pPr>
            <w:r w:rsidRPr="00875980">
              <w:rPr>
                <w:bCs/>
                <w:sz w:val="20"/>
                <w:szCs w:val="20"/>
              </w:rPr>
              <w:t>FY 2022-OB-0</w:t>
            </w:r>
            <w:r>
              <w:rPr>
                <w:bCs/>
                <w:sz w:val="20"/>
                <w:szCs w:val="20"/>
              </w:rPr>
              <w:t>3</w:t>
            </w:r>
          </w:p>
        </w:tc>
        <w:tc>
          <w:tcPr>
            <w:tcW w:w="4905" w:type="dxa"/>
            <w:shd w:val="clear" w:color="auto" w:fill="auto"/>
          </w:tcPr>
          <w:p w14:paraId="700918B8" w14:textId="7ED77770" w:rsidR="004771CC" w:rsidRPr="00717F29" w:rsidRDefault="00824B82" w:rsidP="00DA2770">
            <w:pPr>
              <w:widowControl/>
              <w:autoSpaceDE/>
              <w:autoSpaceDN/>
              <w:adjustRightInd/>
              <w:rPr>
                <w:bCs/>
                <w:sz w:val="20"/>
                <w:szCs w:val="20"/>
              </w:rPr>
            </w:pPr>
            <w:r w:rsidRPr="00824B82">
              <w:rPr>
                <w:bCs/>
                <w:sz w:val="20"/>
                <w:szCs w:val="20"/>
              </w:rPr>
              <w:t>Twelve of the 49 (25%) files reviewed lacked specificity and clarity in the severity and probability information as to how it was directly associated with the condition addressed in the violation consistent with the instructions and provisions of the Illinois OSHA FOM, Chapter 6-3, Paragraph A, Severity Assessment and Paragraph B, Probability Assessment.</w:t>
            </w:r>
          </w:p>
        </w:tc>
        <w:tc>
          <w:tcPr>
            <w:tcW w:w="4559" w:type="dxa"/>
            <w:shd w:val="clear" w:color="auto" w:fill="auto"/>
          </w:tcPr>
          <w:p w14:paraId="28063937" w14:textId="050893B3" w:rsidR="004771CC" w:rsidRPr="00717F29" w:rsidRDefault="004771CC" w:rsidP="00DA2770">
            <w:pPr>
              <w:widowControl/>
              <w:autoSpaceDE/>
              <w:autoSpaceDN/>
              <w:adjustRightInd/>
              <w:rPr>
                <w:bCs/>
                <w:sz w:val="20"/>
                <w:szCs w:val="20"/>
              </w:rPr>
            </w:pPr>
          </w:p>
        </w:tc>
        <w:tc>
          <w:tcPr>
            <w:tcW w:w="1086" w:type="dxa"/>
            <w:shd w:val="clear" w:color="auto" w:fill="auto"/>
          </w:tcPr>
          <w:p w14:paraId="11CDBBE4" w14:textId="5D716A47" w:rsidR="004771CC" w:rsidRPr="00717F29" w:rsidRDefault="005E30D6" w:rsidP="00DA2770">
            <w:pPr>
              <w:widowControl/>
              <w:autoSpaceDE/>
              <w:autoSpaceDN/>
              <w:adjustRightInd/>
              <w:rPr>
                <w:bCs/>
                <w:sz w:val="20"/>
                <w:szCs w:val="20"/>
              </w:rPr>
            </w:pPr>
            <w:r w:rsidRPr="005E30D6">
              <w:rPr>
                <w:bCs/>
                <w:sz w:val="20"/>
                <w:szCs w:val="20"/>
              </w:rPr>
              <w:t>Closed</w:t>
            </w:r>
          </w:p>
        </w:tc>
      </w:tr>
      <w:tr w:rsidR="00E17223" w:rsidRPr="00717F29" w14:paraId="2C1B5845" w14:textId="77777777" w:rsidTr="00F71855">
        <w:trPr>
          <w:trHeight w:val="411"/>
          <w:tblHeader/>
        </w:trPr>
        <w:tc>
          <w:tcPr>
            <w:tcW w:w="1815" w:type="dxa"/>
            <w:shd w:val="clear" w:color="auto" w:fill="auto"/>
          </w:tcPr>
          <w:p w14:paraId="069323E6" w14:textId="77777777" w:rsidR="00E17223" w:rsidRPr="00717F29" w:rsidRDefault="00E17223" w:rsidP="00DA2770">
            <w:pPr>
              <w:widowControl/>
              <w:autoSpaceDE/>
              <w:autoSpaceDN/>
              <w:adjustRightInd/>
              <w:rPr>
                <w:bCs/>
                <w:sz w:val="20"/>
                <w:szCs w:val="20"/>
              </w:rPr>
            </w:pPr>
          </w:p>
        </w:tc>
        <w:tc>
          <w:tcPr>
            <w:tcW w:w="1603" w:type="dxa"/>
            <w:shd w:val="clear" w:color="auto" w:fill="auto"/>
          </w:tcPr>
          <w:p w14:paraId="55D4E002" w14:textId="3D9A71BE" w:rsidR="00E17223" w:rsidRPr="00875980" w:rsidRDefault="008A3DE1" w:rsidP="00DA2770">
            <w:pPr>
              <w:widowControl/>
              <w:autoSpaceDE/>
              <w:autoSpaceDN/>
              <w:adjustRightInd/>
              <w:rPr>
                <w:bCs/>
                <w:sz w:val="20"/>
                <w:szCs w:val="20"/>
              </w:rPr>
            </w:pPr>
            <w:r w:rsidRPr="008A3DE1">
              <w:rPr>
                <w:bCs/>
                <w:sz w:val="20"/>
                <w:szCs w:val="20"/>
              </w:rPr>
              <w:t>FY 2022-OB-04</w:t>
            </w:r>
          </w:p>
        </w:tc>
        <w:tc>
          <w:tcPr>
            <w:tcW w:w="4905" w:type="dxa"/>
            <w:shd w:val="clear" w:color="auto" w:fill="auto"/>
          </w:tcPr>
          <w:p w14:paraId="62A28211" w14:textId="1719135B" w:rsidR="00E17223" w:rsidRPr="00824B82" w:rsidRDefault="0096069D" w:rsidP="00DA2770">
            <w:pPr>
              <w:widowControl/>
              <w:autoSpaceDE/>
              <w:autoSpaceDN/>
              <w:adjustRightInd/>
              <w:rPr>
                <w:bCs/>
                <w:sz w:val="20"/>
                <w:szCs w:val="20"/>
              </w:rPr>
            </w:pPr>
            <w:r w:rsidRPr="0096069D">
              <w:rPr>
                <w:bCs/>
                <w:sz w:val="20"/>
                <w:szCs w:val="20"/>
              </w:rPr>
              <w:t>In 30 of the 49 (61%) files with violations, the Alleged Violation Description (AVD) in one or more of the violations was not clear or did not describe the nature of the violation with particularity consistent with the instructions and provisions required in Chapter 820 Illinois Compiled Statutes (ILCS) 219 Sec. 80. Violation of Act or standard; citation or the Illinois OSHA FOM, Chapter 5-11, Citations.</w:t>
            </w:r>
          </w:p>
        </w:tc>
        <w:tc>
          <w:tcPr>
            <w:tcW w:w="4559" w:type="dxa"/>
            <w:shd w:val="clear" w:color="auto" w:fill="auto"/>
          </w:tcPr>
          <w:p w14:paraId="0F64C21C" w14:textId="3516F12D" w:rsidR="00E17223" w:rsidRPr="003030AD" w:rsidRDefault="00E17223" w:rsidP="00DA2770">
            <w:pPr>
              <w:widowControl/>
              <w:autoSpaceDE/>
              <w:autoSpaceDN/>
              <w:adjustRightInd/>
              <w:rPr>
                <w:bCs/>
                <w:sz w:val="20"/>
                <w:szCs w:val="20"/>
              </w:rPr>
            </w:pPr>
          </w:p>
        </w:tc>
        <w:tc>
          <w:tcPr>
            <w:tcW w:w="1086" w:type="dxa"/>
            <w:shd w:val="clear" w:color="auto" w:fill="auto"/>
          </w:tcPr>
          <w:p w14:paraId="27777049" w14:textId="38D80277" w:rsidR="00E17223" w:rsidRPr="00717F29" w:rsidRDefault="005E30D6" w:rsidP="00DA2770">
            <w:pPr>
              <w:widowControl/>
              <w:autoSpaceDE/>
              <w:autoSpaceDN/>
              <w:adjustRightInd/>
              <w:rPr>
                <w:bCs/>
                <w:sz w:val="20"/>
                <w:szCs w:val="20"/>
              </w:rPr>
            </w:pPr>
            <w:r w:rsidRPr="005E30D6">
              <w:rPr>
                <w:bCs/>
                <w:sz w:val="20"/>
                <w:szCs w:val="20"/>
              </w:rPr>
              <w:t>Closed</w:t>
            </w:r>
          </w:p>
        </w:tc>
      </w:tr>
      <w:tr w:rsidR="00E17223" w:rsidRPr="00717F29" w14:paraId="13EDD9A2" w14:textId="77777777" w:rsidTr="00F71855">
        <w:trPr>
          <w:trHeight w:val="411"/>
          <w:tblHeader/>
        </w:trPr>
        <w:tc>
          <w:tcPr>
            <w:tcW w:w="1815" w:type="dxa"/>
            <w:shd w:val="clear" w:color="auto" w:fill="auto"/>
          </w:tcPr>
          <w:p w14:paraId="5C52C046" w14:textId="77777777" w:rsidR="00E17223" w:rsidRPr="00717F29" w:rsidRDefault="00E17223" w:rsidP="00DA2770">
            <w:pPr>
              <w:widowControl/>
              <w:autoSpaceDE/>
              <w:autoSpaceDN/>
              <w:adjustRightInd/>
              <w:rPr>
                <w:bCs/>
                <w:sz w:val="20"/>
                <w:szCs w:val="20"/>
              </w:rPr>
            </w:pPr>
          </w:p>
        </w:tc>
        <w:tc>
          <w:tcPr>
            <w:tcW w:w="1603" w:type="dxa"/>
            <w:shd w:val="clear" w:color="auto" w:fill="auto"/>
          </w:tcPr>
          <w:p w14:paraId="6DA72F2B" w14:textId="4E9D66BF" w:rsidR="00E17223" w:rsidRPr="00875980" w:rsidRDefault="008A3DE1" w:rsidP="00DA2770">
            <w:pPr>
              <w:widowControl/>
              <w:autoSpaceDE/>
              <w:autoSpaceDN/>
              <w:adjustRightInd/>
              <w:rPr>
                <w:bCs/>
                <w:sz w:val="20"/>
                <w:szCs w:val="20"/>
              </w:rPr>
            </w:pPr>
            <w:r w:rsidRPr="008A3DE1">
              <w:rPr>
                <w:bCs/>
                <w:sz w:val="20"/>
                <w:szCs w:val="20"/>
              </w:rPr>
              <w:t>FY 2022-OB-0</w:t>
            </w:r>
            <w:r>
              <w:rPr>
                <w:bCs/>
                <w:sz w:val="20"/>
                <w:szCs w:val="20"/>
              </w:rPr>
              <w:t>5</w:t>
            </w:r>
          </w:p>
        </w:tc>
        <w:tc>
          <w:tcPr>
            <w:tcW w:w="4905" w:type="dxa"/>
            <w:shd w:val="clear" w:color="auto" w:fill="auto"/>
          </w:tcPr>
          <w:p w14:paraId="41C97A7C" w14:textId="26BBE50E" w:rsidR="00E17223" w:rsidRPr="00824B82" w:rsidRDefault="00F71855" w:rsidP="00DA2770">
            <w:pPr>
              <w:widowControl/>
              <w:autoSpaceDE/>
              <w:autoSpaceDN/>
              <w:adjustRightInd/>
              <w:rPr>
                <w:bCs/>
                <w:sz w:val="20"/>
                <w:szCs w:val="20"/>
              </w:rPr>
            </w:pPr>
            <w:r w:rsidRPr="00F71855">
              <w:rPr>
                <w:bCs/>
                <w:sz w:val="20"/>
                <w:szCs w:val="20"/>
              </w:rPr>
              <w:t>In 12 (100%) of the files with general duty violations, the AVD language was not consistent with the instructions and provisions required in Illinois OSHA’s FOM Chapter 4-3 Use of the General Duty Clause.  These included: the AVD was not clear, included corrective action or abatement language, or did not include the required language spelled out in paragraph I.</w:t>
            </w:r>
          </w:p>
        </w:tc>
        <w:tc>
          <w:tcPr>
            <w:tcW w:w="4559" w:type="dxa"/>
            <w:shd w:val="clear" w:color="auto" w:fill="auto"/>
          </w:tcPr>
          <w:p w14:paraId="696CB63E" w14:textId="4C2F1933" w:rsidR="00E17223" w:rsidRPr="003030AD" w:rsidRDefault="00E17223" w:rsidP="00DA2770">
            <w:pPr>
              <w:widowControl/>
              <w:autoSpaceDE/>
              <w:autoSpaceDN/>
              <w:adjustRightInd/>
              <w:rPr>
                <w:bCs/>
                <w:sz w:val="20"/>
                <w:szCs w:val="20"/>
              </w:rPr>
            </w:pPr>
          </w:p>
        </w:tc>
        <w:tc>
          <w:tcPr>
            <w:tcW w:w="1086" w:type="dxa"/>
            <w:shd w:val="clear" w:color="auto" w:fill="auto"/>
          </w:tcPr>
          <w:p w14:paraId="0A986881" w14:textId="095938C0" w:rsidR="00E17223" w:rsidRPr="00717F29" w:rsidRDefault="005E30D6" w:rsidP="00DA2770">
            <w:pPr>
              <w:widowControl/>
              <w:autoSpaceDE/>
              <w:autoSpaceDN/>
              <w:adjustRightInd/>
              <w:rPr>
                <w:bCs/>
                <w:sz w:val="20"/>
                <w:szCs w:val="20"/>
              </w:rPr>
            </w:pPr>
            <w:r w:rsidRPr="005E30D6">
              <w:rPr>
                <w:bCs/>
                <w:sz w:val="20"/>
                <w:szCs w:val="20"/>
              </w:rPr>
              <w:t>Closed</w:t>
            </w:r>
          </w:p>
        </w:tc>
      </w:tr>
      <w:tr w:rsidR="008D2CFC" w:rsidRPr="008B5B77" w14:paraId="6CF70DE1" w14:textId="77777777" w:rsidTr="00F71855">
        <w:trPr>
          <w:trHeight w:val="397"/>
        </w:trPr>
        <w:tc>
          <w:tcPr>
            <w:tcW w:w="1815" w:type="dxa"/>
          </w:tcPr>
          <w:p w14:paraId="4B4F0371" w14:textId="724F71EE" w:rsidR="008D2CFC" w:rsidRPr="008B5B77" w:rsidRDefault="007A2721" w:rsidP="00ED3920">
            <w:pPr>
              <w:widowControl/>
              <w:autoSpaceDE/>
              <w:autoSpaceDN/>
              <w:adjustRightInd/>
              <w:rPr>
                <w:iCs/>
                <w:sz w:val="20"/>
                <w:szCs w:val="20"/>
              </w:rPr>
            </w:pPr>
            <w:r w:rsidRPr="008B5B77">
              <w:rPr>
                <w:iCs/>
                <w:sz w:val="20"/>
                <w:szCs w:val="20"/>
              </w:rPr>
              <w:t>FY 202</w:t>
            </w:r>
            <w:r w:rsidR="00E25779" w:rsidRPr="008B5B77">
              <w:rPr>
                <w:iCs/>
                <w:sz w:val="20"/>
                <w:szCs w:val="20"/>
              </w:rPr>
              <w:t>3</w:t>
            </w:r>
            <w:r w:rsidR="008D2CFC" w:rsidRPr="008B5B77">
              <w:rPr>
                <w:iCs/>
                <w:sz w:val="20"/>
                <w:szCs w:val="20"/>
              </w:rPr>
              <w:t>-OB-01</w:t>
            </w:r>
          </w:p>
          <w:p w14:paraId="3143E403" w14:textId="77777777" w:rsidR="008D2CFC" w:rsidRPr="008B5B77" w:rsidRDefault="008D2CFC" w:rsidP="00ED3920">
            <w:pPr>
              <w:widowControl/>
              <w:autoSpaceDE/>
              <w:autoSpaceDN/>
              <w:adjustRightInd/>
              <w:rPr>
                <w:iCs/>
                <w:sz w:val="20"/>
                <w:szCs w:val="20"/>
              </w:rPr>
            </w:pPr>
          </w:p>
        </w:tc>
        <w:tc>
          <w:tcPr>
            <w:tcW w:w="1603" w:type="dxa"/>
          </w:tcPr>
          <w:p w14:paraId="148F1864" w14:textId="3990FBCC" w:rsidR="008D2CFC" w:rsidRPr="008B5B77" w:rsidRDefault="007A2721" w:rsidP="00ED3920">
            <w:pPr>
              <w:widowControl/>
              <w:autoSpaceDE/>
              <w:autoSpaceDN/>
              <w:adjustRightInd/>
              <w:rPr>
                <w:iCs/>
                <w:sz w:val="20"/>
                <w:szCs w:val="20"/>
              </w:rPr>
            </w:pPr>
            <w:r w:rsidRPr="008B5B77">
              <w:rPr>
                <w:iCs/>
                <w:sz w:val="20"/>
                <w:szCs w:val="20"/>
              </w:rPr>
              <w:t>FY 202</w:t>
            </w:r>
            <w:r w:rsidR="00506A44" w:rsidRPr="008B5B77">
              <w:rPr>
                <w:iCs/>
                <w:sz w:val="20"/>
                <w:szCs w:val="20"/>
              </w:rPr>
              <w:t>2</w:t>
            </w:r>
            <w:r w:rsidR="008D2CFC" w:rsidRPr="008B5B77">
              <w:rPr>
                <w:iCs/>
                <w:sz w:val="20"/>
                <w:szCs w:val="20"/>
              </w:rPr>
              <w:t>-OB-0</w:t>
            </w:r>
            <w:r w:rsidR="00506A44" w:rsidRPr="008B5B77">
              <w:rPr>
                <w:iCs/>
                <w:sz w:val="20"/>
                <w:szCs w:val="20"/>
              </w:rPr>
              <w:t>6</w:t>
            </w:r>
          </w:p>
          <w:p w14:paraId="50A76AE0" w14:textId="77777777" w:rsidR="008D2CFC" w:rsidRPr="008B5B77" w:rsidRDefault="008D2CFC" w:rsidP="00ED3920">
            <w:pPr>
              <w:widowControl/>
              <w:autoSpaceDE/>
              <w:autoSpaceDN/>
              <w:adjustRightInd/>
              <w:rPr>
                <w:iCs/>
                <w:sz w:val="20"/>
                <w:szCs w:val="20"/>
              </w:rPr>
            </w:pPr>
          </w:p>
        </w:tc>
        <w:tc>
          <w:tcPr>
            <w:tcW w:w="4905" w:type="dxa"/>
          </w:tcPr>
          <w:p w14:paraId="41BBF635" w14:textId="615CC548" w:rsidR="008D2CFC" w:rsidRPr="00DC21A8" w:rsidRDefault="0064636C" w:rsidP="00ED3920">
            <w:pPr>
              <w:widowControl/>
              <w:autoSpaceDE/>
              <w:autoSpaceDN/>
              <w:adjustRightInd/>
              <w:rPr>
                <w:iCs/>
                <w:sz w:val="20"/>
                <w:szCs w:val="20"/>
              </w:rPr>
            </w:pPr>
            <w:r w:rsidRPr="00DC21A8">
              <w:rPr>
                <w:iCs/>
                <w:sz w:val="20"/>
                <w:szCs w:val="20"/>
              </w:rPr>
              <w:t xml:space="preserve">The Illinois State Plan’s number of planned vs actual inspections (safety) (SAMM 7a) is below the further review level of 380 safety inspections.  The Illinois State Plan conducted </w:t>
            </w:r>
            <w:r w:rsidR="003679FB" w:rsidRPr="00DC21A8">
              <w:rPr>
                <w:iCs/>
                <w:sz w:val="20"/>
                <w:szCs w:val="20"/>
              </w:rPr>
              <w:t>206</w:t>
            </w:r>
            <w:r w:rsidRPr="00DC21A8">
              <w:rPr>
                <w:iCs/>
                <w:sz w:val="20"/>
                <w:szCs w:val="20"/>
              </w:rPr>
              <w:t xml:space="preserve"> safety inspections (5</w:t>
            </w:r>
            <w:r w:rsidR="008659D4" w:rsidRPr="00DC21A8">
              <w:rPr>
                <w:iCs/>
                <w:sz w:val="20"/>
                <w:szCs w:val="20"/>
              </w:rPr>
              <w:t>2</w:t>
            </w:r>
            <w:r w:rsidRPr="00DC21A8">
              <w:rPr>
                <w:iCs/>
                <w:sz w:val="20"/>
                <w:szCs w:val="20"/>
              </w:rPr>
              <w:t>%) of the 400 planned safety inspections.</w:t>
            </w:r>
          </w:p>
        </w:tc>
        <w:tc>
          <w:tcPr>
            <w:tcW w:w="4559" w:type="dxa"/>
          </w:tcPr>
          <w:p w14:paraId="708E0AEF" w14:textId="01BC594E" w:rsidR="008D2CFC" w:rsidRPr="008B5B77" w:rsidRDefault="008B5B77" w:rsidP="00ED3920">
            <w:pPr>
              <w:widowControl/>
              <w:autoSpaceDE/>
              <w:autoSpaceDN/>
              <w:adjustRightInd/>
              <w:rPr>
                <w:iCs/>
                <w:sz w:val="20"/>
                <w:szCs w:val="20"/>
              </w:rPr>
            </w:pPr>
            <w:r w:rsidRPr="008B5B77">
              <w:rPr>
                <w:iCs/>
                <w:sz w:val="20"/>
                <w:szCs w:val="20"/>
              </w:rPr>
              <w:t>OSHA will discuss and evaluate Illinois OSHA’s inspection strategies and progress during quarterly monitoring meetings.</w:t>
            </w:r>
          </w:p>
        </w:tc>
        <w:tc>
          <w:tcPr>
            <w:tcW w:w="1086" w:type="dxa"/>
          </w:tcPr>
          <w:p w14:paraId="14466E02" w14:textId="77777777" w:rsidR="008D2CFC" w:rsidRPr="008B5B77" w:rsidRDefault="008D2CFC" w:rsidP="00ED3920">
            <w:pPr>
              <w:widowControl/>
              <w:autoSpaceDE/>
              <w:autoSpaceDN/>
              <w:adjustRightInd/>
              <w:rPr>
                <w:iCs/>
                <w:sz w:val="20"/>
                <w:szCs w:val="20"/>
              </w:rPr>
            </w:pPr>
            <w:r w:rsidRPr="008B5B77">
              <w:rPr>
                <w:iCs/>
                <w:sz w:val="20"/>
                <w:szCs w:val="20"/>
              </w:rPr>
              <w:t>Continued</w:t>
            </w:r>
          </w:p>
        </w:tc>
      </w:tr>
      <w:tr w:rsidR="008D2CFC" w:rsidRPr="00ED3920" w14:paraId="4200A38D" w14:textId="77777777" w:rsidTr="00F71855">
        <w:trPr>
          <w:trHeight w:val="397"/>
        </w:trPr>
        <w:tc>
          <w:tcPr>
            <w:tcW w:w="1815" w:type="dxa"/>
          </w:tcPr>
          <w:p w14:paraId="5CDC51B2" w14:textId="7227F5A5" w:rsidR="008D2CFC" w:rsidRPr="00ED3920" w:rsidRDefault="007A2721" w:rsidP="00ED3920">
            <w:pPr>
              <w:widowControl/>
              <w:autoSpaceDE/>
              <w:autoSpaceDN/>
              <w:adjustRightInd/>
              <w:rPr>
                <w:iCs/>
                <w:sz w:val="20"/>
                <w:szCs w:val="20"/>
              </w:rPr>
            </w:pPr>
            <w:r w:rsidRPr="00ED3920">
              <w:rPr>
                <w:iCs/>
                <w:sz w:val="20"/>
                <w:szCs w:val="20"/>
              </w:rPr>
              <w:t>FY 202</w:t>
            </w:r>
            <w:r w:rsidR="00610D8E" w:rsidRPr="00ED3920">
              <w:rPr>
                <w:iCs/>
                <w:sz w:val="20"/>
                <w:szCs w:val="20"/>
              </w:rPr>
              <w:t>3</w:t>
            </w:r>
            <w:r w:rsidRPr="00ED3920">
              <w:rPr>
                <w:iCs/>
                <w:sz w:val="20"/>
                <w:szCs w:val="20"/>
              </w:rPr>
              <w:t>-OB-02</w:t>
            </w:r>
          </w:p>
          <w:p w14:paraId="0B36F54E" w14:textId="77777777" w:rsidR="008D2CFC" w:rsidRPr="00ED3920" w:rsidRDefault="008D2CFC" w:rsidP="00ED3920">
            <w:pPr>
              <w:widowControl/>
              <w:autoSpaceDE/>
              <w:autoSpaceDN/>
              <w:adjustRightInd/>
              <w:rPr>
                <w:iCs/>
                <w:sz w:val="20"/>
                <w:szCs w:val="20"/>
              </w:rPr>
            </w:pPr>
          </w:p>
          <w:p w14:paraId="566D6A6E" w14:textId="77777777" w:rsidR="008D2CFC" w:rsidRPr="00ED3920" w:rsidRDefault="008D2CFC" w:rsidP="00ED3920">
            <w:pPr>
              <w:widowControl/>
              <w:autoSpaceDE/>
              <w:autoSpaceDN/>
              <w:adjustRightInd/>
              <w:rPr>
                <w:iCs/>
                <w:sz w:val="20"/>
                <w:szCs w:val="20"/>
              </w:rPr>
            </w:pPr>
          </w:p>
        </w:tc>
        <w:tc>
          <w:tcPr>
            <w:tcW w:w="1603" w:type="dxa"/>
          </w:tcPr>
          <w:p w14:paraId="3E98E789" w14:textId="5F846204" w:rsidR="008D2CFC" w:rsidRPr="00ED3920" w:rsidRDefault="007A2721" w:rsidP="00ED3920">
            <w:pPr>
              <w:widowControl/>
              <w:autoSpaceDE/>
              <w:autoSpaceDN/>
              <w:adjustRightInd/>
              <w:rPr>
                <w:iCs/>
                <w:sz w:val="20"/>
                <w:szCs w:val="20"/>
              </w:rPr>
            </w:pPr>
            <w:r w:rsidRPr="00ED3920">
              <w:rPr>
                <w:iCs/>
                <w:sz w:val="20"/>
                <w:szCs w:val="20"/>
              </w:rPr>
              <w:t>FY 202</w:t>
            </w:r>
            <w:r w:rsidR="005F10EB" w:rsidRPr="00ED3920">
              <w:rPr>
                <w:iCs/>
                <w:sz w:val="20"/>
                <w:szCs w:val="20"/>
              </w:rPr>
              <w:t>2</w:t>
            </w:r>
            <w:r w:rsidR="008D2CFC" w:rsidRPr="00ED3920">
              <w:rPr>
                <w:iCs/>
                <w:sz w:val="20"/>
                <w:szCs w:val="20"/>
              </w:rPr>
              <w:t>-0</w:t>
            </w:r>
            <w:r w:rsidR="007F6D23" w:rsidRPr="00ED3920">
              <w:rPr>
                <w:iCs/>
                <w:sz w:val="20"/>
                <w:szCs w:val="20"/>
              </w:rPr>
              <w:t>2</w:t>
            </w:r>
          </w:p>
        </w:tc>
        <w:tc>
          <w:tcPr>
            <w:tcW w:w="4905" w:type="dxa"/>
          </w:tcPr>
          <w:p w14:paraId="0AF749FD" w14:textId="7B0C5F85" w:rsidR="008D2CFC" w:rsidRPr="00DC21A8" w:rsidRDefault="00FC46E9" w:rsidP="00ED3920">
            <w:pPr>
              <w:widowControl/>
              <w:autoSpaceDE/>
              <w:autoSpaceDN/>
              <w:adjustRightInd/>
              <w:rPr>
                <w:iCs/>
                <w:sz w:val="20"/>
                <w:szCs w:val="20"/>
              </w:rPr>
            </w:pPr>
            <w:r w:rsidRPr="00DC21A8">
              <w:rPr>
                <w:iCs/>
                <w:sz w:val="20"/>
                <w:szCs w:val="20"/>
              </w:rPr>
              <w:t>Fifteen</w:t>
            </w:r>
            <w:r w:rsidR="00C877FF" w:rsidRPr="00DC21A8">
              <w:rPr>
                <w:iCs/>
                <w:sz w:val="20"/>
                <w:szCs w:val="20"/>
              </w:rPr>
              <w:t xml:space="preserve"> of the </w:t>
            </w:r>
            <w:r w:rsidR="00E62F05" w:rsidRPr="00DC21A8">
              <w:rPr>
                <w:iCs/>
                <w:sz w:val="20"/>
                <w:szCs w:val="20"/>
              </w:rPr>
              <w:t>50</w:t>
            </w:r>
            <w:r w:rsidR="00C877FF" w:rsidRPr="00DC21A8">
              <w:rPr>
                <w:iCs/>
                <w:sz w:val="20"/>
                <w:szCs w:val="20"/>
              </w:rPr>
              <w:t xml:space="preserve"> (</w:t>
            </w:r>
            <w:r w:rsidRPr="00DC21A8">
              <w:rPr>
                <w:iCs/>
                <w:sz w:val="20"/>
                <w:szCs w:val="20"/>
              </w:rPr>
              <w:t>30</w:t>
            </w:r>
            <w:r w:rsidR="00C877FF" w:rsidRPr="00DC21A8">
              <w:rPr>
                <w:iCs/>
                <w:sz w:val="20"/>
                <w:szCs w:val="20"/>
              </w:rPr>
              <w:t xml:space="preserve">%) files reviewed, </w:t>
            </w:r>
            <w:r w:rsidR="00DA44B2" w:rsidRPr="00DC21A8">
              <w:rPr>
                <w:iCs/>
                <w:sz w:val="20"/>
                <w:szCs w:val="20"/>
              </w:rPr>
              <w:t>employee interviews were not thoroughly documented as required by Chapter 3-</w:t>
            </w:r>
            <w:r w:rsidR="00892437" w:rsidRPr="00DC21A8">
              <w:rPr>
                <w:iCs/>
                <w:sz w:val="20"/>
                <w:szCs w:val="20"/>
              </w:rPr>
              <w:t>7. C.</w:t>
            </w:r>
            <w:r w:rsidR="00DA44B2" w:rsidRPr="00DC21A8">
              <w:rPr>
                <w:iCs/>
                <w:sz w:val="20"/>
                <w:szCs w:val="20"/>
              </w:rPr>
              <w:t>2 of the Illinois FOM.</w:t>
            </w:r>
          </w:p>
        </w:tc>
        <w:tc>
          <w:tcPr>
            <w:tcW w:w="4559" w:type="dxa"/>
          </w:tcPr>
          <w:p w14:paraId="4BDE32DF" w14:textId="1EA4A5AE" w:rsidR="008D2CFC" w:rsidRPr="00ED3920" w:rsidRDefault="007A2721" w:rsidP="00ED3920">
            <w:pPr>
              <w:widowControl/>
              <w:autoSpaceDE/>
              <w:autoSpaceDN/>
              <w:adjustRightInd/>
              <w:rPr>
                <w:iCs/>
                <w:sz w:val="20"/>
                <w:szCs w:val="20"/>
              </w:rPr>
            </w:pPr>
            <w:r w:rsidRPr="00ED3920">
              <w:rPr>
                <w:iCs/>
                <w:sz w:val="20"/>
                <w:szCs w:val="20"/>
              </w:rPr>
              <w:t>In FY 202</w:t>
            </w:r>
            <w:r w:rsidR="00A2371A" w:rsidRPr="00ED3920">
              <w:rPr>
                <w:iCs/>
                <w:sz w:val="20"/>
                <w:szCs w:val="20"/>
              </w:rPr>
              <w:t>4</w:t>
            </w:r>
            <w:r w:rsidR="008D2CFC" w:rsidRPr="00ED3920">
              <w:rPr>
                <w:iCs/>
                <w:sz w:val="20"/>
                <w:szCs w:val="20"/>
              </w:rPr>
              <w:t>, a limited number of case files will be selected randomly and reviewed to determine if this item was addressed.</w:t>
            </w:r>
          </w:p>
        </w:tc>
        <w:tc>
          <w:tcPr>
            <w:tcW w:w="1086" w:type="dxa"/>
          </w:tcPr>
          <w:p w14:paraId="26526530" w14:textId="77777777" w:rsidR="008D2CFC" w:rsidRPr="00ED3920" w:rsidRDefault="008D2CFC" w:rsidP="00ED3920">
            <w:pPr>
              <w:widowControl/>
              <w:autoSpaceDE/>
              <w:autoSpaceDN/>
              <w:adjustRightInd/>
              <w:rPr>
                <w:iCs/>
                <w:sz w:val="20"/>
                <w:szCs w:val="20"/>
              </w:rPr>
            </w:pPr>
            <w:r w:rsidRPr="00ED3920">
              <w:rPr>
                <w:iCs/>
                <w:sz w:val="20"/>
                <w:szCs w:val="20"/>
              </w:rPr>
              <w:t>New</w:t>
            </w:r>
          </w:p>
        </w:tc>
      </w:tr>
      <w:tr w:rsidR="00610D8E" w:rsidRPr="00ED3920" w14:paraId="26ACC841" w14:textId="77777777" w:rsidTr="00F71855">
        <w:trPr>
          <w:trHeight w:val="397"/>
        </w:trPr>
        <w:tc>
          <w:tcPr>
            <w:tcW w:w="1815" w:type="dxa"/>
          </w:tcPr>
          <w:p w14:paraId="13ACDB9B" w14:textId="252BA9A9" w:rsidR="00610D8E" w:rsidRPr="00ED3920" w:rsidRDefault="00BB1C01" w:rsidP="00ED3920">
            <w:pPr>
              <w:widowControl/>
              <w:autoSpaceDE/>
              <w:autoSpaceDN/>
              <w:adjustRightInd/>
              <w:rPr>
                <w:iCs/>
                <w:sz w:val="20"/>
                <w:szCs w:val="20"/>
              </w:rPr>
            </w:pPr>
            <w:r>
              <w:rPr>
                <w:iCs/>
                <w:sz w:val="20"/>
                <w:szCs w:val="20"/>
              </w:rPr>
              <w:t>FY 2023-OB-03</w:t>
            </w:r>
          </w:p>
        </w:tc>
        <w:tc>
          <w:tcPr>
            <w:tcW w:w="1603" w:type="dxa"/>
          </w:tcPr>
          <w:p w14:paraId="697173F1" w14:textId="324DD7A4" w:rsidR="00610D8E" w:rsidRPr="00ED3920" w:rsidRDefault="00BB1C01" w:rsidP="00ED3920">
            <w:pPr>
              <w:widowControl/>
              <w:autoSpaceDE/>
              <w:autoSpaceDN/>
              <w:adjustRightInd/>
              <w:rPr>
                <w:iCs/>
                <w:sz w:val="20"/>
                <w:szCs w:val="20"/>
              </w:rPr>
            </w:pPr>
            <w:r>
              <w:rPr>
                <w:iCs/>
                <w:sz w:val="20"/>
                <w:szCs w:val="20"/>
              </w:rPr>
              <w:t>FY 2022-05</w:t>
            </w:r>
          </w:p>
        </w:tc>
        <w:tc>
          <w:tcPr>
            <w:tcW w:w="4905" w:type="dxa"/>
          </w:tcPr>
          <w:p w14:paraId="4079CBF4" w14:textId="642C1B52" w:rsidR="00610D8E" w:rsidRPr="00DC21A8" w:rsidRDefault="00337DE1" w:rsidP="00ED3920">
            <w:pPr>
              <w:widowControl/>
              <w:autoSpaceDE/>
              <w:autoSpaceDN/>
              <w:adjustRightInd/>
              <w:rPr>
                <w:iCs/>
                <w:sz w:val="20"/>
                <w:szCs w:val="20"/>
              </w:rPr>
            </w:pPr>
            <w:r w:rsidRPr="00DC21A8">
              <w:rPr>
                <w:iCs/>
                <w:sz w:val="20"/>
                <w:szCs w:val="20"/>
              </w:rPr>
              <w:t>The Illinois</w:t>
            </w:r>
            <w:r w:rsidR="00F638C3" w:rsidRPr="00DC21A8">
              <w:rPr>
                <w:iCs/>
                <w:sz w:val="20"/>
                <w:szCs w:val="20"/>
              </w:rPr>
              <w:t xml:space="preserve"> State Plan currently has </w:t>
            </w:r>
            <w:r w:rsidR="002451E9" w:rsidRPr="00DC21A8">
              <w:rPr>
                <w:iCs/>
                <w:sz w:val="20"/>
                <w:szCs w:val="20"/>
              </w:rPr>
              <w:t>three</w:t>
            </w:r>
            <w:r w:rsidR="00F638C3" w:rsidRPr="00DC21A8">
              <w:rPr>
                <w:iCs/>
                <w:sz w:val="20"/>
                <w:szCs w:val="20"/>
              </w:rPr>
              <w:t xml:space="preserve"> pending docketed </w:t>
            </w:r>
            <w:r w:rsidR="001568D8" w:rsidRPr="00DC21A8">
              <w:rPr>
                <w:iCs/>
                <w:sz w:val="20"/>
                <w:szCs w:val="20"/>
              </w:rPr>
              <w:t>whi</w:t>
            </w:r>
            <w:r w:rsidR="00290472" w:rsidRPr="00DC21A8">
              <w:rPr>
                <w:iCs/>
                <w:sz w:val="20"/>
                <w:szCs w:val="20"/>
              </w:rPr>
              <w:t xml:space="preserve">stleblower </w:t>
            </w:r>
            <w:r w:rsidR="00F638C3" w:rsidRPr="00DC21A8">
              <w:rPr>
                <w:iCs/>
                <w:sz w:val="20"/>
                <w:szCs w:val="20"/>
              </w:rPr>
              <w:t xml:space="preserve">cases </w:t>
            </w:r>
            <w:r w:rsidR="0003366D" w:rsidRPr="00DC21A8">
              <w:rPr>
                <w:iCs/>
                <w:sz w:val="20"/>
                <w:szCs w:val="20"/>
              </w:rPr>
              <w:t xml:space="preserve">and </w:t>
            </w:r>
            <w:r w:rsidR="00DE6685" w:rsidRPr="00DC21A8">
              <w:rPr>
                <w:iCs/>
                <w:sz w:val="20"/>
                <w:szCs w:val="20"/>
              </w:rPr>
              <w:t xml:space="preserve">one pending whistleblower intake </w:t>
            </w:r>
            <w:r w:rsidR="00F638C3" w:rsidRPr="00DC21A8">
              <w:rPr>
                <w:iCs/>
                <w:sz w:val="20"/>
                <w:szCs w:val="20"/>
              </w:rPr>
              <w:t xml:space="preserve">with </w:t>
            </w:r>
            <w:r w:rsidR="007D1EB3" w:rsidRPr="00DC21A8">
              <w:rPr>
                <w:iCs/>
                <w:sz w:val="20"/>
                <w:szCs w:val="20"/>
              </w:rPr>
              <w:t>1,5</w:t>
            </w:r>
            <w:r w:rsidR="0003366D" w:rsidRPr="00DC21A8">
              <w:rPr>
                <w:iCs/>
                <w:sz w:val="20"/>
                <w:szCs w:val="20"/>
              </w:rPr>
              <w:t>26</w:t>
            </w:r>
            <w:r w:rsidR="00F638C3" w:rsidRPr="00DC21A8">
              <w:rPr>
                <w:iCs/>
                <w:sz w:val="20"/>
                <w:szCs w:val="20"/>
              </w:rPr>
              <w:t xml:space="preserve"> average days pending.</w:t>
            </w:r>
          </w:p>
        </w:tc>
        <w:tc>
          <w:tcPr>
            <w:tcW w:w="4559" w:type="dxa"/>
          </w:tcPr>
          <w:p w14:paraId="1B921C98" w14:textId="5F2FD545" w:rsidR="00610D8E" w:rsidRPr="00ED3920" w:rsidRDefault="002E1EB3" w:rsidP="00ED3920">
            <w:pPr>
              <w:widowControl/>
              <w:autoSpaceDE/>
              <w:autoSpaceDN/>
              <w:adjustRightInd/>
              <w:rPr>
                <w:iCs/>
                <w:sz w:val="20"/>
                <w:szCs w:val="20"/>
              </w:rPr>
            </w:pPr>
            <w:r w:rsidRPr="002E1EB3">
              <w:rPr>
                <w:iCs/>
                <w:sz w:val="20"/>
                <w:szCs w:val="20"/>
              </w:rPr>
              <w:t xml:space="preserve">OSHA will discuss and evaluate Illinois OSHA’s progress </w:t>
            </w:r>
            <w:r w:rsidR="00640CD1">
              <w:rPr>
                <w:iCs/>
                <w:sz w:val="20"/>
                <w:szCs w:val="20"/>
              </w:rPr>
              <w:t xml:space="preserve">to close docketed cases </w:t>
            </w:r>
            <w:r w:rsidRPr="002E1EB3">
              <w:rPr>
                <w:iCs/>
                <w:sz w:val="20"/>
                <w:szCs w:val="20"/>
              </w:rPr>
              <w:t>during quarterly monitoring meetings.</w:t>
            </w:r>
          </w:p>
        </w:tc>
        <w:tc>
          <w:tcPr>
            <w:tcW w:w="1086" w:type="dxa"/>
          </w:tcPr>
          <w:p w14:paraId="4F5FBB99" w14:textId="47156B34" w:rsidR="00610D8E" w:rsidRPr="00ED3920" w:rsidRDefault="00640CD1" w:rsidP="00ED3920">
            <w:pPr>
              <w:widowControl/>
              <w:autoSpaceDE/>
              <w:autoSpaceDN/>
              <w:adjustRightInd/>
              <w:rPr>
                <w:iCs/>
                <w:sz w:val="20"/>
                <w:szCs w:val="20"/>
              </w:rPr>
            </w:pPr>
            <w:r>
              <w:rPr>
                <w:iCs/>
                <w:sz w:val="20"/>
                <w:szCs w:val="20"/>
              </w:rPr>
              <w:t>New</w:t>
            </w:r>
          </w:p>
        </w:tc>
      </w:tr>
    </w:tbl>
    <w:p w14:paraId="16EF12F3" w14:textId="77777777" w:rsidR="00131D63" w:rsidRDefault="00131D63" w:rsidP="00E6564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sectPr w:rsidR="00131D63" w:rsidSect="0097111D">
          <w:headerReference w:type="default" r:id="rId21"/>
          <w:footerReference w:type="default" r:id="rId22"/>
          <w:pgSz w:w="15840" w:h="12240" w:orient="landscape" w:code="1"/>
          <w:pgMar w:top="1440" w:right="1440" w:bottom="1440" w:left="1440" w:header="720" w:footer="720" w:gutter="0"/>
          <w:pgNumType w:start="1"/>
          <w:cols w:space="720"/>
          <w:rtlGutter/>
          <w:docGrid w:linePitch="360"/>
        </w:sectPr>
      </w:pPr>
      <w:bookmarkStart w:id="9" w:name="_Appendix_C_-"/>
      <w:bookmarkEnd w:id="9"/>
    </w:p>
    <w:p w14:paraId="569BFD0F" w14:textId="77777777" w:rsidR="008B4A36" w:rsidRPr="0097111D" w:rsidRDefault="008B4A36" w:rsidP="00E6564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Cs/>
          <w:sz w:val="22"/>
          <w:szCs w:val="22"/>
        </w:rPr>
      </w:pPr>
    </w:p>
    <w:tbl>
      <w:tblPr>
        <w:tblStyle w:val="TableGrid"/>
        <w:tblpPr w:leftFromText="180" w:rightFromText="180" w:vertAnchor="page" w:horzAnchor="margin" w:tblpXSpec="center" w:tblpY="1911"/>
        <w:tblW w:w="14058" w:type="dxa"/>
        <w:tblLayout w:type="fixed"/>
        <w:tblLook w:val="00A0" w:firstRow="1" w:lastRow="0" w:firstColumn="1" w:lastColumn="0" w:noHBand="0" w:noVBand="0"/>
        <w:tblCaption w:val="Status of FY 20XX Findings and Recommendations"/>
        <w:tblDescription w:val="Appendix C"/>
      </w:tblPr>
      <w:tblGrid>
        <w:gridCol w:w="1350"/>
        <w:gridCol w:w="3055"/>
        <w:gridCol w:w="2430"/>
        <w:gridCol w:w="3510"/>
        <w:gridCol w:w="2070"/>
        <w:gridCol w:w="1643"/>
      </w:tblGrid>
      <w:tr w:rsidR="00156BBB" w:rsidRPr="00156BBB" w14:paraId="4F5AFB7A" w14:textId="77777777" w:rsidTr="009274CF">
        <w:trPr>
          <w:trHeight w:val="412"/>
          <w:tblHeader/>
        </w:trPr>
        <w:tc>
          <w:tcPr>
            <w:tcW w:w="1350" w:type="dxa"/>
            <w:shd w:val="clear" w:color="auto" w:fill="1F497D" w:themeFill="text2"/>
          </w:tcPr>
          <w:p w14:paraId="3947F9E6" w14:textId="445E5D16" w:rsidR="008D2CFC" w:rsidRPr="00156BBB" w:rsidRDefault="008D2CFC" w:rsidP="00E6564A">
            <w:pPr>
              <w:rPr>
                <w:b/>
                <w:color w:val="FFFFFF" w:themeColor="background1"/>
                <w:sz w:val="22"/>
                <w:szCs w:val="22"/>
              </w:rPr>
            </w:pPr>
            <w:r w:rsidRPr="00156BBB">
              <w:rPr>
                <w:b/>
                <w:color w:val="FFFFFF" w:themeColor="background1"/>
                <w:sz w:val="22"/>
                <w:szCs w:val="22"/>
              </w:rPr>
              <w:t>FY 20</w:t>
            </w:r>
            <w:r w:rsidR="008D02AE">
              <w:rPr>
                <w:b/>
                <w:color w:val="FFFFFF" w:themeColor="background1"/>
                <w:sz w:val="22"/>
                <w:szCs w:val="22"/>
              </w:rPr>
              <w:t>22</w:t>
            </w:r>
            <w:r w:rsidRPr="00156BBB">
              <w:rPr>
                <w:b/>
                <w:color w:val="FFFFFF" w:themeColor="background1"/>
                <w:sz w:val="22"/>
                <w:szCs w:val="22"/>
              </w:rPr>
              <w:t>-#</w:t>
            </w:r>
          </w:p>
        </w:tc>
        <w:tc>
          <w:tcPr>
            <w:tcW w:w="3055" w:type="dxa"/>
            <w:shd w:val="clear" w:color="auto" w:fill="1F497D" w:themeFill="text2"/>
          </w:tcPr>
          <w:p w14:paraId="194AB10B" w14:textId="77777777" w:rsidR="008D2CFC" w:rsidRPr="00156BBB" w:rsidRDefault="008D2CFC" w:rsidP="00E6564A">
            <w:pPr>
              <w:rPr>
                <w:b/>
                <w:color w:val="FFFFFF" w:themeColor="background1"/>
                <w:sz w:val="22"/>
                <w:szCs w:val="22"/>
              </w:rPr>
            </w:pPr>
            <w:r w:rsidRPr="00156BBB">
              <w:rPr>
                <w:b/>
                <w:color w:val="FFFFFF" w:themeColor="background1"/>
                <w:sz w:val="22"/>
                <w:szCs w:val="22"/>
              </w:rPr>
              <w:t>Finding</w:t>
            </w:r>
          </w:p>
        </w:tc>
        <w:tc>
          <w:tcPr>
            <w:tcW w:w="2430" w:type="dxa"/>
            <w:shd w:val="clear" w:color="auto" w:fill="1F497D" w:themeFill="text2"/>
          </w:tcPr>
          <w:p w14:paraId="6176A738" w14:textId="77777777" w:rsidR="008D2CFC" w:rsidRPr="00156BBB" w:rsidRDefault="008D2CFC" w:rsidP="00E6564A">
            <w:pPr>
              <w:rPr>
                <w:b/>
                <w:color w:val="FFFFFF" w:themeColor="background1"/>
                <w:sz w:val="22"/>
                <w:szCs w:val="22"/>
              </w:rPr>
            </w:pPr>
            <w:r w:rsidRPr="00156BBB">
              <w:rPr>
                <w:b/>
                <w:color w:val="FFFFFF" w:themeColor="background1"/>
                <w:sz w:val="22"/>
                <w:szCs w:val="22"/>
              </w:rPr>
              <w:t>Recommendation</w:t>
            </w:r>
          </w:p>
        </w:tc>
        <w:tc>
          <w:tcPr>
            <w:tcW w:w="3510" w:type="dxa"/>
            <w:shd w:val="clear" w:color="auto" w:fill="1F497D" w:themeFill="text2"/>
          </w:tcPr>
          <w:p w14:paraId="1FFA0057" w14:textId="77777777" w:rsidR="008D2CFC" w:rsidRPr="00156BBB" w:rsidRDefault="008D2CFC" w:rsidP="00E6564A">
            <w:pPr>
              <w:rPr>
                <w:b/>
                <w:color w:val="FFFFFF" w:themeColor="background1"/>
                <w:sz w:val="22"/>
                <w:szCs w:val="22"/>
              </w:rPr>
            </w:pPr>
            <w:r w:rsidRPr="00156BBB">
              <w:rPr>
                <w:b/>
                <w:color w:val="FFFFFF" w:themeColor="background1"/>
                <w:sz w:val="22"/>
                <w:szCs w:val="22"/>
              </w:rPr>
              <w:t>State Plan Corrective Action</w:t>
            </w:r>
          </w:p>
        </w:tc>
        <w:tc>
          <w:tcPr>
            <w:tcW w:w="2070" w:type="dxa"/>
            <w:shd w:val="clear" w:color="auto" w:fill="1F497D" w:themeFill="text2"/>
          </w:tcPr>
          <w:p w14:paraId="54EBB9C9" w14:textId="77777777" w:rsidR="008D2CFC" w:rsidRPr="00156BBB" w:rsidRDefault="008D2CFC" w:rsidP="00E6564A">
            <w:pPr>
              <w:rPr>
                <w:b/>
                <w:color w:val="FFFFFF" w:themeColor="background1"/>
                <w:sz w:val="22"/>
                <w:szCs w:val="22"/>
              </w:rPr>
            </w:pPr>
            <w:r w:rsidRPr="00156BBB">
              <w:rPr>
                <w:b/>
                <w:color w:val="FFFFFF" w:themeColor="background1"/>
                <w:sz w:val="22"/>
                <w:szCs w:val="22"/>
              </w:rPr>
              <w:t>Completion Date</w:t>
            </w:r>
            <w:r w:rsidR="00D85D0B" w:rsidRPr="00156BBB">
              <w:rPr>
                <w:b/>
                <w:color w:val="FFFFFF" w:themeColor="background1"/>
                <w:sz w:val="22"/>
                <w:szCs w:val="22"/>
              </w:rPr>
              <w:t xml:space="preserve"> (if Applicable)</w:t>
            </w:r>
          </w:p>
        </w:tc>
        <w:tc>
          <w:tcPr>
            <w:tcW w:w="1643" w:type="dxa"/>
            <w:shd w:val="clear" w:color="auto" w:fill="1F497D" w:themeFill="text2"/>
          </w:tcPr>
          <w:p w14:paraId="724325FD" w14:textId="77777777" w:rsidR="008D2CFC" w:rsidRPr="00156BBB" w:rsidRDefault="008D2CFC" w:rsidP="00E6564A">
            <w:pPr>
              <w:rPr>
                <w:b/>
                <w:color w:val="FFFFFF" w:themeColor="background1"/>
                <w:sz w:val="22"/>
                <w:szCs w:val="22"/>
              </w:rPr>
            </w:pPr>
            <w:r w:rsidRPr="00156BBB">
              <w:rPr>
                <w:b/>
                <w:color w:val="FFFFFF" w:themeColor="background1"/>
                <w:sz w:val="22"/>
                <w:szCs w:val="22"/>
              </w:rPr>
              <w:t xml:space="preserve">Current Status </w:t>
            </w:r>
          </w:p>
          <w:p w14:paraId="6DB18C29" w14:textId="3346729D" w:rsidR="008D2CFC" w:rsidRPr="00156BBB" w:rsidRDefault="0043036A" w:rsidP="0005089D">
            <w:pPr>
              <w:rPr>
                <w:b/>
                <w:color w:val="FFFFFF" w:themeColor="background1"/>
                <w:sz w:val="22"/>
                <w:szCs w:val="22"/>
              </w:rPr>
            </w:pPr>
            <w:r w:rsidRPr="00156BBB">
              <w:rPr>
                <w:b/>
                <w:color w:val="FFFFFF" w:themeColor="background1"/>
                <w:sz w:val="22"/>
                <w:szCs w:val="22"/>
              </w:rPr>
              <w:t>(</w:t>
            </w:r>
            <w:r w:rsidR="008D2CFC" w:rsidRPr="00156BBB">
              <w:rPr>
                <w:b/>
                <w:color w:val="FFFFFF" w:themeColor="background1"/>
                <w:sz w:val="22"/>
                <w:szCs w:val="22"/>
              </w:rPr>
              <w:t>and Date</w:t>
            </w:r>
            <w:r w:rsidRPr="00156BBB">
              <w:rPr>
                <w:b/>
                <w:color w:val="FFFFFF" w:themeColor="background1"/>
                <w:sz w:val="22"/>
                <w:szCs w:val="22"/>
              </w:rPr>
              <w:t xml:space="preserve"> if Item is Not Completed)</w:t>
            </w:r>
          </w:p>
        </w:tc>
      </w:tr>
      <w:tr w:rsidR="008D2CFC" w:rsidRPr="005B6832" w14:paraId="0EE800F7" w14:textId="77777777" w:rsidTr="009274CF">
        <w:trPr>
          <w:trHeight w:val="412"/>
        </w:trPr>
        <w:tc>
          <w:tcPr>
            <w:tcW w:w="1350" w:type="dxa"/>
          </w:tcPr>
          <w:p w14:paraId="706E5773" w14:textId="1C480708" w:rsidR="008D2CFC" w:rsidRPr="005B6832" w:rsidRDefault="005B6832"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5B6832">
              <w:rPr>
                <w:rFonts w:eastAsia="PMingLiU"/>
                <w:sz w:val="22"/>
                <w:szCs w:val="22"/>
              </w:rPr>
              <w:t>FY 2022-01</w:t>
            </w:r>
            <w:r w:rsidR="008D2CFC" w:rsidRPr="005B6832">
              <w:rPr>
                <w:rFonts w:eastAsia="PMingLiU"/>
                <w:sz w:val="22"/>
                <w:szCs w:val="22"/>
              </w:rPr>
              <w:t> </w:t>
            </w:r>
          </w:p>
        </w:tc>
        <w:tc>
          <w:tcPr>
            <w:tcW w:w="3055" w:type="dxa"/>
          </w:tcPr>
          <w:p w14:paraId="541DD8B4" w14:textId="737E1264" w:rsidR="008D2CFC" w:rsidRPr="005B6832" w:rsidRDefault="00977F42"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977F42">
              <w:rPr>
                <w:rFonts w:eastAsia="PMingLiU"/>
                <w:sz w:val="22"/>
                <w:szCs w:val="22"/>
              </w:rPr>
              <w:t>Twenty-five of the 49 (</w:t>
            </w:r>
            <w:r w:rsidR="00031C49">
              <w:rPr>
                <w:rFonts w:eastAsia="PMingLiU"/>
                <w:sz w:val="22"/>
                <w:szCs w:val="22"/>
              </w:rPr>
              <w:t>5</w:t>
            </w:r>
            <w:r w:rsidR="00031C49" w:rsidRPr="00977F42">
              <w:rPr>
                <w:rFonts w:eastAsia="PMingLiU"/>
                <w:sz w:val="22"/>
                <w:szCs w:val="22"/>
              </w:rPr>
              <w:t>1</w:t>
            </w:r>
            <w:r w:rsidRPr="00977F42">
              <w:rPr>
                <w:rFonts w:eastAsia="PMingLiU"/>
                <w:sz w:val="22"/>
                <w:szCs w:val="22"/>
              </w:rPr>
              <w:t>%) files with violations did not contain adequate documentation of the information required to support the violations in accordance with Illinois OSHA FOM, Chapter 3-6, C, titled, “Record All Facts Pertinent to a Violation.”</w:t>
            </w:r>
            <w:r w:rsidR="008D2CFC" w:rsidRPr="005B6832">
              <w:rPr>
                <w:rFonts w:eastAsia="PMingLiU"/>
                <w:sz w:val="22"/>
                <w:szCs w:val="22"/>
              </w:rPr>
              <w:t> </w:t>
            </w:r>
          </w:p>
        </w:tc>
        <w:tc>
          <w:tcPr>
            <w:tcW w:w="2430" w:type="dxa"/>
          </w:tcPr>
          <w:p w14:paraId="180F4A09" w14:textId="44B3389A" w:rsidR="008D2CFC" w:rsidRPr="005B6832" w:rsidRDefault="00502716"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502716">
              <w:rPr>
                <w:rFonts w:eastAsia="PMingLiU"/>
                <w:sz w:val="22"/>
                <w:szCs w:val="22"/>
              </w:rPr>
              <w:t xml:space="preserve">Ensure case files contain </w:t>
            </w:r>
            <w:proofErr w:type="gramStart"/>
            <w:r w:rsidRPr="00502716">
              <w:rPr>
                <w:rFonts w:eastAsia="PMingLiU"/>
                <w:sz w:val="22"/>
                <w:szCs w:val="22"/>
              </w:rPr>
              <w:t>all of</w:t>
            </w:r>
            <w:proofErr w:type="gramEnd"/>
            <w:r w:rsidRPr="00502716">
              <w:rPr>
                <w:rFonts w:eastAsia="PMingLiU"/>
                <w:sz w:val="22"/>
                <w:szCs w:val="22"/>
              </w:rPr>
              <w:t xml:space="preserve"> the necessary information required to support the violations issued in accordance with the Illinois FOM.  </w:t>
            </w:r>
          </w:p>
        </w:tc>
        <w:tc>
          <w:tcPr>
            <w:tcW w:w="3510" w:type="dxa"/>
          </w:tcPr>
          <w:p w14:paraId="52D16B20" w14:textId="051D42BF" w:rsidR="006E5C58" w:rsidRPr="006E5C58" w:rsidRDefault="006E5C58" w:rsidP="006E5C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6E5C58">
              <w:rPr>
                <w:rFonts w:eastAsia="PMingLiU"/>
                <w:sz w:val="22"/>
                <w:szCs w:val="22"/>
              </w:rPr>
              <w:t>A FAME review and training session scheduled for all enforcement team members was held on September 14, 2022, to address this finding.</w:t>
            </w:r>
          </w:p>
          <w:p w14:paraId="47079180" w14:textId="77777777" w:rsidR="006E5C58" w:rsidRPr="006E5C58" w:rsidRDefault="006E5C58" w:rsidP="006E5C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p>
          <w:p w14:paraId="1D97EA2D" w14:textId="0865C467" w:rsidR="008D2CFC" w:rsidRPr="005B6832" w:rsidRDefault="006E5C58" w:rsidP="006E5C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6E5C58">
              <w:rPr>
                <w:rFonts w:eastAsia="PMingLiU"/>
                <w:sz w:val="22"/>
                <w:szCs w:val="22"/>
              </w:rPr>
              <w:t>Inspection files submitted to enforcement managers for review that lack adequate documentation to support violations per the IL FOM will be returned to the CSHO with comments indicating what additional documentation is need before citations can be issued.</w:t>
            </w:r>
          </w:p>
        </w:tc>
        <w:tc>
          <w:tcPr>
            <w:tcW w:w="2070" w:type="dxa"/>
          </w:tcPr>
          <w:p w14:paraId="67FF8EF2" w14:textId="5AFCD25B" w:rsidR="008D2CFC" w:rsidRPr="005B6832" w:rsidRDefault="008D2CFC"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5B6832">
              <w:rPr>
                <w:rFonts w:eastAsia="PMingLiU"/>
                <w:sz w:val="22"/>
                <w:szCs w:val="22"/>
              </w:rPr>
              <w:t> </w:t>
            </w:r>
            <w:r w:rsidR="006E5C58">
              <w:rPr>
                <w:rFonts w:eastAsia="PMingLiU"/>
                <w:sz w:val="22"/>
                <w:szCs w:val="22"/>
              </w:rPr>
              <w:t>September 14, 2022</w:t>
            </w:r>
          </w:p>
        </w:tc>
        <w:tc>
          <w:tcPr>
            <w:tcW w:w="1643" w:type="dxa"/>
          </w:tcPr>
          <w:p w14:paraId="521BC882" w14:textId="1673F54C" w:rsidR="008D2CFC" w:rsidRPr="005B6832" w:rsidRDefault="008D2CFC"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5B6832">
              <w:rPr>
                <w:rFonts w:eastAsia="PMingLiU"/>
                <w:sz w:val="22"/>
                <w:szCs w:val="22"/>
              </w:rPr>
              <w:t> </w:t>
            </w:r>
            <w:r w:rsidR="00E6564A">
              <w:rPr>
                <w:rFonts w:eastAsia="PMingLiU"/>
                <w:sz w:val="22"/>
                <w:szCs w:val="22"/>
              </w:rPr>
              <w:t>Completed</w:t>
            </w:r>
          </w:p>
        </w:tc>
      </w:tr>
      <w:tr w:rsidR="007E31D0" w:rsidRPr="005B6832" w14:paraId="55178248" w14:textId="77777777" w:rsidTr="009274CF">
        <w:trPr>
          <w:trHeight w:val="412"/>
        </w:trPr>
        <w:tc>
          <w:tcPr>
            <w:tcW w:w="1350" w:type="dxa"/>
          </w:tcPr>
          <w:p w14:paraId="5D5B7918" w14:textId="339C726A" w:rsidR="007E31D0" w:rsidRPr="005B6832" w:rsidRDefault="006E5C58"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Pr>
                <w:rFonts w:eastAsia="PMingLiU"/>
                <w:sz w:val="22"/>
                <w:szCs w:val="22"/>
              </w:rPr>
              <w:t>FY 2022-02</w:t>
            </w:r>
          </w:p>
        </w:tc>
        <w:tc>
          <w:tcPr>
            <w:tcW w:w="3055" w:type="dxa"/>
          </w:tcPr>
          <w:p w14:paraId="1941817C" w14:textId="23A11544" w:rsidR="007E31D0" w:rsidRPr="005B6832" w:rsidRDefault="009B226E"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9B226E">
              <w:rPr>
                <w:rFonts w:eastAsia="PMingLiU"/>
                <w:sz w:val="22"/>
                <w:szCs w:val="22"/>
              </w:rPr>
              <w:t>Thirty-four of the 60 (57%) files reviewed, employee interviews were not conducted or properly documented as required by Chapter 3 of the Illinois FOM.</w:t>
            </w:r>
          </w:p>
        </w:tc>
        <w:tc>
          <w:tcPr>
            <w:tcW w:w="2430" w:type="dxa"/>
          </w:tcPr>
          <w:p w14:paraId="01113DE1" w14:textId="2A8F397F" w:rsidR="007E31D0" w:rsidRPr="005B6832" w:rsidRDefault="005439FD"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5439FD">
              <w:rPr>
                <w:rFonts w:eastAsia="PMingLiU"/>
                <w:sz w:val="22"/>
                <w:szCs w:val="22"/>
              </w:rPr>
              <w:t xml:space="preserve">Ensure employee interviews are conducted and case files contain appropriately documented employee interviews as outlined in Chapter 3 of the Illinois FOM.  </w:t>
            </w:r>
          </w:p>
        </w:tc>
        <w:tc>
          <w:tcPr>
            <w:tcW w:w="3510" w:type="dxa"/>
          </w:tcPr>
          <w:p w14:paraId="20C57E07" w14:textId="77777777" w:rsidR="00BE5319" w:rsidRPr="00BE5319" w:rsidRDefault="00BE5319" w:rsidP="00BE53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BE5319">
              <w:rPr>
                <w:rFonts w:eastAsia="PMingLiU"/>
                <w:sz w:val="22"/>
                <w:szCs w:val="22"/>
              </w:rPr>
              <w:t>A FAME review and training session scheduled for all enforcement team members was held on September 14, 2022, to address this finding.</w:t>
            </w:r>
          </w:p>
          <w:p w14:paraId="53809531" w14:textId="77777777" w:rsidR="00BE5319" w:rsidRPr="00BE5319" w:rsidRDefault="00BE5319" w:rsidP="00BE53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p>
          <w:p w14:paraId="0D7F8D53" w14:textId="4CFCF521" w:rsidR="007E31D0" w:rsidRPr="005B6832" w:rsidRDefault="00BE5319"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BE5319">
              <w:rPr>
                <w:rFonts w:eastAsia="PMingLiU"/>
                <w:sz w:val="22"/>
                <w:szCs w:val="22"/>
              </w:rPr>
              <w:t xml:space="preserve">Inspection files submitted to enforcement managers for review that lack adequate documentation of employee interviews per the IL FOM will be returned to the CSHO with comments indicating the interview documentation must be included in the case file. </w:t>
            </w:r>
          </w:p>
        </w:tc>
        <w:tc>
          <w:tcPr>
            <w:tcW w:w="2070" w:type="dxa"/>
          </w:tcPr>
          <w:p w14:paraId="715D5F8C" w14:textId="069C7477" w:rsidR="007E31D0" w:rsidRPr="005B6832" w:rsidRDefault="00BE5319"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Pr>
                <w:rFonts w:eastAsia="PMingLiU"/>
                <w:sz w:val="22"/>
                <w:szCs w:val="22"/>
              </w:rPr>
              <w:t>September 14, 2022</w:t>
            </w:r>
          </w:p>
        </w:tc>
        <w:tc>
          <w:tcPr>
            <w:tcW w:w="1643" w:type="dxa"/>
          </w:tcPr>
          <w:p w14:paraId="2627849F" w14:textId="30870E97" w:rsidR="007E31D0" w:rsidRPr="005B6832" w:rsidRDefault="00192EB3"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192EB3">
              <w:rPr>
                <w:rFonts w:eastAsia="PMingLiU"/>
                <w:sz w:val="22"/>
                <w:szCs w:val="22"/>
              </w:rPr>
              <w:t xml:space="preserve">Converted to </w:t>
            </w:r>
            <w:r>
              <w:rPr>
                <w:rFonts w:eastAsia="PMingLiU"/>
                <w:sz w:val="22"/>
                <w:szCs w:val="22"/>
              </w:rPr>
              <w:t>O</w:t>
            </w:r>
            <w:r w:rsidRPr="00192EB3">
              <w:rPr>
                <w:rFonts w:eastAsia="PMingLiU"/>
                <w:sz w:val="22"/>
                <w:szCs w:val="22"/>
              </w:rPr>
              <w:t>bservation</w:t>
            </w:r>
          </w:p>
        </w:tc>
      </w:tr>
      <w:tr w:rsidR="007E31D0" w:rsidRPr="005B6832" w14:paraId="6D1BD4F8" w14:textId="77777777" w:rsidTr="009274CF">
        <w:trPr>
          <w:trHeight w:val="412"/>
        </w:trPr>
        <w:tc>
          <w:tcPr>
            <w:tcW w:w="1350" w:type="dxa"/>
          </w:tcPr>
          <w:p w14:paraId="70D25EA3" w14:textId="7B6605BA" w:rsidR="007E31D0" w:rsidRPr="005B6832" w:rsidRDefault="00BE5319"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Pr>
                <w:rFonts w:eastAsia="PMingLiU"/>
                <w:sz w:val="22"/>
                <w:szCs w:val="22"/>
              </w:rPr>
              <w:t>FY 2022-03</w:t>
            </w:r>
          </w:p>
        </w:tc>
        <w:tc>
          <w:tcPr>
            <w:tcW w:w="3055" w:type="dxa"/>
          </w:tcPr>
          <w:p w14:paraId="51858960" w14:textId="4D9F79B4" w:rsidR="007E31D0" w:rsidRPr="005B6832" w:rsidRDefault="000E3A50"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0E3A50">
              <w:rPr>
                <w:rFonts w:eastAsia="PMingLiU"/>
                <w:sz w:val="22"/>
                <w:szCs w:val="22"/>
              </w:rPr>
              <w:t xml:space="preserve">Whistleblower complaints were not properly processed in accordance with established policies.  In 16 of the 18 (89%) </w:t>
            </w:r>
            <w:r w:rsidRPr="000E3A50">
              <w:rPr>
                <w:rFonts w:eastAsia="PMingLiU"/>
                <w:sz w:val="22"/>
                <w:szCs w:val="22"/>
              </w:rPr>
              <w:lastRenderedPageBreak/>
              <w:t>administratively closed intakes, a memo to file was not created to document the interview of the complainant and why the complaint was closed.  In six of the 18 (33%) administratively closed intakes, four of which presented prima facia allegations, the complaint was closed without contacting the complainant to conduct an interview and to obtain the complainant’s concurrence for closing the complaint.</w:t>
            </w:r>
          </w:p>
        </w:tc>
        <w:tc>
          <w:tcPr>
            <w:tcW w:w="2430" w:type="dxa"/>
          </w:tcPr>
          <w:p w14:paraId="4FE19A91" w14:textId="5FB2E69F" w:rsidR="00F60902" w:rsidRPr="00F60902" w:rsidRDefault="00F60902" w:rsidP="00F60902">
            <w:pPr>
              <w:rPr>
                <w:rFonts w:eastAsia="PMingLiU"/>
                <w:sz w:val="22"/>
                <w:szCs w:val="22"/>
              </w:rPr>
            </w:pPr>
            <w:r w:rsidRPr="00F60902">
              <w:rPr>
                <w:rFonts w:eastAsia="PMingLiU"/>
                <w:sz w:val="22"/>
                <w:szCs w:val="22"/>
              </w:rPr>
              <w:lastRenderedPageBreak/>
              <w:t xml:space="preserve">Properly process complaints per the Illinois Department of Labor Whistleblower </w:t>
            </w:r>
            <w:r w:rsidRPr="00F60902">
              <w:rPr>
                <w:rFonts w:eastAsia="PMingLiU"/>
                <w:sz w:val="22"/>
                <w:szCs w:val="22"/>
              </w:rPr>
              <w:lastRenderedPageBreak/>
              <w:t xml:space="preserve">Investigation Manual (WIM), Effective July 1, 2017, Chapter II (B)(1) and (B)(2).   </w:t>
            </w:r>
          </w:p>
          <w:p w14:paraId="0AF412F3" w14:textId="77777777" w:rsidR="007E31D0" w:rsidRPr="005B6832" w:rsidRDefault="007E31D0"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p>
        </w:tc>
        <w:tc>
          <w:tcPr>
            <w:tcW w:w="3510" w:type="dxa"/>
          </w:tcPr>
          <w:p w14:paraId="49499D8D" w14:textId="77777777" w:rsidR="003D28A2" w:rsidRPr="003D28A2" w:rsidRDefault="003D28A2" w:rsidP="003D28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3D28A2">
              <w:rPr>
                <w:rFonts w:eastAsia="PMingLiU"/>
                <w:sz w:val="22"/>
                <w:szCs w:val="22"/>
              </w:rPr>
              <w:lastRenderedPageBreak/>
              <w:t>A FAME review and training session scheduled for all whistleblower investigators was held on September 14, 2022, to address this finding.</w:t>
            </w:r>
          </w:p>
          <w:p w14:paraId="282E0A82" w14:textId="77777777" w:rsidR="003D28A2" w:rsidRPr="003D28A2" w:rsidRDefault="003D28A2" w:rsidP="003D28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p>
          <w:p w14:paraId="0955F75E" w14:textId="77777777" w:rsidR="003D28A2" w:rsidRPr="003D28A2" w:rsidRDefault="003D28A2" w:rsidP="003D28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3D28A2">
              <w:rPr>
                <w:rFonts w:eastAsia="PMingLiU"/>
                <w:sz w:val="22"/>
                <w:szCs w:val="22"/>
              </w:rPr>
              <w:t xml:space="preserve">As of August 2022, IL OSHA has filled the position that serves as the Whistleblower Program Supervisor. </w:t>
            </w:r>
          </w:p>
          <w:p w14:paraId="41FF9855" w14:textId="77777777" w:rsidR="003D28A2" w:rsidRPr="003D28A2" w:rsidRDefault="003D28A2" w:rsidP="003D28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p>
          <w:p w14:paraId="0583BDCA" w14:textId="77777777" w:rsidR="003D28A2" w:rsidRPr="003D28A2" w:rsidRDefault="003D28A2" w:rsidP="003D28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3D28A2">
              <w:rPr>
                <w:rFonts w:eastAsia="PMingLiU"/>
                <w:sz w:val="22"/>
                <w:szCs w:val="22"/>
              </w:rPr>
              <w:t>The Whistleblower Program Supervisor will ensure complaints are properly processed in accordance with established policies in the IDOL WIM.</w:t>
            </w:r>
          </w:p>
          <w:p w14:paraId="5087BD68" w14:textId="77777777" w:rsidR="007E31D0" w:rsidRPr="005B6832" w:rsidRDefault="007E31D0"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p>
        </w:tc>
        <w:tc>
          <w:tcPr>
            <w:tcW w:w="2070" w:type="dxa"/>
          </w:tcPr>
          <w:p w14:paraId="027A236A" w14:textId="43499ECB" w:rsidR="007E31D0" w:rsidRPr="005B6832" w:rsidRDefault="003D28A2"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Pr>
                <w:rFonts w:eastAsia="PMingLiU"/>
                <w:sz w:val="22"/>
                <w:szCs w:val="22"/>
              </w:rPr>
              <w:lastRenderedPageBreak/>
              <w:t>September 14, 2022</w:t>
            </w:r>
          </w:p>
        </w:tc>
        <w:tc>
          <w:tcPr>
            <w:tcW w:w="1643" w:type="dxa"/>
          </w:tcPr>
          <w:p w14:paraId="22AD4AD0" w14:textId="5524603A" w:rsidR="007E31D0" w:rsidRPr="005B6832" w:rsidRDefault="00192EB3"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192EB3">
              <w:rPr>
                <w:rFonts w:eastAsia="PMingLiU"/>
                <w:sz w:val="22"/>
                <w:szCs w:val="22"/>
              </w:rPr>
              <w:t>Completed</w:t>
            </w:r>
          </w:p>
        </w:tc>
      </w:tr>
      <w:tr w:rsidR="00BE5319" w:rsidRPr="005B6832" w14:paraId="01174C64" w14:textId="77777777" w:rsidTr="00542722">
        <w:trPr>
          <w:trHeight w:val="4418"/>
        </w:trPr>
        <w:tc>
          <w:tcPr>
            <w:tcW w:w="1350" w:type="dxa"/>
          </w:tcPr>
          <w:p w14:paraId="499A5FE7" w14:textId="08D028CD" w:rsidR="00BE5319" w:rsidRPr="005B6832" w:rsidRDefault="003D28A2"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Pr>
                <w:rFonts w:eastAsia="PMingLiU"/>
                <w:sz w:val="22"/>
                <w:szCs w:val="22"/>
              </w:rPr>
              <w:t>FY 2022-04</w:t>
            </w:r>
          </w:p>
        </w:tc>
        <w:tc>
          <w:tcPr>
            <w:tcW w:w="3055" w:type="dxa"/>
          </w:tcPr>
          <w:p w14:paraId="425E0625" w14:textId="15EDF320" w:rsidR="00BE5319" w:rsidRPr="005B6832" w:rsidRDefault="00B6605D"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B6605D">
              <w:rPr>
                <w:rFonts w:eastAsia="PMingLiU"/>
                <w:sz w:val="22"/>
                <w:szCs w:val="22"/>
              </w:rPr>
              <w:t>Nine of the 18 (50%) administratively closed whistleblower intakes had an inaccurate or missing activity or telephone log.</w:t>
            </w:r>
          </w:p>
        </w:tc>
        <w:tc>
          <w:tcPr>
            <w:tcW w:w="2430" w:type="dxa"/>
          </w:tcPr>
          <w:p w14:paraId="2C1EA27E" w14:textId="6D463F45" w:rsidR="00BE5319" w:rsidRPr="005B6832" w:rsidRDefault="00FB6892"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FB6892">
              <w:rPr>
                <w:rFonts w:eastAsia="PMingLiU"/>
                <w:sz w:val="22"/>
                <w:szCs w:val="22"/>
              </w:rPr>
              <w:t xml:space="preserve">Properly and accurately document all telephone calls made, messages received, and exchange of written or electronic correspondence </w:t>
            </w:r>
            <w:proofErr w:type="gramStart"/>
            <w:r w:rsidRPr="00FB6892">
              <w:rPr>
                <w:rFonts w:eastAsia="PMingLiU"/>
                <w:sz w:val="22"/>
                <w:szCs w:val="22"/>
              </w:rPr>
              <w:t>during the course of</w:t>
            </w:r>
            <w:proofErr w:type="gramEnd"/>
            <w:r w:rsidRPr="00FB6892">
              <w:rPr>
                <w:rFonts w:eastAsia="PMingLiU"/>
                <w:sz w:val="22"/>
                <w:szCs w:val="22"/>
              </w:rPr>
              <w:t xml:space="preserve"> an investigation in the activity/telephone log per the Illinois Department of Labor Whistleblower Investigation Manual (WIM), Effective July 1, 2017, Chapter II (G)(2)(f).  </w:t>
            </w:r>
          </w:p>
        </w:tc>
        <w:tc>
          <w:tcPr>
            <w:tcW w:w="3510" w:type="dxa"/>
          </w:tcPr>
          <w:p w14:paraId="4A20B0F5" w14:textId="77777777" w:rsidR="00D962D2" w:rsidRPr="00D962D2" w:rsidRDefault="00D962D2" w:rsidP="00D962D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D962D2">
              <w:rPr>
                <w:rFonts w:eastAsia="PMingLiU"/>
                <w:sz w:val="22"/>
                <w:szCs w:val="22"/>
              </w:rPr>
              <w:t>A FAME review and training session scheduled for all whistleblower investigators was held on September 14, 2022, to address this finding.</w:t>
            </w:r>
          </w:p>
          <w:p w14:paraId="63319346" w14:textId="77777777" w:rsidR="00D962D2" w:rsidRPr="00D962D2" w:rsidRDefault="00D962D2" w:rsidP="00D962D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p>
          <w:p w14:paraId="7FEBD053" w14:textId="77777777" w:rsidR="00D962D2" w:rsidRPr="00D962D2" w:rsidRDefault="00D962D2" w:rsidP="00D962D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D962D2">
              <w:rPr>
                <w:rFonts w:eastAsia="PMingLiU"/>
                <w:sz w:val="22"/>
                <w:szCs w:val="22"/>
              </w:rPr>
              <w:t xml:space="preserve">As of August 2022, IL OSHA has filled the position that serves as the Whistleblower Program Supervisor. </w:t>
            </w:r>
          </w:p>
          <w:p w14:paraId="14A3EF93" w14:textId="77777777" w:rsidR="00D962D2" w:rsidRPr="00D962D2" w:rsidRDefault="00D962D2" w:rsidP="00D962D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p>
          <w:p w14:paraId="702A91C6" w14:textId="77777777" w:rsidR="00D962D2" w:rsidRPr="00D962D2" w:rsidRDefault="00D962D2" w:rsidP="00D962D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D962D2">
              <w:rPr>
                <w:rFonts w:eastAsia="PMingLiU"/>
                <w:sz w:val="22"/>
                <w:szCs w:val="22"/>
              </w:rPr>
              <w:t>The Whistleblower Program Supervisor will ensure logs are accurate and maintained in the IDOL WIM.</w:t>
            </w:r>
          </w:p>
          <w:p w14:paraId="2E4C8894" w14:textId="77777777" w:rsidR="00BE5319" w:rsidRPr="005B6832" w:rsidRDefault="00BE5319"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p>
        </w:tc>
        <w:tc>
          <w:tcPr>
            <w:tcW w:w="2070" w:type="dxa"/>
          </w:tcPr>
          <w:p w14:paraId="49205036" w14:textId="1205B14C" w:rsidR="00BE5319" w:rsidRPr="005B6832" w:rsidRDefault="00D962D2"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Pr>
                <w:rFonts w:eastAsia="PMingLiU"/>
                <w:sz w:val="22"/>
                <w:szCs w:val="22"/>
              </w:rPr>
              <w:t>September 14, 2022</w:t>
            </w:r>
          </w:p>
        </w:tc>
        <w:tc>
          <w:tcPr>
            <w:tcW w:w="1643" w:type="dxa"/>
          </w:tcPr>
          <w:p w14:paraId="77B1F52A" w14:textId="4BB14D80" w:rsidR="00BE5319" w:rsidRPr="005B6832" w:rsidRDefault="00D22A6B"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D22A6B">
              <w:rPr>
                <w:rFonts w:eastAsia="PMingLiU"/>
                <w:sz w:val="22"/>
                <w:szCs w:val="22"/>
              </w:rPr>
              <w:t>Completed</w:t>
            </w:r>
          </w:p>
        </w:tc>
      </w:tr>
      <w:tr w:rsidR="00BE5319" w:rsidRPr="005B6832" w14:paraId="5B793411" w14:textId="77777777" w:rsidTr="009274CF">
        <w:trPr>
          <w:trHeight w:val="412"/>
        </w:trPr>
        <w:tc>
          <w:tcPr>
            <w:tcW w:w="1350" w:type="dxa"/>
          </w:tcPr>
          <w:p w14:paraId="450CEBCF" w14:textId="112D9C87" w:rsidR="00BE5319" w:rsidRPr="005B6832" w:rsidRDefault="00D962D2"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Pr>
                <w:rFonts w:eastAsia="PMingLiU"/>
                <w:sz w:val="22"/>
                <w:szCs w:val="22"/>
              </w:rPr>
              <w:lastRenderedPageBreak/>
              <w:t>FY 2022-05</w:t>
            </w:r>
          </w:p>
        </w:tc>
        <w:tc>
          <w:tcPr>
            <w:tcW w:w="3055" w:type="dxa"/>
          </w:tcPr>
          <w:p w14:paraId="1BBF2EFB" w14:textId="57968588" w:rsidR="00BE5319" w:rsidRPr="005B6832" w:rsidRDefault="008225BF"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8225BF">
              <w:rPr>
                <w:rFonts w:eastAsia="PMingLiU"/>
                <w:sz w:val="22"/>
                <w:szCs w:val="22"/>
              </w:rPr>
              <w:t>During FY 2022, the State Plan closed or completed zero whistleblower investigations.  The State Plan currently has five pending docketed cases with 931 average days pending.</w:t>
            </w:r>
          </w:p>
        </w:tc>
        <w:tc>
          <w:tcPr>
            <w:tcW w:w="2430" w:type="dxa"/>
          </w:tcPr>
          <w:p w14:paraId="107A114D" w14:textId="000AAEBE" w:rsidR="00BE5319" w:rsidRPr="005B6832" w:rsidRDefault="00404F1E"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404F1E">
              <w:rPr>
                <w:rFonts w:eastAsia="PMingLiU"/>
                <w:sz w:val="22"/>
                <w:szCs w:val="22"/>
              </w:rPr>
              <w:t>Properly investigate, process and complete open complaints per the Illinois Department of Labor Whistleblower Investigation Manual (WIM), Effective July 1, 2017.</w:t>
            </w:r>
          </w:p>
        </w:tc>
        <w:tc>
          <w:tcPr>
            <w:tcW w:w="3510" w:type="dxa"/>
          </w:tcPr>
          <w:p w14:paraId="7EC1AF0E" w14:textId="77777777" w:rsidR="002D10E2" w:rsidRPr="002D10E2" w:rsidRDefault="002D10E2" w:rsidP="002D10E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2D10E2">
              <w:rPr>
                <w:rFonts w:eastAsia="PMingLiU"/>
                <w:sz w:val="22"/>
                <w:szCs w:val="22"/>
              </w:rPr>
              <w:t>A FAME review and training session scheduled for all whistleblower investigators was held on September 14, 2022, to address this finding.</w:t>
            </w:r>
          </w:p>
          <w:p w14:paraId="67659AD4" w14:textId="77777777" w:rsidR="002D10E2" w:rsidRPr="002D10E2" w:rsidRDefault="002D10E2" w:rsidP="002D10E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p>
          <w:p w14:paraId="3FF1A2D6" w14:textId="77777777" w:rsidR="002D10E2" w:rsidRPr="002D10E2" w:rsidRDefault="002D10E2" w:rsidP="002D10E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2D10E2">
              <w:rPr>
                <w:rFonts w:eastAsia="PMingLiU"/>
                <w:sz w:val="22"/>
                <w:szCs w:val="22"/>
              </w:rPr>
              <w:t xml:space="preserve">As of August 2022, IL OSHA has filled the position that serves as the Whistleblower Program Supervisor. </w:t>
            </w:r>
          </w:p>
          <w:p w14:paraId="3400D431" w14:textId="77777777" w:rsidR="002D10E2" w:rsidRPr="002D10E2" w:rsidRDefault="002D10E2" w:rsidP="002D10E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p>
          <w:p w14:paraId="1ED93D96" w14:textId="77777777" w:rsidR="002D10E2" w:rsidRPr="002D10E2" w:rsidRDefault="002D10E2" w:rsidP="002D10E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2D10E2">
              <w:rPr>
                <w:rFonts w:eastAsia="PMingLiU"/>
                <w:sz w:val="22"/>
                <w:szCs w:val="22"/>
              </w:rPr>
              <w:t>The Whistleblower Program Supervisor will ensure timely processing and resolution of investigations as per the IDOL WIM.</w:t>
            </w:r>
          </w:p>
          <w:p w14:paraId="0F1C588B" w14:textId="77777777" w:rsidR="002D10E2" w:rsidRPr="002D10E2" w:rsidRDefault="002D10E2" w:rsidP="002D10E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p>
          <w:p w14:paraId="4D7D970D" w14:textId="77777777" w:rsidR="002D10E2" w:rsidRPr="002D10E2" w:rsidRDefault="002D10E2" w:rsidP="002D10E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2D10E2">
              <w:rPr>
                <w:rFonts w:eastAsia="PMingLiU"/>
                <w:sz w:val="22"/>
                <w:szCs w:val="22"/>
              </w:rPr>
              <w:t xml:space="preserve">There were cases that were found to be improperly coded in IMIS and OIS. This has been corrected to reflect the </w:t>
            </w:r>
            <w:proofErr w:type="gramStart"/>
            <w:r w:rsidRPr="002D10E2">
              <w:rPr>
                <w:rFonts w:eastAsia="PMingLiU"/>
                <w:sz w:val="22"/>
                <w:szCs w:val="22"/>
              </w:rPr>
              <w:t>current status</w:t>
            </w:r>
            <w:proofErr w:type="gramEnd"/>
            <w:r w:rsidRPr="002D10E2">
              <w:rPr>
                <w:rFonts w:eastAsia="PMingLiU"/>
                <w:sz w:val="22"/>
                <w:szCs w:val="22"/>
              </w:rPr>
              <w:t xml:space="preserve"> of these cases.</w:t>
            </w:r>
          </w:p>
          <w:p w14:paraId="35F680B4" w14:textId="77777777" w:rsidR="00BE5319" w:rsidRPr="005B6832" w:rsidRDefault="00BE5319"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p>
        </w:tc>
        <w:tc>
          <w:tcPr>
            <w:tcW w:w="2070" w:type="dxa"/>
          </w:tcPr>
          <w:p w14:paraId="4CB4490A" w14:textId="748F2A8B" w:rsidR="00BE5319" w:rsidRPr="005B6832" w:rsidRDefault="002D10E2"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Pr>
                <w:rFonts w:eastAsia="PMingLiU"/>
                <w:sz w:val="22"/>
                <w:szCs w:val="22"/>
              </w:rPr>
              <w:t>July 17, 2023</w:t>
            </w:r>
          </w:p>
        </w:tc>
        <w:tc>
          <w:tcPr>
            <w:tcW w:w="1643" w:type="dxa"/>
          </w:tcPr>
          <w:p w14:paraId="3B62E1B2" w14:textId="7CD6C5F3" w:rsidR="00BE5319" w:rsidRPr="005B6832" w:rsidRDefault="006E3A75" w:rsidP="00977F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6E3A75">
              <w:rPr>
                <w:rFonts w:eastAsia="PMingLiU"/>
                <w:sz w:val="22"/>
                <w:szCs w:val="22"/>
              </w:rPr>
              <w:t>Converted to Observation</w:t>
            </w:r>
          </w:p>
        </w:tc>
      </w:tr>
    </w:tbl>
    <w:p w14:paraId="7E6DC327" w14:textId="77777777" w:rsidR="0097111D" w:rsidRDefault="0097111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sectPr w:rsidR="0097111D" w:rsidSect="0097111D">
          <w:headerReference w:type="default" r:id="rId23"/>
          <w:footerReference w:type="default" r:id="rId24"/>
          <w:pgSz w:w="15840" w:h="12240" w:orient="landscape" w:code="1"/>
          <w:pgMar w:top="1440" w:right="1440" w:bottom="1440" w:left="1440" w:header="720" w:footer="720" w:gutter="0"/>
          <w:pgNumType w:start="1"/>
          <w:cols w:space="720"/>
          <w:rtlGutter/>
          <w:docGrid w:linePitch="360"/>
        </w:sectPr>
      </w:pPr>
    </w:p>
    <w:p w14:paraId="50AAF440" w14:textId="77777777" w:rsidR="008D2CFC" w:rsidRDefault="008D2CFC"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613045CA" w14:textId="1601E994" w:rsidR="00AD505E" w:rsidRPr="00036F0D" w:rsidRDefault="00AD505E" w:rsidP="00047EE9">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698A4ED3" w14:textId="77777777" w:rsidR="00122159" w:rsidRDefault="00122159" w:rsidP="00BE7D7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tbl>
      <w:tblPr>
        <w:tblStyle w:val="GridTable41"/>
        <w:tblW w:w="10710" w:type="dxa"/>
        <w:tblInd w:w="-635" w:type="dxa"/>
        <w:tblLook w:val="06A0" w:firstRow="1" w:lastRow="0" w:firstColumn="1" w:lastColumn="0" w:noHBand="1" w:noVBand="1"/>
        <w:tblCaption w:val="FY 20XX SAMM Report"/>
        <w:tblDescription w:val="Appendix D"/>
      </w:tblPr>
      <w:tblGrid>
        <w:gridCol w:w="1080"/>
        <w:gridCol w:w="2970"/>
        <w:gridCol w:w="1260"/>
        <w:gridCol w:w="1620"/>
        <w:gridCol w:w="3780"/>
      </w:tblGrid>
      <w:tr w:rsidR="00FE3FBE" w:rsidRPr="0074487A" w14:paraId="3490017A" w14:textId="77777777" w:rsidTr="004A31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0" w:type="dxa"/>
            <w:tcBorders>
              <w:right w:val="single" w:sz="4" w:space="0" w:color="000000"/>
            </w:tcBorders>
            <w:shd w:val="clear" w:color="auto" w:fill="DBE5F1" w:themeFill="accent1" w:themeFillTint="33"/>
          </w:tcPr>
          <w:p w14:paraId="3695AC82"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color w:val="auto"/>
              </w:rPr>
            </w:pPr>
            <w:r w:rsidRPr="0074487A">
              <w:rPr>
                <w:rFonts w:eastAsia="PMingLiU" w:cs="Calibri"/>
                <w:color w:val="auto"/>
              </w:rPr>
              <w:t>SAMM Number</w:t>
            </w:r>
          </w:p>
        </w:tc>
        <w:tc>
          <w:tcPr>
            <w:tcW w:w="2970" w:type="dxa"/>
            <w:tcBorders>
              <w:left w:val="single" w:sz="4" w:space="0" w:color="000000"/>
              <w:right w:val="single" w:sz="4" w:space="0" w:color="000000"/>
            </w:tcBorders>
            <w:shd w:val="clear" w:color="auto" w:fill="DBE5F1" w:themeFill="accent1" w:themeFillTint="33"/>
          </w:tcPr>
          <w:p w14:paraId="2707CD9F"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rPr>
            </w:pPr>
            <w:r w:rsidRPr="0074487A">
              <w:rPr>
                <w:rFonts w:eastAsia="PMingLiU" w:cs="Calibri"/>
                <w:color w:val="auto"/>
              </w:rPr>
              <w:t>SAMM Name</w:t>
            </w:r>
          </w:p>
        </w:tc>
        <w:tc>
          <w:tcPr>
            <w:tcW w:w="1260" w:type="dxa"/>
            <w:tcBorders>
              <w:left w:val="single" w:sz="4" w:space="0" w:color="000000"/>
              <w:right w:val="single" w:sz="4" w:space="0" w:color="000000"/>
            </w:tcBorders>
            <w:shd w:val="clear" w:color="auto" w:fill="DBE5F1" w:themeFill="accent1" w:themeFillTint="33"/>
          </w:tcPr>
          <w:p w14:paraId="716810CB"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rPr>
            </w:pPr>
            <w:r w:rsidRPr="0074487A">
              <w:rPr>
                <w:rFonts w:eastAsia="PMingLiU" w:cs="Calibri"/>
                <w:color w:val="auto"/>
              </w:rPr>
              <w:t>State Plan Data</w:t>
            </w:r>
          </w:p>
        </w:tc>
        <w:tc>
          <w:tcPr>
            <w:tcW w:w="1620" w:type="dxa"/>
            <w:tcBorders>
              <w:left w:val="single" w:sz="4" w:space="0" w:color="000000"/>
              <w:right w:val="single" w:sz="4" w:space="0" w:color="000000"/>
            </w:tcBorders>
            <w:shd w:val="clear" w:color="auto" w:fill="DBE5F1" w:themeFill="accent1" w:themeFillTint="33"/>
          </w:tcPr>
          <w:p w14:paraId="40593940"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rPr>
            </w:pPr>
            <w:r w:rsidRPr="0074487A">
              <w:rPr>
                <w:rFonts w:eastAsia="PMingLiU" w:cs="Calibri"/>
                <w:color w:val="auto"/>
              </w:rPr>
              <w:t>Further Review Level</w:t>
            </w:r>
          </w:p>
        </w:tc>
        <w:tc>
          <w:tcPr>
            <w:tcW w:w="3780" w:type="dxa"/>
            <w:tcBorders>
              <w:left w:val="single" w:sz="4" w:space="0" w:color="000000"/>
            </w:tcBorders>
            <w:shd w:val="clear" w:color="auto" w:fill="DBE5F1" w:themeFill="accent1" w:themeFillTint="33"/>
          </w:tcPr>
          <w:p w14:paraId="39F62FAE"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rPr>
            </w:pPr>
            <w:r w:rsidRPr="0074487A">
              <w:rPr>
                <w:rFonts w:eastAsia="PMingLiU" w:cs="Calibri"/>
                <w:color w:val="auto"/>
              </w:rPr>
              <w:t>Notes</w:t>
            </w:r>
          </w:p>
        </w:tc>
      </w:tr>
      <w:tr w:rsidR="00FE3FBE" w:rsidRPr="0074487A" w14:paraId="5338DC73"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139561F1"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1a</w:t>
            </w:r>
          </w:p>
        </w:tc>
        <w:tc>
          <w:tcPr>
            <w:tcW w:w="2970" w:type="dxa"/>
          </w:tcPr>
          <w:p w14:paraId="64DB0C00"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 xml:space="preserve">Average number of </w:t>
            </w:r>
            <w:proofErr w:type="gramStart"/>
            <w:r w:rsidRPr="0074487A">
              <w:rPr>
                <w:rFonts w:asciiTheme="minorHAnsi" w:hAnsiTheme="minorHAnsi" w:cstheme="minorHAnsi"/>
              </w:rPr>
              <w:t>work days</w:t>
            </w:r>
            <w:proofErr w:type="gramEnd"/>
            <w:r w:rsidRPr="0074487A">
              <w:rPr>
                <w:rFonts w:asciiTheme="minorHAnsi" w:hAnsiTheme="minorHAnsi" w:cstheme="minorHAnsi"/>
              </w:rPr>
              <w:t xml:space="preserve"> to initiate complaint inspections (state formula)</w:t>
            </w:r>
          </w:p>
        </w:tc>
        <w:tc>
          <w:tcPr>
            <w:tcW w:w="1260" w:type="dxa"/>
          </w:tcPr>
          <w:p w14:paraId="426857B5"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6.11</w:t>
            </w:r>
          </w:p>
        </w:tc>
        <w:tc>
          <w:tcPr>
            <w:tcW w:w="1620" w:type="dxa"/>
          </w:tcPr>
          <w:p w14:paraId="37F99053"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5 days for safety; 10 days for health</w:t>
            </w:r>
          </w:p>
        </w:tc>
        <w:tc>
          <w:tcPr>
            <w:tcW w:w="3780" w:type="dxa"/>
          </w:tcPr>
          <w:p w14:paraId="7C228442"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The further review level is negotiated by OSHA and the State Plan.</w:t>
            </w:r>
          </w:p>
        </w:tc>
      </w:tr>
      <w:tr w:rsidR="00FE3FBE" w:rsidRPr="0074487A" w14:paraId="5B8A4D8A"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476E0703"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1b</w:t>
            </w:r>
          </w:p>
        </w:tc>
        <w:tc>
          <w:tcPr>
            <w:tcW w:w="2970" w:type="dxa"/>
          </w:tcPr>
          <w:p w14:paraId="630FD2C2"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 xml:space="preserve">Average number of </w:t>
            </w:r>
            <w:proofErr w:type="gramStart"/>
            <w:r w:rsidRPr="0074487A">
              <w:rPr>
                <w:rFonts w:asciiTheme="minorHAnsi" w:hAnsiTheme="minorHAnsi" w:cstheme="minorHAnsi"/>
              </w:rPr>
              <w:t>work days</w:t>
            </w:r>
            <w:proofErr w:type="gramEnd"/>
            <w:r w:rsidRPr="0074487A">
              <w:rPr>
                <w:rFonts w:asciiTheme="minorHAnsi" w:hAnsiTheme="minorHAnsi" w:cstheme="minorHAnsi"/>
              </w:rPr>
              <w:t xml:space="preserve"> to initiate complaint inspections (federal formula)</w:t>
            </w:r>
          </w:p>
        </w:tc>
        <w:tc>
          <w:tcPr>
            <w:tcW w:w="1260" w:type="dxa"/>
          </w:tcPr>
          <w:p w14:paraId="7115400E"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5.33</w:t>
            </w:r>
          </w:p>
        </w:tc>
        <w:tc>
          <w:tcPr>
            <w:tcW w:w="1620" w:type="dxa"/>
          </w:tcPr>
          <w:p w14:paraId="57474249"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N/A</w:t>
            </w:r>
          </w:p>
        </w:tc>
        <w:tc>
          <w:tcPr>
            <w:tcW w:w="3780" w:type="dxa"/>
          </w:tcPr>
          <w:p w14:paraId="63C6C541"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This measure is for informational purposes only and is not a mandated measure.</w:t>
            </w:r>
          </w:p>
        </w:tc>
      </w:tr>
      <w:tr w:rsidR="00FE3FBE" w:rsidRPr="0074487A" w14:paraId="4E92C81B"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63CD9BCB"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2a</w:t>
            </w:r>
          </w:p>
        </w:tc>
        <w:tc>
          <w:tcPr>
            <w:tcW w:w="2970" w:type="dxa"/>
          </w:tcPr>
          <w:p w14:paraId="61DEB3D4"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 xml:space="preserve">Average number of </w:t>
            </w:r>
            <w:proofErr w:type="gramStart"/>
            <w:r w:rsidRPr="0074487A">
              <w:rPr>
                <w:rFonts w:asciiTheme="minorHAnsi" w:hAnsiTheme="minorHAnsi" w:cstheme="minorHAnsi"/>
              </w:rPr>
              <w:t>work days</w:t>
            </w:r>
            <w:proofErr w:type="gramEnd"/>
            <w:r w:rsidRPr="0074487A">
              <w:rPr>
                <w:rFonts w:asciiTheme="minorHAnsi" w:hAnsiTheme="minorHAnsi" w:cstheme="minorHAnsi"/>
              </w:rPr>
              <w:t xml:space="preserve"> to initiate complaint investigations (state formula)</w:t>
            </w:r>
          </w:p>
        </w:tc>
        <w:tc>
          <w:tcPr>
            <w:tcW w:w="1260" w:type="dxa"/>
          </w:tcPr>
          <w:p w14:paraId="37A5BA3C"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1.55</w:t>
            </w:r>
          </w:p>
        </w:tc>
        <w:tc>
          <w:tcPr>
            <w:tcW w:w="1620" w:type="dxa"/>
          </w:tcPr>
          <w:p w14:paraId="6BE6710D"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3</w:t>
            </w:r>
          </w:p>
        </w:tc>
        <w:tc>
          <w:tcPr>
            <w:tcW w:w="3780" w:type="dxa"/>
          </w:tcPr>
          <w:p w14:paraId="028BF716"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The further review level is negotiated by OSHA and the State Plan.</w:t>
            </w:r>
          </w:p>
        </w:tc>
      </w:tr>
      <w:tr w:rsidR="00FE3FBE" w:rsidRPr="0074487A" w14:paraId="0A3C40C4"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701387BA"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2b</w:t>
            </w:r>
          </w:p>
        </w:tc>
        <w:tc>
          <w:tcPr>
            <w:tcW w:w="2970" w:type="dxa"/>
          </w:tcPr>
          <w:p w14:paraId="384AEC32"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 xml:space="preserve">Average number of </w:t>
            </w:r>
            <w:proofErr w:type="gramStart"/>
            <w:r w:rsidRPr="0074487A">
              <w:rPr>
                <w:rFonts w:asciiTheme="minorHAnsi" w:hAnsiTheme="minorHAnsi" w:cstheme="minorHAnsi"/>
              </w:rPr>
              <w:t>work days</w:t>
            </w:r>
            <w:proofErr w:type="gramEnd"/>
            <w:r w:rsidRPr="0074487A">
              <w:rPr>
                <w:rFonts w:asciiTheme="minorHAnsi" w:hAnsiTheme="minorHAnsi" w:cstheme="minorHAnsi"/>
              </w:rPr>
              <w:t xml:space="preserve"> to initiate complaint investigations (federal formula)</w:t>
            </w:r>
          </w:p>
        </w:tc>
        <w:tc>
          <w:tcPr>
            <w:tcW w:w="1260" w:type="dxa"/>
          </w:tcPr>
          <w:p w14:paraId="2D541D4C"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0.02</w:t>
            </w:r>
          </w:p>
        </w:tc>
        <w:tc>
          <w:tcPr>
            <w:tcW w:w="1620" w:type="dxa"/>
          </w:tcPr>
          <w:p w14:paraId="0EF4AC01"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N/A</w:t>
            </w:r>
          </w:p>
        </w:tc>
        <w:tc>
          <w:tcPr>
            <w:tcW w:w="3780" w:type="dxa"/>
          </w:tcPr>
          <w:p w14:paraId="5B77491A"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This measure is for informational purposes only and is not a mandated measure.</w:t>
            </w:r>
          </w:p>
        </w:tc>
      </w:tr>
      <w:tr w:rsidR="00FE3FBE" w:rsidRPr="0074487A" w14:paraId="1E952602"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448D5C45"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3</w:t>
            </w:r>
          </w:p>
        </w:tc>
        <w:tc>
          <w:tcPr>
            <w:tcW w:w="2970" w:type="dxa"/>
          </w:tcPr>
          <w:p w14:paraId="7E199E53"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Percent of complaints and referrals responded to within one workday (imminent danger)</w:t>
            </w:r>
          </w:p>
        </w:tc>
        <w:tc>
          <w:tcPr>
            <w:tcW w:w="1260" w:type="dxa"/>
          </w:tcPr>
          <w:p w14:paraId="37DBDF7F"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N/A</w:t>
            </w:r>
          </w:p>
        </w:tc>
        <w:tc>
          <w:tcPr>
            <w:tcW w:w="1620" w:type="dxa"/>
          </w:tcPr>
          <w:p w14:paraId="0919E308"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100%</w:t>
            </w:r>
          </w:p>
        </w:tc>
        <w:tc>
          <w:tcPr>
            <w:tcW w:w="3780" w:type="dxa"/>
          </w:tcPr>
          <w:p w14:paraId="41275FDB"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The further review level is fixed for all State Plans.</w:t>
            </w:r>
          </w:p>
        </w:tc>
      </w:tr>
      <w:tr w:rsidR="00FE3FBE" w:rsidRPr="0074487A" w14:paraId="68015EE8"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5ADFDF36"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4</w:t>
            </w:r>
          </w:p>
        </w:tc>
        <w:tc>
          <w:tcPr>
            <w:tcW w:w="2970" w:type="dxa"/>
          </w:tcPr>
          <w:p w14:paraId="5982F534"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Number of denials where entry not obtained</w:t>
            </w:r>
          </w:p>
        </w:tc>
        <w:tc>
          <w:tcPr>
            <w:tcW w:w="1260" w:type="dxa"/>
          </w:tcPr>
          <w:p w14:paraId="1005BCE3"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0</w:t>
            </w:r>
          </w:p>
        </w:tc>
        <w:tc>
          <w:tcPr>
            <w:tcW w:w="1620" w:type="dxa"/>
          </w:tcPr>
          <w:p w14:paraId="472C00A5"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0</w:t>
            </w:r>
          </w:p>
        </w:tc>
        <w:tc>
          <w:tcPr>
            <w:tcW w:w="3780" w:type="dxa"/>
          </w:tcPr>
          <w:p w14:paraId="7E218BE9"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The further review level is fixed for all State Plans.</w:t>
            </w:r>
          </w:p>
        </w:tc>
      </w:tr>
      <w:tr w:rsidR="00FE3FBE" w:rsidRPr="0074487A" w14:paraId="07E8C886" w14:textId="77777777" w:rsidTr="004A31AC">
        <w:trPr>
          <w:cantSplit/>
          <w:trHeight w:val="854"/>
        </w:trPr>
        <w:tc>
          <w:tcPr>
            <w:cnfStyle w:val="001000000000" w:firstRow="0" w:lastRow="0" w:firstColumn="1" w:lastColumn="0" w:oddVBand="0" w:evenVBand="0" w:oddHBand="0" w:evenHBand="0" w:firstRowFirstColumn="0" w:firstRowLastColumn="0" w:lastRowFirstColumn="0" w:lastRowLastColumn="0"/>
            <w:tcW w:w="1080" w:type="dxa"/>
          </w:tcPr>
          <w:p w14:paraId="17A2CE77"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5a</w:t>
            </w:r>
          </w:p>
        </w:tc>
        <w:tc>
          <w:tcPr>
            <w:tcW w:w="2970" w:type="dxa"/>
          </w:tcPr>
          <w:p w14:paraId="5BD75916"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Average number of violations per inspection with violations by violation type (SWRU)</w:t>
            </w:r>
          </w:p>
        </w:tc>
        <w:tc>
          <w:tcPr>
            <w:tcW w:w="1260" w:type="dxa"/>
          </w:tcPr>
          <w:p w14:paraId="6F81811F"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4.04</w:t>
            </w:r>
          </w:p>
        </w:tc>
        <w:tc>
          <w:tcPr>
            <w:tcW w:w="1620" w:type="dxa"/>
          </w:tcPr>
          <w:p w14:paraId="56438430"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+/- 20% of 1.75</w:t>
            </w:r>
          </w:p>
          <w:p w14:paraId="7732FE13"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3780" w:type="dxa"/>
          </w:tcPr>
          <w:p w14:paraId="7A4A1A88"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 xml:space="preserve">The further review level is based on a three-year national average.  The range of acceptable data not requiring further review is from 1.40 to 2.10 for SWRU. </w:t>
            </w:r>
          </w:p>
        </w:tc>
      </w:tr>
      <w:tr w:rsidR="00FE3FBE" w:rsidRPr="0074487A" w14:paraId="395B74BD"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08616C90"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5b</w:t>
            </w:r>
          </w:p>
        </w:tc>
        <w:tc>
          <w:tcPr>
            <w:tcW w:w="2970" w:type="dxa"/>
          </w:tcPr>
          <w:p w14:paraId="1C8E866A"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Average number of violations per inspection with violations by violation type (other)</w:t>
            </w:r>
          </w:p>
        </w:tc>
        <w:tc>
          <w:tcPr>
            <w:tcW w:w="1260" w:type="dxa"/>
          </w:tcPr>
          <w:p w14:paraId="22C74988"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1.13</w:t>
            </w:r>
          </w:p>
        </w:tc>
        <w:tc>
          <w:tcPr>
            <w:tcW w:w="1620" w:type="dxa"/>
          </w:tcPr>
          <w:p w14:paraId="525CA2A6"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+/- 20% of 0.89</w:t>
            </w:r>
          </w:p>
          <w:p w14:paraId="46D895A4"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3780" w:type="dxa"/>
          </w:tcPr>
          <w:p w14:paraId="7DF19E86"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The further review level is based on a three-year national average.  The range of acceptable data not requiring further review is from 0.71 to 1.07 for OTS.</w:t>
            </w:r>
          </w:p>
        </w:tc>
      </w:tr>
      <w:tr w:rsidR="00FE3FBE" w:rsidRPr="0074487A" w14:paraId="64C45E8E"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049A4C75"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6</w:t>
            </w:r>
          </w:p>
        </w:tc>
        <w:tc>
          <w:tcPr>
            <w:tcW w:w="2970" w:type="dxa"/>
          </w:tcPr>
          <w:p w14:paraId="2E73D728"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Percent of total inspections in state and local government workplaces</w:t>
            </w:r>
          </w:p>
        </w:tc>
        <w:tc>
          <w:tcPr>
            <w:tcW w:w="1260" w:type="dxa"/>
          </w:tcPr>
          <w:p w14:paraId="2D11EB48"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100%</w:t>
            </w:r>
          </w:p>
        </w:tc>
        <w:tc>
          <w:tcPr>
            <w:tcW w:w="1620" w:type="dxa"/>
          </w:tcPr>
          <w:p w14:paraId="237BE327"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100%</w:t>
            </w:r>
          </w:p>
        </w:tc>
        <w:tc>
          <w:tcPr>
            <w:tcW w:w="3780" w:type="dxa"/>
          </w:tcPr>
          <w:p w14:paraId="62C61945"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Since this is a State and Local Government State Plan, all inspections are in state and local government workplaces.</w:t>
            </w:r>
          </w:p>
        </w:tc>
      </w:tr>
      <w:tr w:rsidR="00FE3FBE" w:rsidRPr="0074487A" w14:paraId="42C1BD23"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5C6C5C67"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lastRenderedPageBreak/>
              <w:t>7a</w:t>
            </w:r>
          </w:p>
        </w:tc>
        <w:tc>
          <w:tcPr>
            <w:tcW w:w="2970" w:type="dxa"/>
          </w:tcPr>
          <w:p w14:paraId="4421CE0F"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Planned v. actual inspections (safety)</w:t>
            </w:r>
          </w:p>
        </w:tc>
        <w:tc>
          <w:tcPr>
            <w:tcW w:w="1260" w:type="dxa"/>
          </w:tcPr>
          <w:p w14:paraId="5FEAEBD7"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206</w:t>
            </w:r>
          </w:p>
        </w:tc>
        <w:tc>
          <w:tcPr>
            <w:tcW w:w="1620" w:type="dxa"/>
          </w:tcPr>
          <w:p w14:paraId="52668181"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 xml:space="preserve">+/- 5% of </w:t>
            </w:r>
          </w:p>
          <w:p w14:paraId="41830901"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400</w:t>
            </w:r>
          </w:p>
        </w:tc>
        <w:tc>
          <w:tcPr>
            <w:tcW w:w="3780" w:type="dxa"/>
          </w:tcPr>
          <w:p w14:paraId="5AFD4EB8"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The further review level is based on a number negotiated by OSHA and the State Plan through the grant application.  The range of acceptable data not requiring further review is from 380.00 to 420 for safety.</w:t>
            </w:r>
          </w:p>
        </w:tc>
      </w:tr>
      <w:tr w:rsidR="00FE3FBE" w:rsidRPr="0074487A" w14:paraId="4AE12A74"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1D81CED2"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7b</w:t>
            </w:r>
          </w:p>
        </w:tc>
        <w:tc>
          <w:tcPr>
            <w:tcW w:w="2970" w:type="dxa"/>
          </w:tcPr>
          <w:p w14:paraId="17E7FF5F"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Planned v. actual inspections (health)</w:t>
            </w:r>
          </w:p>
        </w:tc>
        <w:tc>
          <w:tcPr>
            <w:tcW w:w="1260" w:type="dxa"/>
          </w:tcPr>
          <w:p w14:paraId="3A3C9204"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109</w:t>
            </w:r>
          </w:p>
        </w:tc>
        <w:tc>
          <w:tcPr>
            <w:tcW w:w="1620" w:type="dxa"/>
          </w:tcPr>
          <w:p w14:paraId="40BA6743"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 xml:space="preserve">+/- 5% of </w:t>
            </w:r>
          </w:p>
          <w:p w14:paraId="4A185DF0"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100</w:t>
            </w:r>
          </w:p>
        </w:tc>
        <w:tc>
          <w:tcPr>
            <w:tcW w:w="3780" w:type="dxa"/>
          </w:tcPr>
          <w:p w14:paraId="23D8AFE8"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The further review level is based on a number negotiated by OSHA and the State Plan through the grant application.  The range of acceptable data not requiring further review is from 95 to 105 for health.</w:t>
            </w:r>
          </w:p>
        </w:tc>
      </w:tr>
      <w:tr w:rsidR="00FE3FBE" w:rsidRPr="0074487A" w14:paraId="072EEC02"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3B266F72"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8</w:t>
            </w:r>
          </w:p>
        </w:tc>
        <w:tc>
          <w:tcPr>
            <w:tcW w:w="2970" w:type="dxa"/>
          </w:tcPr>
          <w:p w14:paraId="4C8E30F2"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Average current serious penalty in private sector - total (1 to greater than 250 workers)</w:t>
            </w:r>
          </w:p>
        </w:tc>
        <w:tc>
          <w:tcPr>
            <w:tcW w:w="1260" w:type="dxa"/>
          </w:tcPr>
          <w:p w14:paraId="05F8872A"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N/A</w:t>
            </w:r>
          </w:p>
        </w:tc>
        <w:tc>
          <w:tcPr>
            <w:tcW w:w="1620" w:type="dxa"/>
          </w:tcPr>
          <w:p w14:paraId="2A66022B"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 xml:space="preserve">+/- 25% of </w:t>
            </w:r>
          </w:p>
          <w:p w14:paraId="266DF008"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$3,625.21</w:t>
            </w:r>
          </w:p>
          <w:p w14:paraId="629E3686"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3780" w:type="dxa"/>
          </w:tcPr>
          <w:p w14:paraId="6A9EA7CA"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N/A – This is a State and Local Government State Plan.</w:t>
            </w:r>
          </w:p>
          <w:p w14:paraId="6397ECE9"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668A280" w14:textId="77777777" w:rsidR="00FE3FBE" w:rsidRPr="0074487A" w:rsidRDefault="00FE3FBE" w:rsidP="000E65D4">
            <w:pPr>
              <w:ind w:right="-11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The further review level is based on a three-year national average.</w:t>
            </w:r>
          </w:p>
        </w:tc>
      </w:tr>
      <w:tr w:rsidR="00FE3FBE" w:rsidRPr="0074487A" w14:paraId="6C0CD464"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2E20C498"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8a</w:t>
            </w:r>
          </w:p>
        </w:tc>
        <w:tc>
          <w:tcPr>
            <w:tcW w:w="2970" w:type="dxa"/>
          </w:tcPr>
          <w:p w14:paraId="3A22DA14"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Average current serious penalty in private sector</w:t>
            </w:r>
          </w:p>
          <w:p w14:paraId="66150974"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 xml:space="preserve"> (1-25 workers)</w:t>
            </w:r>
          </w:p>
        </w:tc>
        <w:tc>
          <w:tcPr>
            <w:tcW w:w="1260" w:type="dxa"/>
          </w:tcPr>
          <w:p w14:paraId="50189F53"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N/A</w:t>
            </w:r>
          </w:p>
        </w:tc>
        <w:tc>
          <w:tcPr>
            <w:tcW w:w="1620" w:type="dxa"/>
          </w:tcPr>
          <w:p w14:paraId="5BA51A7A"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 xml:space="preserve">+/- 25% of </w:t>
            </w:r>
          </w:p>
          <w:p w14:paraId="67F5A6AA"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$2,348.03</w:t>
            </w:r>
          </w:p>
          <w:p w14:paraId="5607BA9F"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3780" w:type="dxa"/>
          </w:tcPr>
          <w:p w14:paraId="018F5110"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N/A – This is a State and Local Government State Plan.</w:t>
            </w:r>
          </w:p>
          <w:p w14:paraId="72258A7B"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253E8F51"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The further review level is based on a three-year national average.</w:t>
            </w:r>
          </w:p>
        </w:tc>
      </w:tr>
      <w:tr w:rsidR="00FE3FBE" w:rsidRPr="0074487A" w14:paraId="3F93D877"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433CE27C"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8b</w:t>
            </w:r>
          </w:p>
        </w:tc>
        <w:tc>
          <w:tcPr>
            <w:tcW w:w="2970" w:type="dxa"/>
          </w:tcPr>
          <w:p w14:paraId="11C98717"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 xml:space="preserve">Average current serious penalty in private sector </w:t>
            </w:r>
          </w:p>
          <w:p w14:paraId="7B50413D"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(26-100 workers</w:t>
            </w:r>
            <w:r w:rsidRPr="0074487A">
              <w:rPr>
                <w:rFonts w:asciiTheme="minorHAnsi" w:hAnsiTheme="minorHAnsi" w:cstheme="minorHAnsi"/>
                <w:b/>
              </w:rPr>
              <w:t>)</w:t>
            </w:r>
          </w:p>
        </w:tc>
        <w:tc>
          <w:tcPr>
            <w:tcW w:w="1260" w:type="dxa"/>
          </w:tcPr>
          <w:p w14:paraId="50E3B0BA"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N/A</w:t>
            </w:r>
          </w:p>
        </w:tc>
        <w:tc>
          <w:tcPr>
            <w:tcW w:w="1620" w:type="dxa"/>
          </w:tcPr>
          <w:p w14:paraId="49FFBB3E"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 xml:space="preserve">+/- 25% of </w:t>
            </w:r>
          </w:p>
          <w:p w14:paraId="72BF1409"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$4,167.28</w:t>
            </w:r>
          </w:p>
          <w:p w14:paraId="2770874B"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3780" w:type="dxa"/>
          </w:tcPr>
          <w:p w14:paraId="230322FD"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N/A – This is a State and Local Government State Plan.</w:t>
            </w:r>
          </w:p>
          <w:p w14:paraId="4A61F61D"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2B2B84D6"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The further review level is based on a three-year national average.</w:t>
            </w:r>
          </w:p>
        </w:tc>
      </w:tr>
      <w:tr w:rsidR="00FE3FBE" w:rsidRPr="0074487A" w14:paraId="48D9F5BF"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25E41517"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8c</w:t>
            </w:r>
          </w:p>
        </w:tc>
        <w:tc>
          <w:tcPr>
            <w:tcW w:w="2970" w:type="dxa"/>
          </w:tcPr>
          <w:p w14:paraId="3A09CE40"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Average current serious penalty in private sector</w:t>
            </w:r>
          </w:p>
          <w:p w14:paraId="253A3E40"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(101-250 workers)</w:t>
            </w:r>
          </w:p>
        </w:tc>
        <w:tc>
          <w:tcPr>
            <w:tcW w:w="1260" w:type="dxa"/>
          </w:tcPr>
          <w:p w14:paraId="4672DE4A"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N/A</w:t>
            </w:r>
          </w:p>
        </w:tc>
        <w:tc>
          <w:tcPr>
            <w:tcW w:w="1620" w:type="dxa"/>
          </w:tcPr>
          <w:p w14:paraId="3FC689D6"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 xml:space="preserve">+/- 25% of </w:t>
            </w:r>
          </w:p>
          <w:p w14:paraId="3EA29F20"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$6,052.04</w:t>
            </w:r>
          </w:p>
          <w:p w14:paraId="7FBF53EE"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3780" w:type="dxa"/>
          </w:tcPr>
          <w:p w14:paraId="6A03D256"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N/A – This is a State and Local Government State Plan.</w:t>
            </w:r>
          </w:p>
          <w:p w14:paraId="2FA91744"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04EE665F"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The further review level is based on a three-year national average.</w:t>
            </w:r>
          </w:p>
        </w:tc>
      </w:tr>
      <w:tr w:rsidR="00FE3FBE" w:rsidRPr="0074487A" w14:paraId="766F37B9"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6CB572CE"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8d</w:t>
            </w:r>
          </w:p>
        </w:tc>
        <w:tc>
          <w:tcPr>
            <w:tcW w:w="2970" w:type="dxa"/>
          </w:tcPr>
          <w:p w14:paraId="0802418D"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Average current serious penalty in private sector</w:t>
            </w:r>
          </w:p>
          <w:p w14:paraId="59996350"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(greater than 250 workers)</w:t>
            </w:r>
          </w:p>
        </w:tc>
        <w:tc>
          <w:tcPr>
            <w:tcW w:w="1260" w:type="dxa"/>
          </w:tcPr>
          <w:p w14:paraId="6C83CA87"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N/A</w:t>
            </w:r>
          </w:p>
        </w:tc>
        <w:tc>
          <w:tcPr>
            <w:tcW w:w="1620" w:type="dxa"/>
          </w:tcPr>
          <w:p w14:paraId="16FD8E6A"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 xml:space="preserve">+/- 25% of </w:t>
            </w:r>
          </w:p>
          <w:p w14:paraId="184D253E"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$7,331.41</w:t>
            </w:r>
          </w:p>
          <w:p w14:paraId="629A7FDB"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3780" w:type="dxa"/>
          </w:tcPr>
          <w:p w14:paraId="5C27E792"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N/A – This is a State and Local Government State Plan.</w:t>
            </w:r>
          </w:p>
          <w:p w14:paraId="01EBC547"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4CFBE439"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The further review level is based on a three-year national average.</w:t>
            </w:r>
          </w:p>
        </w:tc>
      </w:tr>
      <w:tr w:rsidR="00FE3FBE" w:rsidRPr="0074487A" w14:paraId="06858BF9"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23B99CF5"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lastRenderedPageBreak/>
              <w:t>9a</w:t>
            </w:r>
          </w:p>
        </w:tc>
        <w:tc>
          <w:tcPr>
            <w:tcW w:w="2970" w:type="dxa"/>
          </w:tcPr>
          <w:p w14:paraId="22C73A73"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Percent in compliance (safety)</w:t>
            </w:r>
          </w:p>
        </w:tc>
        <w:tc>
          <w:tcPr>
            <w:tcW w:w="1260" w:type="dxa"/>
          </w:tcPr>
          <w:p w14:paraId="501A0047"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11.70%</w:t>
            </w:r>
          </w:p>
        </w:tc>
        <w:tc>
          <w:tcPr>
            <w:tcW w:w="1620" w:type="dxa"/>
          </w:tcPr>
          <w:p w14:paraId="10898DF8"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+/- 20% of</w:t>
            </w:r>
          </w:p>
          <w:p w14:paraId="08182556"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31.73%</w:t>
            </w:r>
          </w:p>
        </w:tc>
        <w:tc>
          <w:tcPr>
            <w:tcW w:w="3780" w:type="dxa"/>
          </w:tcPr>
          <w:p w14:paraId="215CF73C"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The further review level is based on a three-year national average.  The range of acceptable data not requiring further review is from 25.38% to 38.08% for safety.</w:t>
            </w:r>
          </w:p>
        </w:tc>
      </w:tr>
      <w:tr w:rsidR="00FE3FBE" w:rsidRPr="0074487A" w14:paraId="6F32639E"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4C577465"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9b</w:t>
            </w:r>
          </w:p>
        </w:tc>
        <w:tc>
          <w:tcPr>
            <w:tcW w:w="2970" w:type="dxa"/>
          </w:tcPr>
          <w:p w14:paraId="52193596"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Percent in compliance (health)</w:t>
            </w:r>
          </w:p>
        </w:tc>
        <w:tc>
          <w:tcPr>
            <w:tcW w:w="1260" w:type="dxa"/>
          </w:tcPr>
          <w:p w14:paraId="2C298EBD"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17.65%</w:t>
            </w:r>
          </w:p>
        </w:tc>
        <w:tc>
          <w:tcPr>
            <w:tcW w:w="1620" w:type="dxa"/>
          </w:tcPr>
          <w:p w14:paraId="5155BAEE"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+/- 20% of</w:t>
            </w:r>
          </w:p>
          <w:p w14:paraId="60F1273B"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43.82%</w:t>
            </w:r>
          </w:p>
        </w:tc>
        <w:tc>
          <w:tcPr>
            <w:tcW w:w="3780" w:type="dxa"/>
          </w:tcPr>
          <w:p w14:paraId="1E7AFC6B"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The further review level is based on a three-year national average.  The range of acceptable data not requiring further review is from 35.06% to 52.58% for health.</w:t>
            </w:r>
          </w:p>
        </w:tc>
      </w:tr>
      <w:tr w:rsidR="00FE3FBE" w:rsidRPr="0074487A" w14:paraId="76D0A02C"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7B24A0ED"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10</w:t>
            </w:r>
          </w:p>
        </w:tc>
        <w:tc>
          <w:tcPr>
            <w:tcW w:w="2970" w:type="dxa"/>
          </w:tcPr>
          <w:p w14:paraId="473EA01B"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Percent of work-related fatalities responded to in one workday</w:t>
            </w:r>
          </w:p>
        </w:tc>
        <w:tc>
          <w:tcPr>
            <w:tcW w:w="1260" w:type="dxa"/>
          </w:tcPr>
          <w:p w14:paraId="4890F6F6"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100%</w:t>
            </w:r>
          </w:p>
        </w:tc>
        <w:tc>
          <w:tcPr>
            <w:tcW w:w="1620" w:type="dxa"/>
          </w:tcPr>
          <w:p w14:paraId="7C5F1C52"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100%</w:t>
            </w:r>
          </w:p>
        </w:tc>
        <w:tc>
          <w:tcPr>
            <w:tcW w:w="3780" w:type="dxa"/>
          </w:tcPr>
          <w:p w14:paraId="67CE77A3"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The further review level is fixed for all State Plans.</w:t>
            </w:r>
          </w:p>
        </w:tc>
      </w:tr>
      <w:tr w:rsidR="00FE3FBE" w:rsidRPr="0074487A" w14:paraId="14CAB5A5"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3C9DB0C5"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11a</w:t>
            </w:r>
          </w:p>
        </w:tc>
        <w:tc>
          <w:tcPr>
            <w:tcW w:w="2970" w:type="dxa"/>
          </w:tcPr>
          <w:p w14:paraId="089347EB"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Average lapse time (safety)</w:t>
            </w:r>
          </w:p>
        </w:tc>
        <w:tc>
          <w:tcPr>
            <w:tcW w:w="1260" w:type="dxa"/>
          </w:tcPr>
          <w:p w14:paraId="153AA763"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27.05</w:t>
            </w:r>
          </w:p>
        </w:tc>
        <w:tc>
          <w:tcPr>
            <w:tcW w:w="1620" w:type="dxa"/>
          </w:tcPr>
          <w:p w14:paraId="06345078"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 xml:space="preserve">+/- 20% of </w:t>
            </w:r>
          </w:p>
          <w:p w14:paraId="1FFFB45B"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55.23</w:t>
            </w:r>
          </w:p>
        </w:tc>
        <w:tc>
          <w:tcPr>
            <w:tcW w:w="3780" w:type="dxa"/>
          </w:tcPr>
          <w:p w14:paraId="2FB6D9B5"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The further review level is based on a three-year national average.  The range of acceptable data not requiring further review is from 44.18 to 66.28 for safety.</w:t>
            </w:r>
          </w:p>
        </w:tc>
      </w:tr>
      <w:tr w:rsidR="00FE3FBE" w:rsidRPr="0074487A" w14:paraId="24F2F85B"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3FA739F5"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11b</w:t>
            </w:r>
          </w:p>
        </w:tc>
        <w:tc>
          <w:tcPr>
            <w:tcW w:w="2970" w:type="dxa"/>
          </w:tcPr>
          <w:p w14:paraId="0D673CA1"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Average lapse time (health)</w:t>
            </w:r>
          </w:p>
        </w:tc>
        <w:tc>
          <w:tcPr>
            <w:tcW w:w="1260" w:type="dxa"/>
          </w:tcPr>
          <w:p w14:paraId="4C8DB10C"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27.01</w:t>
            </w:r>
          </w:p>
        </w:tc>
        <w:tc>
          <w:tcPr>
            <w:tcW w:w="1620" w:type="dxa"/>
          </w:tcPr>
          <w:p w14:paraId="72CDFAEA"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 xml:space="preserve">+/- 20% of </w:t>
            </w:r>
          </w:p>
          <w:p w14:paraId="631FCFE0"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69.72</w:t>
            </w:r>
          </w:p>
        </w:tc>
        <w:tc>
          <w:tcPr>
            <w:tcW w:w="3780" w:type="dxa"/>
          </w:tcPr>
          <w:p w14:paraId="5676C1BB"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The further review level is based on a three-year national average.  The range of acceptable data not requiring further review is from 55.78 to 83.66 for health.</w:t>
            </w:r>
          </w:p>
        </w:tc>
      </w:tr>
      <w:tr w:rsidR="00FE3FBE" w:rsidRPr="0074487A" w14:paraId="4236112D"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182E713C"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12</w:t>
            </w:r>
          </w:p>
        </w:tc>
        <w:tc>
          <w:tcPr>
            <w:tcW w:w="2970" w:type="dxa"/>
          </w:tcPr>
          <w:p w14:paraId="48BACAC9"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Percent penalty retained</w:t>
            </w:r>
          </w:p>
        </w:tc>
        <w:tc>
          <w:tcPr>
            <w:tcW w:w="1260" w:type="dxa"/>
          </w:tcPr>
          <w:p w14:paraId="41025F81"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N/A</w:t>
            </w:r>
          </w:p>
        </w:tc>
        <w:tc>
          <w:tcPr>
            <w:tcW w:w="1620" w:type="dxa"/>
          </w:tcPr>
          <w:p w14:paraId="1316B394"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+/- 15% of</w:t>
            </w:r>
          </w:p>
          <w:p w14:paraId="68F3F4D4"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71.84%</w:t>
            </w:r>
          </w:p>
        </w:tc>
        <w:tc>
          <w:tcPr>
            <w:tcW w:w="3780" w:type="dxa"/>
          </w:tcPr>
          <w:p w14:paraId="72044E77"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NA – This is a State and Local Government State Plan and is not held to this SAMM.</w:t>
            </w:r>
          </w:p>
          <w:p w14:paraId="2A432930"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6D8FD6F3"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 xml:space="preserve">The further review level is based on a three-year national average.  </w:t>
            </w:r>
          </w:p>
        </w:tc>
      </w:tr>
      <w:tr w:rsidR="00FE3FBE" w:rsidRPr="0074487A" w14:paraId="17F8E61D"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2F3DD094"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13</w:t>
            </w:r>
          </w:p>
        </w:tc>
        <w:tc>
          <w:tcPr>
            <w:tcW w:w="2970" w:type="dxa"/>
          </w:tcPr>
          <w:p w14:paraId="71778073"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Percent of initial inspections with worker walk-around representation or worker interview</w:t>
            </w:r>
          </w:p>
        </w:tc>
        <w:tc>
          <w:tcPr>
            <w:tcW w:w="1260" w:type="dxa"/>
          </w:tcPr>
          <w:p w14:paraId="1087AEF2"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100</w:t>
            </w:r>
            <w:r w:rsidRPr="0074487A">
              <w:rPr>
                <w:rFonts w:asciiTheme="minorHAnsi" w:hAnsiTheme="minorHAnsi" w:cstheme="minorHAnsi"/>
              </w:rPr>
              <w:t>%</w:t>
            </w:r>
          </w:p>
        </w:tc>
        <w:tc>
          <w:tcPr>
            <w:tcW w:w="1620" w:type="dxa"/>
          </w:tcPr>
          <w:p w14:paraId="404F346F"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100%</w:t>
            </w:r>
          </w:p>
        </w:tc>
        <w:tc>
          <w:tcPr>
            <w:tcW w:w="3780" w:type="dxa"/>
          </w:tcPr>
          <w:p w14:paraId="399B5AD8"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The further review level is fixed for all State Plans.</w:t>
            </w:r>
          </w:p>
        </w:tc>
      </w:tr>
      <w:tr w:rsidR="00FE3FBE" w:rsidRPr="0074487A" w14:paraId="04031151"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42A0B19D"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14</w:t>
            </w:r>
          </w:p>
        </w:tc>
        <w:tc>
          <w:tcPr>
            <w:tcW w:w="2970" w:type="dxa"/>
          </w:tcPr>
          <w:p w14:paraId="29CAAE07"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Percent of 11(c) investigations completed within 90 days</w:t>
            </w:r>
          </w:p>
        </w:tc>
        <w:tc>
          <w:tcPr>
            <w:tcW w:w="1260" w:type="dxa"/>
          </w:tcPr>
          <w:p w14:paraId="5F82FBC9"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N/A*</w:t>
            </w:r>
          </w:p>
        </w:tc>
        <w:tc>
          <w:tcPr>
            <w:tcW w:w="1620" w:type="dxa"/>
          </w:tcPr>
          <w:p w14:paraId="3F024588"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N/A*</w:t>
            </w:r>
          </w:p>
        </w:tc>
        <w:tc>
          <w:tcPr>
            <w:tcW w:w="3780" w:type="dxa"/>
          </w:tcPr>
          <w:p w14:paraId="55324161"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 xml:space="preserve">This measure is not being reported for FY 2023 </w:t>
            </w:r>
            <w:r w:rsidRPr="0074487A">
              <w:t>due to the transition of 11(c) data from IMIS to OIS</w:t>
            </w:r>
            <w:r w:rsidRPr="0074487A">
              <w:rPr>
                <w:rFonts w:asciiTheme="minorHAnsi" w:eastAsia="PMingLiU" w:hAnsiTheme="minorHAnsi" w:cstheme="minorHAnsi"/>
              </w:rPr>
              <w:t>.</w:t>
            </w:r>
          </w:p>
        </w:tc>
      </w:tr>
      <w:tr w:rsidR="00FE3FBE" w:rsidRPr="0074487A" w14:paraId="0F36EDBA"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04BBF332"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15</w:t>
            </w:r>
          </w:p>
        </w:tc>
        <w:tc>
          <w:tcPr>
            <w:tcW w:w="2970" w:type="dxa"/>
          </w:tcPr>
          <w:p w14:paraId="396D836E"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Percent of 11(c) complaints that are meritorious</w:t>
            </w:r>
          </w:p>
        </w:tc>
        <w:tc>
          <w:tcPr>
            <w:tcW w:w="1260" w:type="dxa"/>
          </w:tcPr>
          <w:p w14:paraId="3957EAA1"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N/A*</w:t>
            </w:r>
          </w:p>
        </w:tc>
        <w:tc>
          <w:tcPr>
            <w:tcW w:w="1620" w:type="dxa"/>
          </w:tcPr>
          <w:p w14:paraId="7CD0E9E4"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N/A*</w:t>
            </w:r>
          </w:p>
        </w:tc>
        <w:tc>
          <w:tcPr>
            <w:tcW w:w="3780" w:type="dxa"/>
          </w:tcPr>
          <w:p w14:paraId="75A9D400"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 xml:space="preserve">This measure is not being reported for FY 2023 </w:t>
            </w:r>
            <w:r w:rsidRPr="0074487A">
              <w:t>due to the transition of 11(c) data from IMIS to OIS.</w:t>
            </w:r>
            <w:r w:rsidRPr="0074487A">
              <w:rPr>
                <w:rFonts w:asciiTheme="minorHAnsi" w:hAnsiTheme="minorHAnsi" w:cstheme="minorHAnsi"/>
              </w:rPr>
              <w:t xml:space="preserve"> </w:t>
            </w:r>
          </w:p>
        </w:tc>
      </w:tr>
      <w:tr w:rsidR="00FE3FBE" w:rsidRPr="0074487A" w14:paraId="06B5C5F9"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494AB76F"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lastRenderedPageBreak/>
              <w:t>16</w:t>
            </w:r>
          </w:p>
        </w:tc>
        <w:tc>
          <w:tcPr>
            <w:tcW w:w="2970" w:type="dxa"/>
          </w:tcPr>
          <w:p w14:paraId="526C065F"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Average number of calendar days to complete an 11(c) investigation</w:t>
            </w:r>
          </w:p>
        </w:tc>
        <w:tc>
          <w:tcPr>
            <w:tcW w:w="1260" w:type="dxa"/>
          </w:tcPr>
          <w:p w14:paraId="153D5DAE"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N/A*</w:t>
            </w:r>
          </w:p>
        </w:tc>
        <w:tc>
          <w:tcPr>
            <w:tcW w:w="1620" w:type="dxa"/>
            <w:shd w:val="clear" w:color="auto" w:fill="auto"/>
          </w:tcPr>
          <w:p w14:paraId="6E3F96A7"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N/A*</w:t>
            </w:r>
          </w:p>
        </w:tc>
        <w:tc>
          <w:tcPr>
            <w:tcW w:w="3780" w:type="dxa"/>
          </w:tcPr>
          <w:p w14:paraId="18837896"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hAnsiTheme="minorHAnsi" w:cstheme="minorHAnsi"/>
              </w:rPr>
              <w:t xml:space="preserve">This measure is not being reported for FY 2023 </w:t>
            </w:r>
            <w:r w:rsidRPr="0074487A">
              <w:t>due to the transition of 11(c) data from IMIS to OIS.</w:t>
            </w:r>
          </w:p>
        </w:tc>
      </w:tr>
      <w:tr w:rsidR="00FE3FBE" w:rsidRPr="0074487A" w14:paraId="16133EC6" w14:textId="77777777" w:rsidTr="004A31AC">
        <w:trPr>
          <w:cantSplit/>
        </w:trPr>
        <w:tc>
          <w:tcPr>
            <w:cnfStyle w:val="001000000000" w:firstRow="0" w:lastRow="0" w:firstColumn="1" w:lastColumn="0" w:oddVBand="0" w:evenVBand="0" w:oddHBand="0" w:evenHBand="0" w:firstRowFirstColumn="0" w:firstRowLastColumn="0" w:lastRowFirstColumn="0" w:lastRowLastColumn="0"/>
            <w:tcW w:w="1080" w:type="dxa"/>
          </w:tcPr>
          <w:p w14:paraId="06788CC5"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74487A">
              <w:rPr>
                <w:rFonts w:eastAsia="PMingLiU" w:cs="Calibri"/>
              </w:rPr>
              <w:t>17</w:t>
            </w:r>
          </w:p>
        </w:tc>
        <w:tc>
          <w:tcPr>
            <w:tcW w:w="2970" w:type="dxa"/>
          </w:tcPr>
          <w:p w14:paraId="59BD1497"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Percent of enforcement presence</w:t>
            </w:r>
          </w:p>
        </w:tc>
        <w:tc>
          <w:tcPr>
            <w:tcW w:w="1260" w:type="dxa"/>
          </w:tcPr>
          <w:p w14:paraId="45CBD972"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N/A</w:t>
            </w:r>
          </w:p>
        </w:tc>
        <w:tc>
          <w:tcPr>
            <w:tcW w:w="1620" w:type="dxa"/>
          </w:tcPr>
          <w:p w14:paraId="3861B62B" w14:textId="77777777" w:rsidR="00FE3FBE" w:rsidRPr="0074487A" w:rsidRDefault="00FE3FBE" w:rsidP="000E65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487A">
              <w:rPr>
                <w:rFonts w:asciiTheme="minorHAnsi" w:hAnsiTheme="minorHAnsi" w:cstheme="minorHAnsi"/>
              </w:rPr>
              <w:t>+/- 25% of</w:t>
            </w:r>
          </w:p>
          <w:p w14:paraId="17965B9A"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1.75</w:t>
            </w:r>
            <w:r w:rsidRPr="0074487A">
              <w:rPr>
                <w:rFonts w:asciiTheme="minorHAnsi" w:hAnsiTheme="minorHAnsi" w:cstheme="minorHAnsi"/>
              </w:rPr>
              <w:t>%</w:t>
            </w:r>
          </w:p>
        </w:tc>
        <w:tc>
          <w:tcPr>
            <w:tcW w:w="3780" w:type="dxa"/>
          </w:tcPr>
          <w:p w14:paraId="7E44DD76"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NA – This is a State and Local Government State Plan and is not held to this SAMM.</w:t>
            </w:r>
          </w:p>
          <w:p w14:paraId="32F0F2C0"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609D8564" w14:textId="77777777" w:rsidR="00FE3FBE" w:rsidRPr="0074487A" w:rsidRDefault="00FE3FBE" w:rsidP="000E65D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4487A">
              <w:rPr>
                <w:rFonts w:asciiTheme="minorHAnsi" w:eastAsia="PMingLiU" w:hAnsiTheme="minorHAnsi" w:cstheme="minorHAnsi"/>
              </w:rPr>
              <w:t xml:space="preserve">The further review level is based on a three-year national average.  </w:t>
            </w:r>
          </w:p>
        </w:tc>
      </w:tr>
    </w:tbl>
    <w:p w14:paraId="6E8A3F17" w14:textId="77777777" w:rsidR="0075534D" w:rsidRDefault="0075534D"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p w14:paraId="269E3E4C" w14:textId="250283ED" w:rsidR="0065213A" w:rsidRPr="00555001" w:rsidRDefault="00555001"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555001">
        <w:rPr>
          <w:rFonts w:eastAsia="PMingLiU"/>
          <w:bCs/>
        </w:rPr>
        <w:t xml:space="preserve">NOTE: The national averages in this report are three-year rolling averages.  Unless otherwise noted, the data contained in this Appendix D is pulled from the State Activity Mandated Measures (SAMM) Report in OIS and the State Plan </w:t>
      </w:r>
      <w:proofErr w:type="spellStart"/>
      <w:r w:rsidRPr="00555001">
        <w:rPr>
          <w:rFonts w:eastAsia="PMingLiU"/>
          <w:bCs/>
        </w:rPr>
        <w:t>WebIMIS</w:t>
      </w:r>
      <w:proofErr w:type="spellEnd"/>
      <w:r w:rsidRPr="00555001">
        <w:rPr>
          <w:rFonts w:eastAsia="PMingLiU"/>
          <w:bCs/>
        </w:rPr>
        <w:t xml:space="preserve"> report run on November 14, 2023, as part of OSHA’s official end-of-year data run.</w:t>
      </w:r>
    </w:p>
    <w:sectPr w:rsidR="0065213A" w:rsidRPr="00555001" w:rsidSect="005E37B2">
      <w:headerReference w:type="default" r:id="rId25"/>
      <w:footerReference w:type="default" r:id="rId26"/>
      <w:pgSz w:w="12240" w:h="15840" w:code="1"/>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B62E" w14:textId="77777777" w:rsidR="00D276EA" w:rsidRDefault="00D276EA" w:rsidP="00C872A0">
      <w:r>
        <w:separator/>
      </w:r>
    </w:p>
  </w:endnote>
  <w:endnote w:type="continuationSeparator" w:id="0">
    <w:p w14:paraId="626464CA" w14:textId="77777777" w:rsidR="00D276EA" w:rsidRDefault="00D276EA"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noProof/>
      </w:rPr>
    </w:sdtEndPr>
    <w:sdtContent>
      <w:p w14:paraId="39D65DD9" w14:textId="0A8B3327" w:rsidR="00770948" w:rsidRDefault="00770948">
        <w:pPr>
          <w:pStyle w:val="Footer"/>
          <w:jc w:val="center"/>
        </w:pPr>
        <w:r>
          <w:fldChar w:fldCharType="begin"/>
        </w:r>
        <w:r>
          <w:instrText xml:space="preserve"> PAGE   \* MERGEFORMAT </w:instrText>
        </w:r>
        <w:r>
          <w:fldChar w:fldCharType="separate"/>
        </w:r>
        <w:r w:rsidR="00F64C92">
          <w:rPr>
            <w:noProof/>
          </w:rPr>
          <w:t>11</w:t>
        </w:r>
        <w:r>
          <w:rPr>
            <w:noProof/>
          </w:rPr>
          <w:fldChar w:fldCharType="end"/>
        </w:r>
      </w:p>
    </w:sdtContent>
  </w:sdt>
  <w:p w14:paraId="6FDB16CF" w14:textId="77777777" w:rsidR="00770948" w:rsidRPr="000E07E7" w:rsidRDefault="00770948" w:rsidP="000E0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D98" w14:textId="77777777" w:rsidR="00770948" w:rsidRDefault="00770948">
    <w:pPr>
      <w:pStyle w:val="Footer"/>
      <w:jc w:val="center"/>
    </w:pPr>
  </w:p>
  <w:p w14:paraId="1927C436" w14:textId="77777777" w:rsidR="00770948" w:rsidRDefault="00770948"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782932"/>
      <w:docPartObj>
        <w:docPartGallery w:val="Page Numbers (Bottom of Page)"/>
        <w:docPartUnique/>
      </w:docPartObj>
    </w:sdtPr>
    <w:sdtEndPr>
      <w:rPr>
        <w:noProof/>
      </w:rPr>
    </w:sdtEndPr>
    <w:sdtContent>
      <w:p w14:paraId="18F288E3" w14:textId="0C1675DB" w:rsidR="0097111D" w:rsidRDefault="0097111D">
        <w:pPr>
          <w:pStyle w:val="Footer"/>
          <w:jc w:val="center"/>
        </w:pPr>
        <w:r>
          <w:t>A-</w:t>
        </w:r>
        <w:r>
          <w:fldChar w:fldCharType="begin"/>
        </w:r>
        <w:r>
          <w:instrText xml:space="preserve"> PAGE   \* MERGEFORMAT </w:instrText>
        </w:r>
        <w:r>
          <w:fldChar w:fldCharType="separate"/>
        </w:r>
        <w:r>
          <w:rPr>
            <w:noProof/>
          </w:rPr>
          <w:t>2</w:t>
        </w:r>
        <w:r>
          <w:rPr>
            <w:noProof/>
          </w:rPr>
          <w:fldChar w:fldCharType="end"/>
        </w:r>
      </w:p>
    </w:sdtContent>
  </w:sdt>
  <w:p w14:paraId="49BADBA9" w14:textId="77777777" w:rsidR="00770948" w:rsidRPr="000E07E7" w:rsidRDefault="00770948" w:rsidP="0097111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87534"/>
      <w:docPartObj>
        <w:docPartGallery w:val="Page Numbers (Bottom of Page)"/>
        <w:docPartUnique/>
      </w:docPartObj>
    </w:sdtPr>
    <w:sdtEndPr>
      <w:rPr>
        <w:noProof/>
      </w:rPr>
    </w:sdtEndPr>
    <w:sdtContent>
      <w:p w14:paraId="3DB0F575" w14:textId="2F9981F0" w:rsidR="0097111D" w:rsidRDefault="0097111D">
        <w:pPr>
          <w:pStyle w:val="Footer"/>
          <w:jc w:val="center"/>
        </w:pPr>
        <w:r>
          <w:t>B-</w:t>
        </w:r>
        <w:r>
          <w:fldChar w:fldCharType="begin"/>
        </w:r>
        <w:r>
          <w:instrText xml:space="preserve"> PAGE   \* MERGEFORMAT </w:instrText>
        </w:r>
        <w:r>
          <w:fldChar w:fldCharType="separate"/>
        </w:r>
        <w:r>
          <w:rPr>
            <w:noProof/>
          </w:rPr>
          <w:t>2</w:t>
        </w:r>
        <w:r>
          <w:rPr>
            <w:noProof/>
          </w:rPr>
          <w:fldChar w:fldCharType="end"/>
        </w:r>
      </w:p>
    </w:sdtContent>
  </w:sdt>
  <w:p w14:paraId="666C6501" w14:textId="77777777" w:rsidR="00131D63" w:rsidRPr="000E07E7" w:rsidRDefault="00131D63" w:rsidP="00B06231">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628012"/>
      <w:docPartObj>
        <w:docPartGallery w:val="Page Numbers (Bottom of Page)"/>
        <w:docPartUnique/>
      </w:docPartObj>
    </w:sdtPr>
    <w:sdtEndPr>
      <w:rPr>
        <w:noProof/>
      </w:rPr>
    </w:sdtEndPr>
    <w:sdtContent>
      <w:p w14:paraId="09933456" w14:textId="78C33146" w:rsidR="0097111D" w:rsidRDefault="0097111D">
        <w:pPr>
          <w:pStyle w:val="Footer"/>
          <w:jc w:val="center"/>
        </w:pPr>
        <w:r>
          <w:t>C-</w:t>
        </w:r>
        <w:r>
          <w:fldChar w:fldCharType="begin"/>
        </w:r>
        <w:r>
          <w:instrText xml:space="preserve"> PAGE   \* MERGEFORMAT </w:instrText>
        </w:r>
        <w:r>
          <w:fldChar w:fldCharType="separate"/>
        </w:r>
        <w:r>
          <w:rPr>
            <w:noProof/>
          </w:rPr>
          <w:t>2</w:t>
        </w:r>
        <w:r>
          <w:rPr>
            <w:noProof/>
          </w:rPr>
          <w:fldChar w:fldCharType="end"/>
        </w:r>
      </w:p>
    </w:sdtContent>
  </w:sdt>
  <w:p w14:paraId="4A0C01A6" w14:textId="77777777" w:rsidR="0097111D" w:rsidRPr="000E07E7" w:rsidRDefault="0097111D" w:rsidP="00B0623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129372"/>
      <w:docPartObj>
        <w:docPartGallery w:val="Page Numbers (Bottom of Page)"/>
        <w:docPartUnique/>
      </w:docPartObj>
    </w:sdtPr>
    <w:sdtEndPr>
      <w:rPr>
        <w:noProof/>
      </w:rPr>
    </w:sdtEndPr>
    <w:sdtContent>
      <w:p w14:paraId="5BE6EF93" w14:textId="19B05C58" w:rsidR="005E37B2" w:rsidRDefault="005E37B2">
        <w:pPr>
          <w:pStyle w:val="Footer"/>
          <w:jc w:val="center"/>
        </w:pPr>
        <w:r>
          <w:t>D-</w:t>
        </w:r>
        <w:r>
          <w:fldChar w:fldCharType="begin"/>
        </w:r>
        <w:r>
          <w:instrText xml:space="preserve"> PAGE   \* MERGEFORMAT </w:instrText>
        </w:r>
        <w:r>
          <w:fldChar w:fldCharType="separate"/>
        </w:r>
        <w:r>
          <w:rPr>
            <w:noProof/>
          </w:rPr>
          <w:t>2</w:t>
        </w:r>
        <w:r>
          <w:rPr>
            <w:noProof/>
          </w:rPr>
          <w:fldChar w:fldCharType="end"/>
        </w:r>
      </w:p>
    </w:sdtContent>
  </w:sdt>
  <w:p w14:paraId="1B398B90" w14:textId="77777777" w:rsidR="0097111D" w:rsidRPr="000E07E7" w:rsidRDefault="0097111D" w:rsidP="00B062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BFE3" w14:textId="77777777" w:rsidR="00D276EA" w:rsidRDefault="00D276EA" w:rsidP="00C872A0">
      <w:r>
        <w:separator/>
      </w:r>
    </w:p>
  </w:footnote>
  <w:footnote w:type="continuationSeparator" w:id="0">
    <w:p w14:paraId="03029C6D" w14:textId="77777777" w:rsidR="00D276EA" w:rsidRDefault="00D276EA"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7CA8" w14:textId="77777777" w:rsidR="0097111D" w:rsidRPr="007651EA" w:rsidRDefault="0097111D" w:rsidP="0097111D">
    <w:pPr>
      <w:keepNext/>
      <w:keepLines/>
      <w:widowControl/>
      <w:autoSpaceDE/>
      <w:autoSpaceDN/>
      <w:adjustRightInd/>
      <w:spacing w:line="276" w:lineRule="auto"/>
      <w:jc w:val="center"/>
      <w:outlineLvl w:val="0"/>
      <w:rPr>
        <w:sz w:val="28"/>
        <w:szCs w:val="28"/>
      </w:rPr>
    </w:pPr>
    <w:r w:rsidRPr="00477951">
      <w:rPr>
        <w:b/>
        <w:bCs/>
        <w:color w:val="4F81BD" w:themeColor="accent1"/>
        <w:sz w:val="28"/>
        <w:szCs w:val="28"/>
      </w:rPr>
      <w:t xml:space="preserve">Appendix </w:t>
    </w:r>
    <w:r>
      <w:rPr>
        <w:b/>
        <w:bCs/>
        <w:color w:val="4F81BD" w:themeColor="accent1"/>
        <w:sz w:val="28"/>
        <w:szCs w:val="28"/>
      </w:rPr>
      <w:t>A</w:t>
    </w:r>
    <w:r w:rsidRPr="00477951">
      <w:rPr>
        <w:b/>
        <w:bCs/>
        <w:color w:val="4F81BD" w:themeColor="accent1"/>
        <w:sz w:val="28"/>
        <w:szCs w:val="28"/>
      </w:rPr>
      <w:t xml:space="preserve"> </w:t>
    </w:r>
    <w:r>
      <w:rPr>
        <w:b/>
        <w:bCs/>
        <w:color w:val="4F81BD" w:themeColor="accent1"/>
        <w:sz w:val="28"/>
        <w:szCs w:val="28"/>
      </w:rPr>
      <w:t>–</w:t>
    </w:r>
    <w:r w:rsidRPr="00477951">
      <w:rPr>
        <w:b/>
        <w:bCs/>
        <w:color w:val="4F81BD" w:themeColor="accent1"/>
        <w:sz w:val="28"/>
        <w:szCs w:val="28"/>
      </w:rPr>
      <w:t xml:space="preserve"> </w:t>
    </w:r>
    <w:r>
      <w:rPr>
        <w:b/>
        <w:bCs/>
        <w:color w:val="4F81BD" w:themeColor="accent1"/>
        <w:sz w:val="28"/>
        <w:szCs w:val="28"/>
      </w:rPr>
      <w:t>New and Continued Findings and Recommendations</w:t>
    </w:r>
  </w:p>
  <w:p w14:paraId="7C7D21A1" w14:textId="77777777" w:rsidR="0097111D" w:rsidRPr="00600F93" w:rsidRDefault="0097111D" w:rsidP="0097111D">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r w:rsidRPr="00477951">
      <w:t>FY 20</w:t>
    </w:r>
    <w:r>
      <w:t>23 Illinois OSHA</w:t>
    </w:r>
    <w:r w:rsidRPr="00477951">
      <w:t xml:space="preserve"> Comprehensive FAME Report</w:t>
    </w:r>
  </w:p>
  <w:p w14:paraId="665AE3E5"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47E5AE05" w14:textId="77777777" w:rsidR="00770948" w:rsidRPr="00122159" w:rsidRDefault="00770948" w:rsidP="00122159">
    <w:pPr>
      <w:keepNext/>
      <w:keepLines/>
      <w:widowControl/>
      <w:autoSpaceDE/>
      <w:autoSpaceDN/>
      <w:adjustRightInd/>
      <w:spacing w:line="276" w:lineRule="auto"/>
      <w:jc w:val="center"/>
      <w:outlineLvl w:val="0"/>
      <w:rPr>
        <w:b/>
        <w:bCs/>
        <w:color w:val="0070C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697C" w14:textId="77777777" w:rsidR="0097111D" w:rsidRPr="008F57F8" w:rsidRDefault="0097111D" w:rsidP="0097111D">
    <w:pPr>
      <w:keepNext/>
      <w:keepLines/>
      <w:widowControl/>
      <w:autoSpaceDE/>
      <w:autoSpaceDN/>
      <w:adjustRightInd/>
      <w:spacing w:line="276" w:lineRule="auto"/>
      <w:jc w:val="center"/>
      <w:outlineLvl w:val="0"/>
      <w:rPr>
        <w:b/>
        <w:color w:val="0070C0"/>
        <w:sz w:val="28"/>
        <w:szCs w:val="28"/>
      </w:rPr>
    </w:pPr>
    <w:r w:rsidRPr="00477951">
      <w:rPr>
        <w:b/>
        <w:bCs/>
        <w:color w:val="4F81BD" w:themeColor="accent1"/>
        <w:sz w:val="28"/>
        <w:szCs w:val="28"/>
      </w:rPr>
      <w:t xml:space="preserve">Appendix </w:t>
    </w:r>
    <w:r>
      <w:rPr>
        <w:b/>
        <w:bCs/>
        <w:color w:val="4F81BD" w:themeColor="accent1"/>
        <w:sz w:val="28"/>
        <w:szCs w:val="28"/>
      </w:rPr>
      <w:t>B</w:t>
    </w:r>
    <w:r w:rsidRPr="00477951">
      <w:rPr>
        <w:b/>
        <w:bCs/>
        <w:color w:val="4F81BD" w:themeColor="accent1"/>
        <w:sz w:val="28"/>
        <w:szCs w:val="28"/>
      </w:rPr>
      <w:t xml:space="preserve"> </w:t>
    </w:r>
    <w:r>
      <w:rPr>
        <w:b/>
        <w:bCs/>
        <w:color w:val="4F81BD" w:themeColor="accent1"/>
        <w:sz w:val="28"/>
        <w:szCs w:val="28"/>
      </w:rPr>
      <w:t>–</w:t>
    </w:r>
    <w:r w:rsidRPr="00477951">
      <w:rPr>
        <w:b/>
        <w:bCs/>
        <w:color w:val="4F81BD" w:themeColor="accent1"/>
        <w:sz w:val="28"/>
        <w:szCs w:val="28"/>
      </w:rPr>
      <w:t xml:space="preserve"> </w:t>
    </w:r>
    <w:r>
      <w:rPr>
        <w:b/>
        <w:bCs/>
        <w:color w:val="4F81BD" w:themeColor="accent1"/>
        <w:sz w:val="28"/>
        <w:szCs w:val="28"/>
      </w:rPr>
      <w:t>Observations Subject to New and Continued Monitoring</w:t>
    </w:r>
  </w:p>
  <w:p w14:paraId="7D9FA604" w14:textId="77777777" w:rsidR="0097111D" w:rsidRPr="00023946" w:rsidRDefault="0097111D" w:rsidP="0097111D">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r w:rsidRPr="00477951">
      <w:t>FY 20</w:t>
    </w:r>
    <w:r>
      <w:t>23</w:t>
    </w:r>
    <w:r w:rsidRPr="00477951">
      <w:t xml:space="preserve"> </w:t>
    </w:r>
    <w:r>
      <w:t>Illinois OSHA</w:t>
    </w:r>
    <w:r w:rsidRPr="00477951">
      <w:t xml:space="preserve"> Comprehensive FAME Report</w:t>
    </w:r>
  </w:p>
  <w:p w14:paraId="10AAEFD9" w14:textId="77777777" w:rsidR="00131D63" w:rsidRPr="00122159" w:rsidRDefault="00131D63" w:rsidP="00122159">
    <w:pPr>
      <w:keepNext/>
      <w:keepLines/>
      <w:widowControl/>
      <w:autoSpaceDE/>
      <w:autoSpaceDN/>
      <w:adjustRightInd/>
      <w:spacing w:line="276" w:lineRule="auto"/>
      <w:jc w:val="center"/>
      <w:outlineLvl w:val="0"/>
      <w:rPr>
        <w:b/>
        <w:bCs/>
        <w:color w:val="0070C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2BE4" w14:textId="77777777" w:rsidR="0097111D" w:rsidRPr="00477951" w:rsidRDefault="0097111D" w:rsidP="0097111D">
    <w:pPr>
      <w:keepNext/>
      <w:keepLines/>
      <w:widowControl/>
      <w:autoSpaceDE/>
      <w:autoSpaceDN/>
      <w:adjustRightInd/>
      <w:spacing w:line="276" w:lineRule="auto"/>
      <w:jc w:val="center"/>
      <w:outlineLvl w:val="0"/>
      <w:rPr>
        <w:b/>
        <w:bCs/>
        <w:color w:val="4F81BD" w:themeColor="accent1"/>
        <w:sz w:val="28"/>
        <w:szCs w:val="28"/>
      </w:rPr>
    </w:pPr>
    <w:r w:rsidRPr="00477951">
      <w:rPr>
        <w:b/>
        <w:bCs/>
        <w:color w:val="4F81BD" w:themeColor="accent1"/>
        <w:sz w:val="28"/>
        <w:szCs w:val="28"/>
      </w:rPr>
      <w:t>Appendix C - Status of FY 20</w:t>
    </w:r>
    <w:r>
      <w:rPr>
        <w:b/>
        <w:bCs/>
        <w:color w:val="4F81BD" w:themeColor="accent1"/>
        <w:sz w:val="28"/>
        <w:szCs w:val="28"/>
      </w:rPr>
      <w:t>22</w:t>
    </w:r>
    <w:r w:rsidRPr="00477951">
      <w:rPr>
        <w:b/>
        <w:bCs/>
        <w:color w:val="4F81BD" w:themeColor="accent1"/>
        <w:sz w:val="28"/>
        <w:szCs w:val="28"/>
      </w:rPr>
      <w:t xml:space="preserve"> Findings and Recommendations</w:t>
    </w:r>
  </w:p>
  <w:p w14:paraId="1815265F" w14:textId="6BCAC031" w:rsidR="0097111D" w:rsidRPr="00122159" w:rsidRDefault="0097111D" w:rsidP="00122159">
    <w:pPr>
      <w:keepNext/>
      <w:keepLines/>
      <w:widowControl/>
      <w:autoSpaceDE/>
      <w:autoSpaceDN/>
      <w:adjustRightInd/>
      <w:spacing w:line="276" w:lineRule="auto"/>
      <w:jc w:val="center"/>
      <w:outlineLvl w:val="0"/>
      <w:rPr>
        <w:b/>
        <w:bCs/>
        <w:color w:val="0070C0"/>
        <w:sz w:val="28"/>
        <w:szCs w:val="28"/>
      </w:rPr>
    </w:pPr>
    <w:r w:rsidRPr="00477951">
      <w:t>FY 20</w:t>
    </w:r>
    <w:r>
      <w:t>23</w:t>
    </w:r>
    <w:r w:rsidRPr="00477951">
      <w:t xml:space="preserve"> </w:t>
    </w:r>
    <w:r>
      <w:t>Illinois OSHA</w:t>
    </w:r>
    <w:r w:rsidRPr="00477951">
      <w:t xml:space="preserve"> Comprehensive FAME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7559" w14:textId="77777777" w:rsidR="0097111D" w:rsidRPr="00EA7F30" w:rsidRDefault="0097111D" w:rsidP="0097111D">
    <w:pPr>
      <w:keepNext/>
      <w:keepLines/>
      <w:widowControl/>
      <w:autoSpaceDE/>
      <w:autoSpaceDN/>
      <w:adjustRightInd/>
      <w:spacing w:line="276" w:lineRule="auto"/>
      <w:jc w:val="center"/>
      <w:outlineLvl w:val="0"/>
      <w:rPr>
        <w:b/>
        <w:bCs/>
        <w:color w:val="0070C0"/>
        <w:sz w:val="28"/>
        <w:szCs w:val="28"/>
      </w:rPr>
    </w:pPr>
    <w:r w:rsidRPr="00EA7F30">
      <w:rPr>
        <w:b/>
        <w:bCs/>
        <w:color w:val="0070C0"/>
        <w:sz w:val="28"/>
        <w:szCs w:val="28"/>
      </w:rPr>
      <w:t xml:space="preserve">Appendix D - </w:t>
    </w:r>
    <w:r w:rsidRPr="00AA0FEB">
      <w:rPr>
        <w:b/>
        <w:bCs/>
        <w:color w:val="0070C0"/>
        <w:sz w:val="28"/>
        <w:szCs w:val="28"/>
      </w:rPr>
      <w:t>FY 20</w:t>
    </w:r>
    <w:r>
      <w:rPr>
        <w:b/>
        <w:bCs/>
        <w:color w:val="0070C0"/>
        <w:sz w:val="28"/>
        <w:szCs w:val="28"/>
      </w:rPr>
      <w:t>23</w:t>
    </w:r>
    <w:r w:rsidRPr="00AA0FEB">
      <w:rPr>
        <w:b/>
        <w:bCs/>
        <w:color w:val="0070C0"/>
        <w:sz w:val="28"/>
        <w:szCs w:val="28"/>
      </w:rPr>
      <w:t xml:space="preserve"> State Activity Mandated Measures (SAMM)</w:t>
    </w:r>
    <w:r>
      <w:rPr>
        <w:b/>
        <w:bCs/>
        <w:color w:val="0070C0"/>
        <w:sz w:val="28"/>
        <w:szCs w:val="28"/>
      </w:rPr>
      <w:t xml:space="preserve"> </w:t>
    </w:r>
    <w:r w:rsidRPr="00AA0FEB">
      <w:rPr>
        <w:b/>
        <w:bCs/>
        <w:color w:val="0070C0"/>
        <w:sz w:val="28"/>
        <w:szCs w:val="28"/>
      </w:rPr>
      <w:t>Report</w:t>
    </w:r>
  </w:p>
  <w:p w14:paraId="33178E2B" w14:textId="7DD5AB66" w:rsidR="0097111D" w:rsidRPr="00122159" w:rsidRDefault="0097111D" w:rsidP="0097111D">
    <w:pPr>
      <w:keepNext/>
      <w:keepLines/>
      <w:widowControl/>
      <w:autoSpaceDE/>
      <w:autoSpaceDN/>
      <w:adjustRightInd/>
      <w:spacing w:line="276" w:lineRule="auto"/>
      <w:jc w:val="center"/>
      <w:outlineLvl w:val="0"/>
      <w:rPr>
        <w:b/>
        <w:bCs/>
        <w:color w:val="0070C0"/>
        <w:sz w:val="28"/>
        <w:szCs w:val="28"/>
      </w:rPr>
    </w:pPr>
    <w:r>
      <w:t>FY 2023</w:t>
    </w:r>
    <w:r w:rsidRPr="00EA7F30">
      <w:t xml:space="preserve"> </w:t>
    </w:r>
    <w:r>
      <w:t>Illinois OSHA</w:t>
    </w:r>
    <w:r w:rsidRPr="00EA7F30">
      <w:t xml:space="preserve"> Comprehensive FAME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3C377FA"/>
    <w:multiLevelType w:val="hybridMultilevel"/>
    <w:tmpl w:val="CBAE5658"/>
    <w:lvl w:ilvl="0" w:tplc="FD72B01A">
      <w:start w:val="2"/>
      <w:numFmt w:val="lowerLetter"/>
      <w:lvlText w:val="%1)"/>
      <w:lvlJc w:val="left"/>
      <w:pPr>
        <w:ind w:left="1530" w:hanging="360"/>
      </w:pPr>
      <w:rPr>
        <w:rFonts w:ascii="Times New Roman" w:hAnsi="Times New Roman" w:cs="Times New Roman"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4" w15:restartNumberingAfterBreak="0">
    <w:nsid w:val="05606779"/>
    <w:multiLevelType w:val="hybridMultilevel"/>
    <w:tmpl w:val="0B24DA56"/>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642C7A"/>
    <w:multiLevelType w:val="hybridMultilevel"/>
    <w:tmpl w:val="0BBA5AF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09384FAA"/>
    <w:multiLevelType w:val="hybridMultilevel"/>
    <w:tmpl w:val="AB5C9702"/>
    <w:lvl w:ilvl="0" w:tplc="BF76C3FE">
      <w:start w:val="1"/>
      <w:numFmt w:val="bullet"/>
      <w:lvlText w:val=""/>
      <w:lvlJc w:val="left"/>
      <w:pPr>
        <w:ind w:left="842" w:hanging="360"/>
      </w:pPr>
      <w:rPr>
        <w:rFonts w:ascii="Symbol" w:hAnsi="Symbol" w:hint="default"/>
        <w:sz w:val="24"/>
        <w:szCs w:val="24"/>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7" w15:restartNumberingAfterBreak="0">
    <w:nsid w:val="094666A6"/>
    <w:multiLevelType w:val="hybridMultilevel"/>
    <w:tmpl w:val="6A5CAA44"/>
    <w:lvl w:ilvl="0" w:tplc="DBA857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0A20C2"/>
    <w:multiLevelType w:val="hybridMultilevel"/>
    <w:tmpl w:val="1C648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1C5244"/>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103B68C7"/>
    <w:multiLevelType w:val="hybridMultilevel"/>
    <w:tmpl w:val="6706CE20"/>
    <w:lvl w:ilvl="0" w:tplc="3288F108">
      <w:start w:val="1"/>
      <w:numFmt w:val="lowerLetter"/>
      <w:lvlText w:val="%1)"/>
      <w:lvlJc w:val="left"/>
      <w:pPr>
        <w:ind w:left="2520" w:hanging="360"/>
      </w:pPr>
      <w:rPr>
        <w:rFonts w:ascii="Times New Roman" w:hAnsi="Times New Roman" w:cs="Times New Roman" w:hint="default"/>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10664DA1"/>
    <w:multiLevelType w:val="hybridMultilevel"/>
    <w:tmpl w:val="C0A0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263EB"/>
    <w:multiLevelType w:val="hybridMultilevel"/>
    <w:tmpl w:val="D66C9552"/>
    <w:lvl w:ilvl="0" w:tplc="13B8FD4A">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11E94E70"/>
    <w:multiLevelType w:val="hybridMultilevel"/>
    <w:tmpl w:val="3294C416"/>
    <w:lvl w:ilvl="0" w:tplc="04090001">
      <w:start w:val="1"/>
      <w:numFmt w:val="bullet"/>
      <w:lvlText w:val=""/>
      <w:lvlJc w:val="left"/>
      <w:pPr>
        <w:ind w:left="720" w:hanging="360"/>
      </w:pPr>
      <w:rPr>
        <w:rFonts w:ascii="Symbol" w:hAnsi="Symbol" w:hint="default"/>
      </w:rPr>
    </w:lvl>
    <w:lvl w:ilvl="1" w:tplc="3A24E58C">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0740D3"/>
    <w:multiLevelType w:val="hybridMultilevel"/>
    <w:tmpl w:val="FB404DA8"/>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5" w15:restartNumberingAfterBreak="0">
    <w:nsid w:val="134E3A79"/>
    <w:multiLevelType w:val="hybridMultilevel"/>
    <w:tmpl w:val="7BE0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E54B1F"/>
    <w:multiLevelType w:val="hybridMultilevel"/>
    <w:tmpl w:val="426A6438"/>
    <w:lvl w:ilvl="0" w:tplc="04090011">
      <w:start w:val="1"/>
      <w:numFmt w:val="decimal"/>
      <w:lvlText w:val="%1)"/>
      <w:lvlJc w:val="left"/>
      <w:pPr>
        <w:ind w:left="1440" w:hanging="360"/>
      </w:pPr>
    </w:lvl>
    <w:lvl w:ilvl="1" w:tplc="1BB8DAB2">
      <w:start w:val="1"/>
      <w:numFmt w:val="lowerLetter"/>
      <w:lvlText w:val="%2)"/>
      <w:lvlJc w:val="left"/>
      <w:pPr>
        <w:ind w:left="2160" w:hanging="360"/>
      </w:pPr>
      <w:rPr>
        <w:rFonts w:cs="Times New Roman"/>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1C3002BC"/>
    <w:multiLevelType w:val="hybridMultilevel"/>
    <w:tmpl w:val="238E85EC"/>
    <w:lvl w:ilvl="0" w:tplc="491C06CE">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8" w15:restartNumberingAfterBreak="0">
    <w:nsid w:val="1F9B3E10"/>
    <w:multiLevelType w:val="hybridMultilevel"/>
    <w:tmpl w:val="B440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0051EB7"/>
    <w:multiLevelType w:val="hybridMultilevel"/>
    <w:tmpl w:val="FBEE73CC"/>
    <w:lvl w:ilvl="0" w:tplc="B48E2514">
      <w:start w:val="1"/>
      <w:numFmt w:val="lowerLetter"/>
      <w:lvlText w:val="%1)"/>
      <w:lvlJc w:val="left"/>
      <w:pPr>
        <w:ind w:left="1890" w:hanging="360"/>
      </w:pPr>
      <w:rPr>
        <w:rFonts w:ascii="Times New Roman" w:eastAsia="Times New Roman" w:hAnsi="Times New Roman" w:cs="Times New Roman"/>
        <w:sz w:val="24"/>
        <w:szCs w:val="24"/>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0" w15:restartNumberingAfterBreak="0">
    <w:nsid w:val="2B81414E"/>
    <w:multiLevelType w:val="hybridMultilevel"/>
    <w:tmpl w:val="023ABD4E"/>
    <w:lvl w:ilvl="0" w:tplc="1BB8DAB2">
      <w:start w:val="1"/>
      <w:numFmt w:val="lowerLetter"/>
      <w:lvlText w:val="%1)"/>
      <w:lvlJc w:val="left"/>
      <w:pPr>
        <w:ind w:left="2070" w:hanging="360"/>
      </w:pPr>
      <w:rPr>
        <w:rFonts w:cs="Times New Roman" w:hint="default"/>
        <w:b w:val="0"/>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1" w15:restartNumberingAfterBreak="0">
    <w:nsid w:val="30253707"/>
    <w:multiLevelType w:val="hybridMultilevel"/>
    <w:tmpl w:val="9D3C8D62"/>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222A94"/>
    <w:multiLevelType w:val="hybridMultilevel"/>
    <w:tmpl w:val="ABCC4608"/>
    <w:lvl w:ilvl="0" w:tplc="797E49C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2637C2"/>
    <w:multiLevelType w:val="hybridMultilevel"/>
    <w:tmpl w:val="E23A8454"/>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4" w15:restartNumberingAfterBreak="0">
    <w:nsid w:val="33BB4099"/>
    <w:multiLevelType w:val="hybridMultilevel"/>
    <w:tmpl w:val="238CFE0A"/>
    <w:lvl w:ilvl="0" w:tplc="63E26024">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70D251E"/>
    <w:multiLevelType w:val="hybridMultilevel"/>
    <w:tmpl w:val="08CCD936"/>
    <w:lvl w:ilvl="0" w:tplc="EDD23E80">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6" w15:restartNumberingAfterBreak="0">
    <w:nsid w:val="3CAB256D"/>
    <w:multiLevelType w:val="hybridMultilevel"/>
    <w:tmpl w:val="9C283294"/>
    <w:lvl w:ilvl="0" w:tplc="286AE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704845"/>
    <w:multiLevelType w:val="hybridMultilevel"/>
    <w:tmpl w:val="CF8482B0"/>
    <w:lvl w:ilvl="0" w:tplc="30021B68">
      <w:start w:val="1"/>
      <w:numFmt w:val="lowerLetter"/>
      <w:lvlText w:val="%1)"/>
      <w:lvlJc w:val="left"/>
      <w:pPr>
        <w:ind w:left="2520" w:hanging="360"/>
      </w:pPr>
      <w:rPr>
        <w:rFonts w:ascii="Times New Roman" w:eastAsia="Times New Roman" w:hAnsi="Times New Roman" w:cs="Times New Roman"/>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48890154"/>
    <w:multiLevelType w:val="hybridMultilevel"/>
    <w:tmpl w:val="6C764B3C"/>
    <w:lvl w:ilvl="0" w:tplc="BDD2CDB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166284"/>
    <w:multiLevelType w:val="hybridMultilevel"/>
    <w:tmpl w:val="81FC443E"/>
    <w:lvl w:ilvl="0" w:tplc="814E2CF6">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0" w15:restartNumberingAfterBreak="0">
    <w:nsid w:val="4BF370D8"/>
    <w:multiLevelType w:val="hybridMultilevel"/>
    <w:tmpl w:val="2C6C8E52"/>
    <w:lvl w:ilvl="0" w:tplc="61CEB1C2">
      <w:start w:val="1"/>
      <w:numFmt w:val="upperLetter"/>
      <w:lvlText w:val="%1."/>
      <w:lvlJc w:val="left"/>
      <w:pPr>
        <w:ind w:left="420" w:hanging="360"/>
      </w:pPr>
      <w:rPr>
        <w:rFonts w:ascii="Times New Roman" w:hAnsi="Times New Roman" w:cs="Times New Roman" w:hint="default"/>
        <w:b/>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15:restartNumberingAfterBreak="0">
    <w:nsid w:val="4C7B3D0C"/>
    <w:multiLevelType w:val="hybridMultilevel"/>
    <w:tmpl w:val="E252DFDC"/>
    <w:lvl w:ilvl="0" w:tplc="7D582F7E">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 w15:restartNumberingAfterBreak="0">
    <w:nsid w:val="4E30408F"/>
    <w:multiLevelType w:val="hybridMultilevel"/>
    <w:tmpl w:val="DED8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1226A9"/>
    <w:multiLevelType w:val="hybridMultilevel"/>
    <w:tmpl w:val="2F1A4632"/>
    <w:lvl w:ilvl="0" w:tplc="FF32C03C">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4" w15:restartNumberingAfterBreak="0">
    <w:nsid w:val="5421332D"/>
    <w:multiLevelType w:val="hybridMultilevel"/>
    <w:tmpl w:val="2396BD8E"/>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5" w15:restartNumberingAfterBreak="0">
    <w:nsid w:val="54CC5F9E"/>
    <w:multiLevelType w:val="hybridMultilevel"/>
    <w:tmpl w:val="C22EE560"/>
    <w:lvl w:ilvl="0" w:tplc="2D8CCA62">
      <w:start w:val="1"/>
      <w:numFmt w:val="lowerLetter"/>
      <w:lvlText w:val="%1)"/>
      <w:lvlJc w:val="left"/>
      <w:pPr>
        <w:ind w:left="480" w:hanging="1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FB4708"/>
    <w:multiLevelType w:val="hybridMultilevel"/>
    <w:tmpl w:val="AB6A80FE"/>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5643102F"/>
    <w:multiLevelType w:val="hybridMultilevel"/>
    <w:tmpl w:val="F7B468F6"/>
    <w:lvl w:ilvl="0" w:tplc="2D92B1A6">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8" w15:restartNumberingAfterBreak="0">
    <w:nsid w:val="59A13AA5"/>
    <w:multiLevelType w:val="hybridMultilevel"/>
    <w:tmpl w:val="1AD8154A"/>
    <w:lvl w:ilvl="0" w:tplc="F53EDBB6">
      <w:start w:val="1"/>
      <w:numFmt w:val="lowerLetter"/>
      <w:lvlText w:val="%1)"/>
      <w:lvlJc w:val="left"/>
      <w:pPr>
        <w:ind w:left="2520" w:hanging="360"/>
      </w:pPr>
      <w:rPr>
        <w:rFonts w:ascii="Times New Roman" w:eastAsia="Times New Roman" w:hAnsi="Times New Roman" w:cs="Times New Roman"/>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5A2F0941"/>
    <w:multiLevelType w:val="hybridMultilevel"/>
    <w:tmpl w:val="BFF4643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5D6C3E66"/>
    <w:multiLevelType w:val="hybridMultilevel"/>
    <w:tmpl w:val="93C22708"/>
    <w:lvl w:ilvl="0" w:tplc="0B0E79BC">
      <w:start w:val="9"/>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1" w15:restartNumberingAfterBreak="0">
    <w:nsid w:val="5E9F3E31"/>
    <w:multiLevelType w:val="hybridMultilevel"/>
    <w:tmpl w:val="6AC46A86"/>
    <w:lvl w:ilvl="0" w:tplc="386281FE">
      <w:start w:val="1"/>
      <w:numFmt w:val="lowerLetter"/>
      <w:lvlText w:val="%1)"/>
      <w:lvlJc w:val="left"/>
      <w:pPr>
        <w:ind w:left="2160" w:hanging="360"/>
      </w:pPr>
      <w:rPr>
        <w:rFonts w:ascii="Times New Roman" w:eastAsia="Times New Roman" w:hAnsi="Times New Roman" w:cs="Times New Roman"/>
        <w:b w:val="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6E4644BD"/>
    <w:multiLevelType w:val="hybridMultilevel"/>
    <w:tmpl w:val="025014A8"/>
    <w:lvl w:ilvl="0" w:tplc="C0065474">
      <w:start w:val="1"/>
      <w:numFmt w:val="lowerRoman"/>
      <w:lvlText w:val="%1)"/>
      <w:lvlJc w:val="left"/>
      <w:pPr>
        <w:ind w:left="1890" w:hanging="360"/>
      </w:pPr>
      <w:rPr>
        <w:rFonts w:ascii="Times New Roman" w:eastAsia="Times New Roman" w:hAnsi="Times New Roman" w:cs="Times New Roman"/>
        <w:b w:val="0"/>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4" w15:restartNumberingAfterBreak="0">
    <w:nsid w:val="6EA169C7"/>
    <w:multiLevelType w:val="hybridMultilevel"/>
    <w:tmpl w:val="D482FEF4"/>
    <w:lvl w:ilvl="0" w:tplc="817C17E8">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5" w15:restartNumberingAfterBreak="0">
    <w:nsid w:val="6F473DF0"/>
    <w:multiLevelType w:val="hybridMultilevel"/>
    <w:tmpl w:val="FAA2BE76"/>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6" w15:restartNumberingAfterBreak="0">
    <w:nsid w:val="717260F1"/>
    <w:multiLevelType w:val="hybridMultilevel"/>
    <w:tmpl w:val="87C4EB26"/>
    <w:lvl w:ilvl="0" w:tplc="491C06CE">
      <w:start w:val="1"/>
      <w:numFmt w:val="lowerRoman"/>
      <w:lvlText w:val="%1)"/>
      <w:lvlJc w:val="left"/>
      <w:pPr>
        <w:ind w:left="2070" w:hanging="360"/>
      </w:pPr>
      <w:rPr>
        <w:rFonts w:ascii="Times New Roman" w:eastAsia="Times New Roman" w:hAnsi="Times New Roman" w:cs="Times New Roman"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7" w15:restartNumberingAfterBreak="0">
    <w:nsid w:val="72381063"/>
    <w:multiLevelType w:val="hybridMultilevel"/>
    <w:tmpl w:val="3FB45CF0"/>
    <w:lvl w:ilvl="0" w:tplc="C7463D5C">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2574CE9"/>
    <w:multiLevelType w:val="hybridMultilevel"/>
    <w:tmpl w:val="A068524C"/>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9" w15:restartNumberingAfterBreak="0">
    <w:nsid w:val="784D70EC"/>
    <w:multiLevelType w:val="hybridMultilevel"/>
    <w:tmpl w:val="2EBE7AEA"/>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1" w15:restartNumberingAfterBreak="0">
    <w:nsid w:val="78CE3A2B"/>
    <w:multiLevelType w:val="hybridMultilevel"/>
    <w:tmpl w:val="0D9C62E6"/>
    <w:lvl w:ilvl="0" w:tplc="9D647A8A">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D710AF"/>
    <w:multiLevelType w:val="hybridMultilevel"/>
    <w:tmpl w:val="BF2C7F5C"/>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523633722">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797528322">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759860552">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839347157">
    <w:abstractNumId w:val="70"/>
  </w:num>
  <w:num w:numId="5" w16cid:durableId="67769634">
    <w:abstractNumId w:val="61"/>
  </w:num>
  <w:num w:numId="6" w16cid:durableId="893547541">
    <w:abstractNumId w:val="68"/>
  </w:num>
  <w:num w:numId="7" w16cid:durableId="221869361">
    <w:abstractNumId w:val="37"/>
  </w:num>
  <w:num w:numId="8" w16cid:durableId="1474980000">
    <w:abstractNumId w:val="49"/>
  </w:num>
  <w:num w:numId="9" w16cid:durableId="1014498450">
    <w:abstractNumId w:val="34"/>
  </w:num>
  <w:num w:numId="10" w16cid:durableId="231818823">
    <w:abstractNumId w:val="40"/>
  </w:num>
  <w:num w:numId="11" w16cid:durableId="1961647911">
    <w:abstractNumId w:val="47"/>
  </w:num>
  <w:num w:numId="12" w16cid:durableId="1820534925">
    <w:abstractNumId w:val="25"/>
  </w:num>
  <w:num w:numId="13" w16cid:durableId="1783452579">
    <w:abstractNumId w:val="30"/>
  </w:num>
  <w:num w:numId="14" w16cid:durableId="1975988593">
    <w:abstractNumId w:val="59"/>
  </w:num>
  <w:num w:numId="15" w16cid:durableId="382143065">
    <w:abstractNumId w:val="58"/>
  </w:num>
  <w:num w:numId="16" w16cid:durableId="92015425">
    <w:abstractNumId w:val="39"/>
  </w:num>
  <w:num w:numId="17" w16cid:durableId="907417187">
    <w:abstractNumId w:val="56"/>
  </w:num>
  <w:num w:numId="18" w16cid:durableId="1464345162">
    <w:abstractNumId w:val="72"/>
  </w:num>
  <w:num w:numId="19" w16cid:durableId="1846049071">
    <w:abstractNumId w:val="24"/>
  </w:num>
  <w:num w:numId="20" w16cid:durableId="1102528947">
    <w:abstractNumId w:val="69"/>
  </w:num>
  <w:num w:numId="21" w16cid:durableId="1537309120">
    <w:abstractNumId w:val="41"/>
  </w:num>
  <w:num w:numId="22" w16cid:durableId="58480874">
    <w:abstractNumId w:val="36"/>
  </w:num>
  <w:num w:numId="23" w16cid:durableId="1721318149">
    <w:abstractNumId w:val="57"/>
  </w:num>
  <w:num w:numId="24" w16cid:durableId="847789564">
    <w:abstractNumId w:val="63"/>
  </w:num>
  <w:num w:numId="25" w16cid:durableId="1279491084">
    <w:abstractNumId w:val="51"/>
  </w:num>
  <w:num w:numId="26" w16cid:durableId="1846090062">
    <w:abstractNumId w:val="64"/>
  </w:num>
  <w:num w:numId="27" w16cid:durableId="1407721530">
    <w:abstractNumId w:val="29"/>
  </w:num>
  <w:num w:numId="28" w16cid:durableId="1024401677">
    <w:abstractNumId w:val="32"/>
  </w:num>
  <w:num w:numId="29" w16cid:durableId="980185639">
    <w:abstractNumId w:val="65"/>
  </w:num>
  <w:num w:numId="30" w16cid:durableId="519050033">
    <w:abstractNumId w:val="52"/>
  </w:num>
  <w:num w:numId="31" w16cid:durableId="612204154">
    <w:abstractNumId w:val="35"/>
  </w:num>
  <w:num w:numId="32" w16cid:durableId="1173297993">
    <w:abstractNumId w:val="31"/>
  </w:num>
  <w:num w:numId="33" w16cid:durableId="1927614068">
    <w:abstractNumId w:val="28"/>
  </w:num>
  <w:num w:numId="34" w16cid:durableId="1515218985">
    <w:abstractNumId w:val="33"/>
  </w:num>
  <w:num w:numId="35" w16cid:durableId="379135809">
    <w:abstractNumId w:val="62"/>
  </w:num>
  <w:num w:numId="36" w16cid:durableId="202596994">
    <w:abstractNumId w:val="71"/>
  </w:num>
  <w:num w:numId="37" w16cid:durableId="1788502773">
    <w:abstractNumId w:val="50"/>
  </w:num>
  <w:num w:numId="38" w16cid:durableId="1830906388">
    <w:abstractNumId w:val="38"/>
  </w:num>
  <w:num w:numId="39" w16cid:durableId="170607083">
    <w:abstractNumId w:val="26"/>
  </w:num>
  <w:num w:numId="40" w16cid:durableId="1258631812">
    <w:abstractNumId w:val="23"/>
  </w:num>
  <w:num w:numId="41" w16cid:durableId="1651058818">
    <w:abstractNumId w:val="53"/>
  </w:num>
  <w:num w:numId="42" w16cid:durableId="237792145">
    <w:abstractNumId w:val="60"/>
  </w:num>
  <w:num w:numId="43" w16cid:durableId="752698897">
    <w:abstractNumId w:val="27"/>
  </w:num>
  <w:num w:numId="44" w16cid:durableId="642582358">
    <w:abstractNumId w:val="45"/>
  </w:num>
  <w:num w:numId="45" w16cid:durableId="458228125">
    <w:abstractNumId w:val="46"/>
  </w:num>
  <w:num w:numId="46" w16cid:durableId="245043933">
    <w:abstractNumId w:val="66"/>
  </w:num>
  <w:num w:numId="47" w16cid:durableId="285238300">
    <w:abstractNumId w:val="54"/>
  </w:num>
  <w:num w:numId="48" w16cid:durableId="1703818086">
    <w:abstractNumId w:val="43"/>
  </w:num>
  <w:num w:numId="49" w16cid:durableId="672879546">
    <w:abstractNumId w:val="48"/>
  </w:num>
  <w:num w:numId="50" w16cid:durableId="1008214679">
    <w:abstractNumId w:val="55"/>
  </w:num>
  <w:num w:numId="51" w16cid:durableId="1781028918">
    <w:abstractNumId w:val="67"/>
  </w:num>
  <w:num w:numId="52" w16cid:durableId="385222295">
    <w:abstractNumId w:val="44"/>
  </w:num>
  <w:num w:numId="53" w16cid:durableId="1472790855">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11DF"/>
    <w:rsid w:val="0000201A"/>
    <w:rsid w:val="00002185"/>
    <w:rsid w:val="00002207"/>
    <w:rsid w:val="00002B73"/>
    <w:rsid w:val="00003282"/>
    <w:rsid w:val="000036AB"/>
    <w:rsid w:val="00004200"/>
    <w:rsid w:val="0000726F"/>
    <w:rsid w:val="00007781"/>
    <w:rsid w:val="000116C0"/>
    <w:rsid w:val="00012C8F"/>
    <w:rsid w:val="000145AA"/>
    <w:rsid w:val="00014936"/>
    <w:rsid w:val="00014C7A"/>
    <w:rsid w:val="00016214"/>
    <w:rsid w:val="00016803"/>
    <w:rsid w:val="0001706D"/>
    <w:rsid w:val="00017349"/>
    <w:rsid w:val="00017FCB"/>
    <w:rsid w:val="00021274"/>
    <w:rsid w:val="000217D1"/>
    <w:rsid w:val="00021FE0"/>
    <w:rsid w:val="00022BEE"/>
    <w:rsid w:val="000237D8"/>
    <w:rsid w:val="0002392A"/>
    <w:rsid w:val="00023946"/>
    <w:rsid w:val="00023BB2"/>
    <w:rsid w:val="00023E67"/>
    <w:rsid w:val="00024142"/>
    <w:rsid w:val="000243F8"/>
    <w:rsid w:val="000248F0"/>
    <w:rsid w:val="000254E8"/>
    <w:rsid w:val="00025F57"/>
    <w:rsid w:val="00026D63"/>
    <w:rsid w:val="00027093"/>
    <w:rsid w:val="00030718"/>
    <w:rsid w:val="00031C49"/>
    <w:rsid w:val="0003351E"/>
    <w:rsid w:val="0003366D"/>
    <w:rsid w:val="00033D0B"/>
    <w:rsid w:val="0003442F"/>
    <w:rsid w:val="0003444C"/>
    <w:rsid w:val="00035083"/>
    <w:rsid w:val="0003567C"/>
    <w:rsid w:val="00036865"/>
    <w:rsid w:val="00036BF8"/>
    <w:rsid w:val="00036EB4"/>
    <w:rsid w:val="00036F0D"/>
    <w:rsid w:val="00037F48"/>
    <w:rsid w:val="000404ED"/>
    <w:rsid w:val="00041469"/>
    <w:rsid w:val="00041B44"/>
    <w:rsid w:val="00042327"/>
    <w:rsid w:val="0004262E"/>
    <w:rsid w:val="000434D8"/>
    <w:rsid w:val="00043515"/>
    <w:rsid w:val="00044436"/>
    <w:rsid w:val="000447C9"/>
    <w:rsid w:val="000449F8"/>
    <w:rsid w:val="00044CCF"/>
    <w:rsid w:val="00045479"/>
    <w:rsid w:val="00045BD6"/>
    <w:rsid w:val="00045C51"/>
    <w:rsid w:val="00045DBB"/>
    <w:rsid w:val="00046151"/>
    <w:rsid w:val="000468C6"/>
    <w:rsid w:val="00046BEE"/>
    <w:rsid w:val="00046E13"/>
    <w:rsid w:val="000470EE"/>
    <w:rsid w:val="00047EE9"/>
    <w:rsid w:val="0005007B"/>
    <w:rsid w:val="0005084A"/>
    <w:rsid w:val="0005089D"/>
    <w:rsid w:val="000517FA"/>
    <w:rsid w:val="00052B36"/>
    <w:rsid w:val="00053A2C"/>
    <w:rsid w:val="00054454"/>
    <w:rsid w:val="00055243"/>
    <w:rsid w:val="00055B40"/>
    <w:rsid w:val="00055F2C"/>
    <w:rsid w:val="00057840"/>
    <w:rsid w:val="00060D39"/>
    <w:rsid w:val="00061875"/>
    <w:rsid w:val="00062378"/>
    <w:rsid w:val="000625FB"/>
    <w:rsid w:val="0006398D"/>
    <w:rsid w:val="00064492"/>
    <w:rsid w:val="00064C8B"/>
    <w:rsid w:val="00065AB2"/>
    <w:rsid w:val="000667DD"/>
    <w:rsid w:val="00066A7B"/>
    <w:rsid w:val="00066C52"/>
    <w:rsid w:val="0007012A"/>
    <w:rsid w:val="000701E4"/>
    <w:rsid w:val="0007073F"/>
    <w:rsid w:val="0007157F"/>
    <w:rsid w:val="00071E71"/>
    <w:rsid w:val="000724F1"/>
    <w:rsid w:val="0007306B"/>
    <w:rsid w:val="000743D1"/>
    <w:rsid w:val="00074876"/>
    <w:rsid w:val="00076601"/>
    <w:rsid w:val="000767C0"/>
    <w:rsid w:val="00077410"/>
    <w:rsid w:val="00083A76"/>
    <w:rsid w:val="0008444B"/>
    <w:rsid w:val="000849CA"/>
    <w:rsid w:val="00085230"/>
    <w:rsid w:val="00085266"/>
    <w:rsid w:val="00086F2F"/>
    <w:rsid w:val="0008759E"/>
    <w:rsid w:val="00087E23"/>
    <w:rsid w:val="00087EE9"/>
    <w:rsid w:val="00090155"/>
    <w:rsid w:val="000902ED"/>
    <w:rsid w:val="00091167"/>
    <w:rsid w:val="0009134A"/>
    <w:rsid w:val="00091ABD"/>
    <w:rsid w:val="00091AE2"/>
    <w:rsid w:val="00091B54"/>
    <w:rsid w:val="00091CD0"/>
    <w:rsid w:val="000923E0"/>
    <w:rsid w:val="00092555"/>
    <w:rsid w:val="0009290E"/>
    <w:rsid w:val="000929B5"/>
    <w:rsid w:val="00092F1B"/>
    <w:rsid w:val="00093239"/>
    <w:rsid w:val="00093F7D"/>
    <w:rsid w:val="000948EB"/>
    <w:rsid w:val="0009535D"/>
    <w:rsid w:val="0009583F"/>
    <w:rsid w:val="00096336"/>
    <w:rsid w:val="000969E2"/>
    <w:rsid w:val="000A134A"/>
    <w:rsid w:val="000A1CE9"/>
    <w:rsid w:val="000A2DE7"/>
    <w:rsid w:val="000A3878"/>
    <w:rsid w:val="000A392F"/>
    <w:rsid w:val="000A40EC"/>
    <w:rsid w:val="000A4413"/>
    <w:rsid w:val="000A55DB"/>
    <w:rsid w:val="000A658C"/>
    <w:rsid w:val="000A7279"/>
    <w:rsid w:val="000A7A05"/>
    <w:rsid w:val="000B077F"/>
    <w:rsid w:val="000B07D7"/>
    <w:rsid w:val="000B0B07"/>
    <w:rsid w:val="000B0EE6"/>
    <w:rsid w:val="000B1A5B"/>
    <w:rsid w:val="000B1ECC"/>
    <w:rsid w:val="000B22E4"/>
    <w:rsid w:val="000B24F6"/>
    <w:rsid w:val="000B3A37"/>
    <w:rsid w:val="000B4852"/>
    <w:rsid w:val="000B4D58"/>
    <w:rsid w:val="000B64F9"/>
    <w:rsid w:val="000B7075"/>
    <w:rsid w:val="000C04C6"/>
    <w:rsid w:val="000C0E15"/>
    <w:rsid w:val="000C12C6"/>
    <w:rsid w:val="000C1882"/>
    <w:rsid w:val="000C1ED8"/>
    <w:rsid w:val="000C295F"/>
    <w:rsid w:val="000C2E74"/>
    <w:rsid w:val="000C368E"/>
    <w:rsid w:val="000C38BD"/>
    <w:rsid w:val="000C4141"/>
    <w:rsid w:val="000C43DE"/>
    <w:rsid w:val="000C46E4"/>
    <w:rsid w:val="000C5C62"/>
    <w:rsid w:val="000C5C82"/>
    <w:rsid w:val="000C7C9A"/>
    <w:rsid w:val="000D0695"/>
    <w:rsid w:val="000D08E3"/>
    <w:rsid w:val="000D1822"/>
    <w:rsid w:val="000D2A25"/>
    <w:rsid w:val="000D2E60"/>
    <w:rsid w:val="000D343F"/>
    <w:rsid w:val="000D34E1"/>
    <w:rsid w:val="000D3B0F"/>
    <w:rsid w:val="000D4A64"/>
    <w:rsid w:val="000D750A"/>
    <w:rsid w:val="000D7AAD"/>
    <w:rsid w:val="000E0408"/>
    <w:rsid w:val="000E07E7"/>
    <w:rsid w:val="000E0DD1"/>
    <w:rsid w:val="000E1AA2"/>
    <w:rsid w:val="000E20A2"/>
    <w:rsid w:val="000E20F8"/>
    <w:rsid w:val="000E3A50"/>
    <w:rsid w:val="000E46F3"/>
    <w:rsid w:val="000E5C64"/>
    <w:rsid w:val="000E6466"/>
    <w:rsid w:val="000E7CE8"/>
    <w:rsid w:val="000E7F42"/>
    <w:rsid w:val="000F1D68"/>
    <w:rsid w:val="000F1E49"/>
    <w:rsid w:val="000F3681"/>
    <w:rsid w:val="000F46ED"/>
    <w:rsid w:val="000F4A42"/>
    <w:rsid w:val="000F4DA3"/>
    <w:rsid w:val="000F5631"/>
    <w:rsid w:val="000F5A36"/>
    <w:rsid w:val="000F6A5C"/>
    <w:rsid w:val="000F7ECC"/>
    <w:rsid w:val="00100E8A"/>
    <w:rsid w:val="00101FBA"/>
    <w:rsid w:val="001039FA"/>
    <w:rsid w:val="0010565F"/>
    <w:rsid w:val="001056A7"/>
    <w:rsid w:val="0011011A"/>
    <w:rsid w:val="00110CB0"/>
    <w:rsid w:val="001113A1"/>
    <w:rsid w:val="00112C81"/>
    <w:rsid w:val="0011326F"/>
    <w:rsid w:val="00113EED"/>
    <w:rsid w:val="0011522A"/>
    <w:rsid w:val="00115B48"/>
    <w:rsid w:val="00115DF5"/>
    <w:rsid w:val="00116055"/>
    <w:rsid w:val="00116508"/>
    <w:rsid w:val="001170E4"/>
    <w:rsid w:val="00117115"/>
    <w:rsid w:val="001171AA"/>
    <w:rsid w:val="001174A0"/>
    <w:rsid w:val="0012164B"/>
    <w:rsid w:val="00122159"/>
    <w:rsid w:val="00122228"/>
    <w:rsid w:val="0012279E"/>
    <w:rsid w:val="00122839"/>
    <w:rsid w:val="00122BD3"/>
    <w:rsid w:val="001244C7"/>
    <w:rsid w:val="00125065"/>
    <w:rsid w:val="00125345"/>
    <w:rsid w:val="00125C8A"/>
    <w:rsid w:val="0013115A"/>
    <w:rsid w:val="00131D63"/>
    <w:rsid w:val="00132F71"/>
    <w:rsid w:val="001330E6"/>
    <w:rsid w:val="001341FE"/>
    <w:rsid w:val="0013481B"/>
    <w:rsid w:val="00134F5D"/>
    <w:rsid w:val="001358F0"/>
    <w:rsid w:val="00135F83"/>
    <w:rsid w:val="00136DA3"/>
    <w:rsid w:val="00140274"/>
    <w:rsid w:val="00140C21"/>
    <w:rsid w:val="00141758"/>
    <w:rsid w:val="00142198"/>
    <w:rsid w:val="00143518"/>
    <w:rsid w:val="00143ACD"/>
    <w:rsid w:val="0014420A"/>
    <w:rsid w:val="00144A53"/>
    <w:rsid w:val="00144B62"/>
    <w:rsid w:val="00145BC1"/>
    <w:rsid w:val="001469F6"/>
    <w:rsid w:val="001471B8"/>
    <w:rsid w:val="00147909"/>
    <w:rsid w:val="00147F8B"/>
    <w:rsid w:val="00150F03"/>
    <w:rsid w:val="001515BB"/>
    <w:rsid w:val="00152207"/>
    <w:rsid w:val="00155186"/>
    <w:rsid w:val="00155591"/>
    <w:rsid w:val="001568D8"/>
    <w:rsid w:val="00156BBB"/>
    <w:rsid w:val="00156CD6"/>
    <w:rsid w:val="00156E0C"/>
    <w:rsid w:val="00157520"/>
    <w:rsid w:val="00161740"/>
    <w:rsid w:val="001619B3"/>
    <w:rsid w:val="00163E90"/>
    <w:rsid w:val="00166CCD"/>
    <w:rsid w:val="0017083D"/>
    <w:rsid w:val="00172085"/>
    <w:rsid w:val="001729BD"/>
    <w:rsid w:val="00173853"/>
    <w:rsid w:val="0017552C"/>
    <w:rsid w:val="00175A5C"/>
    <w:rsid w:val="001763B5"/>
    <w:rsid w:val="00176573"/>
    <w:rsid w:val="00176DF8"/>
    <w:rsid w:val="0017739E"/>
    <w:rsid w:val="00177A1E"/>
    <w:rsid w:val="00177D70"/>
    <w:rsid w:val="001802A9"/>
    <w:rsid w:val="00182B5C"/>
    <w:rsid w:val="00182CE0"/>
    <w:rsid w:val="001843E2"/>
    <w:rsid w:val="001861B8"/>
    <w:rsid w:val="00187065"/>
    <w:rsid w:val="00187182"/>
    <w:rsid w:val="00187F38"/>
    <w:rsid w:val="001902FE"/>
    <w:rsid w:val="001916CC"/>
    <w:rsid w:val="001927A4"/>
    <w:rsid w:val="00192815"/>
    <w:rsid w:val="00192881"/>
    <w:rsid w:val="00192C14"/>
    <w:rsid w:val="00192EB3"/>
    <w:rsid w:val="00193E53"/>
    <w:rsid w:val="001941DE"/>
    <w:rsid w:val="00195102"/>
    <w:rsid w:val="00195153"/>
    <w:rsid w:val="001958C8"/>
    <w:rsid w:val="00195A8C"/>
    <w:rsid w:val="001965A9"/>
    <w:rsid w:val="001A2967"/>
    <w:rsid w:val="001A3671"/>
    <w:rsid w:val="001A5023"/>
    <w:rsid w:val="001A6B79"/>
    <w:rsid w:val="001A7BB9"/>
    <w:rsid w:val="001A7D6F"/>
    <w:rsid w:val="001A7F60"/>
    <w:rsid w:val="001B0219"/>
    <w:rsid w:val="001B02D7"/>
    <w:rsid w:val="001B0632"/>
    <w:rsid w:val="001B0AF1"/>
    <w:rsid w:val="001B160F"/>
    <w:rsid w:val="001B284A"/>
    <w:rsid w:val="001B30D1"/>
    <w:rsid w:val="001B346B"/>
    <w:rsid w:val="001B6677"/>
    <w:rsid w:val="001B66A3"/>
    <w:rsid w:val="001B6704"/>
    <w:rsid w:val="001B6DA7"/>
    <w:rsid w:val="001B77A2"/>
    <w:rsid w:val="001C154D"/>
    <w:rsid w:val="001C2B11"/>
    <w:rsid w:val="001C2E02"/>
    <w:rsid w:val="001C3276"/>
    <w:rsid w:val="001C44E8"/>
    <w:rsid w:val="001C560E"/>
    <w:rsid w:val="001C58C2"/>
    <w:rsid w:val="001C620B"/>
    <w:rsid w:val="001C63E2"/>
    <w:rsid w:val="001D16CE"/>
    <w:rsid w:val="001D1819"/>
    <w:rsid w:val="001D1A16"/>
    <w:rsid w:val="001D4104"/>
    <w:rsid w:val="001D6530"/>
    <w:rsid w:val="001D681F"/>
    <w:rsid w:val="001D6D59"/>
    <w:rsid w:val="001D7428"/>
    <w:rsid w:val="001D7613"/>
    <w:rsid w:val="001E06E2"/>
    <w:rsid w:val="001E0EFF"/>
    <w:rsid w:val="001E1B35"/>
    <w:rsid w:val="001E1C5D"/>
    <w:rsid w:val="001E1FD1"/>
    <w:rsid w:val="001E2D62"/>
    <w:rsid w:val="001E3CCB"/>
    <w:rsid w:val="001E4626"/>
    <w:rsid w:val="001E5ABD"/>
    <w:rsid w:val="001E5C43"/>
    <w:rsid w:val="001E5FE4"/>
    <w:rsid w:val="001F0B51"/>
    <w:rsid w:val="001F1D8A"/>
    <w:rsid w:val="001F1DDE"/>
    <w:rsid w:val="001F2752"/>
    <w:rsid w:val="001F2F3B"/>
    <w:rsid w:val="001F3750"/>
    <w:rsid w:val="001F40E1"/>
    <w:rsid w:val="001F488D"/>
    <w:rsid w:val="001F5249"/>
    <w:rsid w:val="001F58B8"/>
    <w:rsid w:val="001F5E56"/>
    <w:rsid w:val="00200D27"/>
    <w:rsid w:val="002011AC"/>
    <w:rsid w:val="00201EB9"/>
    <w:rsid w:val="00202BD7"/>
    <w:rsid w:val="002048CC"/>
    <w:rsid w:val="00205391"/>
    <w:rsid w:val="00205A99"/>
    <w:rsid w:val="00205B95"/>
    <w:rsid w:val="002062A1"/>
    <w:rsid w:val="0020733F"/>
    <w:rsid w:val="00207B94"/>
    <w:rsid w:val="00210E15"/>
    <w:rsid w:val="00211626"/>
    <w:rsid w:val="0021277A"/>
    <w:rsid w:val="00212BC7"/>
    <w:rsid w:val="0021358C"/>
    <w:rsid w:val="00213CD4"/>
    <w:rsid w:val="00213F47"/>
    <w:rsid w:val="00213FCA"/>
    <w:rsid w:val="0021558E"/>
    <w:rsid w:val="00215B95"/>
    <w:rsid w:val="00216621"/>
    <w:rsid w:val="0021681D"/>
    <w:rsid w:val="00216B0E"/>
    <w:rsid w:val="00217433"/>
    <w:rsid w:val="00217437"/>
    <w:rsid w:val="00221449"/>
    <w:rsid w:val="00222350"/>
    <w:rsid w:val="002231D3"/>
    <w:rsid w:val="00223583"/>
    <w:rsid w:val="002235F3"/>
    <w:rsid w:val="002247E7"/>
    <w:rsid w:val="00224B32"/>
    <w:rsid w:val="0022537C"/>
    <w:rsid w:val="00225631"/>
    <w:rsid w:val="0022685E"/>
    <w:rsid w:val="00227868"/>
    <w:rsid w:val="00227D84"/>
    <w:rsid w:val="00230915"/>
    <w:rsid w:val="00230D53"/>
    <w:rsid w:val="0023191B"/>
    <w:rsid w:val="002337B2"/>
    <w:rsid w:val="00233C64"/>
    <w:rsid w:val="00233EB0"/>
    <w:rsid w:val="0023491D"/>
    <w:rsid w:val="00236273"/>
    <w:rsid w:val="002404BA"/>
    <w:rsid w:val="0024112A"/>
    <w:rsid w:val="0024192B"/>
    <w:rsid w:val="0024210C"/>
    <w:rsid w:val="002427F7"/>
    <w:rsid w:val="00243015"/>
    <w:rsid w:val="0024338F"/>
    <w:rsid w:val="002451E9"/>
    <w:rsid w:val="0024561A"/>
    <w:rsid w:val="002457E3"/>
    <w:rsid w:val="002508E5"/>
    <w:rsid w:val="002511A8"/>
    <w:rsid w:val="002512E8"/>
    <w:rsid w:val="00251FA2"/>
    <w:rsid w:val="002523FB"/>
    <w:rsid w:val="00253249"/>
    <w:rsid w:val="002536CB"/>
    <w:rsid w:val="0025526A"/>
    <w:rsid w:val="00255EA4"/>
    <w:rsid w:val="00257793"/>
    <w:rsid w:val="00260306"/>
    <w:rsid w:val="00260A89"/>
    <w:rsid w:val="00260C9F"/>
    <w:rsid w:val="00261A11"/>
    <w:rsid w:val="00262A51"/>
    <w:rsid w:val="00262DDC"/>
    <w:rsid w:val="00265778"/>
    <w:rsid w:val="0026607D"/>
    <w:rsid w:val="002679E5"/>
    <w:rsid w:val="0027045E"/>
    <w:rsid w:val="00270695"/>
    <w:rsid w:val="00270760"/>
    <w:rsid w:val="002707B8"/>
    <w:rsid w:val="002708AC"/>
    <w:rsid w:val="002725BC"/>
    <w:rsid w:val="002731DE"/>
    <w:rsid w:val="002735F9"/>
    <w:rsid w:val="00273CD1"/>
    <w:rsid w:val="00274463"/>
    <w:rsid w:val="0027502F"/>
    <w:rsid w:val="00277AF6"/>
    <w:rsid w:val="00277C24"/>
    <w:rsid w:val="0028166F"/>
    <w:rsid w:val="00281733"/>
    <w:rsid w:val="0028174D"/>
    <w:rsid w:val="00281A30"/>
    <w:rsid w:val="002823D9"/>
    <w:rsid w:val="002831C6"/>
    <w:rsid w:val="00283A9B"/>
    <w:rsid w:val="00290472"/>
    <w:rsid w:val="00290A6D"/>
    <w:rsid w:val="00290B29"/>
    <w:rsid w:val="002914A1"/>
    <w:rsid w:val="00291957"/>
    <w:rsid w:val="00292313"/>
    <w:rsid w:val="0029334D"/>
    <w:rsid w:val="00293B3D"/>
    <w:rsid w:val="00294168"/>
    <w:rsid w:val="00294245"/>
    <w:rsid w:val="002948AE"/>
    <w:rsid w:val="00294FD0"/>
    <w:rsid w:val="002954DC"/>
    <w:rsid w:val="002956B7"/>
    <w:rsid w:val="0029647F"/>
    <w:rsid w:val="00296B1E"/>
    <w:rsid w:val="002973A5"/>
    <w:rsid w:val="002978B9"/>
    <w:rsid w:val="00297ABC"/>
    <w:rsid w:val="002A00EE"/>
    <w:rsid w:val="002A2421"/>
    <w:rsid w:val="002A2438"/>
    <w:rsid w:val="002A40A1"/>
    <w:rsid w:val="002A4204"/>
    <w:rsid w:val="002A429E"/>
    <w:rsid w:val="002A4594"/>
    <w:rsid w:val="002A4934"/>
    <w:rsid w:val="002A50A7"/>
    <w:rsid w:val="002A65C4"/>
    <w:rsid w:val="002A6EA8"/>
    <w:rsid w:val="002B034D"/>
    <w:rsid w:val="002B1FCE"/>
    <w:rsid w:val="002B217D"/>
    <w:rsid w:val="002B334F"/>
    <w:rsid w:val="002B3E37"/>
    <w:rsid w:val="002B4100"/>
    <w:rsid w:val="002B4250"/>
    <w:rsid w:val="002B429D"/>
    <w:rsid w:val="002B43F3"/>
    <w:rsid w:val="002B4830"/>
    <w:rsid w:val="002B4CE9"/>
    <w:rsid w:val="002B4F49"/>
    <w:rsid w:val="002B63FA"/>
    <w:rsid w:val="002B7D36"/>
    <w:rsid w:val="002C00E6"/>
    <w:rsid w:val="002C1210"/>
    <w:rsid w:val="002C1D25"/>
    <w:rsid w:val="002C1E78"/>
    <w:rsid w:val="002C21A1"/>
    <w:rsid w:val="002C4E8C"/>
    <w:rsid w:val="002C56F7"/>
    <w:rsid w:val="002C65D1"/>
    <w:rsid w:val="002C717B"/>
    <w:rsid w:val="002D0261"/>
    <w:rsid w:val="002D0DA5"/>
    <w:rsid w:val="002D10E2"/>
    <w:rsid w:val="002D1D1E"/>
    <w:rsid w:val="002D370B"/>
    <w:rsid w:val="002D473A"/>
    <w:rsid w:val="002D4835"/>
    <w:rsid w:val="002D4F37"/>
    <w:rsid w:val="002D54B7"/>
    <w:rsid w:val="002D61CE"/>
    <w:rsid w:val="002D6E03"/>
    <w:rsid w:val="002D7F0E"/>
    <w:rsid w:val="002E030B"/>
    <w:rsid w:val="002E04B5"/>
    <w:rsid w:val="002E1782"/>
    <w:rsid w:val="002E1EB3"/>
    <w:rsid w:val="002E211F"/>
    <w:rsid w:val="002E397D"/>
    <w:rsid w:val="002E43B7"/>
    <w:rsid w:val="002E4405"/>
    <w:rsid w:val="002E4FDC"/>
    <w:rsid w:val="002E50F9"/>
    <w:rsid w:val="002E516E"/>
    <w:rsid w:val="002E5F0C"/>
    <w:rsid w:val="002E6386"/>
    <w:rsid w:val="002E6942"/>
    <w:rsid w:val="002E6E73"/>
    <w:rsid w:val="002E799C"/>
    <w:rsid w:val="002F02F7"/>
    <w:rsid w:val="002F0D97"/>
    <w:rsid w:val="002F140C"/>
    <w:rsid w:val="002F313C"/>
    <w:rsid w:val="002F3562"/>
    <w:rsid w:val="002F4FA0"/>
    <w:rsid w:val="002F5A3F"/>
    <w:rsid w:val="002F5F07"/>
    <w:rsid w:val="002F6BED"/>
    <w:rsid w:val="002F717A"/>
    <w:rsid w:val="002F78C9"/>
    <w:rsid w:val="002F7F47"/>
    <w:rsid w:val="0030105C"/>
    <w:rsid w:val="00302E0A"/>
    <w:rsid w:val="003030AD"/>
    <w:rsid w:val="00304846"/>
    <w:rsid w:val="00304930"/>
    <w:rsid w:val="0030523E"/>
    <w:rsid w:val="00307456"/>
    <w:rsid w:val="0031008A"/>
    <w:rsid w:val="00311426"/>
    <w:rsid w:val="00312BB2"/>
    <w:rsid w:val="00312D97"/>
    <w:rsid w:val="00312FDE"/>
    <w:rsid w:val="0031493F"/>
    <w:rsid w:val="00315E58"/>
    <w:rsid w:val="00315F08"/>
    <w:rsid w:val="003201FA"/>
    <w:rsid w:val="00320A32"/>
    <w:rsid w:val="00321CC2"/>
    <w:rsid w:val="00322518"/>
    <w:rsid w:val="003235C8"/>
    <w:rsid w:val="003249AC"/>
    <w:rsid w:val="0032597C"/>
    <w:rsid w:val="00326016"/>
    <w:rsid w:val="00327926"/>
    <w:rsid w:val="00327E12"/>
    <w:rsid w:val="003306BF"/>
    <w:rsid w:val="00330782"/>
    <w:rsid w:val="00331F49"/>
    <w:rsid w:val="0033232A"/>
    <w:rsid w:val="00332DFA"/>
    <w:rsid w:val="00333CAC"/>
    <w:rsid w:val="00334155"/>
    <w:rsid w:val="00334158"/>
    <w:rsid w:val="0033549E"/>
    <w:rsid w:val="003357B3"/>
    <w:rsid w:val="00336613"/>
    <w:rsid w:val="00336FF6"/>
    <w:rsid w:val="0033715B"/>
    <w:rsid w:val="00337BCC"/>
    <w:rsid w:val="00337DE1"/>
    <w:rsid w:val="00340ED2"/>
    <w:rsid w:val="00341DD1"/>
    <w:rsid w:val="003428F1"/>
    <w:rsid w:val="00343604"/>
    <w:rsid w:val="00344186"/>
    <w:rsid w:val="00344D3F"/>
    <w:rsid w:val="00344F1B"/>
    <w:rsid w:val="0034504D"/>
    <w:rsid w:val="00345174"/>
    <w:rsid w:val="003455D5"/>
    <w:rsid w:val="0034562A"/>
    <w:rsid w:val="00346589"/>
    <w:rsid w:val="003468BE"/>
    <w:rsid w:val="0034714C"/>
    <w:rsid w:val="003478A8"/>
    <w:rsid w:val="003506F4"/>
    <w:rsid w:val="00351ABE"/>
    <w:rsid w:val="00351DAD"/>
    <w:rsid w:val="00353557"/>
    <w:rsid w:val="00354001"/>
    <w:rsid w:val="0035483B"/>
    <w:rsid w:val="003555E7"/>
    <w:rsid w:val="0035620E"/>
    <w:rsid w:val="0035765D"/>
    <w:rsid w:val="00360CDE"/>
    <w:rsid w:val="003625AF"/>
    <w:rsid w:val="0036297C"/>
    <w:rsid w:val="00363176"/>
    <w:rsid w:val="00363AF6"/>
    <w:rsid w:val="0036420B"/>
    <w:rsid w:val="00365772"/>
    <w:rsid w:val="00366FCA"/>
    <w:rsid w:val="0036752E"/>
    <w:rsid w:val="003675BA"/>
    <w:rsid w:val="003679FB"/>
    <w:rsid w:val="00367E58"/>
    <w:rsid w:val="00371147"/>
    <w:rsid w:val="00371330"/>
    <w:rsid w:val="0037197C"/>
    <w:rsid w:val="003720EE"/>
    <w:rsid w:val="00373067"/>
    <w:rsid w:val="00373624"/>
    <w:rsid w:val="003742EB"/>
    <w:rsid w:val="00374643"/>
    <w:rsid w:val="00374E61"/>
    <w:rsid w:val="0037554E"/>
    <w:rsid w:val="003759CE"/>
    <w:rsid w:val="00375AFE"/>
    <w:rsid w:val="00380246"/>
    <w:rsid w:val="0038038C"/>
    <w:rsid w:val="00380DBE"/>
    <w:rsid w:val="003810F0"/>
    <w:rsid w:val="003822A8"/>
    <w:rsid w:val="0038245E"/>
    <w:rsid w:val="00382632"/>
    <w:rsid w:val="00383151"/>
    <w:rsid w:val="00383223"/>
    <w:rsid w:val="00383302"/>
    <w:rsid w:val="00384570"/>
    <w:rsid w:val="003861AB"/>
    <w:rsid w:val="0038622A"/>
    <w:rsid w:val="00386A92"/>
    <w:rsid w:val="00387191"/>
    <w:rsid w:val="003874F2"/>
    <w:rsid w:val="00387B03"/>
    <w:rsid w:val="00387C8A"/>
    <w:rsid w:val="0039036E"/>
    <w:rsid w:val="00392C0A"/>
    <w:rsid w:val="00392DFB"/>
    <w:rsid w:val="00395A18"/>
    <w:rsid w:val="0039632A"/>
    <w:rsid w:val="00396CFB"/>
    <w:rsid w:val="003A09F4"/>
    <w:rsid w:val="003A0B78"/>
    <w:rsid w:val="003A117C"/>
    <w:rsid w:val="003A15AE"/>
    <w:rsid w:val="003A1E5E"/>
    <w:rsid w:val="003A1F58"/>
    <w:rsid w:val="003A20DA"/>
    <w:rsid w:val="003A2119"/>
    <w:rsid w:val="003A3A48"/>
    <w:rsid w:val="003A53CD"/>
    <w:rsid w:val="003A65D9"/>
    <w:rsid w:val="003A79DB"/>
    <w:rsid w:val="003B056F"/>
    <w:rsid w:val="003B0ADE"/>
    <w:rsid w:val="003B2977"/>
    <w:rsid w:val="003B3314"/>
    <w:rsid w:val="003B3D85"/>
    <w:rsid w:val="003B3DD0"/>
    <w:rsid w:val="003B4E44"/>
    <w:rsid w:val="003B572B"/>
    <w:rsid w:val="003B5B99"/>
    <w:rsid w:val="003B675F"/>
    <w:rsid w:val="003C0D15"/>
    <w:rsid w:val="003C0EA8"/>
    <w:rsid w:val="003C24E4"/>
    <w:rsid w:val="003C25AC"/>
    <w:rsid w:val="003C4331"/>
    <w:rsid w:val="003C45C1"/>
    <w:rsid w:val="003C5067"/>
    <w:rsid w:val="003C535D"/>
    <w:rsid w:val="003C5371"/>
    <w:rsid w:val="003C553A"/>
    <w:rsid w:val="003C5C8B"/>
    <w:rsid w:val="003C664A"/>
    <w:rsid w:val="003C70C3"/>
    <w:rsid w:val="003D248B"/>
    <w:rsid w:val="003D28A2"/>
    <w:rsid w:val="003D2F9B"/>
    <w:rsid w:val="003D4ED4"/>
    <w:rsid w:val="003D53B8"/>
    <w:rsid w:val="003D5D7B"/>
    <w:rsid w:val="003D6D33"/>
    <w:rsid w:val="003D7088"/>
    <w:rsid w:val="003D750D"/>
    <w:rsid w:val="003D768A"/>
    <w:rsid w:val="003E01A1"/>
    <w:rsid w:val="003E082C"/>
    <w:rsid w:val="003E1251"/>
    <w:rsid w:val="003E1E87"/>
    <w:rsid w:val="003E2170"/>
    <w:rsid w:val="003E375A"/>
    <w:rsid w:val="003E4294"/>
    <w:rsid w:val="003E4B5E"/>
    <w:rsid w:val="003E6165"/>
    <w:rsid w:val="003E641F"/>
    <w:rsid w:val="003E6A8F"/>
    <w:rsid w:val="003E6DB7"/>
    <w:rsid w:val="003E6E8B"/>
    <w:rsid w:val="003E7A6E"/>
    <w:rsid w:val="003E7AEA"/>
    <w:rsid w:val="003F0994"/>
    <w:rsid w:val="003F0FB1"/>
    <w:rsid w:val="003F221B"/>
    <w:rsid w:val="003F2C9D"/>
    <w:rsid w:val="003F46FA"/>
    <w:rsid w:val="003F49AA"/>
    <w:rsid w:val="003F550C"/>
    <w:rsid w:val="003F6589"/>
    <w:rsid w:val="003F6C61"/>
    <w:rsid w:val="003F749D"/>
    <w:rsid w:val="003F7844"/>
    <w:rsid w:val="003F78C1"/>
    <w:rsid w:val="003F7A1E"/>
    <w:rsid w:val="004007AC"/>
    <w:rsid w:val="00400D67"/>
    <w:rsid w:val="00401DF0"/>
    <w:rsid w:val="0040203D"/>
    <w:rsid w:val="0040227E"/>
    <w:rsid w:val="00403973"/>
    <w:rsid w:val="00403ADC"/>
    <w:rsid w:val="0040424A"/>
    <w:rsid w:val="004044D4"/>
    <w:rsid w:val="00404F1E"/>
    <w:rsid w:val="00407F7C"/>
    <w:rsid w:val="004103CD"/>
    <w:rsid w:val="00410A18"/>
    <w:rsid w:val="00410CBE"/>
    <w:rsid w:val="00411110"/>
    <w:rsid w:val="004119E8"/>
    <w:rsid w:val="00411E44"/>
    <w:rsid w:val="004134D7"/>
    <w:rsid w:val="004138A5"/>
    <w:rsid w:val="004138DF"/>
    <w:rsid w:val="00414885"/>
    <w:rsid w:val="00414F98"/>
    <w:rsid w:val="0041560D"/>
    <w:rsid w:val="00416112"/>
    <w:rsid w:val="00416A64"/>
    <w:rsid w:val="00416B3C"/>
    <w:rsid w:val="0041745A"/>
    <w:rsid w:val="00422070"/>
    <w:rsid w:val="0042395F"/>
    <w:rsid w:val="0042568D"/>
    <w:rsid w:val="00425EE1"/>
    <w:rsid w:val="004263D8"/>
    <w:rsid w:val="00426918"/>
    <w:rsid w:val="0042694A"/>
    <w:rsid w:val="00427415"/>
    <w:rsid w:val="0043036A"/>
    <w:rsid w:val="004307A9"/>
    <w:rsid w:val="00431115"/>
    <w:rsid w:val="00431578"/>
    <w:rsid w:val="00431878"/>
    <w:rsid w:val="00431F6C"/>
    <w:rsid w:val="00434555"/>
    <w:rsid w:val="004350AC"/>
    <w:rsid w:val="00435253"/>
    <w:rsid w:val="004359BB"/>
    <w:rsid w:val="00437FBB"/>
    <w:rsid w:val="00440DF1"/>
    <w:rsid w:val="004419F6"/>
    <w:rsid w:val="00443B5E"/>
    <w:rsid w:val="00443D46"/>
    <w:rsid w:val="00446455"/>
    <w:rsid w:val="00451D3D"/>
    <w:rsid w:val="00451DA6"/>
    <w:rsid w:val="00452F45"/>
    <w:rsid w:val="00454277"/>
    <w:rsid w:val="00454FE1"/>
    <w:rsid w:val="004558D4"/>
    <w:rsid w:val="00455DD0"/>
    <w:rsid w:val="00456950"/>
    <w:rsid w:val="00456A58"/>
    <w:rsid w:val="00456AB3"/>
    <w:rsid w:val="00457149"/>
    <w:rsid w:val="0046047E"/>
    <w:rsid w:val="00463A3D"/>
    <w:rsid w:val="00464590"/>
    <w:rsid w:val="004645FE"/>
    <w:rsid w:val="00464C75"/>
    <w:rsid w:val="00464EFB"/>
    <w:rsid w:val="004658D1"/>
    <w:rsid w:val="00466B8D"/>
    <w:rsid w:val="00467257"/>
    <w:rsid w:val="00470794"/>
    <w:rsid w:val="0047103F"/>
    <w:rsid w:val="004729E0"/>
    <w:rsid w:val="0047347F"/>
    <w:rsid w:val="004734C7"/>
    <w:rsid w:val="00473850"/>
    <w:rsid w:val="00473DD7"/>
    <w:rsid w:val="00473E98"/>
    <w:rsid w:val="004740E8"/>
    <w:rsid w:val="00474334"/>
    <w:rsid w:val="004743C4"/>
    <w:rsid w:val="004745DA"/>
    <w:rsid w:val="00474896"/>
    <w:rsid w:val="00475E79"/>
    <w:rsid w:val="004760C4"/>
    <w:rsid w:val="004765E0"/>
    <w:rsid w:val="004766E7"/>
    <w:rsid w:val="004771CC"/>
    <w:rsid w:val="0047789A"/>
    <w:rsid w:val="00477951"/>
    <w:rsid w:val="00480BEA"/>
    <w:rsid w:val="00480EE8"/>
    <w:rsid w:val="004811CE"/>
    <w:rsid w:val="00481565"/>
    <w:rsid w:val="0048225C"/>
    <w:rsid w:val="0048241E"/>
    <w:rsid w:val="00483334"/>
    <w:rsid w:val="004834B7"/>
    <w:rsid w:val="00483779"/>
    <w:rsid w:val="0048380E"/>
    <w:rsid w:val="00485461"/>
    <w:rsid w:val="00486665"/>
    <w:rsid w:val="0048668C"/>
    <w:rsid w:val="00486971"/>
    <w:rsid w:val="00486BE3"/>
    <w:rsid w:val="0048777B"/>
    <w:rsid w:val="00487D91"/>
    <w:rsid w:val="00490BAA"/>
    <w:rsid w:val="0049137F"/>
    <w:rsid w:val="00491ECF"/>
    <w:rsid w:val="004923EB"/>
    <w:rsid w:val="0049240B"/>
    <w:rsid w:val="0049342D"/>
    <w:rsid w:val="00493E60"/>
    <w:rsid w:val="0049420B"/>
    <w:rsid w:val="0049474F"/>
    <w:rsid w:val="004954D4"/>
    <w:rsid w:val="00497316"/>
    <w:rsid w:val="00497C0D"/>
    <w:rsid w:val="00497CF7"/>
    <w:rsid w:val="004A007C"/>
    <w:rsid w:val="004A12D2"/>
    <w:rsid w:val="004A17E0"/>
    <w:rsid w:val="004A28C9"/>
    <w:rsid w:val="004A31AC"/>
    <w:rsid w:val="004A57F6"/>
    <w:rsid w:val="004A5A2F"/>
    <w:rsid w:val="004A613F"/>
    <w:rsid w:val="004B0D97"/>
    <w:rsid w:val="004B0F9F"/>
    <w:rsid w:val="004B106A"/>
    <w:rsid w:val="004B31ED"/>
    <w:rsid w:val="004B394F"/>
    <w:rsid w:val="004B3D81"/>
    <w:rsid w:val="004C06FC"/>
    <w:rsid w:val="004C1432"/>
    <w:rsid w:val="004C3ECD"/>
    <w:rsid w:val="004C4576"/>
    <w:rsid w:val="004C5E86"/>
    <w:rsid w:val="004C641B"/>
    <w:rsid w:val="004C7EFC"/>
    <w:rsid w:val="004D0505"/>
    <w:rsid w:val="004D05C8"/>
    <w:rsid w:val="004D0B18"/>
    <w:rsid w:val="004D0DD0"/>
    <w:rsid w:val="004D194A"/>
    <w:rsid w:val="004D4A2C"/>
    <w:rsid w:val="004D5E04"/>
    <w:rsid w:val="004D678F"/>
    <w:rsid w:val="004D7611"/>
    <w:rsid w:val="004E11D8"/>
    <w:rsid w:val="004E15AA"/>
    <w:rsid w:val="004E22AA"/>
    <w:rsid w:val="004E3225"/>
    <w:rsid w:val="004E40FD"/>
    <w:rsid w:val="004E442B"/>
    <w:rsid w:val="004E4572"/>
    <w:rsid w:val="004E4C79"/>
    <w:rsid w:val="004E4E3C"/>
    <w:rsid w:val="004E58BC"/>
    <w:rsid w:val="004E6043"/>
    <w:rsid w:val="004E6E31"/>
    <w:rsid w:val="004E72DE"/>
    <w:rsid w:val="004E73BC"/>
    <w:rsid w:val="004E7417"/>
    <w:rsid w:val="004E7689"/>
    <w:rsid w:val="004F00A7"/>
    <w:rsid w:val="004F0127"/>
    <w:rsid w:val="004F3402"/>
    <w:rsid w:val="004F4B9A"/>
    <w:rsid w:val="004F56E5"/>
    <w:rsid w:val="004F5900"/>
    <w:rsid w:val="004F5FF4"/>
    <w:rsid w:val="004F706D"/>
    <w:rsid w:val="004F7374"/>
    <w:rsid w:val="004F7483"/>
    <w:rsid w:val="004F7758"/>
    <w:rsid w:val="0050077F"/>
    <w:rsid w:val="00500DCB"/>
    <w:rsid w:val="00500DEF"/>
    <w:rsid w:val="00501CB0"/>
    <w:rsid w:val="00502483"/>
    <w:rsid w:val="005024FC"/>
    <w:rsid w:val="00502716"/>
    <w:rsid w:val="00502D50"/>
    <w:rsid w:val="00506A44"/>
    <w:rsid w:val="00507DFE"/>
    <w:rsid w:val="005102D9"/>
    <w:rsid w:val="0051107A"/>
    <w:rsid w:val="00511BBB"/>
    <w:rsid w:val="005129C3"/>
    <w:rsid w:val="005133E4"/>
    <w:rsid w:val="00513904"/>
    <w:rsid w:val="00513906"/>
    <w:rsid w:val="00513BF3"/>
    <w:rsid w:val="0051489E"/>
    <w:rsid w:val="0051537D"/>
    <w:rsid w:val="00515BC2"/>
    <w:rsid w:val="00516517"/>
    <w:rsid w:val="005175EF"/>
    <w:rsid w:val="005179A1"/>
    <w:rsid w:val="00521191"/>
    <w:rsid w:val="0052126F"/>
    <w:rsid w:val="00522159"/>
    <w:rsid w:val="0052265F"/>
    <w:rsid w:val="0052483D"/>
    <w:rsid w:val="00525F49"/>
    <w:rsid w:val="0052604A"/>
    <w:rsid w:val="00531978"/>
    <w:rsid w:val="00532A89"/>
    <w:rsid w:val="005353EA"/>
    <w:rsid w:val="00536BB1"/>
    <w:rsid w:val="00536FF5"/>
    <w:rsid w:val="00537F15"/>
    <w:rsid w:val="005404A8"/>
    <w:rsid w:val="00540A1E"/>
    <w:rsid w:val="00540D4C"/>
    <w:rsid w:val="00541BE6"/>
    <w:rsid w:val="00542722"/>
    <w:rsid w:val="005427DA"/>
    <w:rsid w:val="00542FFC"/>
    <w:rsid w:val="005439FD"/>
    <w:rsid w:val="00543D20"/>
    <w:rsid w:val="00543F37"/>
    <w:rsid w:val="00545AD4"/>
    <w:rsid w:val="005461C0"/>
    <w:rsid w:val="00547EE1"/>
    <w:rsid w:val="00551791"/>
    <w:rsid w:val="00552EB3"/>
    <w:rsid w:val="005542D1"/>
    <w:rsid w:val="005543E0"/>
    <w:rsid w:val="00555001"/>
    <w:rsid w:val="00555259"/>
    <w:rsid w:val="005556B2"/>
    <w:rsid w:val="005557FB"/>
    <w:rsid w:val="00556C6A"/>
    <w:rsid w:val="00561182"/>
    <w:rsid w:val="00561459"/>
    <w:rsid w:val="00561B12"/>
    <w:rsid w:val="0056204C"/>
    <w:rsid w:val="005623EA"/>
    <w:rsid w:val="00562433"/>
    <w:rsid w:val="00562CB0"/>
    <w:rsid w:val="00562F0E"/>
    <w:rsid w:val="005647C8"/>
    <w:rsid w:val="00564CE6"/>
    <w:rsid w:val="00565ADC"/>
    <w:rsid w:val="00565D72"/>
    <w:rsid w:val="00565F80"/>
    <w:rsid w:val="00566451"/>
    <w:rsid w:val="005672B5"/>
    <w:rsid w:val="005700FC"/>
    <w:rsid w:val="0057110B"/>
    <w:rsid w:val="00571302"/>
    <w:rsid w:val="00571660"/>
    <w:rsid w:val="0057222E"/>
    <w:rsid w:val="0057283B"/>
    <w:rsid w:val="00574986"/>
    <w:rsid w:val="00574AA7"/>
    <w:rsid w:val="00575B51"/>
    <w:rsid w:val="00576178"/>
    <w:rsid w:val="00576AEC"/>
    <w:rsid w:val="0057789C"/>
    <w:rsid w:val="005812AD"/>
    <w:rsid w:val="005819C5"/>
    <w:rsid w:val="005824E9"/>
    <w:rsid w:val="00582701"/>
    <w:rsid w:val="00582DE3"/>
    <w:rsid w:val="0058464C"/>
    <w:rsid w:val="00584756"/>
    <w:rsid w:val="005860FD"/>
    <w:rsid w:val="00586F3D"/>
    <w:rsid w:val="00587EE4"/>
    <w:rsid w:val="00590091"/>
    <w:rsid w:val="0059072C"/>
    <w:rsid w:val="005915D6"/>
    <w:rsid w:val="00591A40"/>
    <w:rsid w:val="00591F96"/>
    <w:rsid w:val="00594F37"/>
    <w:rsid w:val="00596537"/>
    <w:rsid w:val="00597441"/>
    <w:rsid w:val="005A02B8"/>
    <w:rsid w:val="005A0888"/>
    <w:rsid w:val="005A1AFE"/>
    <w:rsid w:val="005A2B27"/>
    <w:rsid w:val="005A2F63"/>
    <w:rsid w:val="005A2F6F"/>
    <w:rsid w:val="005A327A"/>
    <w:rsid w:val="005A4DD8"/>
    <w:rsid w:val="005A573D"/>
    <w:rsid w:val="005A59F4"/>
    <w:rsid w:val="005A5B9A"/>
    <w:rsid w:val="005A5EEE"/>
    <w:rsid w:val="005A6B9B"/>
    <w:rsid w:val="005A7708"/>
    <w:rsid w:val="005B0650"/>
    <w:rsid w:val="005B0F17"/>
    <w:rsid w:val="005B10D3"/>
    <w:rsid w:val="005B368D"/>
    <w:rsid w:val="005B3E85"/>
    <w:rsid w:val="005B50B8"/>
    <w:rsid w:val="005B5B2D"/>
    <w:rsid w:val="005B5BFC"/>
    <w:rsid w:val="005B6832"/>
    <w:rsid w:val="005B6F87"/>
    <w:rsid w:val="005B70C6"/>
    <w:rsid w:val="005C138B"/>
    <w:rsid w:val="005C203B"/>
    <w:rsid w:val="005C3F96"/>
    <w:rsid w:val="005C489D"/>
    <w:rsid w:val="005C59CE"/>
    <w:rsid w:val="005C5F99"/>
    <w:rsid w:val="005C6529"/>
    <w:rsid w:val="005C683F"/>
    <w:rsid w:val="005D027D"/>
    <w:rsid w:val="005D1101"/>
    <w:rsid w:val="005D1B1B"/>
    <w:rsid w:val="005D1FFE"/>
    <w:rsid w:val="005D25EC"/>
    <w:rsid w:val="005D2ABC"/>
    <w:rsid w:val="005D2D13"/>
    <w:rsid w:val="005D5070"/>
    <w:rsid w:val="005D54CA"/>
    <w:rsid w:val="005D5717"/>
    <w:rsid w:val="005D5CD7"/>
    <w:rsid w:val="005D6827"/>
    <w:rsid w:val="005D6AD7"/>
    <w:rsid w:val="005D7D4E"/>
    <w:rsid w:val="005D7FB3"/>
    <w:rsid w:val="005E016B"/>
    <w:rsid w:val="005E1543"/>
    <w:rsid w:val="005E18EB"/>
    <w:rsid w:val="005E1D1F"/>
    <w:rsid w:val="005E20BF"/>
    <w:rsid w:val="005E2179"/>
    <w:rsid w:val="005E2647"/>
    <w:rsid w:val="005E28CB"/>
    <w:rsid w:val="005E2F0B"/>
    <w:rsid w:val="005E30D6"/>
    <w:rsid w:val="005E37B2"/>
    <w:rsid w:val="005E3EFB"/>
    <w:rsid w:val="005E4462"/>
    <w:rsid w:val="005E5539"/>
    <w:rsid w:val="005E56E6"/>
    <w:rsid w:val="005E61ED"/>
    <w:rsid w:val="005E7E00"/>
    <w:rsid w:val="005F0F49"/>
    <w:rsid w:val="005F10EB"/>
    <w:rsid w:val="005F1373"/>
    <w:rsid w:val="005F4085"/>
    <w:rsid w:val="005F70AA"/>
    <w:rsid w:val="005F789F"/>
    <w:rsid w:val="005F7CBE"/>
    <w:rsid w:val="005F7DCB"/>
    <w:rsid w:val="00600B02"/>
    <w:rsid w:val="00600F93"/>
    <w:rsid w:val="00601444"/>
    <w:rsid w:val="006017DE"/>
    <w:rsid w:val="00601A22"/>
    <w:rsid w:val="00601A7C"/>
    <w:rsid w:val="006025A4"/>
    <w:rsid w:val="00602922"/>
    <w:rsid w:val="006036FD"/>
    <w:rsid w:val="006049B0"/>
    <w:rsid w:val="006109F6"/>
    <w:rsid w:val="00610D8E"/>
    <w:rsid w:val="006119EF"/>
    <w:rsid w:val="006124DB"/>
    <w:rsid w:val="0061276B"/>
    <w:rsid w:val="00613772"/>
    <w:rsid w:val="00615341"/>
    <w:rsid w:val="006163AE"/>
    <w:rsid w:val="00616ADA"/>
    <w:rsid w:val="006175A7"/>
    <w:rsid w:val="00621706"/>
    <w:rsid w:val="006220FA"/>
    <w:rsid w:val="00622DF3"/>
    <w:rsid w:val="006239C7"/>
    <w:rsid w:val="00623BE6"/>
    <w:rsid w:val="0062454B"/>
    <w:rsid w:val="006252C6"/>
    <w:rsid w:val="0062576C"/>
    <w:rsid w:val="00630505"/>
    <w:rsid w:val="00630922"/>
    <w:rsid w:val="00630ACC"/>
    <w:rsid w:val="00630E11"/>
    <w:rsid w:val="00631143"/>
    <w:rsid w:val="00631459"/>
    <w:rsid w:val="0063159D"/>
    <w:rsid w:val="00631C17"/>
    <w:rsid w:val="0063248E"/>
    <w:rsid w:val="006324CB"/>
    <w:rsid w:val="00632CF0"/>
    <w:rsid w:val="00632E7D"/>
    <w:rsid w:val="006331B0"/>
    <w:rsid w:val="006336A3"/>
    <w:rsid w:val="0063415D"/>
    <w:rsid w:val="006345B2"/>
    <w:rsid w:val="00634970"/>
    <w:rsid w:val="006349B9"/>
    <w:rsid w:val="006360DB"/>
    <w:rsid w:val="00636B85"/>
    <w:rsid w:val="006375A7"/>
    <w:rsid w:val="006375CA"/>
    <w:rsid w:val="0063772C"/>
    <w:rsid w:val="006402B4"/>
    <w:rsid w:val="00640CD1"/>
    <w:rsid w:val="00641609"/>
    <w:rsid w:val="00641BE0"/>
    <w:rsid w:val="00643835"/>
    <w:rsid w:val="00643DC9"/>
    <w:rsid w:val="006444A4"/>
    <w:rsid w:val="006460B8"/>
    <w:rsid w:val="0064636C"/>
    <w:rsid w:val="0064646B"/>
    <w:rsid w:val="006479EF"/>
    <w:rsid w:val="00647F99"/>
    <w:rsid w:val="006514A3"/>
    <w:rsid w:val="0065213A"/>
    <w:rsid w:val="006529AA"/>
    <w:rsid w:val="0065342D"/>
    <w:rsid w:val="00654707"/>
    <w:rsid w:val="00654929"/>
    <w:rsid w:val="00655FB9"/>
    <w:rsid w:val="0066010E"/>
    <w:rsid w:val="00660580"/>
    <w:rsid w:val="00660D00"/>
    <w:rsid w:val="00661161"/>
    <w:rsid w:val="00664D23"/>
    <w:rsid w:val="0066658E"/>
    <w:rsid w:val="006668D8"/>
    <w:rsid w:val="00666D5A"/>
    <w:rsid w:val="00670051"/>
    <w:rsid w:val="00670523"/>
    <w:rsid w:val="00670587"/>
    <w:rsid w:val="006710CE"/>
    <w:rsid w:val="006713E8"/>
    <w:rsid w:val="00672D7A"/>
    <w:rsid w:val="0067419C"/>
    <w:rsid w:val="00674FB6"/>
    <w:rsid w:val="00675794"/>
    <w:rsid w:val="006765F9"/>
    <w:rsid w:val="00680315"/>
    <w:rsid w:val="00680333"/>
    <w:rsid w:val="00680E08"/>
    <w:rsid w:val="00681652"/>
    <w:rsid w:val="00681772"/>
    <w:rsid w:val="006817C8"/>
    <w:rsid w:val="00681DA9"/>
    <w:rsid w:val="006820D2"/>
    <w:rsid w:val="00683C7D"/>
    <w:rsid w:val="006856D8"/>
    <w:rsid w:val="00686D1E"/>
    <w:rsid w:val="00686E4E"/>
    <w:rsid w:val="006870B6"/>
    <w:rsid w:val="006870EF"/>
    <w:rsid w:val="0068714B"/>
    <w:rsid w:val="00687F36"/>
    <w:rsid w:val="0069080F"/>
    <w:rsid w:val="006915C5"/>
    <w:rsid w:val="006918D7"/>
    <w:rsid w:val="00691CD0"/>
    <w:rsid w:val="006926E7"/>
    <w:rsid w:val="00692B5D"/>
    <w:rsid w:val="00692FC0"/>
    <w:rsid w:val="006936D1"/>
    <w:rsid w:val="00693E90"/>
    <w:rsid w:val="00694365"/>
    <w:rsid w:val="0069437A"/>
    <w:rsid w:val="00694616"/>
    <w:rsid w:val="00695011"/>
    <w:rsid w:val="00696559"/>
    <w:rsid w:val="00696E76"/>
    <w:rsid w:val="00697198"/>
    <w:rsid w:val="00697AE2"/>
    <w:rsid w:val="006A01D7"/>
    <w:rsid w:val="006A0BB0"/>
    <w:rsid w:val="006A260D"/>
    <w:rsid w:val="006A424B"/>
    <w:rsid w:val="006A5BDC"/>
    <w:rsid w:val="006A6EF2"/>
    <w:rsid w:val="006A7B6C"/>
    <w:rsid w:val="006A7F55"/>
    <w:rsid w:val="006B16CD"/>
    <w:rsid w:val="006B22CB"/>
    <w:rsid w:val="006B27DC"/>
    <w:rsid w:val="006B2BD1"/>
    <w:rsid w:val="006B2C36"/>
    <w:rsid w:val="006B302E"/>
    <w:rsid w:val="006B457E"/>
    <w:rsid w:val="006B4C20"/>
    <w:rsid w:val="006B5FC7"/>
    <w:rsid w:val="006B664F"/>
    <w:rsid w:val="006B72DC"/>
    <w:rsid w:val="006C0489"/>
    <w:rsid w:val="006C0DF1"/>
    <w:rsid w:val="006C19FF"/>
    <w:rsid w:val="006C27EB"/>
    <w:rsid w:val="006C4152"/>
    <w:rsid w:val="006C4B0D"/>
    <w:rsid w:val="006C5C95"/>
    <w:rsid w:val="006C6677"/>
    <w:rsid w:val="006C70ED"/>
    <w:rsid w:val="006C7D1C"/>
    <w:rsid w:val="006D045D"/>
    <w:rsid w:val="006D05F8"/>
    <w:rsid w:val="006D0B88"/>
    <w:rsid w:val="006D219A"/>
    <w:rsid w:val="006D2FCF"/>
    <w:rsid w:val="006D3126"/>
    <w:rsid w:val="006D3407"/>
    <w:rsid w:val="006D34ED"/>
    <w:rsid w:val="006D44D3"/>
    <w:rsid w:val="006D49F8"/>
    <w:rsid w:val="006D52C6"/>
    <w:rsid w:val="006D64A8"/>
    <w:rsid w:val="006D6723"/>
    <w:rsid w:val="006D68FE"/>
    <w:rsid w:val="006D6F0C"/>
    <w:rsid w:val="006E02C8"/>
    <w:rsid w:val="006E0832"/>
    <w:rsid w:val="006E0A4A"/>
    <w:rsid w:val="006E11C5"/>
    <w:rsid w:val="006E2139"/>
    <w:rsid w:val="006E2DD9"/>
    <w:rsid w:val="006E2E96"/>
    <w:rsid w:val="006E31DC"/>
    <w:rsid w:val="006E3A62"/>
    <w:rsid w:val="006E3A75"/>
    <w:rsid w:val="006E4ADC"/>
    <w:rsid w:val="006E56E2"/>
    <w:rsid w:val="006E5B1C"/>
    <w:rsid w:val="006E5C58"/>
    <w:rsid w:val="006E6CC3"/>
    <w:rsid w:val="006E7A97"/>
    <w:rsid w:val="006F01DD"/>
    <w:rsid w:val="006F09FC"/>
    <w:rsid w:val="006F0C15"/>
    <w:rsid w:val="006F10FB"/>
    <w:rsid w:val="006F1799"/>
    <w:rsid w:val="006F1912"/>
    <w:rsid w:val="006F22ED"/>
    <w:rsid w:val="006F3FF7"/>
    <w:rsid w:val="006F4D78"/>
    <w:rsid w:val="006F511E"/>
    <w:rsid w:val="006F52DD"/>
    <w:rsid w:val="006F5CBA"/>
    <w:rsid w:val="006F5D72"/>
    <w:rsid w:val="006F7C38"/>
    <w:rsid w:val="006F7EA9"/>
    <w:rsid w:val="00700807"/>
    <w:rsid w:val="007010B5"/>
    <w:rsid w:val="007015C4"/>
    <w:rsid w:val="00702538"/>
    <w:rsid w:val="007025D9"/>
    <w:rsid w:val="0070369D"/>
    <w:rsid w:val="00704431"/>
    <w:rsid w:val="007052B7"/>
    <w:rsid w:val="00705A09"/>
    <w:rsid w:val="00705AFC"/>
    <w:rsid w:val="00705EDA"/>
    <w:rsid w:val="00710360"/>
    <w:rsid w:val="00712C5D"/>
    <w:rsid w:val="0071337A"/>
    <w:rsid w:val="00713A95"/>
    <w:rsid w:val="00714CC3"/>
    <w:rsid w:val="00716505"/>
    <w:rsid w:val="00717F29"/>
    <w:rsid w:val="0072002A"/>
    <w:rsid w:val="0072015A"/>
    <w:rsid w:val="00720230"/>
    <w:rsid w:val="00720865"/>
    <w:rsid w:val="00721C58"/>
    <w:rsid w:val="007232E0"/>
    <w:rsid w:val="007249B2"/>
    <w:rsid w:val="00724A9A"/>
    <w:rsid w:val="00725BBB"/>
    <w:rsid w:val="007270F4"/>
    <w:rsid w:val="00730B03"/>
    <w:rsid w:val="00730EA0"/>
    <w:rsid w:val="00731276"/>
    <w:rsid w:val="007321BB"/>
    <w:rsid w:val="00733A22"/>
    <w:rsid w:val="007340FB"/>
    <w:rsid w:val="007375FC"/>
    <w:rsid w:val="00737B21"/>
    <w:rsid w:val="007407AA"/>
    <w:rsid w:val="007408CB"/>
    <w:rsid w:val="00740F2A"/>
    <w:rsid w:val="00741A9D"/>
    <w:rsid w:val="0074312B"/>
    <w:rsid w:val="00743592"/>
    <w:rsid w:val="007443F6"/>
    <w:rsid w:val="007453B6"/>
    <w:rsid w:val="007458FA"/>
    <w:rsid w:val="007461E2"/>
    <w:rsid w:val="007467DE"/>
    <w:rsid w:val="00747E84"/>
    <w:rsid w:val="00750ADF"/>
    <w:rsid w:val="007529AA"/>
    <w:rsid w:val="00752D71"/>
    <w:rsid w:val="00752DBC"/>
    <w:rsid w:val="00753357"/>
    <w:rsid w:val="00753CB3"/>
    <w:rsid w:val="00755256"/>
    <w:rsid w:val="007552CC"/>
    <w:rsid w:val="0075534D"/>
    <w:rsid w:val="00755907"/>
    <w:rsid w:val="007562DA"/>
    <w:rsid w:val="00757044"/>
    <w:rsid w:val="0075756B"/>
    <w:rsid w:val="00757C70"/>
    <w:rsid w:val="007604F4"/>
    <w:rsid w:val="0076059A"/>
    <w:rsid w:val="007619A0"/>
    <w:rsid w:val="00761B55"/>
    <w:rsid w:val="007624D7"/>
    <w:rsid w:val="007627D2"/>
    <w:rsid w:val="00762C7C"/>
    <w:rsid w:val="00762FBE"/>
    <w:rsid w:val="007634A9"/>
    <w:rsid w:val="0076356B"/>
    <w:rsid w:val="00763A04"/>
    <w:rsid w:val="007651EA"/>
    <w:rsid w:val="007664E4"/>
    <w:rsid w:val="00766A7A"/>
    <w:rsid w:val="0076757E"/>
    <w:rsid w:val="00770948"/>
    <w:rsid w:val="00771BAB"/>
    <w:rsid w:val="00771C54"/>
    <w:rsid w:val="00773C70"/>
    <w:rsid w:val="007740BD"/>
    <w:rsid w:val="007747BE"/>
    <w:rsid w:val="00774C21"/>
    <w:rsid w:val="0077548C"/>
    <w:rsid w:val="00775886"/>
    <w:rsid w:val="007768DF"/>
    <w:rsid w:val="007768FB"/>
    <w:rsid w:val="00776F99"/>
    <w:rsid w:val="00777C67"/>
    <w:rsid w:val="007802AD"/>
    <w:rsid w:val="0078047F"/>
    <w:rsid w:val="00781203"/>
    <w:rsid w:val="00781F73"/>
    <w:rsid w:val="00782EEC"/>
    <w:rsid w:val="00782FF3"/>
    <w:rsid w:val="007845E1"/>
    <w:rsid w:val="00784ACA"/>
    <w:rsid w:val="00785927"/>
    <w:rsid w:val="00785982"/>
    <w:rsid w:val="00787686"/>
    <w:rsid w:val="00787E50"/>
    <w:rsid w:val="0079120E"/>
    <w:rsid w:val="00791D1A"/>
    <w:rsid w:val="00793541"/>
    <w:rsid w:val="00793A41"/>
    <w:rsid w:val="00793D9F"/>
    <w:rsid w:val="00795EF2"/>
    <w:rsid w:val="007968B8"/>
    <w:rsid w:val="00796ACF"/>
    <w:rsid w:val="00796B1B"/>
    <w:rsid w:val="007A0B2C"/>
    <w:rsid w:val="007A0FEC"/>
    <w:rsid w:val="007A12C9"/>
    <w:rsid w:val="007A17BB"/>
    <w:rsid w:val="007A2721"/>
    <w:rsid w:val="007A272C"/>
    <w:rsid w:val="007A2B3E"/>
    <w:rsid w:val="007A2EE6"/>
    <w:rsid w:val="007A434E"/>
    <w:rsid w:val="007A45B2"/>
    <w:rsid w:val="007A584C"/>
    <w:rsid w:val="007A71AC"/>
    <w:rsid w:val="007A7AF1"/>
    <w:rsid w:val="007B008F"/>
    <w:rsid w:val="007B0E92"/>
    <w:rsid w:val="007B18D0"/>
    <w:rsid w:val="007B1F3E"/>
    <w:rsid w:val="007B21AB"/>
    <w:rsid w:val="007B2E9D"/>
    <w:rsid w:val="007B3929"/>
    <w:rsid w:val="007B5E8E"/>
    <w:rsid w:val="007B6609"/>
    <w:rsid w:val="007B6843"/>
    <w:rsid w:val="007C0B6B"/>
    <w:rsid w:val="007C0D75"/>
    <w:rsid w:val="007C13B8"/>
    <w:rsid w:val="007C1BF3"/>
    <w:rsid w:val="007C22D2"/>
    <w:rsid w:val="007C2617"/>
    <w:rsid w:val="007C2FE3"/>
    <w:rsid w:val="007C3072"/>
    <w:rsid w:val="007C38C6"/>
    <w:rsid w:val="007C4B89"/>
    <w:rsid w:val="007C4D6B"/>
    <w:rsid w:val="007C4FEE"/>
    <w:rsid w:val="007C672B"/>
    <w:rsid w:val="007C68B5"/>
    <w:rsid w:val="007C79A2"/>
    <w:rsid w:val="007D056C"/>
    <w:rsid w:val="007D1457"/>
    <w:rsid w:val="007D14A3"/>
    <w:rsid w:val="007D1D5D"/>
    <w:rsid w:val="007D1EB3"/>
    <w:rsid w:val="007D2511"/>
    <w:rsid w:val="007D354A"/>
    <w:rsid w:val="007D41D8"/>
    <w:rsid w:val="007D4276"/>
    <w:rsid w:val="007D4FDA"/>
    <w:rsid w:val="007D5AD8"/>
    <w:rsid w:val="007D6269"/>
    <w:rsid w:val="007D62F3"/>
    <w:rsid w:val="007D6425"/>
    <w:rsid w:val="007D7696"/>
    <w:rsid w:val="007E01D5"/>
    <w:rsid w:val="007E107C"/>
    <w:rsid w:val="007E120E"/>
    <w:rsid w:val="007E31D0"/>
    <w:rsid w:val="007E34A1"/>
    <w:rsid w:val="007E48CF"/>
    <w:rsid w:val="007E6BE2"/>
    <w:rsid w:val="007E7B7E"/>
    <w:rsid w:val="007F00FF"/>
    <w:rsid w:val="007F035B"/>
    <w:rsid w:val="007F1946"/>
    <w:rsid w:val="007F24C0"/>
    <w:rsid w:val="007F2D88"/>
    <w:rsid w:val="007F31B2"/>
    <w:rsid w:val="007F34B6"/>
    <w:rsid w:val="007F352D"/>
    <w:rsid w:val="007F446E"/>
    <w:rsid w:val="007F497E"/>
    <w:rsid w:val="007F4C40"/>
    <w:rsid w:val="007F51DC"/>
    <w:rsid w:val="007F549E"/>
    <w:rsid w:val="007F5664"/>
    <w:rsid w:val="007F56D5"/>
    <w:rsid w:val="007F607A"/>
    <w:rsid w:val="007F6D23"/>
    <w:rsid w:val="007F6FB1"/>
    <w:rsid w:val="007F7138"/>
    <w:rsid w:val="007F71DF"/>
    <w:rsid w:val="00800A14"/>
    <w:rsid w:val="00801550"/>
    <w:rsid w:val="00801EB3"/>
    <w:rsid w:val="00802AF1"/>
    <w:rsid w:val="00803052"/>
    <w:rsid w:val="008033C2"/>
    <w:rsid w:val="0080342B"/>
    <w:rsid w:val="00803461"/>
    <w:rsid w:val="00803AF3"/>
    <w:rsid w:val="00803DB8"/>
    <w:rsid w:val="00805FBE"/>
    <w:rsid w:val="00806A19"/>
    <w:rsid w:val="00806A3A"/>
    <w:rsid w:val="00807206"/>
    <w:rsid w:val="00810570"/>
    <w:rsid w:val="00812232"/>
    <w:rsid w:val="00812AA1"/>
    <w:rsid w:val="008131FA"/>
    <w:rsid w:val="008133C0"/>
    <w:rsid w:val="00814A3A"/>
    <w:rsid w:val="00815A3E"/>
    <w:rsid w:val="008177EE"/>
    <w:rsid w:val="00820BED"/>
    <w:rsid w:val="00821692"/>
    <w:rsid w:val="00821B54"/>
    <w:rsid w:val="00822091"/>
    <w:rsid w:val="008225BF"/>
    <w:rsid w:val="00822725"/>
    <w:rsid w:val="00822A6D"/>
    <w:rsid w:val="008232D9"/>
    <w:rsid w:val="00823311"/>
    <w:rsid w:val="00823C69"/>
    <w:rsid w:val="008246E3"/>
    <w:rsid w:val="00824B82"/>
    <w:rsid w:val="008259CF"/>
    <w:rsid w:val="00825E35"/>
    <w:rsid w:val="0082610A"/>
    <w:rsid w:val="00827673"/>
    <w:rsid w:val="00827686"/>
    <w:rsid w:val="00827EC4"/>
    <w:rsid w:val="00830CC4"/>
    <w:rsid w:val="0083168B"/>
    <w:rsid w:val="00831D33"/>
    <w:rsid w:val="00832D88"/>
    <w:rsid w:val="0083338D"/>
    <w:rsid w:val="00833722"/>
    <w:rsid w:val="00833B74"/>
    <w:rsid w:val="00833FB6"/>
    <w:rsid w:val="00834BC3"/>
    <w:rsid w:val="00836129"/>
    <w:rsid w:val="00836157"/>
    <w:rsid w:val="00836373"/>
    <w:rsid w:val="00842FE7"/>
    <w:rsid w:val="00843B53"/>
    <w:rsid w:val="00844434"/>
    <w:rsid w:val="00844B62"/>
    <w:rsid w:val="008455EF"/>
    <w:rsid w:val="00845891"/>
    <w:rsid w:val="00845DFC"/>
    <w:rsid w:val="0084695A"/>
    <w:rsid w:val="00850A10"/>
    <w:rsid w:val="00850E16"/>
    <w:rsid w:val="00852018"/>
    <w:rsid w:val="00852271"/>
    <w:rsid w:val="008543E8"/>
    <w:rsid w:val="00854426"/>
    <w:rsid w:val="00856121"/>
    <w:rsid w:val="00860AF0"/>
    <w:rsid w:val="008618B2"/>
    <w:rsid w:val="00862760"/>
    <w:rsid w:val="00863502"/>
    <w:rsid w:val="00863B6C"/>
    <w:rsid w:val="00864C54"/>
    <w:rsid w:val="008659D4"/>
    <w:rsid w:val="00867A25"/>
    <w:rsid w:val="008700BA"/>
    <w:rsid w:val="00873666"/>
    <w:rsid w:val="00874736"/>
    <w:rsid w:val="008748B4"/>
    <w:rsid w:val="00875037"/>
    <w:rsid w:val="008751F6"/>
    <w:rsid w:val="008757E1"/>
    <w:rsid w:val="00875980"/>
    <w:rsid w:val="00875CC9"/>
    <w:rsid w:val="00875CD5"/>
    <w:rsid w:val="00876854"/>
    <w:rsid w:val="00876986"/>
    <w:rsid w:val="008769F5"/>
    <w:rsid w:val="00876C2D"/>
    <w:rsid w:val="008804BC"/>
    <w:rsid w:val="00880D1A"/>
    <w:rsid w:val="00881D70"/>
    <w:rsid w:val="00881D81"/>
    <w:rsid w:val="00881E2C"/>
    <w:rsid w:val="00883566"/>
    <w:rsid w:val="00883729"/>
    <w:rsid w:val="008849FF"/>
    <w:rsid w:val="00884ED9"/>
    <w:rsid w:val="008859AC"/>
    <w:rsid w:val="008869C8"/>
    <w:rsid w:val="00886AC3"/>
    <w:rsid w:val="0089169C"/>
    <w:rsid w:val="00892437"/>
    <w:rsid w:val="00893B3A"/>
    <w:rsid w:val="00896574"/>
    <w:rsid w:val="008A0025"/>
    <w:rsid w:val="008A2094"/>
    <w:rsid w:val="008A2249"/>
    <w:rsid w:val="008A337D"/>
    <w:rsid w:val="008A338C"/>
    <w:rsid w:val="008A37BA"/>
    <w:rsid w:val="008A3DE1"/>
    <w:rsid w:val="008A4178"/>
    <w:rsid w:val="008A49E2"/>
    <w:rsid w:val="008A4D22"/>
    <w:rsid w:val="008A4E18"/>
    <w:rsid w:val="008A571F"/>
    <w:rsid w:val="008A578B"/>
    <w:rsid w:val="008A64F4"/>
    <w:rsid w:val="008A674D"/>
    <w:rsid w:val="008A78EC"/>
    <w:rsid w:val="008A7991"/>
    <w:rsid w:val="008A7C07"/>
    <w:rsid w:val="008B0E67"/>
    <w:rsid w:val="008B11C9"/>
    <w:rsid w:val="008B155F"/>
    <w:rsid w:val="008B1863"/>
    <w:rsid w:val="008B1BC6"/>
    <w:rsid w:val="008B22EA"/>
    <w:rsid w:val="008B23F6"/>
    <w:rsid w:val="008B318D"/>
    <w:rsid w:val="008B4A36"/>
    <w:rsid w:val="008B5B77"/>
    <w:rsid w:val="008B6B71"/>
    <w:rsid w:val="008B7258"/>
    <w:rsid w:val="008C0158"/>
    <w:rsid w:val="008C0EC9"/>
    <w:rsid w:val="008C1090"/>
    <w:rsid w:val="008C1562"/>
    <w:rsid w:val="008C174F"/>
    <w:rsid w:val="008C3F3A"/>
    <w:rsid w:val="008C4902"/>
    <w:rsid w:val="008C5042"/>
    <w:rsid w:val="008C5053"/>
    <w:rsid w:val="008C544B"/>
    <w:rsid w:val="008C6F0E"/>
    <w:rsid w:val="008D02AE"/>
    <w:rsid w:val="008D1581"/>
    <w:rsid w:val="008D19A7"/>
    <w:rsid w:val="008D1BAD"/>
    <w:rsid w:val="008D1C55"/>
    <w:rsid w:val="008D2CFC"/>
    <w:rsid w:val="008D2EFB"/>
    <w:rsid w:val="008D33E2"/>
    <w:rsid w:val="008D3464"/>
    <w:rsid w:val="008D4019"/>
    <w:rsid w:val="008D51F3"/>
    <w:rsid w:val="008E051D"/>
    <w:rsid w:val="008E0F34"/>
    <w:rsid w:val="008E0FC0"/>
    <w:rsid w:val="008E1E03"/>
    <w:rsid w:val="008E2B3B"/>
    <w:rsid w:val="008E3926"/>
    <w:rsid w:val="008E3954"/>
    <w:rsid w:val="008E4A0D"/>
    <w:rsid w:val="008E69B6"/>
    <w:rsid w:val="008E7142"/>
    <w:rsid w:val="008F093F"/>
    <w:rsid w:val="008F1B64"/>
    <w:rsid w:val="008F2A12"/>
    <w:rsid w:val="008F37CF"/>
    <w:rsid w:val="008F3D35"/>
    <w:rsid w:val="008F431C"/>
    <w:rsid w:val="008F4901"/>
    <w:rsid w:val="008F5289"/>
    <w:rsid w:val="008F5430"/>
    <w:rsid w:val="008F57F8"/>
    <w:rsid w:val="008F6AD8"/>
    <w:rsid w:val="008F79E8"/>
    <w:rsid w:val="00901219"/>
    <w:rsid w:val="00901BA6"/>
    <w:rsid w:val="00902957"/>
    <w:rsid w:val="009042CC"/>
    <w:rsid w:val="00904571"/>
    <w:rsid w:val="00904C92"/>
    <w:rsid w:val="00906134"/>
    <w:rsid w:val="00907160"/>
    <w:rsid w:val="009076A8"/>
    <w:rsid w:val="00907EF2"/>
    <w:rsid w:val="00910D95"/>
    <w:rsid w:val="009127A4"/>
    <w:rsid w:val="00912AE9"/>
    <w:rsid w:val="00913D5F"/>
    <w:rsid w:val="00914A3B"/>
    <w:rsid w:val="009159B2"/>
    <w:rsid w:val="0091695C"/>
    <w:rsid w:val="00916A3B"/>
    <w:rsid w:val="009174CF"/>
    <w:rsid w:val="009179D3"/>
    <w:rsid w:val="00917B96"/>
    <w:rsid w:val="00920966"/>
    <w:rsid w:val="00920BBD"/>
    <w:rsid w:val="00921D13"/>
    <w:rsid w:val="00925876"/>
    <w:rsid w:val="0092646E"/>
    <w:rsid w:val="009274CF"/>
    <w:rsid w:val="00930C6A"/>
    <w:rsid w:val="009310B5"/>
    <w:rsid w:val="00931611"/>
    <w:rsid w:val="00931F0D"/>
    <w:rsid w:val="009329AE"/>
    <w:rsid w:val="00933A82"/>
    <w:rsid w:val="00933C53"/>
    <w:rsid w:val="00934C83"/>
    <w:rsid w:val="009369AE"/>
    <w:rsid w:val="009375D4"/>
    <w:rsid w:val="009415E2"/>
    <w:rsid w:val="00943352"/>
    <w:rsid w:val="0094439D"/>
    <w:rsid w:val="00944AFA"/>
    <w:rsid w:val="00945650"/>
    <w:rsid w:val="00945FE2"/>
    <w:rsid w:val="0094621D"/>
    <w:rsid w:val="00950727"/>
    <w:rsid w:val="00951FDB"/>
    <w:rsid w:val="009522DA"/>
    <w:rsid w:val="00952CF6"/>
    <w:rsid w:val="00953E02"/>
    <w:rsid w:val="00954323"/>
    <w:rsid w:val="009567B8"/>
    <w:rsid w:val="0096069D"/>
    <w:rsid w:val="00960D34"/>
    <w:rsid w:val="009611D2"/>
    <w:rsid w:val="009621A0"/>
    <w:rsid w:val="00962BC2"/>
    <w:rsid w:val="00964224"/>
    <w:rsid w:val="0096540E"/>
    <w:rsid w:val="00966824"/>
    <w:rsid w:val="0096696A"/>
    <w:rsid w:val="00967189"/>
    <w:rsid w:val="00967201"/>
    <w:rsid w:val="0097020F"/>
    <w:rsid w:val="0097111D"/>
    <w:rsid w:val="00971FDA"/>
    <w:rsid w:val="009722A8"/>
    <w:rsid w:val="00972548"/>
    <w:rsid w:val="009728FF"/>
    <w:rsid w:val="009732BC"/>
    <w:rsid w:val="00973880"/>
    <w:rsid w:val="00974888"/>
    <w:rsid w:val="00974B47"/>
    <w:rsid w:val="00974D53"/>
    <w:rsid w:val="009772A5"/>
    <w:rsid w:val="00977550"/>
    <w:rsid w:val="00977CD0"/>
    <w:rsid w:val="00977F42"/>
    <w:rsid w:val="00980B5D"/>
    <w:rsid w:val="00981173"/>
    <w:rsid w:val="00981A75"/>
    <w:rsid w:val="00981B3E"/>
    <w:rsid w:val="00981F83"/>
    <w:rsid w:val="0098268E"/>
    <w:rsid w:val="009836AE"/>
    <w:rsid w:val="009841A8"/>
    <w:rsid w:val="00984626"/>
    <w:rsid w:val="00985767"/>
    <w:rsid w:val="009868BE"/>
    <w:rsid w:val="00986B64"/>
    <w:rsid w:val="00986EFA"/>
    <w:rsid w:val="009876A4"/>
    <w:rsid w:val="00991264"/>
    <w:rsid w:val="009917E9"/>
    <w:rsid w:val="00993789"/>
    <w:rsid w:val="00994F61"/>
    <w:rsid w:val="00995813"/>
    <w:rsid w:val="00996057"/>
    <w:rsid w:val="00996394"/>
    <w:rsid w:val="00996C89"/>
    <w:rsid w:val="0099742C"/>
    <w:rsid w:val="009979B9"/>
    <w:rsid w:val="009A03C7"/>
    <w:rsid w:val="009A1399"/>
    <w:rsid w:val="009A22FD"/>
    <w:rsid w:val="009A23E7"/>
    <w:rsid w:val="009A2ED6"/>
    <w:rsid w:val="009A31E7"/>
    <w:rsid w:val="009A4832"/>
    <w:rsid w:val="009A546A"/>
    <w:rsid w:val="009A621C"/>
    <w:rsid w:val="009A6677"/>
    <w:rsid w:val="009A696A"/>
    <w:rsid w:val="009A6C66"/>
    <w:rsid w:val="009A6EF9"/>
    <w:rsid w:val="009A7BBC"/>
    <w:rsid w:val="009B1196"/>
    <w:rsid w:val="009B226E"/>
    <w:rsid w:val="009B2A11"/>
    <w:rsid w:val="009B5581"/>
    <w:rsid w:val="009B5940"/>
    <w:rsid w:val="009B61A1"/>
    <w:rsid w:val="009B63ED"/>
    <w:rsid w:val="009B710D"/>
    <w:rsid w:val="009C0899"/>
    <w:rsid w:val="009C2D95"/>
    <w:rsid w:val="009C3862"/>
    <w:rsid w:val="009C4171"/>
    <w:rsid w:val="009C475C"/>
    <w:rsid w:val="009C47D1"/>
    <w:rsid w:val="009C5878"/>
    <w:rsid w:val="009C6522"/>
    <w:rsid w:val="009C6968"/>
    <w:rsid w:val="009C75C9"/>
    <w:rsid w:val="009C7A9D"/>
    <w:rsid w:val="009D1492"/>
    <w:rsid w:val="009D169E"/>
    <w:rsid w:val="009D17E7"/>
    <w:rsid w:val="009D2602"/>
    <w:rsid w:val="009D3234"/>
    <w:rsid w:val="009D41B7"/>
    <w:rsid w:val="009D5CA7"/>
    <w:rsid w:val="009D65CD"/>
    <w:rsid w:val="009D6E2E"/>
    <w:rsid w:val="009D7298"/>
    <w:rsid w:val="009E03C7"/>
    <w:rsid w:val="009E1A02"/>
    <w:rsid w:val="009E350B"/>
    <w:rsid w:val="009E3867"/>
    <w:rsid w:val="009E3C1C"/>
    <w:rsid w:val="009E6ACB"/>
    <w:rsid w:val="009E7552"/>
    <w:rsid w:val="009F0C64"/>
    <w:rsid w:val="009F1043"/>
    <w:rsid w:val="009F16C9"/>
    <w:rsid w:val="009F2D78"/>
    <w:rsid w:val="009F36CA"/>
    <w:rsid w:val="009F4FE2"/>
    <w:rsid w:val="009F5066"/>
    <w:rsid w:val="009F5B30"/>
    <w:rsid w:val="009F5C7C"/>
    <w:rsid w:val="009F6167"/>
    <w:rsid w:val="009F752A"/>
    <w:rsid w:val="00A003BE"/>
    <w:rsid w:val="00A00EE1"/>
    <w:rsid w:val="00A01575"/>
    <w:rsid w:val="00A01E87"/>
    <w:rsid w:val="00A022AB"/>
    <w:rsid w:val="00A03435"/>
    <w:rsid w:val="00A03567"/>
    <w:rsid w:val="00A0385F"/>
    <w:rsid w:val="00A0422E"/>
    <w:rsid w:val="00A049E9"/>
    <w:rsid w:val="00A05236"/>
    <w:rsid w:val="00A05597"/>
    <w:rsid w:val="00A06C2D"/>
    <w:rsid w:val="00A079D0"/>
    <w:rsid w:val="00A10106"/>
    <w:rsid w:val="00A10AF9"/>
    <w:rsid w:val="00A11132"/>
    <w:rsid w:val="00A11969"/>
    <w:rsid w:val="00A11EBD"/>
    <w:rsid w:val="00A12746"/>
    <w:rsid w:val="00A14D95"/>
    <w:rsid w:val="00A157B9"/>
    <w:rsid w:val="00A158FB"/>
    <w:rsid w:val="00A1712E"/>
    <w:rsid w:val="00A17693"/>
    <w:rsid w:val="00A17F2D"/>
    <w:rsid w:val="00A20667"/>
    <w:rsid w:val="00A22348"/>
    <w:rsid w:val="00A2371A"/>
    <w:rsid w:val="00A24C62"/>
    <w:rsid w:val="00A253EF"/>
    <w:rsid w:val="00A254EC"/>
    <w:rsid w:val="00A25F51"/>
    <w:rsid w:val="00A26182"/>
    <w:rsid w:val="00A26B38"/>
    <w:rsid w:val="00A30382"/>
    <w:rsid w:val="00A30CEC"/>
    <w:rsid w:val="00A31673"/>
    <w:rsid w:val="00A32604"/>
    <w:rsid w:val="00A32EF3"/>
    <w:rsid w:val="00A35175"/>
    <w:rsid w:val="00A35312"/>
    <w:rsid w:val="00A354C8"/>
    <w:rsid w:val="00A36008"/>
    <w:rsid w:val="00A3662C"/>
    <w:rsid w:val="00A367BA"/>
    <w:rsid w:val="00A3705D"/>
    <w:rsid w:val="00A37E40"/>
    <w:rsid w:val="00A407E6"/>
    <w:rsid w:val="00A417AE"/>
    <w:rsid w:val="00A41E53"/>
    <w:rsid w:val="00A41EA2"/>
    <w:rsid w:val="00A43345"/>
    <w:rsid w:val="00A44607"/>
    <w:rsid w:val="00A447E6"/>
    <w:rsid w:val="00A45E3D"/>
    <w:rsid w:val="00A463E3"/>
    <w:rsid w:val="00A50AD6"/>
    <w:rsid w:val="00A50D0F"/>
    <w:rsid w:val="00A50E2B"/>
    <w:rsid w:val="00A51495"/>
    <w:rsid w:val="00A51719"/>
    <w:rsid w:val="00A54097"/>
    <w:rsid w:val="00A552D1"/>
    <w:rsid w:val="00A56A47"/>
    <w:rsid w:val="00A57661"/>
    <w:rsid w:val="00A60341"/>
    <w:rsid w:val="00A60E34"/>
    <w:rsid w:val="00A62606"/>
    <w:rsid w:val="00A62EA7"/>
    <w:rsid w:val="00A6459E"/>
    <w:rsid w:val="00A64686"/>
    <w:rsid w:val="00A64CAE"/>
    <w:rsid w:val="00A65471"/>
    <w:rsid w:val="00A6578C"/>
    <w:rsid w:val="00A671C5"/>
    <w:rsid w:val="00A71A0A"/>
    <w:rsid w:val="00A71AB6"/>
    <w:rsid w:val="00A72227"/>
    <w:rsid w:val="00A72CC1"/>
    <w:rsid w:val="00A73E12"/>
    <w:rsid w:val="00A748F2"/>
    <w:rsid w:val="00A74939"/>
    <w:rsid w:val="00A75F0B"/>
    <w:rsid w:val="00A76481"/>
    <w:rsid w:val="00A77B52"/>
    <w:rsid w:val="00A80044"/>
    <w:rsid w:val="00A80A8E"/>
    <w:rsid w:val="00A81845"/>
    <w:rsid w:val="00A81F5B"/>
    <w:rsid w:val="00A8271D"/>
    <w:rsid w:val="00A82B34"/>
    <w:rsid w:val="00A83611"/>
    <w:rsid w:val="00A8580C"/>
    <w:rsid w:val="00A85A45"/>
    <w:rsid w:val="00A85F3E"/>
    <w:rsid w:val="00A8681D"/>
    <w:rsid w:val="00A86A92"/>
    <w:rsid w:val="00A86CEB"/>
    <w:rsid w:val="00A90348"/>
    <w:rsid w:val="00A90AA5"/>
    <w:rsid w:val="00A912BA"/>
    <w:rsid w:val="00A924F3"/>
    <w:rsid w:val="00A92AF0"/>
    <w:rsid w:val="00A94369"/>
    <w:rsid w:val="00A94426"/>
    <w:rsid w:val="00A95DF3"/>
    <w:rsid w:val="00A95F17"/>
    <w:rsid w:val="00A97923"/>
    <w:rsid w:val="00AA0AAE"/>
    <w:rsid w:val="00AA0E31"/>
    <w:rsid w:val="00AA0FEB"/>
    <w:rsid w:val="00AA1013"/>
    <w:rsid w:val="00AA1803"/>
    <w:rsid w:val="00AA20EA"/>
    <w:rsid w:val="00AA2224"/>
    <w:rsid w:val="00AA4155"/>
    <w:rsid w:val="00AA446F"/>
    <w:rsid w:val="00AA59A6"/>
    <w:rsid w:val="00AA5D84"/>
    <w:rsid w:val="00AA63F8"/>
    <w:rsid w:val="00AA728F"/>
    <w:rsid w:val="00AA739B"/>
    <w:rsid w:val="00AB0D80"/>
    <w:rsid w:val="00AB0D9D"/>
    <w:rsid w:val="00AB1CC9"/>
    <w:rsid w:val="00AB1CEB"/>
    <w:rsid w:val="00AB1FC8"/>
    <w:rsid w:val="00AB284D"/>
    <w:rsid w:val="00AB2F02"/>
    <w:rsid w:val="00AB304E"/>
    <w:rsid w:val="00AB47F5"/>
    <w:rsid w:val="00AB6C17"/>
    <w:rsid w:val="00AC0A1C"/>
    <w:rsid w:val="00AC0A9D"/>
    <w:rsid w:val="00AC0C9E"/>
    <w:rsid w:val="00AC20C0"/>
    <w:rsid w:val="00AC25D0"/>
    <w:rsid w:val="00AC2876"/>
    <w:rsid w:val="00AC2B5B"/>
    <w:rsid w:val="00AC2D8B"/>
    <w:rsid w:val="00AC3349"/>
    <w:rsid w:val="00AC33C8"/>
    <w:rsid w:val="00AC449A"/>
    <w:rsid w:val="00AC4C13"/>
    <w:rsid w:val="00AC4C74"/>
    <w:rsid w:val="00AC4CD2"/>
    <w:rsid w:val="00AC5436"/>
    <w:rsid w:val="00AC5D5B"/>
    <w:rsid w:val="00AC71D6"/>
    <w:rsid w:val="00AC7BE1"/>
    <w:rsid w:val="00AD059B"/>
    <w:rsid w:val="00AD102A"/>
    <w:rsid w:val="00AD1502"/>
    <w:rsid w:val="00AD1796"/>
    <w:rsid w:val="00AD2353"/>
    <w:rsid w:val="00AD239A"/>
    <w:rsid w:val="00AD26D4"/>
    <w:rsid w:val="00AD3102"/>
    <w:rsid w:val="00AD3EDC"/>
    <w:rsid w:val="00AD4607"/>
    <w:rsid w:val="00AD4BF1"/>
    <w:rsid w:val="00AD505E"/>
    <w:rsid w:val="00AD5CCC"/>
    <w:rsid w:val="00AD6A6D"/>
    <w:rsid w:val="00AD6CC5"/>
    <w:rsid w:val="00AD713A"/>
    <w:rsid w:val="00AD7E0B"/>
    <w:rsid w:val="00AE0E58"/>
    <w:rsid w:val="00AE0F47"/>
    <w:rsid w:val="00AE1704"/>
    <w:rsid w:val="00AE199E"/>
    <w:rsid w:val="00AE488F"/>
    <w:rsid w:val="00AE594A"/>
    <w:rsid w:val="00AE6895"/>
    <w:rsid w:val="00AF0189"/>
    <w:rsid w:val="00AF061D"/>
    <w:rsid w:val="00AF0A77"/>
    <w:rsid w:val="00AF0DAC"/>
    <w:rsid w:val="00AF12CE"/>
    <w:rsid w:val="00AF3016"/>
    <w:rsid w:val="00AF3FE0"/>
    <w:rsid w:val="00AF45EB"/>
    <w:rsid w:val="00AF4794"/>
    <w:rsid w:val="00AF5457"/>
    <w:rsid w:val="00AF695E"/>
    <w:rsid w:val="00AF7191"/>
    <w:rsid w:val="00AF7C74"/>
    <w:rsid w:val="00B001EB"/>
    <w:rsid w:val="00B00586"/>
    <w:rsid w:val="00B00972"/>
    <w:rsid w:val="00B0098B"/>
    <w:rsid w:val="00B00BCA"/>
    <w:rsid w:val="00B0359B"/>
    <w:rsid w:val="00B041BF"/>
    <w:rsid w:val="00B06231"/>
    <w:rsid w:val="00B06B70"/>
    <w:rsid w:val="00B10A57"/>
    <w:rsid w:val="00B11A0F"/>
    <w:rsid w:val="00B11DA2"/>
    <w:rsid w:val="00B13CBF"/>
    <w:rsid w:val="00B15D4C"/>
    <w:rsid w:val="00B161A4"/>
    <w:rsid w:val="00B17AC0"/>
    <w:rsid w:val="00B17B7B"/>
    <w:rsid w:val="00B17D1C"/>
    <w:rsid w:val="00B17D41"/>
    <w:rsid w:val="00B20487"/>
    <w:rsid w:val="00B21333"/>
    <w:rsid w:val="00B21BFD"/>
    <w:rsid w:val="00B22A6E"/>
    <w:rsid w:val="00B2376C"/>
    <w:rsid w:val="00B23CC8"/>
    <w:rsid w:val="00B2453C"/>
    <w:rsid w:val="00B24AD9"/>
    <w:rsid w:val="00B25959"/>
    <w:rsid w:val="00B25C25"/>
    <w:rsid w:val="00B2659B"/>
    <w:rsid w:val="00B267CA"/>
    <w:rsid w:val="00B300F7"/>
    <w:rsid w:val="00B3152D"/>
    <w:rsid w:val="00B317F4"/>
    <w:rsid w:val="00B32A7C"/>
    <w:rsid w:val="00B3572E"/>
    <w:rsid w:val="00B40734"/>
    <w:rsid w:val="00B4093E"/>
    <w:rsid w:val="00B40C90"/>
    <w:rsid w:val="00B4160E"/>
    <w:rsid w:val="00B41FAA"/>
    <w:rsid w:val="00B43230"/>
    <w:rsid w:val="00B43641"/>
    <w:rsid w:val="00B44DFF"/>
    <w:rsid w:val="00B45ACA"/>
    <w:rsid w:val="00B46F12"/>
    <w:rsid w:val="00B5120E"/>
    <w:rsid w:val="00B51270"/>
    <w:rsid w:val="00B5134D"/>
    <w:rsid w:val="00B516F5"/>
    <w:rsid w:val="00B52614"/>
    <w:rsid w:val="00B5413B"/>
    <w:rsid w:val="00B54341"/>
    <w:rsid w:val="00B559F2"/>
    <w:rsid w:val="00B560A0"/>
    <w:rsid w:val="00B57130"/>
    <w:rsid w:val="00B57816"/>
    <w:rsid w:val="00B57D82"/>
    <w:rsid w:val="00B6087C"/>
    <w:rsid w:val="00B60957"/>
    <w:rsid w:val="00B60986"/>
    <w:rsid w:val="00B60C99"/>
    <w:rsid w:val="00B60E4E"/>
    <w:rsid w:val="00B61973"/>
    <w:rsid w:val="00B61ED6"/>
    <w:rsid w:val="00B629E0"/>
    <w:rsid w:val="00B62C2E"/>
    <w:rsid w:val="00B62E41"/>
    <w:rsid w:val="00B63086"/>
    <w:rsid w:val="00B63CDE"/>
    <w:rsid w:val="00B63D18"/>
    <w:rsid w:val="00B6535D"/>
    <w:rsid w:val="00B6605D"/>
    <w:rsid w:val="00B70AD6"/>
    <w:rsid w:val="00B710C6"/>
    <w:rsid w:val="00B71940"/>
    <w:rsid w:val="00B72CD0"/>
    <w:rsid w:val="00B72D36"/>
    <w:rsid w:val="00B735E5"/>
    <w:rsid w:val="00B742CE"/>
    <w:rsid w:val="00B743E8"/>
    <w:rsid w:val="00B743EE"/>
    <w:rsid w:val="00B75CDE"/>
    <w:rsid w:val="00B75FEC"/>
    <w:rsid w:val="00B76239"/>
    <w:rsid w:val="00B76F5C"/>
    <w:rsid w:val="00B775F5"/>
    <w:rsid w:val="00B808E4"/>
    <w:rsid w:val="00B810C9"/>
    <w:rsid w:val="00B81A7D"/>
    <w:rsid w:val="00B82749"/>
    <w:rsid w:val="00B83729"/>
    <w:rsid w:val="00B839FB"/>
    <w:rsid w:val="00B83DFF"/>
    <w:rsid w:val="00B84A9F"/>
    <w:rsid w:val="00B85C12"/>
    <w:rsid w:val="00B8620B"/>
    <w:rsid w:val="00B87CF7"/>
    <w:rsid w:val="00B909F2"/>
    <w:rsid w:val="00B91749"/>
    <w:rsid w:val="00B928DE"/>
    <w:rsid w:val="00B92912"/>
    <w:rsid w:val="00B92BC0"/>
    <w:rsid w:val="00B92BEA"/>
    <w:rsid w:val="00B93AA4"/>
    <w:rsid w:val="00B95605"/>
    <w:rsid w:val="00B968AA"/>
    <w:rsid w:val="00B968BC"/>
    <w:rsid w:val="00B96B6A"/>
    <w:rsid w:val="00B976A2"/>
    <w:rsid w:val="00BA0943"/>
    <w:rsid w:val="00BA0C81"/>
    <w:rsid w:val="00BA1243"/>
    <w:rsid w:val="00BA1F04"/>
    <w:rsid w:val="00BA21E1"/>
    <w:rsid w:val="00BA23ED"/>
    <w:rsid w:val="00BA3F12"/>
    <w:rsid w:val="00BA423F"/>
    <w:rsid w:val="00BA4747"/>
    <w:rsid w:val="00BA64E8"/>
    <w:rsid w:val="00BA6508"/>
    <w:rsid w:val="00BA6512"/>
    <w:rsid w:val="00BA6A18"/>
    <w:rsid w:val="00BA75BB"/>
    <w:rsid w:val="00BA7CD8"/>
    <w:rsid w:val="00BB0343"/>
    <w:rsid w:val="00BB09F8"/>
    <w:rsid w:val="00BB0DDB"/>
    <w:rsid w:val="00BB1C01"/>
    <w:rsid w:val="00BB1D94"/>
    <w:rsid w:val="00BB235B"/>
    <w:rsid w:val="00BB27EB"/>
    <w:rsid w:val="00BB2957"/>
    <w:rsid w:val="00BB2C23"/>
    <w:rsid w:val="00BB344E"/>
    <w:rsid w:val="00BB3CBD"/>
    <w:rsid w:val="00BB458D"/>
    <w:rsid w:val="00BB4E79"/>
    <w:rsid w:val="00BB5CDE"/>
    <w:rsid w:val="00BB6000"/>
    <w:rsid w:val="00BB600D"/>
    <w:rsid w:val="00BB72F4"/>
    <w:rsid w:val="00BB75CC"/>
    <w:rsid w:val="00BB7803"/>
    <w:rsid w:val="00BB7D5B"/>
    <w:rsid w:val="00BC0937"/>
    <w:rsid w:val="00BC0BB3"/>
    <w:rsid w:val="00BC0E8D"/>
    <w:rsid w:val="00BC10BC"/>
    <w:rsid w:val="00BC17C3"/>
    <w:rsid w:val="00BC23FB"/>
    <w:rsid w:val="00BC2458"/>
    <w:rsid w:val="00BC2C1F"/>
    <w:rsid w:val="00BC4909"/>
    <w:rsid w:val="00BC6254"/>
    <w:rsid w:val="00BC76BB"/>
    <w:rsid w:val="00BC79E1"/>
    <w:rsid w:val="00BC7BD3"/>
    <w:rsid w:val="00BD05FC"/>
    <w:rsid w:val="00BD0CC2"/>
    <w:rsid w:val="00BD0E66"/>
    <w:rsid w:val="00BD2B8D"/>
    <w:rsid w:val="00BD3558"/>
    <w:rsid w:val="00BD364E"/>
    <w:rsid w:val="00BD3834"/>
    <w:rsid w:val="00BD5923"/>
    <w:rsid w:val="00BD6750"/>
    <w:rsid w:val="00BD7018"/>
    <w:rsid w:val="00BD7A6B"/>
    <w:rsid w:val="00BD7D58"/>
    <w:rsid w:val="00BD7DD0"/>
    <w:rsid w:val="00BE0493"/>
    <w:rsid w:val="00BE0BF7"/>
    <w:rsid w:val="00BE5319"/>
    <w:rsid w:val="00BE7D76"/>
    <w:rsid w:val="00BF1FE0"/>
    <w:rsid w:val="00BF2B2C"/>
    <w:rsid w:val="00BF4316"/>
    <w:rsid w:val="00BF4442"/>
    <w:rsid w:val="00BF487A"/>
    <w:rsid w:val="00BF5642"/>
    <w:rsid w:val="00BF640F"/>
    <w:rsid w:val="00BF7129"/>
    <w:rsid w:val="00BF7B50"/>
    <w:rsid w:val="00C0042B"/>
    <w:rsid w:val="00C0048C"/>
    <w:rsid w:val="00C00706"/>
    <w:rsid w:val="00C014BB"/>
    <w:rsid w:val="00C033E7"/>
    <w:rsid w:val="00C04166"/>
    <w:rsid w:val="00C07DF4"/>
    <w:rsid w:val="00C10836"/>
    <w:rsid w:val="00C11FD0"/>
    <w:rsid w:val="00C122BA"/>
    <w:rsid w:val="00C12D78"/>
    <w:rsid w:val="00C133B2"/>
    <w:rsid w:val="00C14DDE"/>
    <w:rsid w:val="00C15234"/>
    <w:rsid w:val="00C15A52"/>
    <w:rsid w:val="00C15E83"/>
    <w:rsid w:val="00C1632D"/>
    <w:rsid w:val="00C170C0"/>
    <w:rsid w:val="00C1745D"/>
    <w:rsid w:val="00C17DE9"/>
    <w:rsid w:val="00C204A6"/>
    <w:rsid w:val="00C2197D"/>
    <w:rsid w:val="00C22215"/>
    <w:rsid w:val="00C22DAC"/>
    <w:rsid w:val="00C2352A"/>
    <w:rsid w:val="00C23BD1"/>
    <w:rsid w:val="00C2428F"/>
    <w:rsid w:val="00C27A3C"/>
    <w:rsid w:val="00C300E4"/>
    <w:rsid w:val="00C303A9"/>
    <w:rsid w:val="00C3054C"/>
    <w:rsid w:val="00C306A7"/>
    <w:rsid w:val="00C30CD3"/>
    <w:rsid w:val="00C31569"/>
    <w:rsid w:val="00C318E1"/>
    <w:rsid w:val="00C31905"/>
    <w:rsid w:val="00C31AF7"/>
    <w:rsid w:val="00C32CBE"/>
    <w:rsid w:val="00C33CFA"/>
    <w:rsid w:val="00C344E9"/>
    <w:rsid w:val="00C350E4"/>
    <w:rsid w:val="00C35F90"/>
    <w:rsid w:val="00C36464"/>
    <w:rsid w:val="00C36BFD"/>
    <w:rsid w:val="00C37EE5"/>
    <w:rsid w:val="00C424C9"/>
    <w:rsid w:val="00C42588"/>
    <w:rsid w:val="00C43146"/>
    <w:rsid w:val="00C443EA"/>
    <w:rsid w:val="00C446A9"/>
    <w:rsid w:val="00C449C8"/>
    <w:rsid w:val="00C451D8"/>
    <w:rsid w:val="00C4636A"/>
    <w:rsid w:val="00C46400"/>
    <w:rsid w:val="00C4663F"/>
    <w:rsid w:val="00C46EF6"/>
    <w:rsid w:val="00C50155"/>
    <w:rsid w:val="00C51EEC"/>
    <w:rsid w:val="00C52CB2"/>
    <w:rsid w:val="00C52ED2"/>
    <w:rsid w:val="00C534E6"/>
    <w:rsid w:val="00C53AD3"/>
    <w:rsid w:val="00C5464B"/>
    <w:rsid w:val="00C549F3"/>
    <w:rsid w:val="00C55A51"/>
    <w:rsid w:val="00C55A71"/>
    <w:rsid w:val="00C56333"/>
    <w:rsid w:val="00C56709"/>
    <w:rsid w:val="00C571E4"/>
    <w:rsid w:val="00C608B8"/>
    <w:rsid w:val="00C610FD"/>
    <w:rsid w:val="00C630AB"/>
    <w:rsid w:val="00C632AD"/>
    <w:rsid w:val="00C6348B"/>
    <w:rsid w:val="00C63620"/>
    <w:rsid w:val="00C66BC5"/>
    <w:rsid w:val="00C67434"/>
    <w:rsid w:val="00C704AA"/>
    <w:rsid w:val="00C71652"/>
    <w:rsid w:val="00C7184D"/>
    <w:rsid w:val="00C72DC0"/>
    <w:rsid w:val="00C73DD6"/>
    <w:rsid w:val="00C76AC4"/>
    <w:rsid w:val="00C773B8"/>
    <w:rsid w:val="00C779B2"/>
    <w:rsid w:val="00C77F54"/>
    <w:rsid w:val="00C80798"/>
    <w:rsid w:val="00C808A4"/>
    <w:rsid w:val="00C80921"/>
    <w:rsid w:val="00C818BD"/>
    <w:rsid w:val="00C81B55"/>
    <w:rsid w:val="00C81F56"/>
    <w:rsid w:val="00C822E1"/>
    <w:rsid w:val="00C82687"/>
    <w:rsid w:val="00C829D0"/>
    <w:rsid w:val="00C82A5B"/>
    <w:rsid w:val="00C83033"/>
    <w:rsid w:val="00C8517B"/>
    <w:rsid w:val="00C85340"/>
    <w:rsid w:val="00C85CAB"/>
    <w:rsid w:val="00C85F05"/>
    <w:rsid w:val="00C865A9"/>
    <w:rsid w:val="00C86D6A"/>
    <w:rsid w:val="00C872A0"/>
    <w:rsid w:val="00C877FF"/>
    <w:rsid w:val="00C90EE5"/>
    <w:rsid w:val="00C93677"/>
    <w:rsid w:val="00C93FE6"/>
    <w:rsid w:val="00C94B62"/>
    <w:rsid w:val="00C94FA3"/>
    <w:rsid w:val="00C9589E"/>
    <w:rsid w:val="00C95F1F"/>
    <w:rsid w:val="00C95FC8"/>
    <w:rsid w:val="00C97809"/>
    <w:rsid w:val="00C97DDC"/>
    <w:rsid w:val="00CA1905"/>
    <w:rsid w:val="00CA2A84"/>
    <w:rsid w:val="00CA396C"/>
    <w:rsid w:val="00CA3D17"/>
    <w:rsid w:val="00CA3FFE"/>
    <w:rsid w:val="00CA5380"/>
    <w:rsid w:val="00CA5410"/>
    <w:rsid w:val="00CA5C2E"/>
    <w:rsid w:val="00CA61D3"/>
    <w:rsid w:val="00CA7989"/>
    <w:rsid w:val="00CA7FB7"/>
    <w:rsid w:val="00CB04A3"/>
    <w:rsid w:val="00CB0B25"/>
    <w:rsid w:val="00CB1B3B"/>
    <w:rsid w:val="00CB24B5"/>
    <w:rsid w:val="00CB2AB5"/>
    <w:rsid w:val="00CB2BA8"/>
    <w:rsid w:val="00CB32D4"/>
    <w:rsid w:val="00CB5186"/>
    <w:rsid w:val="00CB5257"/>
    <w:rsid w:val="00CB52E3"/>
    <w:rsid w:val="00CB540B"/>
    <w:rsid w:val="00CB5442"/>
    <w:rsid w:val="00CB7600"/>
    <w:rsid w:val="00CB7EC5"/>
    <w:rsid w:val="00CB7ED3"/>
    <w:rsid w:val="00CB7F88"/>
    <w:rsid w:val="00CC014E"/>
    <w:rsid w:val="00CC1054"/>
    <w:rsid w:val="00CC1803"/>
    <w:rsid w:val="00CC187F"/>
    <w:rsid w:val="00CC22A8"/>
    <w:rsid w:val="00CC4104"/>
    <w:rsid w:val="00CC4C6A"/>
    <w:rsid w:val="00CC665E"/>
    <w:rsid w:val="00CC6E87"/>
    <w:rsid w:val="00CC7155"/>
    <w:rsid w:val="00CC79E0"/>
    <w:rsid w:val="00CD00AE"/>
    <w:rsid w:val="00CD011B"/>
    <w:rsid w:val="00CD059B"/>
    <w:rsid w:val="00CD1748"/>
    <w:rsid w:val="00CD1DDC"/>
    <w:rsid w:val="00CD251B"/>
    <w:rsid w:val="00CD49FE"/>
    <w:rsid w:val="00CD5E06"/>
    <w:rsid w:val="00CD5F98"/>
    <w:rsid w:val="00CD65E6"/>
    <w:rsid w:val="00CD670F"/>
    <w:rsid w:val="00CD7A26"/>
    <w:rsid w:val="00CD7E80"/>
    <w:rsid w:val="00CE0290"/>
    <w:rsid w:val="00CE0BF0"/>
    <w:rsid w:val="00CE0EF4"/>
    <w:rsid w:val="00CE0FA9"/>
    <w:rsid w:val="00CE1258"/>
    <w:rsid w:val="00CE24B0"/>
    <w:rsid w:val="00CE2BEB"/>
    <w:rsid w:val="00CE3842"/>
    <w:rsid w:val="00CE3DDF"/>
    <w:rsid w:val="00CE4203"/>
    <w:rsid w:val="00CE4774"/>
    <w:rsid w:val="00CE4800"/>
    <w:rsid w:val="00CE57AA"/>
    <w:rsid w:val="00CE7F54"/>
    <w:rsid w:val="00CF0BB6"/>
    <w:rsid w:val="00CF2BA3"/>
    <w:rsid w:val="00CF317C"/>
    <w:rsid w:val="00CF3423"/>
    <w:rsid w:val="00CF451C"/>
    <w:rsid w:val="00CF4C38"/>
    <w:rsid w:val="00CF504D"/>
    <w:rsid w:val="00CF57EA"/>
    <w:rsid w:val="00D00330"/>
    <w:rsid w:val="00D0089D"/>
    <w:rsid w:val="00D00FD6"/>
    <w:rsid w:val="00D012B0"/>
    <w:rsid w:val="00D01BA1"/>
    <w:rsid w:val="00D027E6"/>
    <w:rsid w:val="00D02E83"/>
    <w:rsid w:val="00D03079"/>
    <w:rsid w:val="00D03616"/>
    <w:rsid w:val="00D03F7E"/>
    <w:rsid w:val="00D0562E"/>
    <w:rsid w:val="00D05841"/>
    <w:rsid w:val="00D05BE0"/>
    <w:rsid w:val="00D05D30"/>
    <w:rsid w:val="00D05F8E"/>
    <w:rsid w:val="00D07BB7"/>
    <w:rsid w:val="00D10BDF"/>
    <w:rsid w:val="00D110CF"/>
    <w:rsid w:val="00D1186B"/>
    <w:rsid w:val="00D11A82"/>
    <w:rsid w:val="00D11C10"/>
    <w:rsid w:val="00D12DCB"/>
    <w:rsid w:val="00D132FA"/>
    <w:rsid w:val="00D13929"/>
    <w:rsid w:val="00D13BB1"/>
    <w:rsid w:val="00D144D9"/>
    <w:rsid w:val="00D1582D"/>
    <w:rsid w:val="00D15D33"/>
    <w:rsid w:val="00D1749C"/>
    <w:rsid w:val="00D17D2A"/>
    <w:rsid w:val="00D202A1"/>
    <w:rsid w:val="00D20CE3"/>
    <w:rsid w:val="00D214C1"/>
    <w:rsid w:val="00D228CE"/>
    <w:rsid w:val="00D22A6B"/>
    <w:rsid w:val="00D22BED"/>
    <w:rsid w:val="00D23477"/>
    <w:rsid w:val="00D23754"/>
    <w:rsid w:val="00D24728"/>
    <w:rsid w:val="00D25027"/>
    <w:rsid w:val="00D254BA"/>
    <w:rsid w:val="00D276EA"/>
    <w:rsid w:val="00D305E7"/>
    <w:rsid w:val="00D31519"/>
    <w:rsid w:val="00D31E7C"/>
    <w:rsid w:val="00D3250A"/>
    <w:rsid w:val="00D32C28"/>
    <w:rsid w:val="00D3428F"/>
    <w:rsid w:val="00D3493F"/>
    <w:rsid w:val="00D34D18"/>
    <w:rsid w:val="00D35071"/>
    <w:rsid w:val="00D36015"/>
    <w:rsid w:val="00D37B8F"/>
    <w:rsid w:val="00D37D8A"/>
    <w:rsid w:val="00D40574"/>
    <w:rsid w:val="00D418A4"/>
    <w:rsid w:val="00D41A52"/>
    <w:rsid w:val="00D44789"/>
    <w:rsid w:val="00D45B6C"/>
    <w:rsid w:val="00D46800"/>
    <w:rsid w:val="00D46C7E"/>
    <w:rsid w:val="00D46D6E"/>
    <w:rsid w:val="00D4786B"/>
    <w:rsid w:val="00D50357"/>
    <w:rsid w:val="00D50B41"/>
    <w:rsid w:val="00D50E0E"/>
    <w:rsid w:val="00D519B7"/>
    <w:rsid w:val="00D51B0C"/>
    <w:rsid w:val="00D51D7E"/>
    <w:rsid w:val="00D51FF1"/>
    <w:rsid w:val="00D53521"/>
    <w:rsid w:val="00D54C49"/>
    <w:rsid w:val="00D55598"/>
    <w:rsid w:val="00D557BF"/>
    <w:rsid w:val="00D56517"/>
    <w:rsid w:val="00D571B4"/>
    <w:rsid w:val="00D60A29"/>
    <w:rsid w:val="00D60C9C"/>
    <w:rsid w:val="00D6289E"/>
    <w:rsid w:val="00D6337A"/>
    <w:rsid w:val="00D63C8B"/>
    <w:rsid w:val="00D641D6"/>
    <w:rsid w:val="00D65888"/>
    <w:rsid w:val="00D66301"/>
    <w:rsid w:val="00D701DD"/>
    <w:rsid w:val="00D70B1F"/>
    <w:rsid w:val="00D717AD"/>
    <w:rsid w:val="00D72659"/>
    <w:rsid w:val="00D72C6E"/>
    <w:rsid w:val="00D72DDD"/>
    <w:rsid w:val="00D7419B"/>
    <w:rsid w:val="00D742B5"/>
    <w:rsid w:val="00D80209"/>
    <w:rsid w:val="00D80397"/>
    <w:rsid w:val="00D80463"/>
    <w:rsid w:val="00D8047B"/>
    <w:rsid w:val="00D81445"/>
    <w:rsid w:val="00D82509"/>
    <w:rsid w:val="00D825EA"/>
    <w:rsid w:val="00D82A17"/>
    <w:rsid w:val="00D83995"/>
    <w:rsid w:val="00D83CC0"/>
    <w:rsid w:val="00D83D8F"/>
    <w:rsid w:val="00D83DCA"/>
    <w:rsid w:val="00D845B1"/>
    <w:rsid w:val="00D84607"/>
    <w:rsid w:val="00D84901"/>
    <w:rsid w:val="00D85D0B"/>
    <w:rsid w:val="00D86250"/>
    <w:rsid w:val="00D8651C"/>
    <w:rsid w:val="00D86879"/>
    <w:rsid w:val="00D87E6A"/>
    <w:rsid w:val="00D87EFC"/>
    <w:rsid w:val="00D9071F"/>
    <w:rsid w:val="00D91654"/>
    <w:rsid w:val="00D92B0A"/>
    <w:rsid w:val="00D95665"/>
    <w:rsid w:val="00D95793"/>
    <w:rsid w:val="00D962D2"/>
    <w:rsid w:val="00D96D6A"/>
    <w:rsid w:val="00D96F97"/>
    <w:rsid w:val="00D972DC"/>
    <w:rsid w:val="00D97481"/>
    <w:rsid w:val="00D97C66"/>
    <w:rsid w:val="00DA10A4"/>
    <w:rsid w:val="00DA1A8F"/>
    <w:rsid w:val="00DA1B90"/>
    <w:rsid w:val="00DA2204"/>
    <w:rsid w:val="00DA2770"/>
    <w:rsid w:val="00DA3DE8"/>
    <w:rsid w:val="00DA42B5"/>
    <w:rsid w:val="00DA44B2"/>
    <w:rsid w:val="00DA5B20"/>
    <w:rsid w:val="00DA6657"/>
    <w:rsid w:val="00DA70B4"/>
    <w:rsid w:val="00DA78F5"/>
    <w:rsid w:val="00DB06F8"/>
    <w:rsid w:val="00DB0CC6"/>
    <w:rsid w:val="00DB32BF"/>
    <w:rsid w:val="00DB3ABE"/>
    <w:rsid w:val="00DB48E4"/>
    <w:rsid w:val="00DB5B03"/>
    <w:rsid w:val="00DB6078"/>
    <w:rsid w:val="00DB63A4"/>
    <w:rsid w:val="00DB76D9"/>
    <w:rsid w:val="00DB7758"/>
    <w:rsid w:val="00DB7A60"/>
    <w:rsid w:val="00DC0E99"/>
    <w:rsid w:val="00DC1559"/>
    <w:rsid w:val="00DC162F"/>
    <w:rsid w:val="00DC21A8"/>
    <w:rsid w:val="00DC2E09"/>
    <w:rsid w:val="00DC330A"/>
    <w:rsid w:val="00DC4A62"/>
    <w:rsid w:val="00DC5F4E"/>
    <w:rsid w:val="00DC6A5E"/>
    <w:rsid w:val="00DC7221"/>
    <w:rsid w:val="00DC7D77"/>
    <w:rsid w:val="00DD0EC1"/>
    <w:rsid w:val="00DD0F62"/>
    <w:rsid w:val="00DD1B3A"/>
    <w:rsid w:val="00DD20B7"/>
    <w:rsid w:val="00DD233A"/>
    <w:rsid w:val="00DD254F"/>
    <w:rsid w:val="00DD2820"/>
    <w:rsid w:val="00DD2DA7"/>
    <w:rsid w:val="00DD4ABA"/>
    <w:rsid w:val="00DD5002"/>
    <w:rsid w:val="00DD54CA"/>
    <w:rsid w:val="00DD57EB"/>
    <w:rsid w:val="00DD5DE3"/>
    <w:rsid w:val="00DD5F50"/>
    <w:rsid w:val="00DD7206"/>
    <w:rsid w:val="00DD7D54"/>
    <w:rsid w:val="00DD7D90"/>
    <w:rsid w:val="00DE04F8"/>
    <w:rsid w:val="00DE096C"/>
    <w:rsid w:val="00DE1FFC"/>
    <w:rsid w:val="00DE2D03"/>
    <w:rsid w:val="00DE31A2"/>
    <w:rsid w:val="00DE347C"/>
    <w:rsid w:val="00DE368D"/>
    <w:rsid w:val="00DE38DF"/>
    <w:rsid w:val="00DE3B47"/>
    <w:rsid w:val="00DE3D20"/>
    <w:rsid w:val="00DE4028"/>
    <w:rsid w:val="00DE43D9"/>
    <w:rsid w:val="00DE6685"/>
    <w:rsid w:val="00DE6CFB"/>
    <w:rsid w:val="00DE7017"/>
    <w:rsid w:val="00DE76B9"/>
    <w:rsid w:val="00DF0540"/>
    <w:rsid w:val="00DF1356"/>
    <w:rsid w:val="00DF24FF"/>
    <w:rsid w:val="00DF3920"/>
    <w:rsid w:val="00DF505B"/>
    <w:rsid w:val="00DF585C"/>
    <w:rsid w:val="00DF631B"/>
    <w:rsid w:val="00DF78FB"/>
    <w:rsid w:val="00E005BB"/>
    <w:rsid w:val="00E006CC"/>
    <w:rsid w:val="00E016D2"/>
    <w:rsid w:val="00E019D5"/>
    <w:rsid w:val="00E02095"/>
    <w:rsid w:val="00E0496A"/>
    <w:rsid w:val="00E04989"/>
    <w:rsid w:val="00E0508E"/>
    <w:rsid w:val="00E05350"/>
    <w:rsid w:val="00E05851"/>
    <w:rsid w:val="00E07B62"/>
    <w:rsid w:val="00E07EE1"/>
    <w:rsid w:val="00E11F9C"/>
    <w:rsid w:val="00E125C6"/>
    <w:rsid w:val="00E133B2"/>
    <w:rsid w:val="00E14FB3"/>
    <w:rsid w:val="00E162B6"/>
    <w:rsid w:val="00E17223"/>
    <w:rsid w:val="00E1739F"/>
    <w:rsid w:val="00E1762B"/>
    <w:rsid w:val="00E17C29"/>
    <w:rsid w:val="00E24AAC"/>
    <w:rsid w:val="00E25779"/>
    <w:rsid w:val="00E258BC"/>
    <w:rsid w:val="00E25EE0"/>
    <w:rsid w:val="00E25FA3"/>
    <w:rsid w:val="00E30C19"/>
    <w:rsid w:val="00E3116D"/>
    <w:rsid w:val="00E31FCB"/>
    <w:rsid w:val="00E37352"/>
    <w:rsid w:val="00E37663"/>
    <w:rsid w:val="00E3787C"/>
    <w:rsid w:val="00E37E61"/>
    <w:rsid w:val="00E40652"/>
    <w:rsid w:val="00E419EF"/>
    <w:rsid w:val="00E42863"/>
    <w:rsid w:val="00E43E68"/>
    <w:rsid w:val="00E45273"/>
    <w:rsid w:val="00E454E2"/>
    <w:rsid w:val="00E458FF"/>
    <w:rsid w:val="00E46472"/>
    <w:rsid w:val="00E4679F"/>
    <w:rsid w:val="00E46890"/>
    <w:rsid w:val="00E46E66"/>
    <w:rsid w:val="00E4721E"/>
    <w:rsid w:val="00E4787F"/>
    <w:rsid w:val="00E50592"/>
    <w:rsid w:val="00E50A96"/>
    <w:rsid w:val="00E50ECC"/>
    <w:rsid w:val="00E51F18"/>
    <w:rsid w:val="00E523AE"/>
    <w:rsid w:val="00E52E82"/>
    <w:rsid w:val="00E52F76"/>
    <w:rsid w:val="00E537FF"/>
    <w:rsid w:val="00E53E0C"/>
    <w:rsid w:val="00E556FA"/>
    <w:rsid w:val="00E557C1"/>
    <w:rsid w:val="00E565FB"/>
    <w:rsid w:val="00E56885"/>
    <w:rsid w:val="00E56AC9"/>
    <w:rsid w:val="00E5760E"/>
    <w:rsid w:val="00E5772D"/>
    <w:rsid w:val="00E577BF"/>
    <w:rsid w:val="00E57D87"/>
    <w:rsid w:val="00E60AD2"/>
    <w:rsid w:val="00E60DC6"/>
    <w:rsid w:val="00E62F05"/>
    <w:rsid w:val="00E62F7B"/>
    <w:rsid w:val="00E63083"/>
    <w:rsid w:val="00E6564A"/>
    <w:rsid w:val="00E65DDE"/>
    <w:rsid w:val="00E66305"/>
    <w:rsid w:val="00E669C4"/>
    <w:rsid w:val="00E66EAD"/>
    <w:rsid w:val="00E6740C"/>
    <w:rsid w:val="00E70DF0"/>
    <w:rsid w:val="00E70E21"/>
    <w:rsid w:val="00E70FCB"/>
    <w:rsid w:val="00E71027"/>
    <w:rsid w:val="00E71691"/>
    <w:rsid w:val="00E71D99"/>
    <w:rsid w:val="00E72466"/>
    <w:rsid w:val="00E7282F"/>
    <w:rsid w:val="00E72ED0"/>
    <w:rsid w:val="00E73F62"/>
    <w:rsid w:val="00E75769"/>
    <w:rsid w:val="00E759AB"/>
    <w:rsid w:val="00E75ACD"/>
    <w:rsid w:val="00E76ADF"/>
    <w:rsid w:val="00E77F65"/>
    <w:rsid w:val="00E81AA1"/>
    <w:rsid w:val="00E821BF"/>
    <w:rsid w:val="00E82AA4"/>
    <w:rsid w:val="00E835E9"/>
    <w:rsid w:val="00E840AA"/>
    <w:rsid w:val="00E85252"/>
    <w:rsid w:val="00E85665"/>
    <w:rsid w:val="00E858C0"/>
    <w:rsid w:val="00E8692D"/>
    <w:rsid w:val="00E87299"/>
    <w:rsid w:val="00E909DF"/>
    <w:rsid w:val="00E90EE0"/>
    <w:rsid w:val="00E92647"/>
    <w:rsid w:val="00E93256"/>
    <w:rsid w:val="00E940B0"/>
    <w:rsid w:val="00E95510"/>
    <w:rsid w:val="00E95FC7"/>
    <w:rsid w:val="00E96E1E"/>
    <w:rsid w:val="00EA120A"/>
    <w:rsid w:val="00EA1480"/>
    <w:rsid w:val="00EA2ABA"/>
    <w:rsid w:val="00EA2E7A"/>
    <w:rsid w:val="00EA3BAC"/>
    <w:rsid w:val="00EA5046"/>
    <w:rsid w:val="00EA546C"/>
    <w:rsid w:val="00EA5653"/>
    <w:rsid w:val="00EA5B26"/>
    <w:rsid w:val="00EA5B42"/>
    <w:rsid w:val="00EA70FF"/>
    <w:rsid w:val="00EA71E0"/>
    <w:rsid w:val="00EA76CE"/>
    <w:rsid w:val="00EA7911"/>
    <w:rsid w:val="00EA7C36"/>
    <w:rsid w:val="00EA7F30"/>
    <w:rsid w:val="00EB0C64"/>
    <w:rsid w:val="00EB1EB7"/>
    <w:rsid w:val="00EB264B"/>
    <w:rsid w:val="00EB30C9"/>
    <w:rsid w:val="00EB31F4"/>
    <w:rsid w:val="00EB37BB"/>
    <w:rsid w:val="00EB4370"/>
    <w:rsid w:val="00EB5199"/>
    <w:rsid w:val="00EB5A71"/>
    <w:rsid w:val="00EB63D2"/>
    <w:rsid w:val="00EB6D36"/>
    <w:rsid w:val="00EB7F90"/>
    <w:rsid w:val="00EC1B36"/>
    <w:rsid w:val="00EC26B0"/>
    <w:rsid w:val="00EC297D"/>
    <w:rsid w:val="00EC2D8D"/>
    <w:rsid w:val="00EC3897"/>
    <w:rsid w:val="00EC3E42"/>
    <w:rsid w:val="00EC4FED"/>
    <w:rsid w:val="00EC5A36"/>
    <w:rsid w:val="00EC650E"/>
    <w:rsid w:val="00EC6B24"/>
    <w:rsid w:val="00EC7073"/>
    <w:rsid w:val="00ED1876"/>
    <w:rsid w:val="00ED19B6"/>
    <w:rsid w:val="00ED246F"/>
    <w:rsid w:val="00ED3388"/>
    <w:rsid w:val="00ED3920"/>
    <w:rsid w:val="00ED440C"/>
    <w:rsid w:val="00ED6F8F"/>
    <w:rsid w:val="00ED703D"/>
    <w:rsid w:val="00ED7E83"/>
    <w:rsid w:val="00EE1261"/>
    <w:rsid w:val="00EE15CE"/>
    <w:rsid w:val="00EE1C69"/>
    <w:rsid w:val="00EE2BC4"/>
    <w:rsid w:val="00EE3379"/>
    <w:rsid w:val="00EE3606"/>
    <w:rsid w:val="00EE466B"/>
    <w:rsid w:val="00EE52D6"/>
    <w:rsid w:val="00EE5DA4"/>
    <w:rsid w:val="00EE73F5"/>
    <w:rsid w:val="00EE77F7"/>
    <w:rsid w:val="00EE7DB4"/>
    <w:rsid w:val="00EF0435"/>
    <w:rsid w:val="00EF11AE"/>
    <w:rsid w:val="00EF1969"/>
    <w:rsid w:val="00EF2589"/>
    <w:rsid w:val="00EF25EC"/>
    <w:rsid w:val="00EF34B9"/>
    <w:rsid w:val="00EF383F"/>
    <w:rsid w:val="00EF573C"/>
    <w:rsid w:val="00EF6541"/>
    <w:rsid w:val="00EF777B"/>
    <w:rsid w:val="00F02B7B"/>
    <w:rsid w:val="00F02BEB"/>
    <w:rsid w:val="00F0311C"/>
    <w:rsid w:val="00F05C07"/>
    <w:rsid w:val="00F05CFD"/>
    <w:rsid w:val="00F0678A"/>
    <w:rsid w:val="00F074BF"/>
    <w:rsid w:val="00F077A8"/>
    <w:rsid w:val="00F07B5E"/>
    <w:rsid w:val="00F102CD"/>
    <w:rsid w:val="00F1048B"/>
    <w:rsid w:val="00F10951"/>
    <w:rsid w:val="00F10B61"/>
    <w:rsid w:val="00F142FD"/>
    <w:rsid w:val="00F14AF4"/>
    <w:rsid w:val="00F17066"/>
    <w:rsid w:val="00F177C2"/>
    <w:rsid w:val="00F20167"/>
    <w:rsid w:val="00F201B9"/>
    <w:rsid w:val="00F2121E"/>
    <w:rsid w:val="00F21A48"/>
    <w:rsid w:val="00F21F56"/>
    <w:rsid w:val="00F23EDB"/>
    <w:rsid w:val="00F24E6F"/>
    <w:rsid w:val="00F25BBC"/>
    <w:rsid w:val="00F26294"/>
    <w:rsid w:val="00F27A7A"/>
    <w:rsid w:val="00F30B2F"/>
    <w:rsid w:val="00F310A8"/>
    <w:rsid w:val="00F31BDD"/>
    <w:rsid w:val="00F32963"/>
    <w:rsid w:val="00F33213"/>
    <w:rsid w:val="00F33550"/>
    <w:rsid w:val="00F338E7"/>
    <w:rsid w:val="00F33973"/>
    <w:rsid w:val="00F34F15"/>
    <w:rsid w:val="00F35000"/>
    <w:rsid w:val="00F35F68"/>
    <w:rsid w:val="00F36B3C"/>
    <w:rsid w:val="00F3765A"/>
    <w:rsid w:val="00F40E31"/>
    <w:rsid w:val="00F42E3D"/>
    <w:rsid w:val="00F5030C"/>
    <w:rsid w:val="00F517DF"/>
    <w:rsid w:val="00F519F0"/>
    <w:rsid w:val="00F5208F"/>
    <w:rsid w:val="00F52C95"/>
    <w:rsid w:val="00F5315D"/>
    <w:rsid w:val="00F5367B"/>
    <w:rsid w:val="00F5387B"/>
    <w:rsid w:val="00F5467E"/>
    <w:rsid w:val="00F54BA5"/>
    <w:rsid w:val="00F54FF0"/>
    <w:rsid w:val="00F57CFE"/>
    <w:rsid w:val="00F60902"/>
    <w:rsid w:val="00F60A49"/>
    <w:rsid w:val="00F60F45"/>
    <w:rsid w:val="00F63864"/>
    <w:rsid w:val="00F638C3"/>
    <w:rsid w:val="00F639B6"/>
    <w:rsid w:val="00F6403E"/>
    <w:rsid w:val="00F6407E"/>
    <w:rsid w:val="00F64C92"/>
    <w:rsid w:val="00F66AFB"/>
    <w:rsid w:val="00F66D2D"/>
    <w:rsid w:val="00F71596"/>
    <w:rsid w:val="00F71855"/>
    <w:rsid w:val="00F7399D"/>
    <w:rsid w:val="00F73E5E"/>
    <w:rsid w:val="00F744CB"/>
    <w:rsid w:val="00F74C40"/>
    <w:rsid w:val="00F75BA0"/>
    <w:rsid w:val="00F75C4A"/>
    <w:rsid w:val="00F76033"/>
    <w:rsid w:val="00F764B5"/>
    <w:rsid w:val="00F7699A"/>
    <w:rsid w:val="00F76ACB"/>
    <w:rsid w:val="00F76CC4"/>
    <w:rsid w:val="00F8252F"/>
    <w:rsid w:val="00F8391F"/>
    <w:rsid w:val="00F83B13"/>
    <w:rsid w:val="00F84339"/>
    <w:rsid w:val="00F846A9"/>
    <w:rsid w:val="00F85152"/>
    <w:rsid w:val="00F853B4"/>
    <w:rsid w:val="00F856E9"/>
    <w:rsid w:val="00F862D0"/>
    <w:rsid w:val="00F86355"/>
    <w:rsid w:val="00F869A4"/>
    <w:rsid w:val="00F8720F"/>
    <w:rsid w:val="00F8746C"/>
    <w:rsid w:val="00F90909"/>
    <w:rsid w:val="00F93069"/>
    <w:rsid w:val="00F931B1"/>
    <w:rsid w:val="00F93B5C"/>
    <w:rsid w:val="00F94116"/>
    <w:rsid w:val="00F95126"/>
    <w:rsid w:val="00F95B7B"/>
    <w:rsid w:val="00F95D6A"/>
    <w:rsid w:val="00F962F3"/>
    <w:rsid w:val="00F96371"/>
    <w:rsid w:val="00F96718"/>
    <w:rsid w:val="00F97F2A"/>
    <w:rsid w:val="00FA04AD"/>
    <w:rsid w:val="00FA12BB"/>
    <w:rsid w:val="00FA18D2"/>
    <w:rsid w:val="00FA19CC"/>
    <w:rsid w:val="00FA1DC6"/>
    <w:rsid w:val="00FA2035"/>
    <w:rsid w:val="00FA296B"/>
    <w:rsid w:val="00FA2C37"/>
    <w:rsid w:val="00FA397D"/>
    <w:rsid w:val="00FA3AA6"/>
    <w:rsid w:val="00FA41CF"/>
    <w:rsid w:val="00FA467D"/>
    <w:rsid w:val="00FA4E44"/>
    <w:rsid w:val="00FA62B6"/>
    <w:rsid w:val="00FA64C1"/>
    <w:rsid w:val="00FA69A5"/>
    <w:rsid w:val="00FA6B86"/>
    <w:rsid w:val="00FA759D"/>
    <w:rsid w:val="00FB127E"/>
    <w:rsid w:val="00FB2C32"/>
    <w:rsid w:val="00FB37FF"/>
    <w:rsid w:val="00FB38D2"/>
    <w:rsid w:val="00FB5436"/>
    <w:rsid w:val="00FB57A6"/>
    <w:rsid w:val="00FB5905"/>
    <w:rsid w:val="00FB5E1D"/>
    <w:rsid w:val="00FB6892"/>
    <w:rsid w:val="00FC0250"/>
    <w:rsid w:val="00FC0D89"/>
    <w:rsid w:val="00FC0FA3"/>
    <w:rsid w:val="00FC0FC1"/>
    <w:rsid w:val="00FC1E77"/>
    <w:rsid w:val="00FC41C1"/>
    <w:rsid w:val="00FC4360"/>
    <w:rsid w:val="00FC46E9"/>
    <w:rsid w:val="00FC6328"/>
    <w:rsid w:val="00FC67DA"/>
    <w:rsid w:val="00FC6FB3"/>
    <w:rsid w:val="00FD0112"/>
    <w:rsid w:val="00FD0B7B"/>
    <w:rsid w:val="00FD1451"/>
    <w:rsid w:val="00FD1657"/>
    <w:rsid w:val="00FD1787"/>
    <w:rsid w:val="00FD20F9"/>
    <w:rsid w:val="00FD2772"/>
    <w:rsid w:val="00FD31FF"/>
    <w:rsid w:val="00FD6B45"/>
    <w:rsid w:val="00FD7825"/>
    <w:rsid w:val="00FE00B5"/>
    <w:rsid w:val="00FE027F"/>
    <w:rsid w:val="00FE0CBC"/>
    <w:rsid w:val="00FE0E18"/>
    <w:rsid w:val="00FE2EE5"/>
    <w:rsid w:val="00FE32C0"/>
    <w:rsid w:val="00FE3FBE"/>
    <w:rsid w:val="00FE6F63"/>
    <w:rsid w:val="00FE71B9"/>
    <w:rsid w:val="00FE76F1"/>
    <w:rsid w:val="00FF01BC"/>
    <w:rsid w:val="00FF15AD"/>
    <w:rsid w:val="00FF15DB"/>
    <w:rsid w:val="00FF1675"/>
    <w:rsid w:val="00FF1BB7"/>
    <w:rsid w:val="00FF2778"/>
    <w:rsid w:val="00FF2BC5"/>
    <w:rsid w:val="00FF3188"/>
    <w:rsid w:val="00FF3276"/>
    <w:rsid w:val="00FF347E"/>
    <w:rsid w:val="00FF50FC"/>
    <w:rsid w:val="00FF5228"/>
    <w:rsid w:val="00FF536D"/>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0673BE"/>
  <w15:docId w15:val="{D31880B0-8034-4BE9-A226-EC89A8E3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C2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locked/>
    <w:rsid w:val="00216621"/>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600F93"/>
    <w:pPr>
      <w:keepNext/>
      <w:keepLines/>
      <w:spacing w:before="200"/>
      <w:outlineLvl w:val="1"/>
    </w:pPr>
    <w:rPr>
      <w:rFonts w:ascii="Cambria" w:hAnsi="Cambria"/>
      <w:b/>
      <w:bCs/>
      <w:color w:val="1D1B11" w:themeColor="background2" w:themeShade="1A"/>
      <w:sz w:val="26"/>
      <w:szCs w:val="26"/>
    </w:rPr>
  </w:style>
  <w:style w:type="paragraph" w:styleId="Heading3">
    <w:name w:val="heading 3"/>
    <w:basedOn w:val="Normal"/>
    <w:next w:val="Normal"/>
    <w:link w:val="Heading3Char"/>
    <w:uiPriority w:val="99"/>
    <w:qFormat/>
    <w:locked/>
    <w:rsid w:val="00296B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6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00F93"/>
    <w:rPr>
      <w:rFonts w:ascii="Cambria" w:hAnsi="Cambria"/>
      <w:b/>
      <w:bCs/>
      <w:color w:val="1D1B11" w:themeColor="background2" w:themeShade="1A"/>
      <w:sz w:val="26"/>
      <w:szCs w:val="26"/>
    </w:rPr>
  </w:style>
  <w:style w:type="character" w:customStyle="1" w:styleId="Heading3Char">
    <w:name w:val="Heading 3 Char"/>
    <w:basedOn w:val="DefaultParagraphFont"/>
    <w:link w:val="Heading3"/>
    <w:uiPriority w:val="99"/>
    <w:semiHidden/>
    <w:locked/>
    <w:rsid w:val="00296B1E"/>
    <w:rPr>
      <w:rFonts w:ascii="Cambria" w:hAnsi="Cambria" w:cs="Times New Roman"/>
      <w:b/>
      <w:bCs/>
      <w:color w:val="4F81BD"/>
      <w:sz w:val="24"/>
      <w:szCs w:val="24"/>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99"/>
    <w:rsid w:val="006B4C20"/>
    <w:pPr>
      <w:spacing w:before="120" w:after="120"/>
    </w:pPr>
    <w:rPr>
      <w:rFonts w:ascii="Calibri" w:hAnsi="Calibri" w:cs="Calibri"/>
      <w:b/>
      <w:bCs/>
      <w:caps/>
      <w:sz w:val="20"/>
      <w:szCs w:val="20"/>
    </w:rPr>
  </w:style>
  <w:style w:type="paragraph" w:styleId="TOC2">
    <w:name w:val="toc 2"/>
    <w:basedOn w:val="Normal"/>
    <w:next w:val="Normal"/>
    <w:uiPriority w:val="99"/>
    <w:rsid w:val="006B4C20"/>
    <w:pPr>
      <w:ind w:left="240"/>
    </w:pPr>
    <w:rPr>
      <w:rFonts w:ascii="Calibri" w:hAnsi="Calibri" w:cs="Calibri"/>
      <w:smallCaps/>
      <w:sz w:val="20"/>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9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uiPriority w:val="99"/>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99"/>
    <w:locked/>
    <w:rsid w:val="003C664A"/>
    <w:pPr>
      <w:ind w:left="480"/>
    </w:pPr>
    <w:rPr>
      <w:rFonts w:ascii="Calibri" w:hAnsi="Calibri" w:cs="Calibri"/>
      <w:i/>
      <w:iCs/>
      <w:sz w:val="20"/>
      <w:szCs w:val="20"/>
    </w:rPr>
  </w:style>
  <w:style w:type="paragraph" w:styleId="TOC4">
    <w:name w:val="toc 4"/>
    <w:basedOn w:val="Normal"/>
    <w:next w:val="Normal"/>
    <w:autoRedefine/>
    <w:uiPriority w:val="99"/>
    <w:locked/>
    <w:rsid w:val="003C664A"/>
    <w:pPr>
      <w:ind w:left="720"/>
    </w:pPr>
    <w:rPr>
      <w:rFonts w:ascii="Calibri" w:hAnsi="Calibri" w:cs="Calibri"/>
      <w:sz w:val="18"/>
      <w:szCs w:val="18"/>
    </w:rPr>
  </w:style>
  <w:style w:type="paragraph" w:styleId="TOC5">
    <w:name w:val="toc 5"/>
    <w:basedOn w:val="Normal"/>
    <w:next w:val="Normal"/>
    <w:autoRedefine/>
    <w:uiPriority w:val="99"/>
    <w:locked/>
    <w:rsid w:val="003C664A"/>
    <w:pPr>
      <w:ind w:left="960"/>
    </w:pPr>
    <w:rPr>
      <w:rFonts w:ascii="Calibri" w:hAnsi="Calibri" w:cs="Calibri"/>
      <w:sz w:val="18"/>
      <w:szCs w:val="18"/>
    </w:rPr>
  </w:style>
  <w:style w:type="paragraph" w:styleId="TOC6">
    <w:name w:val="toc 6"/>
    <w:basedOn w:val="Normal"/>
    <w:next w:val="Normal"/>
    <w:autoRedefine/>
    <w:uiPriority w:val="99"/>
    <w:locked/>
    <w:rsid w:val="003C664A"/>
    <w:pPr>
      <w:ind w:left="1200"/>
    </w:pPr>
    <w:rPr>
      <w:rFonts w:ascii="Calibri" w:hAnsi="Calibri" w:cs="Calibri"/>
      <w:sz w:val="18"/>
      <w:szCs w:val="18"/>
    </w:rPr>
  </w:style>
  <w:style w:type="paragraph" w:styleId="TOC7">
    <w:name w:val="toc 7"/>
    <w:basedOn w:val="Normal"/>
    <w:next w:val="Normal"/>
    <w:autoRedefine/>
    <w:uiPriority w:val="99"/>
    <w:locked/>
    <w:rsid w:val="003C664A"/>
    <w:pPr>
      <w:ind w:left="1440"/>
    </w:pPr>
    <w:rPr>
      <w:rFonts w:ascii="Calibri" w:hAnsi="Calibri" w:cs="Calibri"/>
      <w:sz w:val="18"/>
      <w:szCs w:val="18"/>
    </w:rPr>
  </w:style>
  <w:style w:type="paragraph" w:styleId="TOC8">
    <w:name w:val="toc 8"/>
    <w:basedOn w:val="Normal"/>
    <w:next w:val="Normal"/>
    <w:autoRedefine/>
    <w:uiPriority w:val="99"/>
    <w:locked/>
    <w:rsid w:val="003C664A"/>
    <w:pPr>
      <w:ind w:left="1680"/>
    </w:pPr>
    <w:rPr>
      <w:rFonts w:ascii="Calibri" w:hAnsi="Calibri" w:cs="Calibri"/>
      <w:sz w:val="18"/>
      <w:szCs w:val="18"/>
    </w:rPr>
  </w:style>
  <w:style w:type="paragraph" w:styleId="TOC9">
    <w:name w:val="toc 9"/>
    <w:basedOn w:val="Normal"/>
    <w:next w:val="Normal"/>
    <w:autoRedefine/>
    <w:uiPriority w:val="99"/>
    <w:locked/>
    <w:rsid w:val="003C664A"/>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next w:val="GridTable4"/>
    <w:uiPriority w:val="49"/>
    <w:rsid w:val="00FE3FBE"/>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2016-15378"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osha.gov/laws-regs/regulations/standardnumber/1952/1952.2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federalregister.gov/documents/2024/01/11/2024-00253/federal-civil-penalties-inflation-adjustment-act-annual-adjustments-for-2024"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memos/2024-01-08/2024-annual-adjustments-osha-civil-penalties"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ca70b7-b93c-4334-ab56-eeed267698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6" ma:contentTypeDescription="Create a new document." ma:contentTypeScope="" ma:versionID="4dd686ed886b43acdf2a7a4fa1d8bcce">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531b5a9ac4b39e761f20ad90b4341bb3"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16E47-9163-40CF-9A68-E327D58598CD}">
  <ds:schemaRefs>
    <ds:schemaRef ds:uri="http://schemas.microsoft.com/office/2006/metadata/properties"/>
    <ds:schemaRef ds:uri="http://schemas.microsoft.com/office/infopath/2007/PartnerControls"/>
    <ds:schemaRef ds:uri="14ca70b7-b93c-4334-ab56-eeed2676982a"/>
  </ds:schemaRefs>
</ds:datastoreItem>
</file>

<file path=customXml/itemProps2.xml><?xml version="1.0" encoding="utf-8"?>
<ds:datastoreItem xmlns:ds="http://schemas.openxmlformats.org/officeDocument/2006/customXml" ds:itemID="{C1F257A1-7990-4F63-84B6-D0C465A2608C}">
  <ds:schemaRefs>
    <ds:schemaRef ds:uri="http://schemas.microsoft.com/sharepoint/v3/contenttype/forms"/>
  </ds:schemaRefs>
</ds:datastoreItem>
</file>

<file path=customXml/itemProps3.xml><?xml version="1.0" encoding="utf-8"?>
<ds:datastoreItem xmlns:ds="http://schemas.openxmlformats.org/officeDocument/2006/customXml" ds:itemID="{34E6B64E-604D-4855-A04E-56D505A01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99845-78ED-48A3-9E3A-BBC15430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8958</Words>
  <Characters>50555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Gibbs, Danielle - OSHA;dgibbs</dc:creator>
  <cp:lastModifiedBy>Nash, Nancy - OSHA</cp:lastModifiedBy>
  <cp:revision>2</cp:revision>
  <cp:lastPrinted>2019-10-03T16:35:00Z</cp:lastPrinted>
  <dcterms:created xsi:type="dcterms:W3CDTF">2024-06-21T02:08:00Z</dcterms:created>
  <dcterms:modified xsi:type="dcterms:W3CDTF">2024-06-21T02:08:00Z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