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4EBE823" w14:textId="77777777" w:rsidR="0092646E" w:rsidRDefault="0092646E" w:rsidP="003C553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pPr>
      <w:bookmarkStart w:id="0" w:name="AppendixG"/>
      <w:bookmarkEnd w:id="0"/>
    </w:p>
    <w:p w14:paraId="193588F1" w14:textId="77777777" w:rsidR="0092646E" w:rsidRPr="00493E60" w:rsidRDefault="0092646E" w:rsidP="007A71AC">
      <w:pPr>
        <w:tabs>
          <w:tab w:val="left" w:pos="3870"/>
          <w:tab w:val="center" w:pos="4680"/>
        </w:tabs>
        <w:jc w:val="center"/>
        <w:rPr>
          <w:b/>
          <w:bCs/>
          <w:iCs/>
          <w:sz w:val="32"/>
          <w:szCs w:val="32"/>
        </w:rPr>
      </w:pPr>
    </w:p>
    <w:p w14:paraId="35D353B4" w14:textId="2ED3C9CD" w:rsidR="0092646E" w:rsidRPr="00493E60" w:rsidRDefault="0092646E" w:rsidP="007A71AC">
      <w:pPr>
        <w:tabs>
          <w:tab w:val="left" w:pos="3870"/>
          <w:tab w:val="center" w:pos="4680"/>
        </w:tabs>
        <w:jc w:val="center"/>
        <w:rPr>
          <w:b/>
          <w:bCs/>
          <w:iCs/>
          <w:sz w:val="32"/>
          <w:szCs w:val="32"/>
        </w:rPr>
      </w:pPr>
      <w:r w:rsidRPr="00493E60">
        <w:rPr>
          <w:b/>
          <w:bCs/>
          <w:iCs/>
          <w:sz w:val="32"/>
          <w:szCs w:val="32"/>
        </w:rPr>
        <w:t>FY 20</w:t>
      </w:r>
      <w:r w:rsidR="005709D7">
        <w:rPr>
          <w:b/>
          <w:bCs/>
          <w:iCs/>
          <w:sz w:val="32"/>
          <w:szCs w:val="32"/>
        </w:rPr>
        <w:t>23</w:t>
      </w:r>
      <w:r w:rsidR="00833FB6" w:rsidRPr="00493E60">
        <w:rPr>
          <w:b/>
          <w:bCs/>
          <w:iCs/>
          <w:sz w:val="32"/>
          <w:szCs w:val="32"/>
        </w:rPr>
        <w:t xml:space="preserve"> Comprehensive</w:t>
      </w:r>
    </w:p>
    <w:p w14:paraId="073EE52E" w14:textId="77777777" w:rsidR="0092646E" w:rsidRPr="00493E60" w:rsidRDefault="00E51F18" w:rsidP="007A71AC">
      <w:pPr>
        <w:jc w:val="center"/>
        <w:rPr>
          <w:b/>
          <w:bCs/>
          <w:sz w:val="32"/>
          <w:szCs w:val="32"/>
        </w:rPr>
      </w:pPr>
      <w:r>
        <w:rPr>
          <w:b/>
          <w:bCs/>
          <w:sz w:val="32"/>
          <w:szCs w:val="32"/>
        </w:rPr>
        <w:t xml:space="preserve">Federal Annual Monitoring </w:t>
      </w:r>
      <w:r w:rsidR="0092646E" w:rsidRPr="00493E60">
        <w:rPr>
          <w:b/>
          <w:bCs/>
          <w:sz w:val="32"/>
          <w:szCs w:val="32"/>
        </w:rPr>
        <w:t>Evaluation (FAME) Report</w:t>
      </w:r>
    </w:p>
    <w:p w14:paraId="12EABF73" w14:textId="77777777" w:rsidR="0092646E" w:rsidRPr="007651EA" w:rsidRDefault="0092646E" w:rsidP="007A71AC">
      <w:pPr>
        <w:jc w:val="center"/>
      </w:pPr>
    </w:p>
    <w:p w14:paraId="52BF58EC" w14:textId="77777777" w:rsidR="0092646E" w:rsidRPr="007651EA" w:rsidRDefault="0092646E" w:rsidP="007A71AC">
      <w:pPr>
        <w:jc w:val="center"/>
      </w:pPr>
    </w:p>
    <w:p w14:paraId="11C32DC7" w14:textId="77777777" w:rsidR="0092646E" w:rsidRPr="007651EA" w:rsidRDefault="0092646E" w:rsidP="007A71AC">
      <w:pPr>
        <w:jc w:val="center"/>
        <w:rPr>
          <w:b/>
        </w:rPr>
      </w:pPr>
    </w:p>
    <w:p w14:paraId="40A4594F" w14:textId="77777777" w:rsidR="005709D7" w:rsidRPr="005709D7" w:rsidRDefault="005709D7" w:rsidP="005709D7">
      <w:pPr>
        <w:jc w:val="center"/>
        <w:rPr>
          <w:bCs/>
          <w:sz w:val="28"/>
          <w:szCs w:val="28"/>
        </w:rPr>
      </w:pPr>
      <w:r w:rsidRPr="005709D7">
        <w:rPr>
          <w:bCs/>
          <w:sz w:val="28"/>
          <w:szCs w:val="28"/>
        </w:rPr>
        <w:t>State of New Jersey Public Employees Occupational Safety and Health (PEOSH)</w:t>
      </w:r>
    </w:p>
    <w:p w14:paraId="7C030BC1" w14:textId="77777777" w:rsidR="005709D7" w:rsidRPr="005709D7" w:rsidRDefault="005709D7" w:rsidP="005709D7">
      <w:pPr>
        <w:jc w:val="center"/>
        <w:rPr>
          <w:bCs/>
        </w:rPr>
      </w:pPr>
    </w:p>
    <w:p w14:paraId="1BE6E613" w14:textId="77777777" w:rsidR="005709D7" w:rsidRPr="005709D7" w:rsidRDefault="005709D7" w:rsidP="005709D7">
      <w:pPr>
        <w:jc w:val="center"/>
        <w:rPr>
          <w:bCs/>
        </w:rPr>
      </w:pPr>
    </w:p>
    <w:p w14:paraId="0D9E19DB" w14:textId="77777777" w:rsidR="0092646E" w:rsidRPr="007651EA" w:rsidRDefault="0092646E" w:rsidP="007A71AC">
      <w:pPr>
        <w:jc w:val="center"/>
        <w:rPr>
          <w:bCs/>
        </w:rPr>
      </w:pPr>
    </w:p>
    <w:p w14:paraId="0552AE6B" w14:textId="49EA17FF" w:rsidR="0092646E" w:rsidRPr="007651EA" w:rsidRDefault="005709D7" w:rsidP="007A71AC">
      <w:pPr>
        <w:jc w:val="center"/>
        <w:rPr>
          <w:bCs/>
        </w:rPr>
      </w:pPr>
      <w:r>
        <w:rPr>
          <w:bCs/>
          <w:noProof/>
        </w:rPr>
        <w:drawing>
          <wp:inline distT="0" distB="0" distL="0" distR="0" wp14:anchorId="426796E4" wp14:editId="5A8BD816">
            <wp:extent cx="1636541" cy="1636541"/>
            <wp:effectExtent l="0" t="0" r="1905" b="1905"/>
            <wp:docPr id="131137216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372164"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6541" cy="1636541"/>
                    </a:xfrm>
                    <a:prstGeom prst="rect">
                      <a:avLst/>
                    </a:prstGeom>
                    <a:noFill/>
                  </pic:spPr>
                </pic:pic>
              </a:graphicData>
            </a:graphic>
          </wp:inline>
        </w:drawing>
      </w:r>
    </w:p>
    <w:p w14:paraId="4FF9F9C4" w14:textId="77777777" w:rsidR="0092646E" w:rsidRPr="007651EA" w:rsidRDefault="0092646E" w:rsidP="007A71AC">
      <w:pPr>
        <w:jc w:val="center"/>
        <w:rPr>
          <w:bCs/>
        </w:rPr>
      </w:pPr>
    </w:p>
    <w:p w14:paraId="43EFA533" w14:textId="6DD93340" w:rsidR="0092646E" w:rsidRPr="007651EA" w:rsidRDefault="0092646E" w:rsidP="007A71AC">
      <w:pPr>
        <w:jc w:val="center"/>
        <w:rPr>
          <w:bCs/>
        </w:rPr>
      </w:pPr>
    </w:p>
    <w:p w14:paraId="7D67523A" w14:textId="77777777" w:rsidR="0092646E" w:rsidRPr="00493E60" w:rsidRDefault="0092646E" w:rsidP="007A71AC">
      <w:pPr>
        <w:jc w:val="center"/>
        <w:rPr>
          <w:b/>
          <w:color w:val="3333CC"/>
        </w:rPr>
      </w:pPr>
    </w:p>
    <w:p w14:paraId="7FCA6517" w14:textId="74892C46" w:rsidR="0092646E" w:rsidRPr="002E1782" w:rsidRDefault="0092646E" w:rsidP="007A71AC">
      <w:pPr>
        <w:tabs>
          <w:tab w:val="left" w:pos="720"/>
          <w:tab w:val="left" w:pos="1440"/>
          <w:tab w:val="left" w:pos="2160"/>
        </w:tabs>
        <w:jc w:val="center"/>
        <w:rPr>
          <w:rFonts w:eastAsia="Batang"/>
          <w:b/>
          <w:color w:val="4F81BD" w:themeColor="accent1"/>
          <w:sz w:val="28"/>
          <w:szCs w:val="28"/>
        </w:rPr>
      </w:pPr>
      <w:r w:rsidRPr="002E1782">
        <w:rPr>
          <w:rFonts w:eastAsia="Batang"/>
          <w:b/>
          <w:color w:val="4F81BD" w:themeColor="accent1"/>
          <w:sz w:val="28"/>
          <w:szCs w:val="28"/>
        </w:rPr>
        <w:t>Evaluation Period: October 1, 20</w:t>
      </w:r>
      <w:r w:rsidR="005709D7">
        <w:rPr>
          <w:rFonts w:eastAsia="Batang"/>
          <w:b/>
          <w:color w:val="4F81BD" w:themeColor="accent1"/>
          <w:sz w:val="28"/>
          <w:szCs w:val="28"/>
        </w:rPr>
        <w:t>22</w:t>
      </w:r>
      <w:r w:rsidRPr="002E1782">
        <w:rPr>
          <w:rFonts w:eastAsia="Batang"/>
          <w:b/>
          <w:color w:val="4F81BD" w:themeColor="accent1"/>
          <w:sz w:val="28"/>
          <w:szCs w:val="28"/>
        </w:rPr>
        <w:t xml:space="preserve"> – September 30, 20</w:t>
      </w:r>
      <w:r w:rsidR="005709D7">
        <w:rPr>
          <w:rFonts w:eastAsia="Batang"/>
          <w:b/>
          <w:color w:val="4F81BD" w:themeColor="accent1"/>
          <w:sz w:val="28"/>
          <w:szCs w:val="28"/>
        </w:rPr>
        <w:t>23</w:t>
      </w:r>
    </w:p>
    <w:p w14:paraId="12952476" w14:textId="77777777" w:rsidR="0092646E" w:rsidRPr="007651EA"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EA47524" w14:textId="77777777" w:rsidR="0092646E" w:rsidRPr="007651EA"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62EE1B7" w14:textId="77777777" w:rsidR="0092646E" w:rsidRPr="007651EA"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F95D1DE" w14:textId="77777777" w:rsidR="0092646E" w:rsidRPr="007651EA"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1A107D1" w14:textId="443C4286" w:rsidR="0092646E" w:rsidRPr="007651EA" w:rsidRDefault="002E1782"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Batang"/>
        </w:rPr>
      </w:pPr>
      <w:r>
        <w:rPr>
          <w:rFonts w:eastAsia="Batang"/>
        </w:rPr>
        <w:t xml:space="preserve">Initial Approval Date:  </w:t>
      </w:r>
      <w:r w:rsidR="005709D7">
        <w:rPr>
          <w:rFonts w:eastAsia="Batang"/>
        </w:rPr>
        <w:t>January 11, 2001</w:t>
      </w:r>
    </w:p>
    <w:p w14:paraId="59B5B26B" w14:textId="1DFEBD90" w:rsidR="0092646E" w:rsidRPr="007651EA"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Batang"/>
        </w:rPr>
      </w:pPr>
      <w:r w:rsidRPr="007651EA">
        <w:rPr>
          <w:rFonts w:eastAsia="Batang"/>
        </w:rPr>
        <w:t xml:space="preserve">State Plan Certification Date:  </w:t>
      </w:r>
      <w:r w:rsidR="005709D7">
        <w:rPr>
          <w:rFonts w:eastAsia="Batang"/>
        </w:rPr>
        <w:t>January 22, 2016</w:t>
      </w:r>
    </w:p>
    <w:p w14:paraId="2A8A9661" w14:textId="1ECAF5F6" w:rsidR="0092646E" w:rsidRPr="007651EA"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651EA">
        <w:rPr>
          <w:rFonts w:eastAsia="Batang"/>
        </w:rPr>
        <w:t xml:space="preserve">Final Approval Date:  </w:t>
      </w:r>
      <w:r w:rsidR="005709D7">
        <w:rPr>
          <w:rFonts w:eastAsia="Batang"/>
        </w:rPr>
        <w:t>Not Applicable</w:t>
      </w:r>
    </w:p>
    <w:p w14:paraId="21B7C31C" w14:textId="77777777" w:rsidR="0092646E" w:rsidRPr="007651EA" w:rsidRDefault="0092646E" w:rsidP="007A71AC">
      <w:pPr>
        <w:rPr>
          <w:i/>
        </w:rPr>
      </w:pPr>
    </w:p>
    <w:p w14:paraId="21C4C1AC" w14:textId="77777777" w:rsidR="0092646E" w:rsidRPr="007651EA" w:rsidRDefault="0092646E" w:rsidP="007A71AC">
      <w:pPr>
        <w:jc w:val="center"/>
        <w:rPr>
          <w:i/>
        </w:rPr>
      </w:pPr>
    </w:p>
    <w:p w14:paraId="14469551" w14:textId="77777777" w:rsidR="0092646E" w:rsidRPr="007651EA" w:rsidRDefault="0092646E" w:rsidP="007A71AC">
      <w:pPr>
        <w:jc w:val="center"/>
        <w:rPr>
          <w:b/>
        </w:rPr>
      </w:pPr>
      <w:r w:rsidRPr="007651EA">
        <w:rPr>
          <w:b/>
        </w:rPr>
        <w:t>Prepared by:</w:t>
      </w:r>
    </w:p>
    <w:p w14:paraId="72DAEFE2" w14:textId="77777777" w:rsidR="0092646E" w:rsidRPr="007651EA" w:rsidRDefault="0092646E" w:rsidP="007A71AC">
      <w:pPr>
        <w:jc w:val="center"/>
        <w:rPr>
          <w:b/>
        </w:rPr>
      </w:pPr>
      <w:r w:rsidRPr="007651EA">
        <w:rPr>
          <w:b/>
        </w:rPr>
        <w:t xml:space="preserve">U. S. Department of Labor </w:t>
      </w:r>
    </w:p>
    <w:p w14:paraId="5431986D" w14:textId="77777777" w:rsidR="0092646E" w:rsidRPr="007651EA" w:rsidRDefault="0092646E" w:rsidP="007A71AC">
      <w:pPr>
        <w:jc w:val="center"/>
        <w:rPr>
          <w:b/>
        </w:rPr>
      </w:pPr>
      <w:r w:rsidRPr="007651EA">
        <w:rPr>
          <w:b/>
        </w:rPr>
        <w:t>Occupational Safety and Health Administration</w:t>
      </w:r>
    </w:p>
    <w:p w14:paraId="0DB17A06" w14:textId="6DD6EED3" w:rsidR="0092646E" w:rsidRPr="007651EA" w:rsidRDefault="0092646E" w:rsidP="007A71AC">
      <w:pPr>
        <w:jc w:val="center"/>
        <w:rPr>
          <w:b/>
        </w:rPr>
      </w:pPr>
      <w:r w:rsidRPr="007651EA">
        <w:rPr>
          <w:b/>
        </w:rPr>
        <w:t xml:space="preserve">Region </w:t>
      </w:r>
      <w:r w:rsidR="005709D7">
        <w:rPr>
          <w:b/>
        </w:rPr>
        <w:t>2</w:t>
      </w:r>
    </w:p>
    <w:p w14:paraId="6CA2E549" w14:textId="56339F5C" w:rsidR="0092646E" w:rsidRPr="007651EA" w:rsidRDefault="005709D7" w:rsidP="007A71AC">
      <w:pPr>
        <w:jc w:val="center"/>
      </w:pPr>
      <w:r>
        <w:t>New York, NY</w:t>
      </w:r>
    </w:p>
    <w:p w14:paraId="404308B2" w14:textId="77777777" w:rsidR="0092646E" w:rsidRDefault="0092646E" w:rsidP="007A71AC">
      <w:pPr>
        <w:ind w:left="360"/>
      </w:pPr>
    </w:p>
    <w:p w14:paraId="66B17326" w14:textId="77777777" w:rsidR="0092646E" w:rsidRDefault="0092646E" w:rsidP="007A71AC">
      <w:pPr>
        <w:ind w:left="360"/>
      </w:pPr>
    </w:p>
    <w:p w14:paraId="409B5484" w14:textId="77777777" w:rsidR="0092646E" w:rsidRDefault="0092646E" w:rsidP="007A71AC">
      <w:pPr>
        <w:ind w:left="360"/>
      </w:pPr>
    </w:p>
    <w:p w14:paraId="4641BCD1" w14:textId="48FA4CA4" w:rsidR="005D1101" w:rsidRPr="00457B05" w:rsidRDefault="00F40E31" w:rsidP="00457B05">
      <w:pPr>
        <w:ind w:left="360"/>
        <w:jc w:val="center"/>
      </w:pPr>
      <w:r>
        <w:rPr>
          <w:rFonts w:ascii="Arial" w:hAnsi="Arial" w:cs="Arial"/>
          <w:noProof/>
        </w:rPr>
        <w:drawing>
          <wp:inline distT="0" distB="0" distL="0" distR="0" wp14:anchorId="48A33F3B" wp14:editId="39BD873C">
            <wp:extent cx="1581150" cy="1009650"/>
            <wp:effectExtent l="0" t="0" r="0" b="0"/>
            <wp:docPr id="3" name="Picture 3"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er_col_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1009650"/>
                    </a:xfrm>
                    <a:prstGeom prst="rect">
                      <a:avLst/>
                    </a:prstGeom>
                    <a:noFill/>
                    <a:ln>
                      <a:noFill/>
                    </a:ln>
                  </pic:spPr>
                </pic:pic>
              </a:graphicData>
            </a:graphic>
          </wp:inline>
        </w:drawing>
      </w:r>
    </w:p>
    <w:p w14:paraId="60FB2C6B" w14:textId="035746BF" w:rsidR="005A5B9A" w:rsidRPr="00DE2D03" w:rsidRDefault="00C443EA" w:rsidP="007A71AC">
      <w:pPr>
        <w:keepNext/>
        <w:keepLines/>
        <w:widowControl/>
        <w:autoSpaceDE/>
        <w:autoSpaceDN/>
        <w:adjustRightInd/>
        <w:spacing w:before="480"/>
        <w:jc w:val="center"/>
        <w:rPr>
          <w:b/>
          <w:bCs/>
          <w:color w:val="4F81BD" w:themeColor="accent1"/>
          <w:sz w:val="32"/>
          <w:szCs w:val="32"/>
          <w:lang w:eastAsia="ja-JP"/>
        </w:rPr>
      </w:pPr>
      <w:r w:rsidRPr="00DE2D03">
        <w:rPr>
          <w:b/>
          <w:bCs/>
          <w:color w:val="4F81BD" w:themeColor="accent1"/>
          <w:sz w:val="32"/>
          <w:szCs w:val="32"/>
          <w:lang w:eastAsia="ja-JP"/>
        </w:rPr>
        <w:t>Contents</w:t>
      </w:r>
    </w:p>
    <w:p w14:paraId="1EE3EE39" w14:textId="77777777" w:rsidR="005A5B9A" w:rsidRPr="005A5B9A" w:rsidRDefault="005A5B9A" w:rsidP="007A71AC">
      <w:pPr>
        <w:rPr>
          <w:bCs/>
          <w:color w:val="0070C0"/>
          <w:sz w:val="32"/>
          <w:szCs w:val="32"/>
        </w:rPr>
      </w:pPr>
    </w:p>
    <w:p w14:paraId="2936C305" w14:textId="30E8276F" w:rsidR="005A5B9A" w:rsidRPr="00064492" w:rsidRDefault="005A5B9A" w:rsidP="00171C6E">
      <w:pPr>
        <w:widowControl/>
        <w:numPr>
          <w:ilvl w:val="0"/>
          <w:numId w:val="8"/>
        </w:numPr>
        <w:autoSpaceDE/>
        <w:autoSpaceDN/>
        <w:adjustRightInd/>
        <w:ind w:left="720"/>
        <w:jc w:val="both"/>
        <w:rPr>
          <w:sz w:val="28"/>
          <w:szCs w:val="28"/>
        </w:rPr>
      </w:pPr>
      <w:r w:rsidRPr="00064492">
        <w:rPr>
          <w:sz w:val="28"/>
          <w:szCs w:val="28"/>
        </w:rPr>
        <w:t>Executive Summary</w:t>
      </w:r>
      <w:r w:rsidRPr="00457B05">
        <w:t>………………………………………</w:t>
      </w:r>
      <w:r w:rsidR="003F6589" w:rsidRPr="00457B05">
        <w:t>...</w:t>
      </w:r>
      <w:r w:rsidRPr="00457B05">
        <w:t>………</w:t>
      </w:r>
      <w:r w:rsidR="00457B05">
        <w:t>………...</w:t>
      </w:r>
      <w:r w:rsidR="003F6589" w:rsidRPr="00457B05">
        <w:t>…</w:t>
      </w:r>
      <w:r w:rsidR="00AC0A1C" w:rsidRPr="00457B05">
        <w:t>..</w:t>
      </w:r>
      <w:r w:rsidR="003F6589" w:rsidRPr="00457B05">
        <w:t>…</w:t>
      </w:r>
      <w:r w:rsidR="00044CCF" w:rsidRPr="00457B05">
        <w:t>…</w:t>
      </w:r>
      <w:r w:rsidR="00D56E86" w:rsidRPr="00457B05">
        <w:t>3</w:t>
      </w:r>
    </w:p>
    <w:p w14:paraId="34E46724" w14:textId="77777777" w:rsidR="005A5B9A" w:rsidRPr="00064492" w:rsidRDefault="005A5B9A" w:rsidP="003F6589">
      <w:pPr>
        <w:ind w:left="720" w:hanging="720"/>
        <w:contextualSpacing/>
        <w:jc w:val="both"/>
      </w:pPr>
    </w:p>
    <w:p w14:paraId="39559F21" w14:textId="3DC00B67" w:rsidR="00561182" w:rsidRPr="00064492" w:rsidRDefault="00561182" w:rsidP="00171C6E">
      <w:pPr>
        <w:widowControl/>
        <w:numPr>
          <w:ilvl w:val="0"/>
          <w:numId w:val="8"/>
        </w:numPr>
        <w:autoSpaceDE/>
        <w:autoSpaceDN/>
        <w:adjustRightInd/>
        <w:ind w:left="720"/>
        <w:jc w:val="both"/>
        <w:rPr>
          <w:sz w:val="28"/>
          <w:szCs w:val="28"/>
        </w:rPr>
      </w:pPr>
      <w:r w:rsidRPr="00064492">
        <w:rPr>
          <w:sz w:val="28"/>
          <w:szCs w:val="28"/>
        </w:rPr>
        <w:t>State Plan Background</w:t>
      </w:r>
      <w:r w:rsidRPr="00457B05">
        <w:t>………………………………………</w:t>
      </w:r>
      <w:r w:rsidR="00457B05">
        <w:t>………...</w:t>
      </w:r>
      <w:r w:rsidRPr="00457B05">
        <w:t>……………</w:t>
      </w:r>
      <w:r w:rsidR="00044CCF" w:rsidRPr="00457B05">
        <w:t>…</w:t>
      </w:r>
      <w:r w:rsidR="005D1101" w:rsidRPr="00457B05">
        <w:t>.</w:t>
      </w:r>
      <w:r w:rsidR="00D56E86" w:rsidRPr="00457B05">
        <w:t>3</w:t>
      </w:r>
    </w:p>
    <w:p w14:paraId="24C680AB" w14:textId="052C9732" w:rsidR="00561182" w:rsidRPr="00044CCF" w:rsidRDefault="00044CCF" w:rsidP="00171C6E">
      <w:pPr>
        <w:pStyle w:val="ListParagraph"/>
        <w:numPr>
          <w:ilvl w:val="0"/>
          <w:numId w:val="14"/>
        </w:numPr>
        <w:ind w:left="1440" w:hanging="720"/>
        <w:jc w:val="both"/>
      </w:pPr>
      <w:r w:rsidRPr="00044CCF">
        <w:rPr>
          <w:rFonts w:ascii="Times New Roman" w:hAnsi="Times New Roman" w:cs="Times New Roman"/>
          <w:sz w:val="24"/>
          <w:szCs w:val="24"/>
        </w:rPr>
        <w:t>Background</w:t>
      </w:r>
      <w:r>
        <w:rPr>
          <w:rFonts w:ascii="Times New Roman" w:hAnsi="Times New Roman" w:cs="Times New Roman"/>
          <w:sz w:val="24"/>
          <w:szCs w:val="24"/>
        </w:rPr>
        <w:t>………………………………………………………………………</w:t>
      </w:r>
      <w:r w:rsidR="005D1101">
        <w:rPr>
          <w:rFonts w:ascii="Times New Roman" w:hAnsi="Times New Roman" w:cs="Times New Roman"/>
          <w:sz w:val="24"/>
          <w:szCs w:val="24"/>
        </w:rPr>
        <w:t>..</w:t>
      </w:r>
      <w:r w:rsidR="00D56E86">
        <w:rPr>
          <w:rFonts w:ascii="Times New Roman" w:hAnsi="Times New Roman" w:cs="Times New Roman"/>
          <w:sz w:val="24"/>
          <w:szCs w:val="24"/>
        </w:rPr>
        <w:t xml:space="preserve"> 3</w:t>
      </w:r>
    </w:p>
    <w:p w14:paraId="6E42E521" w14:textId="6107D96A" w:rsidR="00044CCF" w:rsidRDefault="00044CCF" w:rsidP="00171C6E">
      <w:pPr>
        <w:pStyle w:val="ListParagraph"/>
        <w:numPr>
          <w:ilvl w:val="0"/>
          <w:numId w:val="14"/>
        </w:numPr>
        <w:ind w:left="1440" w:hanging="720"/>
        <w:jc w:val="both"/>
      </w:pPr>
      <w:r w:rsidRPr="00044CCF">
        <w:rPr>
          <w:rFonts w:ascii="Times New Roman" w:hAnsi="Times New Roman" w:cs="Times New Roman"/>
          <w:sz w:val="24"/>
          <w:szCs w:val="24"/>
        </w:rPr>
        <w:t>New Issues</w:t>
      </w:r>
      <w:r>
        <w:rPr>
          <w:rFonts w:ascii="Times New Roman" w:hAnsi="Times New Roman" w:cs="Times New Roman"/>
          <w:sz w:val="24"/>
          <w:szCs w:val="24"/>
        </w:rPr>
        <w:t>…………………………………………………………………</w:t>
      </w:r>
      <w:r w:rsidR="005D1101">
        <w:rPr>
          <w:rFonts w:ascii="Times New Roman" w:hAnsi="Times New Roman" w:cs="Times New Roman"/>
          <w:sz w:val="24"/>
          <w:szCs w:val="24"/>
        </w:rPr>
        <w:t>………</w:t>
      </w:r>
      <w:r w:rsidR="00D56E86">
        <w:rPr>
          <w:rFonts w:ascii="Times New Roman" w:hAnsi="Times New Roman" w:cs="Times New Roman"/>
          <w:sz w:val="24"/>
          <w:szCs w:val="24"/>
        </w:rPr>
        <w:t>4</w:t>
      </w:r>
    </w:p>
    <w:p w14:paraId="175D07FF" w14:textId="77777777" w:rsidR="00044CCF" w:rsidRPr="000D34E1" w:rsidRDefault="00044CCF" w:rsidP="000D34E1">
      <w:pPr>
        <w:ind w:left="720"/>
        <w:jc w:val="both"/>
        <w:rPr>
          <w:sz w:val="20"/>
          <w:szCs w:val="20"/>
        </w:rPr>
      </w:pPr>
    </w:p>
    <w:p w14:paraId="67086F6A" w14:textId="1B4ED404" w:rsidR="005A5B9A" w:rsidRPr="00561182" w:rsidRDefault="005A5B9A" w:rsidP="00171C6E">
      <w:pPr>
        <w:widowControl/>
        <w:numPr>
          <w:ilvl w:val="0"/>
          <w:numId w:val="8"/>
        </w:numPr>
        <w:autoSpaceDE/>
        <w:autoSpaceDN/>
        <w:adjustRightInd/>
        <w:ind w:left="720"/>
        <w:jc w:val="both"/>
        <w:rPr>
          <w:sz w:val="28"/>
          <w:szCs w:val="28"/>
        </w:rPr>
      </w:pPr>
      <w:r w:rsidRPr="00064492">
        <w:rPr>
          <w:sz w:val="28"/>
          <w:szCs w:val="28"/>
        </w:rPr>
        <w:t>Assessment of State Plan Performance</w:t>
      </w:r>
      <w:bookmarkStart w:id="1" w:name="_Toc364151290"/>
      <w:r w:rsidRPr="00457B05">
        <w:rPr>
          <w:bCs/>
        </w:rPr>
        <w:t>……………………………</w:t>
      </w:r>
      <w:r w:rsidR="009C6522" w:rsidRPr="00457B05">
        <w:rPr>
          <w:bCs/>
        </w:rPr>
        <w:t>………</w:t>
      </w:r>
      <w:r w:rsidR="005D1101" w:rsidRPr="00457B05">
        <w:rPr>
          <w:bCs/>
        </w:rPr>
        <w:t>…</w:t>
      </w:r>
      <w:r w:rsidR="00457B05">
        <w:rPr>
          <w:bCs/>
        </w:rPr>
        <w:t>….…..</w:t>
      </w:r>
      <w:r w:rsidR="00D453B8" w:rsidRPr="00457B05">
        <w:rPr>
          <w:bCs/>
        </w:rPr>
        <w:t>4</w:t>
      </w:r>
    </w:p>
    <w:p w14:paraId="49A73509" w14:textId="1547A88A" w:rsidR="00064492" w:rsidRPr="005E6AA2" w:rsidRDefault="00ED6F8F" w:rsidP="00171C6E">
      <w:pPr>
        <w:widowControl/>
        <w:numPr>
          <w:ilvl w:val="0"/>
          <w:numId w:val="9"/>
        </w:numPr>
        <w:autoSpaceDE/>
        <w:autoSpaceDN/>
        <w:adjustRightInd/>
        <w:ind w:left="1440" w:hanging="720"/>
        <w:contextualSpacing/>
        <w:jc w:val="both"/>
      </w:pPr>
      <w:r w:rsidRPr="005E6AA2">
        <w:t>Data and Methodology…………………………………………………………</w:t>
      </w:r>
      <w:r w:rsidR="00044CCF" w:rsidRPr="005E6AA2">
        <w:t>….</w:t>
      </w:r>
      <w:r w:rsidR="005D1101" w:rsidRPr="005E6AA2">
        <w:t>.</w:t>
      </w:r>
      <w:r w:rsidR="00D453B8" w:rsidRPr="005E6AA2">
        <w:t>4</w:t>
      </w:r>
    </w:p>
    <w:p w14:paraId="2EAA79F4" w14:textId="0F241726" w:rsidR="00ED6F8F" w:rsidRPr="005E6AA2" w:rsidRDefault="00ED6F8F" w:rsidP="00171C6E">
      <w:pPr>
        <w:widowControl/>
        <w:numPr>
          <w:ilvl w:val="0"/>
          <w:numId w:val="9"/>
        </w:numPr>
        <w:autoSpaceDE/>
        <w:autoSpaceDN/>
        <w:adjustRightInd/>
        <w:ind w:left="1440" w:hanging="720"/>
        <w:contextualSpacing/>
      </w:pPr>
      <w:r w:rsidRPr="005E6AA2">
        <w:t>Review of State Plan Performance ………………………………………………</w:t>
      </w:r>
      <w:r w:rsidR="0097324B" w:rsidRPr="005E6AA2">
        <w:t>...</w:t>
      </w:r>
      <w:r w:rsidR="00D453B8" w:rsidRPr="005E6AA2">
        <w:t>5</w:t>
      </w:r>
    </w:p>
    <w:p w14:paraId="5D155DC1" w14:textId="3AD27837" w:rsidR="005A5B9A" w:rsidRPr="005E6AA2" w:rsidRDefault="00ED6F8F" w:rsidP="00171C6E">
      <w:pPr>
        <w:pStyle w:val="ListParagraph"/>
        <w:numPr>
          <w:ilvl w:val="0"/>
          <w:numId w:val="13"/>
        </w:numPr>
        <w:spacing w:after="0"/>
        <w:rPr>
          <w:sz w:val="24"/>
          <w:szCs w:val="24"/>
        </w:rPr>
      </w:pPr>
      <w:r w:rsidRPr="005E6AA2">
        <w:rPr>
          <w:rFonts w:ascii="Times New Roman" w:hAnsi="Times New Roman" w:cs="Times New Roman"/>
          <w:sz w:val="24"/>
          <w:szCs w:val="24"/>
        </w:rPr>
        <w:t xml:space="preserve">Program </w:t>
      </w:r>
      <w:r w:rsidR="005A5B9A" w:rsidRPr="005E6AA2">
        <w:rPr>
          <w:rFonts w:ascii="Times New Roman" w:hAnsi="Times New Roman" w:cs="Times New Roman"/>
          <w:sz w:val="24"/>
          <w:szCs w:val="24"/>
        </w:rPr>
        <w:t>Administration…………………………………….............</w:t>
      </w:r>
      <w:r w:rsidR="009C6522" w:rsidRPr="005E6AA2">
        <w:rPr>
          <w:rFonts w:ascii="Times New Roman" w:hAnsi="Times New Roman" w:cs="Times New Roman"/>
          <w:sz w:val="24"/>
          <w:szCs w:val="24"/>
        </w:rPr>
        <w:t>......</w:t>
      </w:r>
      <w:r w:rsidR="00AC0A1C" w:rsidRPr="005E6AA2">
        <w:rPr>
          <w:rFonts w:ascii="Times New Roman" w:hAnsi="Times New Roman" w:cs="Times New Roman"/>
          <w:sz w:val="24"/>
          <w:szCs w:val="24"/>
        </w:rPr>
        <w:t>..</w:t>
      </w:r>
      <w:r w:rsidR="003A117C" w:rsidRPr="005E6AA2">
        <w:rPr>
          <w:rFonts w:ascii="Times New Roman" w:hAnsi="Times New Roman" w:cs="Times New Roman"/>
          <w:sz w:val="24"/>
          <w:szCs w:val="24"/>
        </w:rPr>
        <w:t>..</w:t>
      </w:r>
      <w:r w:rsidR="00044CCF" w:rsidRPr="005E6AA2">
        <w:rPr>
          <w:rFonts w:ascii="Times New Roman" w:hAnsi="Times New Roman" w:cs="Times New Roman"/>
          <w:sz w:val="24"/>
          <w:szCs w:val="24"/>
        </w:rPr>
        <w:t>.....</w:t>
      </w:r>
      <w:r w:rsidR="005D1101" w:rsidRPr="005E6AA2">
        <w:rPr>
          <w:rFonts w:ascii="Times New Roman" w:hAnsi="Times New Roman" w:cs="Times New Roman"/>
          <w:sz w:val="24"/>
          <w:szCs w:val="24"/>
        </w:rPr>
        <w:t>..</w:t>
      </w:r>
      <w:r w:rsidR="00D453B8" w:rsidRPr="005E6AA2">
        <w:rPr>
          <w:rFonts w:ascii="Times New Roman" w:hAnsi="Times New Roman" w:cs="Times New Roman"/>
          <w:sz w:val="24"/>
          <w:szCs w:val="24"/>
        </w:rPr>
        <w:t>5</w:t>
      </w:r>
    </w:p>
    <w:p w14:paraId="17BAA655" w14:textId="66BC8F70" w:rsidR="005A5B9A" w:rsidRPr="005E6AA2" w:rsidRDefault="005A5B9A" w:rsidP="00171C6E">
      <w:pPr>
        <w:widowControl/>
        <w:numPr>
          <w:ilvl w:val="0"/>
          <w:numId w:val="13"/>
        </w:numPr>
        <w:autoSpaceDE/>
        <w:autoSpaceDN/>
        <w:adjustRightInd/>
        <w:contextualSpacing/>
        <w:jc w:val="both"/>
      </w:pPr>
      <w:r w:rsidRPr="005E6AA2">
        <w:t>Enforcement……………………………………………………………</w:t>
      </w:r>
      <w:r w:rsidR="009C6522" w:rsidRPr="005E6AA2">
        <w:t>……..</w:t>
      </w:r>
      <w:r w:rsidR="00AC0A1C" w:rsidRPr="005E6AA2">
        <w:t>.</w:t>
      </w:r>
      <w:r w:rsidR="005D1101" w:rsidRPr="005E6AA2">
        <w:t>.</w:t>
      </w:r>
      <w:r w:rsidR="0067597D" w:rsidRPr="005E6AA2">
        <w:t>.</w:t>
      </w:r>
      <w:r w:rsidR="00D453B8" w:rsidRPr="005E6AA2">
        <w:t>8</w:t>
      </w:r>
    </w:p>
    <w:p w14:paraId="6E8BCFF6" w14:textId="040EC498" w:rsidR="005A5B9A" w:rsidRPr="005E6AA2" w:rsidRDefault="005A5B9A" w:rsidP="00171C6E">
      <w:pPr>
        <w:widowControl/>
        <w:numPr>
          <w:ilvl w:val="0"/>
          <w:numId w:val="13"/>
        </w:numPr>
        <w:autoSpaceDE/>
        <w:autoSpaceDN/>
        <w:adjustRightInd/>
        <w:contextualSpacing/>
        <w:jc w:val="both"/>
        <w:rPr>
          <w:bCs/>
        </w:rPr>
      </w:pPr>
      <w:r w:rsidRPr="005E6AA2">
        <w:rPr>
          <w:bCs/>
        </w:rPr>
        <w:t>Review Procedures………………………………………………………</w:t>
      </w:r>
      <w:r w:rsidR="009C6522" w:rsidRPr="005E6AA2">
        <w:rPr>
          <w:bCs/>
        </w:rPr>
        <w:t>……</w:t>
      </w:r>
      <w:r w:rsidR="00AC0A1C" w:rsidRPr="005E6AA2">
        <w:rPr>
          <w:bCs/>
        </w:rPr>
        <w:t>.</w:t>
      </w:r>
      <w:r w:rsidR="00D453B8" w:rsidRPr="005E6AA2">
        <w:rPr>
          <w:bCs/>
        </w:rPr>
        <w:t>13</w:t>
      </w:r>
    </w:p>
    <w:p w14:paraId="04B5FC58" w14:textId="729280D3" w:rsidR="005A5B9A" w:rsidRPr="005E6AA2" w:rsidRDefault="005A5B9A" w:rsidP="00171C6E">
      <w:pPr>
        <w:widowControl/>
        <w:numPr>
          <w:ilvl w:val="0"/>
          <w:numId w:val="13"/>
        </w:numPr>
        <w:autoSpaceDE/>
        <w:autoSpaceDN/>
        <w:adjustRightInd/>
        <w:contextualSpacing/>
        <w:jc w:val="both"/>
      </w:pPr>
      <w:r w:rsidRPr="005E6AA2">
        <w:t>Standards and Federal Program Changes (FPCs) Adoption……………</w:t>
      </w:r>
      <w:r w:rsidR="009C6522" w:rsidRPr="005E6AA2">
        <w:t>…</w:t>
      </w:r>
      <w:r w:rsidR="00AC0A1C" w:rsidRPr="005E6AA2">
        <w:t>…</w:t>
      </w:r>
      <w:r w:rsidR="00D453B8" w:rsidRPr="005E6AA2">
        <w:t>..14</w:t>
      </w:r>
    </w:p>
    <w:p w14:paraId="549E65B4" w14:textId="4E641537" w:rsidR="005A5B9A" w:rsidRPr="005E6AA2" w:rsidRDefault="005A5B9A" w:rsidP="00171C6E">
      <w:pPr>
        <w:widowControl/>
        <w:numPr>
          <w:ilvl w:val="0"/>
          <w:numId w:val="13"/>
        </w:numPr>
        <w:autoSpaceDE/>
        <w:autoSpaceDN/>
        <w:adjustRightInd/>
        <w:contextualSpacing/>
        <w:jc w:val="both"/>
      </w:pPr>
      <w:r w:rsidRPr="005E6AA2">
        <w:t>Variances…………………………………………………………………</w:t>
      </w:r>
      <w:r w:rsidR="009C6522" w:rsidRPr="005E6AA2">
        <w:t>……</w:t>
      </w:r>
      <w:r w:rsidR="00D453B8" w:rsidRPr="005E6AA2">
        <w:t>1</w:t>
      </w:r>
      <w:r w:rsidR="006F1795" w:rsidRPr="005E6AA2">
        <w:t>6</w:t>
      </w:r>
    </w:p>
    <w:p w14:paraId="5BB08AE6" w14:textId="39193537" w:rsidR="005A5B9A" w:rsidRPr="005E6AA2" w:rsidRDefault="005A327A" w:rsidP="00171C6E">
      <w:pPr>
        <w:widowControl/>
        <w:numPr>
          <w:ilvl w:val="0"/>
          <w:numId w:val="13"/>
        </w:numPr>
        <w:autoSpaceDE/>
        <w:autoSpaceDN/>
        <w:adjustRightInd/>
        <w:contextualSpacing/>
      </w:pPr>
      <w:r w:rsidRPr="005E6AA2">
        <w:t xml:space="preserve">State and Local Government Worker </w:t>
      </w:r>
      <w:r w:rsidR="005A5B9A" w:rsidRPr="005E6AA2">
        <w:t>Program…………………………</w:t>
      </w:r>
      <w:r w:rsidRPr="005E6AA2">
        <w:t>……</w:t>
      </w:r>
      <w:r w:rsidR="00735F13" w:rsidRPr="005E6AA2">
        <w:t>..16</w:t>
      </w:r>
    </w:p>
    <w:p w14:paraId="1ECD7199" w14:textId="5C5F92B3" w:rsidR="005A5B9A" w:rsidRPr="005E6AA2" w:rsidRDefault="009A23E7" w:rsidP="00171C6E">
      <w:pPr>
        <w:widowControl/>
        <w:numPr>
          <w:ilvl w:val="0"/>
          <w:numId w:val="13"/>
        </w:numPr>
        <w:autoSpaceDE/>
        <w:autoSpaceDN/>
        <w:adjustRightInd/>
        <w:contextualSpacing/>
        <w:jc w:val="both"/>
      </w:pPr>
      <w:r w:rsidRPr="005E6AA2">
        <w:t>Whistleblower</w:t>
      </w:r>
      <w:r w:rsidR="00DE1FFC" w:rsidRPr="005E6AA2">
        <w:t xml:space="preserve"> </w:t>
      </w:r>
      <w:r w:rsidR="005A5B9A" w:rsidRPr="005E6AA2">
        <w:t>Program…………………………………………</w:t>
      </w:r>
      <w:r w:rsidR="009C6522" w:rsidRPr="005E6AA2">
        <w:t>……</w:t>
      </w:r>
      <w:r w:rsidRPr="005E6AA2">
        <w:t>………</w:t>
      </w:r>
      <w:r w:rsidR="005D1101" w:rsidRPr="005E6AA2">
        <w:t>.</w:t>
      </w:r>
      <w:r w:rsidR="005E6AA2" w:rsidRPr="005E6AA2">
        <w:t>.</w:t>
      </w:r>
      <w:r w:rsidR="00735F13" w:rsidRPr="005E6AA2">
        <w:t>1</w:t>
      </w:r>
      <w:r w:rsidR="006F1795" w:rsidRPr="005E6AA2">
        <w:t>6</w:t>
      </w:r>
    </w:p>
    <w:p w14:paraId="4A8BBE77" w14:textId="18CA594D" w:rsidR="005A5B9A" w:rsidRPr="005E6AA2" w:rsidRDefault="008D2CFC" w:rsidP="00171C6E">
      <w:pPr>
        <w:widowControl/>
        <w:numPr>
          <w:ilvl w:val="0"/>
          <w:numId w:val="13"/>
        </w:numPr>
        <w:autoSpaceDE/>
        <w:autoSpaceDN/>
        <w:adjustRightInd/>
        <w:contextualSpacing/>
        <w:jc w:val="both"/>
      </w:pPr>
      <w:r w:rsidRPr="005E6AA2">
        <w:t>Complaint</w:t>
      </w:r>
      <w:r w:rsidR="005A5B9A" w:rsidRPr="005E6AA2">
        <w:t xml:space="preserve"> About State Program Administration (CASPA)………………</w:t>
      </w:r>
      <w:r w:rsidR="009C6522" w:rsidRPr="005E6AA2">
        <w:t>.</w:t>
      </w:r>
      <w:r w:rsidR="00B560A0" w:rsidRPr="005E6AA2">
        <w:t>...</w:t>
      </w:r>
      <w:r w:rsidR="00044CCF" w:rsidRPr="005E6AA2">
        <w:t>.</w:t>
      </w:r>
      <w:r w:rsidR="00311426" w:rsidRPr="005E6AA2">
        <w:t>.</w:t>
      </w:r>
      <w:r w:rsidR="005D1101" w:rsidRPr="005E6AA2">
        <w:t>.</w:t>
      </w:r>
      <w:r w:rsidR="00735F13" w:rsidRPr="005E6AA2">
        <w:t>17</w:t>
      </w:r>
    </w:p>
    <w:p w14:paraId="6E16CACC" w14:textId="12F2C9B9" w:rsidR="005A5B9A" w:rsidRPr="005E6AA2" w:rsidRDefault="005A5B9A" w:rsidP="00171C6E">
      <w:pPr>
        <w:widowControl/>
        <w:numPr>
          <w:ilvl w:val="0"/>
          <w:numId w:val="13"/>
        </w:numPr>
        <w:autoSpaceDE/>
        <w:autoSpaceDN/>
        <w:adjustRightInd/>
        <w:contextualSpacing/>
        <w:jc w:val="both"/>
      </w:pPr>
      <w:r w:rsidRPr="005E6AA2">
        <w:t>Voluntary Compliance Program…………………………………………</w:t>
      </w:r>
      <w:r w:rsidR="009C6522" w:rsidRPr="005E6AA2">
        <w:t>……</w:t>
      </w:r>
      <w:r w:rsidR="00311426" w:rsidRPr="005E6AA2">
        <w:t>.</w:t>
      </w:r>
      <w:r w:rsidR="00735F13" w:rsidRPr="005E6AA2">
        <w:t>17</w:t>
      </w:r>
    </w:p>
    <w:p w14:paraId="7B6EDFB4" w14:textId="438ECB74" w:rsidR="005A5B9A" w:rsidRPr="005E6AA2" w:rsidRDefault="006F7EA9" w:rsidP="00171C6E">
      <w:pPr>
        <w:widowControl/>
        <w:numPr>
          <w:ilvl w:val="0"/>
          <w:numId w:val="13"/>
        </w:numPr>
        <w:autoSpaceDE/>
        <w:autoSpaceDN/>
        <w:adjustRightInd/>
        <w:contextualSpacing/>
      </w:pPr>
      <w:r w:rsidRPr="005E6AA2">
        <w:t xml:space="preserve">State and Local Government </w:t>
      </w:r>
      <w:r w:rsidR="005A5B9A" w:rsidRPr="005E6AA2">
        <w:t>23(</w:t>
      </w:r>
      <w:r w:rsidRPr="005E6AA2">
        <w:t>g</w:t>
      </w:r>
      <w:r w:rsidR="005A5B9A" w:rsidRPr="005E6AA2">
        <w:t xml:space="preserve">) </w:t>
      </w:r>
      <w:r w:rsidR="00863502" w:rsidRPr="005E6AA2">
        <w:t xml:space="preserve">On-Site </w:t>
      </w:r>
      <w:r w:rsidR="005A5B9A" w:rsidRPr="005E6AA2">
        <w:t>Consultation Progra</w:t>
      </w:r>
      <w:r w:rsidR="00ED6F8F" w:rsidRPr="005E6AA2">
        <w:t>m</w:t>
      </w:r>
      <w:r w:rsidR="005A5B9A" w:rsidRPr="005E6AA2">
        <w:t>………</w:t>
      </w:r>
      <w:r w:rsidR="00B06231" w:rsidRPr="005E6AA2">
        <w:t>…</w:t>
      </w:r>
      <w:r w:rsidR="005E6AA2" w:rsidRPr="005E6AA2">
        <w:t>...</w:t>
      </w:r>
      <w:r w:rsidR="00735F13" w:rsidRPr="005E6AA2">
        <w:t>17</w:t>
      </w:r>
    </w:p>
    <w:p w14:paraId="6788F64C" w14:textId="145C68CF" w:rsidR="00B560A0" w:rsidRPr="005E6AA2" w:rsidRDefault="005A5B9A" w:rsidP="00171C6E">
      <w:pPr>
        <w:widowControl/>
        <w:numPr>
          <w:ilvl w:val="0"/>
          <w:numId w:val="13"/>
        </w:numPr>
        <w:autoSpaceDE/>
        <w:autoSpaceDN/>
        <w:adjustRightInd/>
        <w:contextualSpacing/>
      </w:pPr>
      <w:r w:rsidRPr="005E6AA2">
        <w:t>Private Sector 23(g) On-Site Consultation Program</w:t>
      </w:r>
      <w:r w:rsidR="00D60A29" w:rsidRPr="005E6AA2">
        <w:t>…………………………</w:t>
      </w:r>
      <w:r w:rsidR="00735F13" w:rsidRPr="005E6AA2">
        <w:t>.</w:t>
      </w:r>
      <w:r w:rsidR="0097324B" w:rsidRPr="005E6AA2">
        <w:t>.</w:t>
      </w:r>
      <w:r w:rsidR="00735F13" w:rsidRPr="005E6AA2">
        <w:t>19</w:t>
      </w:r>
    </w:p>
    <w:p w14:paraId="0C5DAFD5" w14:textId="77777777" w:rsidR="005A5B9A" w:rsidRDefault="002E1782" w:rsidP="000D34E1">
      <w:pPr>
        <w:widowControl/>
        <w:autoSpaceDE/>
        <w:autoSpaceDN/>
        <w:adjustRightInd/>
        <w:ind w:left="1800" w:hanging="360"/>
        <w:contextualSpacing/>
      </w:pPr>
      <w:r w:rsidRPr="00ED6F8F">
        <w:t xml:space="preserve">  </w:t>
      </w:r>
      <w:bookmarkEnd w:id="1"/>
    </w:p>
    <w:p w14:paraId="03848845" w14:textId="77777777" w:rsidR="0067597D" w:rsidRPr="005A5B9A" w:rsidRDefault="0067597D" w:rsidP="000D34E1">
      <w:pPr>
        <w:widowControl/>
        <w:autoSpaceDE/>
        <w:autoSpaceDN/>
        <w:adjustRightInd/>
        <w:ind w:left="1800" w:hanging="360"/>
        <w:contextualSpacing/>
        <w:rPr>
          <w:noProof/>
        </w:rPr>
      </w:pPr>
    </w:p>
    <w:p w14:paraId="012F3947" w14:textId="77777777" w:rsidR="005A5B9A" w:rsidRDefault="005A5B9A" w:rsidP="00561182">
      <w:pPr>
        <w:widowControl/>
        <w:tabs>
          <w:tab w:val="left" w:pos="720"/>
          <w:tab w:val="right" w:leader="dot" w:pos="9350"/>
        </w:tabs>
        <w:autoSpaceDE/>
        <w:autoSpaceDN/>
        <w:adjustRightInd/>
        <w:spacing w:after="100"/>
        <w:ind w:left="720" w:hanging="720"/>
        <w:jc w:val="center"/>
        <w:rPr>
          <w:b/>
          <w:noProof/>
          <w:color w:val="4F81BD" w:themeColor="accent1"/>
          <w:sz w:val="32"/>
          <w:szCs w:val="32"/>
        </w:rPr>
      </w:pPr>
      <w:r w:rsidRPr="00C443EA">
        <w:rPr>
          <w:b/>
          <w:noProof/>
          <w:color w:val="4F81BD" w:themeColor="accent1"/>
          <w:sz w:val="32"/>
          <w:szCs w:val="32"/>
        </w:rPr>
        <w:t>A</w:t>
      </w:r>
      <w:r w:rsidR="00C443EA">
        <w:rPr>
          <w:b/>
          <w:noProof/>
          <w:color w:val="4F81BD" w:themeColor="accent1"/>
          <w:sz w:val="32"/>
          <w:szCs w:val="32"/>
        </w:rPr>
        <w:t>ppendices</w:t>
      </w:r>
    </w:p>
    <w:p w14:paraId="0BB5036E" w14:textId="77777777" w:rsidR="005A5B9A" w:rsidRPr="00064492" w:rsidRDefault="005A5B9A" w:rsidP="006E7A97">
      <w:pPr>
        <w:tabs>
          <w:tab w:val="left" w:pos="1125"/>
        </w:tabs>
        <w:rPr>
          <w:b/>
          <w:sz w:val="28"/>
          <w:szCs w:val="28"/>
        </w:rPr>
      </w:pPr>
    </w:p>
    <w:p w14:paraId="3A515400" w14:textId="098C7779" w:rsidR="00064492" w:rsidRPr="000A134A" w:rsidRDefault="00064492" w:rsidP="00064492">
      <w:pPr>
        <w:keepNext/>
        <w:keepLines/>
        <w:widowControl/>
        <w:autoSpaceDE/>
        <w:autoSpaceDN/>
        <w:adjustRightInd/>
        <w:outlineLvl w:val="0"/>
        <w:rPr>
          <w:bCs/>
          <w:sz w:val="28"/>
          <w:szCs w:val="28"/>
        </w:rPr>
      </w:pPr>
      <w:bookmarkStart w:id="2" w:name="_Toc338764299"/>
      <w:bookmarkStart w:id="3" w:name="_Toc331583278"/>
      <w:r w:rsidRPr="000A134A">
        <w:rPr>
          <w:bCs/>
          <w:sz w:val="28"/>
          <w:szCs w:val="28"/>
        </w:rPr>
        <w:t>Appendix A – New and Continued Findings and Recommendations</w:t>
      </w:r>
      <w:bookmarkStart w:id="4" w:name="_Toc338764300"/>
      <w:bookmarkEnd w:id="2"/>
      <w:r w:rsidRPr="000A134A">
        <w:rPr>
          <w:bCs/>
          <w:sz w:val="28"/>
          <w:szCs w:val="28"/>
        </w:rPr>
        <w:t>…………...</w:t>
      </w:r>
      <w:r w:rsidR="0067597D">
        <w:rPr>
          <w:bCs/>
          <w:sz w:val="28"/>
          <w:szCs w:val="28"/>
        </w:rPr>
        <w:t>....</w:t>
      </w:r>
      <w:r w:rsidRPr="000A134A">
        <w:rPr>
          <w:bCs/>
          <w:sz w:val="28"/>
          <w:szCs w:val="28"/>
        </w:rPr>
        <w:t>A-1</w:t>
      </w:r>
    </w:p>
    <w:p w14:paraId="5D105C74" w14:textId="1A6B8332" w:rsidR="00064492" w:rsidRPr="000A134A" w:rsidRDefault="00064492" w:rsidP="00064492">
      <w:pPr>
        <w:widowControl/>
        <w:autoSpaceDE/>
        <w:autoSpaceDN/>
        <w:adjustRightInd/>
        <w:rPr>
          <w:b/>
          <w:bCs/>
          <w:sz w:val="28"/>
          <w:szCs w:val="28"/>
        </w:rPr>
      </w:pPr>
      <w:r w:rsidRPr="000A134A">
        <w:rPr>
          <w:sz w:val="28"/>
          <w:szCs w:val="28"/>
        </w:rPr>
        <w:t>Appendix B – Observations</w:t>
      </w:r>
      <w:r>
        <w:rPr>
          <w:sz w:val="28"/>
          <w:szCs w:val="28"/>
        </w:rPr>
        <w:t xml:space="preserve"> and Federal Monitoring Plans………………..........</w:t>
      </w:r>
      <w:r w:rsidR="0067597D">
        <w:rPr>
          <w:sz w:val="28"/>
          <w:szCs w:val="28"/>
        </w:rPr>
        <w:t>....</w:t>
      </w:r>
      <w:r w:rsidRPr="000A134A">
        <w:rPr>
          <w:sz w:val="28"/>
          <w:szCs w:val="28"/>
        </w:rPr>
        <w:t>B-1</w:t>
      </w:r>
    </w:p>
    <w:p w14:paraId="57B7A535" w14:textId="57A86D8B" w:rsidR="00064492" w:rsidRPr="000A134A" w:rsidRDefault="00064492" w:rsidP="00064492">
      <w:pPr>
        <w:keepNext/>
        <w:keepLines/>
        <w:widowControl/>
        <w:autoSpaceDE/>
        <w:autoSpaceDN/>
        <w:adjustRightInd/>
        <w:outlineLvl w:val="0"/>
        <w:rPr>
          <w:bCs/>
          <w:sz w:val="28"/>
          <w:szCs w:val="28"/>
        </w:rPr>
      </w:pPr>
      <w:r w:rsidRPr="000A134A">
        <w:rPr>
          <w:bCs/>
          <w:sz w:val="28"/>
          <w:szCs w:val="28"/>
        </w:rPr>
        <w:t>Appendix C – Status of FY 20</w:t>
      </w:r>
      <w:r w:rsidR="00917F9B">
        <w:rPr>
          <w:bCs/>
          <w:sz w:val="28"/>
          <w:szCs w:val="28"/>
        </w:rPr>
        <w:t>22</w:t>
      </w:r>
      <w:r w:rsidRPr="000A134A">
        <w:rPr>
          <w:bCs/>
          <w:sz w:val="28"/>
          <w:szCs w:val="28"/>
        </w:rPr>
        <w:t xml:space="preserve"> Findings and Recommendations</w:t>
      </w:r>
      <w:bookmarkEnd w:id="4"/>
      <w:r>
        <w:rPr>
          <w:bCs/>
          <w:sz w:val="28"/>
          <w:szCs w:val="28"/>
        </w:rPr>
        <w:t>…………....</w:t>
      </w:r>
      <w:r w:rsidR="0067597D">
        <w:rPr>
          <w:bCs/>
          <w:sz w:val="28"/>
          <w:szCs w:val="28"/>
        </w:rPr>
        <w:t>......</w:t>
      </w:r>
      <w:r w:rsidRPr="000A134A">
        <w:rPr>
          <w:bCs/>
          <w:sz w:val="28"/>
          <w:szCs w:val="28"/>
        </w:rPr>
        <w:t>C-1</w:t>
      </w:r>
    </w:p>
    <w:p w14:paraId="3B49BEA4" w14:textId="375AA854" w:rsidR="00064492" w:rsidRPr="009A0703" w:rsidRDefault="00064492" w:rsidP="00064492">
      <w:pPr>
        <w:keepNext/>
        <w:keepLines/>
        <w:widowControl/>
        <w:autoSpaceDE/>
        <w:autoSpaceDN/>
        <w:adjustRightInd/>
        <w:ind w:left="1710" w:hanging="1710"/>
        <w:outlineLvl w:val="0"/>
        <w:rPr>
          <w:bCs/>
          <w:sz w:val="28"/>
          <w:szCs w:val="28"/>
        </w:rPr>
      </w:pPr>
      <w:bookmarkStart w:id="5" w:name="_Toc338764301"/>
      <w:r w:rsidRPr="000A134A">
        <w:rPr>
          <w:bCs/>
          <w:sz w:val="28"/>
          <w:szCs w:val="28"/>
        </w:rPr>
        <w:t>Appendix D – FY 20</w:t>
      </w:r>
      <w:r w:rsidR="00917F9B">
        <w:rPr>
          <w:bCs/>
          <w:sz w:val="28"/>
          <w:szCs w:val="28"/>
        </w:rPr>
        <w:t>23</w:t>
      </w:r>
      <w:r w:rsidRPr="000A134A">
        <w:rPr>
          <w:bCs/>
          <w:sz w:val="28"/>
          <w:szCs w:val="28"/>
        </w:rPr>
        <w:t xml:space="preserve"> State Activity Mandated Measures (SAMM) </w:t>
      </w:r>
      <w:r>
        <w:rPr>
          <w:bCs/>
          <w:sz w:val="28"/>
          <w:szCs w:val="28"/>
        </w:rPr>
        <w:t>R</w:t>
      </w:r>
      <w:r w:rsidRPr="000A134A">
        <w:rPr>
          <w:bCs/>
          <w:sz w:val="28"/>
          <w:szCs w:val="28"/>
        </w:rPr>
        <w:t>ep</w:t>
      </w:r>
      <w:bookmarkEnd w:id="5"/>
      <w:r>
        <w:rPr>
          <w:bCs/>
          <w:sz w:val="28"/>
          <w:szCs w:val="28"/>
        </w:rPr>
        <w:t>ort</w:t>
      </w:r>
      <w:r w:rsidR="0067597D">
        <w:rPr>
          <w:bCs/>
          <w:sz w:val="28"/>
          <w:szCs w:val="28"/>
        </w:rPr>
        <w:t>…….</w:t>
      </w:r>
      <w:r w:rsidRPr="000A134A">
        <w:rPr>
          <w:bCs/>
          <w:sz w:val="28"/>
          <w:szCs w:val="28"/>
        </w:rPr>
        <w:t>D-1</w:t>
      </w:r>
      <w:bookmarkEnd w:id="3"/>
    </w:p>
    <w:p w14:paraId="172371FF" w14:textId="77777777" w:rsidR="002E1782" w:rsidRDefault="002E1782" w:rsidP="006E7A97">
      <w:pPr>
        <w:tabs>
          <w:tab w:val="left" w:pos="1125"/>
        </w:tabs>
        <w:rPr>
          <w:b/>
        </w:rPr>
      </w:pPr>
    </w:p>
    <w:p w14:paraId="45D90400" w14:textId="77777777" w:rsidR="00561182" w:rsidRDefault="00561182" w:rsidP="006E7A97">
      <w:pPr>
        <w:tabs>
          <w:tab w:val="left" w:pos="1125"/>
        </w:tabs>
        <w:rPr>
          <w:b/>
        </w:rPr>
      </w:pPr>
    </w:p>
    <w:p w14:paraId="317B4EF7" w14:textId="77777777" w:rsidR="00561182" w:rsidRDefault="00561182" w:rsidP="006E7A97">
      <w:pPr>
        <w:tabs>
          <w:tab w:val="left" w:pos="1125"/>
        </w:tabs>
        <w:rPr>
          <w:b/>
        </w:rPr>
      </w:pPr>
    </w:p>
    <w:p w14:paraId="629120D6" w14:textId="77777777" w:rsidR="00836129" w:rsidRDefault="00836129" w:rsidP="006E7A97">
      <w:pPr>
        <w:tabs>
          <w:tab w:val="left" w:pos="1125"/>
        </w:tabs>
        <w:rPr>
          <w:b/>
        </w:rPr>
      </w:pPr>
    </w:p>
    <w:p w14:paraId="74A59A0A" w14:textId="77777777" w:rsidR="00836129" w:rsidRDefault="00836129" w:rsidP="006E7A97">
      <w:pPr>
        <w:tabs>
          <w:tab w:val="left" w:pos="1125"/>
        </w:tabs>
        <w:rPr>
          <w:b/>
        </w:rPr>
      </w:pPr>
    </w:p>
    <w:p w14:paraId="10136BD8" w14:textId="77777777" w:rsidR="00836129" w:rsidRDefault="00836129" w:rsidP="006E7A97">
      <w:pPr>
        <w:tabs>
          <w:tab w:val="left" w:pos="1125"/>
        </w:tabs>
        <w:rPr>
          <w:b/>
        </w:rPr>
      </w:pPr>
    </w:p>
    <w:p w14:paraId="541CFAD6" w14:textId="77777777" w:rsidR="00836129" w:rsidRDefault="00836129" w:rsidP="006E7A97">
      <w:pPr>
        <w:tabs>
          <w:tab w:val="left" w:pos="1125"/>
        </w:tabs>
        <w:rPr>
          <w:b/>
        </w:rPr>
      </w:pPr>
    </w:p>
    <w:p w14:paraId="76CFB483" w14:textId="77777777" w:rsidR="00B91749" w:rsidRDefault="00B91749" w:rsidP="006E7A97">
      <w:pPr>
        <w:tabs>
          <w:tab w:val="left" w:pos="1125"/>
        </w:tabs>
        <w:rPr>
          <w:b/>
        </w:rPr>
      </w:pPr>
    </w:p>
    <w:p w14:paraId="39CA5B2B" w14:textId="77777777" w:rsidR="002E04B5" w:rsidRDefault="002E04B5" w:rsidP="006E7A97">
      <w:pPr>
        <w:tabs>
          <w:tab w:val="left" w:pos="1125"/>
        </w:tabs>
        <w:rPr>
          <w:b/>
        </w:rPr>
      </w:pPr>
    </w:p>
    <w:p w14:paraId="52EC43DE" w14:textId="77777777" w:rsidR="00457B05" w:rsidRDefault="00457B05" w:rsidP="006E7A97">
      <w:pPr>
        <w:tabs>
          <w:tab w:val="left" w:pos="1125"/>
        </w:tabs>
        <w:rPr>
          <w:b/>
        </w:rPr>
      </w:pPr>
    </w:p>
    <w:p w14:paraId="594C0E15" w14:textId="77777777" w:rsidR="00457B05" w:rsidRDefault="00457B05" w:rsidP="006E7A97">
      <w:pPr>
        <w:tabs>
          <w:tab w:val="left" w:pos="1125"/>
        </w:tabs>
        <w:rPr>
          <w:b/>
        </w:rPr>
      </w:pPr>
    </w:p>
    <w:p w14:paraId="04C42F0C" w14:textId="77777777" w:rsidR="00457B05" w:rsidRDefault="00457B05" w:rsidP="006E7A97">
      <w:pPr>
        <w:tabs>
          <w:tab w:val="left" w:pos="1125"/>
        </w:tabs>
        <w:rPr>
          <w:b/>
        </w:rPr>
      </w:pPr>
    </w:p>
    <w:p w14:paraId="39EA85BA" w14:textId="77777777" w:rsidR="00457B05" w:rsidRDefault="00457B05" w:rsidP="006E7A97">
      <w:pPr>
        <w:tabs>
          <w:tab w:val="left" w:pos="1125"/>
        </w:tabs>
        <w:rPr>
          <w:b/>
        </w:rPr>
      </w:pPr>
    </w:p>
    <w:p w14:paraId="5DC52366" w14:textId="77777777" w:rsidR="00457B05" w:rsidRDefault="00457B05" w:rsidP="006E7A97">
      <w:pPr>
        <w:tabs>
          <w:tab w:val="left" w:pos="1125"/>
        </w:tabs>
        <w:rPr>
          <w:b/>
        </w:rPr>
      </w:pPr>
    </w:p>
    <w:p w14:paraId="29FEFC95" w14:textId="77777777" w:rsidR="005A5B9A" w:rsidRPr="008B1863" w:rsidRDefault="005A5B9A" w:rsidP="007A71AC">
      <w:pPr>
        <w:tabs>
          <w:tab w:val="left" w:pos="1125"/>
        </w:tabs>
        <w:rPr>
          <w:i/>
          <w:sz w:val="20"/>
          <w:szCs w:val="20"/>
        </w:rPr>
      </w:pPr>
    </w:p>
    <w:p w14:paraId="362CAD88" w14:textId="77777777" w:rsidR="008B1863" w:rsidRPr="008F70DE" w:rsidRDefault="008B1863" w:rsidP="00D56E86">
      <w:pPr>
        <w:widowControl/>
        <w:numPr>
          <w:ilvl w:val="0"/>
          <w:numId w:val="4"/>
        </w:numPr>
        <w:autoSpaceDE/>
        <w:autoSpaceDN/>
        <w:adjustRightInd/>
        <w:spacing w:after="200"/>
        <w:ind w:left="450" w:hanging="450"/>
        <w:rPr>
          <w:color w:val="4F81BD" w:themeColor="accent1"/>
          <w:sz w:val="32"/>
          <w:szCs w:val="32"/>
        </w:rPr>
      </w:pPr>
      <w:r w:rsidRPr="000D1822">
        <w:rPr>
          <w:b/>
          <w:color w:val="4F81BD" w:themeColor="accent1"/>
          <w:sz w:val="32"/>
          <w:szCs w:val="32"/>
        </w:rPr>
        <w:lastRenderedPageBreak/>
        <w:t>Executive Summary</w:t>
      </w:r>
    </w:p>
    <w:p w14:paraId="58F435CE" w14:textId="77777777" w:rsidR="008F70DE" w:rsidRPr="008F70DE" w:rsidRDefault="008F70DE" w:rsidP="008F70DE">
      <w:pPr>
        <w:widowControl/>
        <w:autoSpaceDE/>
        <w:autoSpaceDN/>
        <w:adjustRightInd/>
        <w:spacing w:after="200"/>
        <w:rPr>
          <w:bCs/>
        </w:rPr>
      </w:pPr>
      <w:r w:rsidRPr="008F70DE">
        <w:rPr>
          <w:bCs/>
        </w:rPr>
        <w:t>The purpose of this Federal Annual Monitoring Evaluation (FAME) report is to assess the New Jersey (NJ) Public Employees Occupational Safety and Health (PEOSH) State Plan’s activities for Fiscal Year (FY) 2023, and its progress in resolving outstanding findings and recommendations from previous FAME reports, with a focus being on the past two performance periods (FY 2022 and FY 2023).</w:t>
      </w:r>
    </w:p>
    <w:p w14:paraId="765CC7A9" w14:textId="03B9BA12" w:rsidR="000121EC" w:rsidRDefault="000121EC" w:rsidP="00FC7044">
      <w:pPr>
        <w:widowControl/>
        <w:autoSpaceDE/>
        <w:autoSpaceDN/>
        <w:adjustRightInd/>
        <w:rPr>
          <w:bCs/>
        </w:rPr>
      </w:pPr>
      <w:r w:rsidRPr="000121EC">
        <w:rPr>
          <w:bCs/>
        </w:rPr>
        <w:t xml:space="preserve">In FY 2023, NJ PEOSH continued to have a significant presence in the workplace through its inspection activity, consultations, and partnerships.  PEOSH also continued to excel in outreach and training and to be a leader in the realm of homeland security in New Jersey.  </w:t>
      </w:r>
      <w:r w:rsidR="00FC7044">
        <w:rPr>
          <w:bCs/>
        </w:rPr>
        <w:t>New Jersey Department of Health (</w:t>
      </w:r>
      <w:r w:rsidRPr="000121EC">
        <w:rPr>
          <w:bCs/>
        </w:rPr>
        <w:t>NJDOH</w:t>
      </w:r>
      <w:r w:rsidR="00FC7044">
        <w:rPr>
          <w:bCs/>
        </w:rPr>
        <w:t>)</w:t>
      </w:r>
      <w:r w:rsidRPr="000121EC">
        <w:rPr>
          <w:bCs/>
        </w:rPr>
        <w:t xml:space="preserve"> PEOSH continued to work with The American Lung Association, Pediatric/Adult Asthma Coalition of New Jersey (PACNJ) and the NJ School Building and Grounds Association (NJSB&amp;GA) to present a four</w:t>
      </w:r>
      <w:r w:rsidR="00FD094F">
        <w:rPr>
          <w:bCs/>
        </w:rPr>
        <w:t>-</w:t>
      </w:r>
      <w:r w:rsidRPr="000121EC">
        <w:rPr>
          <w:bCs/>
        </w:rPr>
        <w:t>hour Indoor Air Quality (IAQ) course</w:t>
      </w:r>
      <w:r w:rsidR="00947D64">
        <w:rPr>
          <w:bCs/>
        </w:rPr>
        <w:t xml:space="preserve"> (NJ SOAR, FY 2023).</w:t>
      </w:r>
    </w:p>
    <w:p w14:paraId="3DC0BC95" w14:textId="77777777" w:rsidR="00FC7044" w:rsidRDefault="00FC7044" w:rsidP="00FC7044">
      <w:pPr>
        <w:widowControl/>
        <w:autoSpaceDE/>
        <w:autoSpaceDN/>
        <w:adjustRightInd/>
        <w:rPr>
          <w:bCs/>
        </w:rPr>
      </w:pPr>
    </w:p>
    <w:p w14:paraId="3862AC50" w14:textId="5FE53C05" w:rsidR="00FC7044" w:rsidRDefault="00897D4E" w:rsidP="00FC7044">
      <w:pPr>
        <w:pStyle w:val="Default"/>
      </w:pPr>
      <w:r w:rsidRPr="00897D4E">
        <w:t xml:space="preserve">For FY 2023, PEOSH conducted four PEOSH Advisory Board meetings as part of </w:t>
      </w:r>
      <w:r w:rsidR="00C16A32">
        <w:t xml:space="preserve">its </w:t>
      </w:r>
      <w:r w:rsidRPr="00897D4E">
        <w:t xml:space="preserve">outreach program. </w:t>
      </w:r>
      <w:r w:rsidR="00DC2D0C">
        <w:t xml:space="preserve"> </w:t>
      </w:r>
      <w:r w:rsidRPr="00897D4E">
        <w:t xml:space="preserve">These meetings involve employer and employee representatives from </w:t>
      </w:r>
      <w:r w:rsidR="00C16A32">
        <w:t>s</w:t>
      </w:r>
      <w:r w:rsidRPr="00897D4E">
        <w:t>tate, counties</w:t>
      </w:r>
      <w:r w:rsidR="00C16A32">
        <w:t>,</w:t>
      </w:r>
      <w:r w:rsidRPr="00897D4E">
        <w:t xml:space="preserve"> and municipalities</w:t>
      </w:r>
      <w:r w:rsidR="00C16A32">
        <w:t>,</w:t>
      </w:r>
      <w:r w:rsidRPr="00897D4E">
        <w:t xml:space="preserve"> and provide members information on health and safety topics, data for enforcement, consultation and training services provided by PEOSH, special alerts</w:t>
      </w:r>
      <w:r w:rsidR="00C16A32">
        <w:t>,</w:t>
      </w:r>
      <w:r w:rsidRPr="00897D4E">
        <w:t xml:space="preserve"> and updates on standard adoptions (NJ SOAR, FY 2023).</w:t>
      </w:r>
      <w:r w:rsidR="00FC7044">
        <w:t xml:space="preserve"> </w:t>
      </w:r>
    </w:p>
    <w:p w14:paraId="18BC5487" w14:textId="77777777" w:rsidR="00FC7044" w:rsidRDefault="00FC7044" w:rsidP="00FC7044">
      <w:pPr>
        <w:pStyle w:val="Default"/>
        <w:rPr>
          <w:bCs/>
        </w:rPr>
      </w:pPr>
    </w:p>
    <w:p w14:paraId="24542934" w14:textId="260F6A03" w:rsidR="008F70DE" w:rsidRDefault="008F70DE" w:rsidP="008F70DE">
      <w:pPr>
        <w:widowControl/>
        <w:autoSpaceDE/>
        <w:autoSpaceDN/>
        <w:adjustRightInd/>
        <w:spacing w:after="200"/>
        <w:rPr>
          <w:bCs/>
        </w:rPr>
      </w:pPr>
      <w:r w:rsidRPr="008F70DE">
        <w:rPr>
          <w:bCs/>
        </w:rPr>
        <w:t xml:space="preserve">During this evaluation period, PEOSH actively engaged with OSHA by providing requested information in a timely manner and participating in quarterly meetings. </w:t>
      </w:r>
      <w:r w:rsidR="0095396F">
        <w:rPr>
          <w:bCs/>
        </w:rPr>
        <w:t xml:space="preserve"> </w:t>
      </w:r>
      <w:r w:rsidRPr="008F70DE">
        <w:rPr>
          <w:bCs/>
        </w:rPr>
        <w:t xml:space="preserve">PEOSH was responsive to OSHA’s previous FAME findings and implemented corrective actions. </w:t>
      </w:r>
      <w:r w:rsidR="0095396F">
        <w:rPr>
          <w:bCs/>
        </w:rPr>
        <w:t xml:space="preserve"> </w:t>
      </w:r>
      <w:r w:rsidRPr="008F70DE">
        <w:rPr>
          <w:bCs/>
        </w:rPr>
        <w:t xml:space="preserve">PEOSH works collaboratively with OSHA and continuously strives to improve its program. </w:t>
      </w:r>
      <w:r w:rsidR="0095396F">
        <w:rPr>
          <w:bCs/>
        </w:rPr>
        <w:t xml:space="preserve"> </w:t>
      </w:r>
      <w:r w:rsidRPr="008F70DE">
        <w:rPr>
          <w:bCs/>
        </w:rPr>
        <w:t>PEOSH program administration maintains a high-level of performance.</w:t>
      </w:r>
    </w:p>
    <w:p w14:paraId="76466EF5" w14:textId="0723F41F" w:rsidR="00AF76CD" w:rsidRDefault="008F70DE" w:rsidP="008F70DE">
      <w:pPr>
        <w:widowControl/>
        <w:autoSpaceDE/>
        <w:autoSpaceDN/>
        <w:adjustRightInd/>
        <w:spacing w:after="200"/>
        <w:rPr>
          <w:bCs/>
        </w:rPr>
      </w:pPr>
      <w:r w:rsidRPr="000121EC">
        <w:rPr>
          <w:bCs/>
        </w:rPr>
        <w:t xml:space="preserve">The State Plan made </w:t>
      </w:r>
      <w:r w:rsidR="00A33BEF">
        <w:rPr>
          <w:bCs/>
        </w:rPr>
        <w:t xml:space="preserve">some </w:t>
      </w:r>
      <w:r w:rsidRPr="000121EC">
        <w:rPr>
          <w:bCs/>
        </w:rPr>
        <w:t xml:space="preserve">progress to address the previous </w:t>
      </w:r>
      <w:r w:rsidR="000121EC" w:rsidRPr="000121EC">
        <w:rPr>
          <w:bCs/>
        </w:rPr>
        <w:t>six</w:t>
      </w:r>
      <w:r w:rsidRPr="000121EC">
        <w:rPr>
          <w:bCs/>
        </w:rPr>
        <w:t xml:space="preserve"> findings and </w:t>
      </w:r>
      <w:r w:rsidR="000121EC" w:rsidRPr="000121EC">
        <w:rPr>
          <w:bCs/>
        </w:rPr>
        <w:t>eight</w:t>
      </w:r>
      <w:r w:rsidRPr="000121EC">
        <w:rPr>
          <w:bCs/>
        </w:rPr>
        <w:t xml:space="preserve"> observations from the FY 20</w:t>
      </w:r>
      <w:r w:rsidR="000121EC" w:rsidRPr="000121EC">
        <w:rPr>
          <w:bCs/>
        </w:rPr>
        <w:t>22</w:t>
      </w:r>
      <w:r w:rsidRPr="000121EC">
        <w:rPr>
          <w:bCs/>
        </w:rPr>
        <w:t xml:space="preserve"> Follow-up FAME Report. </w:t>
      </w:r>
      <w:r w:rsidR="0089091D">
        <w:rPr>
          <w:bCs/>
        </w:rPr>
        <w:t xml:space="preserve"> One finding was converted to an observation because most of the conditions listed in the original finding were addressed.  Three</w:t>
      </w:r>
      <w:r w:rsidR="00AF76CD">
        <w:rPr>
          <w:bCs/>
        </w:rPr>
        <w:t xml:space="preserve"> observations were closed </w:t>
      </w:r>
      <w:r w:rsidR="00947D64">
        <w:rPr>
          <w:bCs/>
        </w:rPr>
        <w:t>in FY 2023.  Two of these observations were closed based on a review of the St</w:t>
      </w:r>
      <w:r w:rsidR="00947D64" w:rsidRPr="00947D64">
        <w:rPr>
          <w:bCs/>
        </w:rPr>
        <w:t>ate Activity Mandated Measures Report</w:t>
      </w:r>
      <w:r w:rsidR="00947D64">
        <w:rPr>
          <w:bCs/>
        </w:rPr>
        <w:t xml:space="preserve"> contained in Appendix D.</w:t>
      </w:r>
      <w:r w:rsidR="0089091D">
        <w:rPr>
          <w:bCs/>
        </w:rPr>
        <w:t xml:space="preserve">  The other observation was closed based on a review of the consultation files and OSHA Information System (OIS) Report showing reports were issued within 20 federal working days in FY 2023. </w:t>
      </w:r>
      <w:r w:rsidR="00385E65">
        <w:t>In summary, this report contains a total of eight findings and nine observations.</w:t>
      </w:r>
    </w:p>
    <w:p w14:paraId="633A9ACC" w14:textId="546E25D7" w:rsidR="00D56E86" w:rsidRDefault="0089091D" w:rsidP="00D56E86">
      <w:pPr>
        <w:widowControl/>
        <w:tabs>
          <w:tab w:val="left" w:pos="540"/>
          <w:tab w:val="num" w:pos="1080"/>
        </w:tabs>
        <w:autoSpaceDE/>
        <w:autoSpaceDN/>
        <w:adjustRightInd/>
        <w:rPr>
          <w:b/>
          <w:color w:val="4F81BD" w:themeColor="accent1"/>
          <w:sz w:val="32"/>
          <w:szCs w:val="32"/>
        </w:rPr>
      </w:pPr>
      <w:r>
        <w:rPr>
          <w:bCs/>
        </w:rPr>
        <w:t>A</w:t>
      </w:r>
      <w:r w:rsidR="008F70DE" w:rsidRPr="000121EC">
        <w:rPr>
          <w:bCs/>
        </w:rPr>
        <w:t>ppendix A describes the new and continued findings and recommendations.  Appendix B describes the observations and the related federal monitoring plans.  Appendix C describes the status of previous findin</w:t>
      </w:r>
      <w:r w:rsidR="00D56E86">
        <w:rPr>
          <w:bCs/>
        </w:rPr>
        <w:t>gs.</w:t>
      </w:r>
      <w:r w:rsidR="00D56E86" w:rsidRPr="00D56E86">
        <w:rPr>
          <w:b/>
          <w:color w:val="4F81BD" w:themeColor="accent1"/>
          <w:sz w:val="32"/>
          <w:szCs w:val="32"/>
        </w:rPr>
        <w:t xml:space="preserve"> </w:t>
      </w:r>
    </w:p>
    <w:p w14:paraId="7FDE55D1" w14:textId="77777777" w:rsidR="00D56E86" w:rsidRDefault="00D56E86" w:rsidP="00D56E86">
      <w:pPr>
        <w:widowControl/>
        <w:tabs>
          <w:tab w:val="left" w:pos="540"/>
          <w:tab w:val="num" w:pos="1080"/>
        </w:tabs>
        <w:autoSpaceDE/>
        <w:autoSpaceDN/>
        <w:adjustRightInd/>
        <w:rPr>
          <w:b/>
          <w:color w:val="4F81BD" w:themeColor="accent1"/>
          <w:sz w:val="32"/>
          <w:szCs w:val="32"/>
        </w:rPr>
      </w:pPr>
    </w:p>
    <w:p w14:paraId="6E87B1CA" w14:textId="77777777" w:rsidR="0067597D" w:rsidRDefault="0067597D" w:rsidP="00D56E86">
      <w:pPr>
        <w:widowControl/>
        <w:tabs>
          <w:tab w:val="left" w:pos="540"/>
          <w:tab w:val="num" w:pos="1080"/>
        </w:tabs>
        <w:autoSpaceDE/>
        <w:autoSpaceDN/>
        <w:adjustRightInd/>
        <w:rPr>
          <w:b/>
          <w:color w:val="4F81BD" w:themeColor="accent1"/>
          <w:sz w:val="32"/>
          <w:szCs w:val="32"/>
        </w:rPr>
      </w:pPr>
    </w:p>
    <w:p w14:paraId="2D7D83F7" w14:textId="5A5166B7" w:rsidR="00D56E86" w:rsidRDefault="00D56E86" w:rsidP="00D56E86">
      <w:pPr>
        <w:widowControl/>
        <w:tabs>
          <w:tab w:val="left" w:pos="540"/>
          <w:tab w:val="num" w:pos="1080"/>
        </w:tabs>
        <w:autoSpaceDE/>
        <w:autoSpaceDN/>
        <w:adjustRightInd/>
        <w:rPr>
          <w:b/>
          <w:color w:val="4F81BD" w:themeColor="accent1"/>
          <w:sz w:val="32"/>
          <w:szCs w:val="32"/>
        </w:rPr>
      </w:pPr>
      <w:r w:rsidRPr="00044CCF">
        <w:rPr>
          <w:b/>
          <w:color w:val="4F81BD" w:themeColor="accent1"/>
          <w:sz w:val="32"/>
          <w:szCs w:val="32"/>
        </w:rPr>
        <w:t>II.   State Plan Background</w:t>
      </w:r>
    </w:p>
    <w:p w14:paraId="00539139" w14:textId="77777777" w:rsidR="00D56E86" w:rsidRPr="00044CCF" w:rsidRDefault="00D56E86" w:rsidP="00D56E86">
      <w:pPr>
        <w:widowControl/>
        <w:tabs>
          <w:tab w:val="left" w:pos="540"/>
          <w:tab w:val="num" w:pos="1080"/>
        </w:tabs>
        <w:autoSpaceDE/>
        <w:autoSpaceDN/>
        <w:adjustRightInd/>
        <w:rPr>
          <w:b/>
          <w:color w:val="4F81BD" w:themeColor="accent1"/>
          <w:sz w:val="32"/>
          <w:szCs w:val="32"/>
        </w:rPr>
      </w:pPr>
    </w:p>
    <w:p w14:paraId="61D15D74" w14:textId="77777777" w:rsidR="008B7258" w:rsidRPr="008F70DE" w:rsidRDefault="008B7258" w:rsidP="00171C6E">
      <w:pPr>
        <w:pStyle w:val="ListParagraph"/>
        <w:numPr>
          <w:ilvl w:val="0"/>
          <w:numId w:val="11"/>
        </w:numPr>
        <w:ind w:left="360"/>
        <w:rPr>
          <w:b/>
        </w:rPr>
      </w:pPr>
      <w:r w:rsidRPr="00143518">
        <w:rPr>
          <w:rFonts w:ascii="Times New Roman" w:hAnsi="Times New Roman" w:cs="Times New Roman"/>
          <w:b/>
          <w:sz w:val="24"/>
          <w:szCs w:val="24"/>
        </w:rPr>
        <w:t>Background</w:t>
      </w:r>
    </w:p>
    <w:p w14:paraId="738DF8F8" w14:textId="6F9E91EA" w:rsidR="008F70DE" w:rsidRPr="008F70DE" w:rsidRDefault="008F70DE" w:rsidP="008F70DE">
      <w:pPr>
        <w:rPr>
          <w:bCs/>
        </w:rPr>
      </w:pPr>
      <w:r w:rsidRPr="008F70DE">
        <w:rPr>
          <w:bCs/>
        </w:rPr>
        <w:t xml:space="preserve">PEOSH is administered by the Public Safety and Occupational Safety and Health Division of the New Jersey Department of Labor and Workforce Development (NJDLWD) in partnership with the Consumer Environmental Occupational Health Service (CEOHS) of the New Jersey Department of Health (NJDOH). Robert Asaro-Angelo is currently the commissioner who oversees the NJ State Plan which includes two offices: a labor (safety) central office and a health central office – both located in Trenton, </w:t>
      </w:r>
      <w:r w:rsidRPr="008F70DE">
        <w:rPr>
          <w:bCs/>
        </w:rPr>
        <w:lastRenderedPageBreak/>
        <w:t>New Jersey.</w:t>
      </w:r>
      <w:r w:rsidR="00DC2D0C">
        <w:rPr>
          <w:bCs/>
        </w:rPr>
        <w:t xml:space="preserve"> </w:t>
      </w:r>
      <w:r w:rsidRPr="008F70DE">
        <w:rPr>
          <w:bCs/>
        </w:rPr>
        <w:t xml:space="preserve"> These offices cover all state and local government sector enforcement and consultation activities in New Jersey.</w:t>
      </w:r>
    </w:p>
    <w:p w14:paraId="289525C0" w14:textId="77777777" w:rsidR="008F70DE" w:rsidRPr="008F70DE" w:rsidRDefault="008F70DE" w:rsidP="008F70DE">
      <w:pPr>
        <w:rPr>
          <w:bCs/>
        </w:rPr>
      </w:pPr>
    </w:p>
    <w:p w14:paraId="7CD600B3" w14:textId="12956E56" w:rsidR="008F70DE" w:rsidRPr="008F70DE" w:rsidRDefault="008F70DE" w:rsidP="008F70DE">
      <w:pPr>
        <w:rPr>
          <w:bCs/>
        </w:rPr>
      </w:pPr>
      <w:r w:rsidRPr="008F70DE">
        <w:rPr>
          <w:bCs/>
        </w:rPr>
        <w:t>PEOSH covers both safety and health disciplines.</w:t>
      </w:r>
      <w:r w:rsidR="00DC2D0C">
        <w:rPr>
          <w:bCs/>
        </w:rPr>
        <w:t xml:space="preserve"> </w:t>
      </w:r>
      <w:r w:rsidRPr="008F70DE">
        <w:rPr>
          <w:bCs/>
        </w:rPr>
        <w:t xml:space="preserve"> Private sector enforcement is retained under federal jurisdiction, while private sector consultative services are provided by the NJDLWD Consultation Services Bureau under section 21(d) of the OSH Act.</w:t>
      </w:r>
      <w:r w:rsidR="00DC2D0C">
        <w:rPr>
          <w:bCs/>
        </w:rPr>
        <w:t xml:space="preserve"> </w:t>
      </w:r>
      <w:r w:rsidRPr="008F70DE">
        <w:rPr>
          <w:bCs/>
        </w:rPr>
        <w:t xml:space="preserve"> Private sector consultation services are administered under a separate grant. </w:t>
      </w:r>
      <w:r w:rsidR="00DC2D0C">
        <w:rPr>
          <w:bCs/>
        </w:rPr>
        <w:t xml:space="preserve"> </w:t>
      </w:r>
      <w:r w:rsidRPr="008F70DE">
        <w:rPr>
          <w:bCs/>
        </w:rPr>
        <w:t xml:space="preserve">A review of that program is not included in this report. </w:t>
      </w:r>
      <w:r w:rsidR="00DC2D0C">
        <w:rPr>
          <w:bCs/>
        </w:rPr>
        <w:t xml:space="preserve"> </w:t>
      </w:r>
      <w:r w:rsidRPr="008F70DE">
        <w:rPr>
          <w:bCs/>
        </w:rPr>
        <w:t>The New Jersey State Plan agreement requires PEOSH to adopt all applicable OSHA safety and health standards – either identically or as alternative standards at least a</w:t>
      </w:r>
      <w:r w:rsidR="00FD094F">
        <w:rPr>
          <w:bCs/>
        </w:rPr>
        <w:t xml:space="preserve">s </w:t>
      </w:r>
      <w:r w:rsidRPr="008F70DE">
        <w:rPr>
          <w:bCs/>
        </w:rPr>
        <w:t xml:space="preserve">effective (ALAE) </w:t>
      </w:r>
      <w:r w:rsidR="00FD094F">
        <w:rPr>
          <w:bCs/>
        </w:rPr>
        <w:t xml:space="preserve">as </w:t>
      </w:r>
      <w:r w:rsidRPr="008F70DE">
        <w:rPr>
          <w:bCs/>
        </w:rPr>
        <w:t>the federal standards.</w:t>
      </w:r>
    </w:p>
    <w:p w14:paraId="38E5DDF2" w14:textId="77777777" w:rsidR="008F70DE" w:rsidRPr="008F70DE" w:rsidRDefault="008F70DE" w:rsidP="008F70DE">
      <w:pPr>
        <w:rPr>
          <w:bCs/>
        </w:rPr>
      </w:pPr>
    </w:p>
    <w:p w14:paraId="0899DB4F" w14:textId="3131D4C8" w:rsidR="008F70DE" w:rsidRPr="008F70DE" w:rsidRDefault="008F70DE" w:rsidP="008F70DE">
      <w:pPr>
        <w:rPr>
          <w:bCs/>
        </w:rPr>
      </w:pPr>
      <w:r w:rsidRPr="008F70DE">
        <w:rPr>
          <w:bCs/>
        </w:rPr>
        <w:t xml:space="preserve">PEOSH does not contain provisions for the issuance of monetary penalties for state and local government sector employers found not to be in-compliance with applicable standards on a first instance basis, except in cases of willful or repeat violations. </w:t>
      </w:r>
      <w:r w:rsidR="00DC2D0C">
        <w:rPr>
          <w:bCs/>
        </w:rPr>
        <w:t xml:space="preserve"> </w:t>
      </w:r>
      <w:r w:rsidRPr="008F70DE">
        <w:rPr>
          <w:bCs/>
        </w:rPr>
        <w:t>There is also a provision for</w:t>
      </w:r>
      <w:r w:rsidR="00DC2D0C">
        <w:rPr>
          <w:bCs/>
        </w:rPr>
        <w:t xml:space="preserve"> </w:t>
      </w:r>
      <w:r w:rsidRPr="008F70DE">
        <w:rPr>
          <w:bCs/>
        </w:rPr>
        <w:t xml:space="preserve">penalties on all failure to correct violations. </w:t>
      </w:r>
      <w:r w:rsidR="00DC2D0C">
        <w:rPr>
          <w:bCs/>
        </w:rPr>
        <w:t xml:space="preserve"> </w:t>
      </w:r>
      <w:r w:rsidRPr="008F70DE">
        <w:rPr>
          <w:bCs/>
        </w:rPr>
        <w:t>PEOSH’s review proceedings reflect OSHA review procedures.</w:t>
      </w:r>
    </w:p>
    <w:p w14:paraId="117F1488" w14:textId="77777777" w:rsidR="008F70DE" w:rsidRPr="008F70DE" w:rsidRDefault="008F70DE" w:rsidP="008F70DE">
      <w:pPr>
        <w:rPr>
          <w:bCs/>
        </w:rPr>
      </w:pPr>
    </w:p>
    <w:p w14:paraId="5CBAE4FC" w14:textId="482E5F73" w:rsidR="008F70DE" w:rsidRPr="00B76CE6" w:rsidRDefault="008F70DE" w:rsidP="008F70DE">
      <w:pPr>
        <w:rPr>
          <w:bCs/>
        </w:rPr>
      </w:pPr>
      <w:r w:rsidRPr="00B76CE6">
        <w:rPr>
          <w:bCs/>
        </w:rPr>
        <w:t xml:space="preserve">The NJ State Plan had </w:t>
      </w:r>
      <w:r w:rsidR="00276EE2" w:rsidRPr="00B76CE6">
        <w:rPr>
          <w:bCs/>
        </w:rPr>
        <w:t>six</w:t>
      </w:r>
      <w:r w:rsidRPr="00B76CE6">
        <w:rPr>
          <w:bCs/>
        </w:rPr>
        <w:t xml:space="preserve"> safety compliance officers </w:t>
      </w:r>
      <w:r w:rsidR="00276EE2" w:rsidRPr="00B76CE6">
        <w:rPr>
          <w:bCs/>
        </w:rPr>
        <w:t>at the end of FY 2023</w:t>
      </w:r>
      <w:r w:rsidRPr="00B76CE6">
        <w:rPr>
          <w:bCs/>
        </w:rPr>
        <w:t xml:space="preserve">. </w:t>
      </w:r>
      <w:r w:rsidR="00276EE2" w:rsidRPr="00B76CE6">
        <w:rPr>
          <w:bCs/>
        </w:rPr>
        <w:t xml:space="preserve">Three </w:t>
      </w:r>
      <w:r w:rsidRPr="00B76CE6">
        <w:rPr>
          <w:bCs/>
        </w:rPr>
        <w:t xml:space="preserve">of these </w:t>
      </w:r>
      <w:r w:rsidR="00276EE2" w:rsidRPr="00B76CE6">
        <w:rPr>
          <w:bCs/>
        </w:rPr>
        <w:t>six</w:t>
      </w:r>
      <w:r w:rsidRPr="00B76CE6">
        <w:rPr>
          <w:bCs/>
        </w:rPr>
        <w:t xml:space="preserve"> safety compliance officers work 75% on safety enforcement inspection activities and 25% of their time is spent on investigating whistleblower complaints.</w:t>
      </w:r>
      <w:r w:rsidR="00AD61E9">
        <w:rPr>
          <w:bCs/>
        </w:rPr>
        <w:t xml:space="preserve">  </w:t>
      </w:r>
      <w:r w:rsidRPr="00B76CE6">
        <w:rPr>
          <w:bCs/>
        </w:rPr>
        <w:t xml:space="preserve">The State Plan is planning on hiring </w:t>
      </w:r>
      <w:r w:rsidR="00276EE2" w:rsidRPr="00B76CE6">
        <w:rPr>
          <w:bCs/>
        </w:rPr>
        <w:t>four</w:t>
      </w:r>
      <w:r w:rsidRPr="00B76CE6">
        <w:rPr>
          <w:bCs/>
        </w:rPr>
        <w:t xml:space="preserve"> additional safety compliance officers in FY 202</w:t>
      </w:r>
      <w:r w:rsidR="00276EE2" w:rsidRPr="00B76CE6">
        <w:rPr>
          <w:bCs/>
        </w:rPr>
        <w:t>4</w:t>
      </w:r>
      <w:r w:rsidRPr="00B76CE6">
        <w:rPr>
          <w:bCs/>
        </w:rPr>
        <w:t xml:space="preserve">. </w:t>
      </w:r>
      <w:r w:rsidR="00276EE2" w:rsidRPr="00B76CE6">
        <w:rPr>
          <w:bCs/>
        </w:rPr>
        <w:t xml:space="preserve"> Th</w:t>
      </w:r>
      <w:r w:rsidRPr="00B76CE6">
        <w:rPr>
          <w:bCs/>
        </w:rPr>
        <w:t xml:space="preserve">ree full-time safety consultants provided safety consultation services </w:t>
      </w:r>
      <w:r w:rsidR="00276EE2" w:rsidRPr="00B76CE6">
        <w:rPr>
          <w:bCs/>
        </w:rPr>
        <w:t>for the duration of</w:t>
      </w:r>
      <w:r w:rsidRPr="00B76CE6">
        <w:rPr>
          <w:bCs/>
        </w:rPr>
        <w:t xml:space="preserve"> FY 202</w:t>
      </w:r>
      <w:r w:rsidR="00276EE2" w:rsidRPr="00B76CE6">
        <w:rPr>
          <w:bCs/>
        </w:rPr>
        <w:t>3</w:t>
      </w:r>
      <w:r w:rsidRPr="00B76CE6">
        <w:rPr>
          <w:bCs/>
        </w:rPr>
        <w:t xml:space="preserve">. </w:t>
      </w:r>
      <w:r w:rsidR="00276EE2" w:rsidRPr="00B76CE6">
        <w:rPr>
          <w:bCs/>
        </w:rPr>
        <w:t xml:space="preserve"> In December 2023, a safety consultant transferred to the PEOSH health enforcement division.</w:t>
      </w:r>
    </w:p>
    <w:p w14:paraId="7F37F4F3" w14:textId="77777777" w:rsidR="00276EE2" w:rsidRPr="00B76CE6" w:rsidRDefault="00276EE2" w:rsidP="008F70DE">
      <w:pPr>
        <w:rPr>
          <w:bCs/>
        </w:rPr>
      </w:pPr>
    </w:p>
    <w:p w14:paraId="08EF74E9" w14:textId="21C3FDC4" w:rsidR="008F70DE" w:rsidRPr="00B76CE6" w:rsidRDefault="008F70DE" w:rsidP="008F70DE">
      <w:pPr>
        <w:rPr>
          <w:bCs/>
        </w:rPr>
      </w:pPr>
      <w:r w:rsidRPr="00B76CE6">
        <w:rPr>
          <w:bCs/>
        </w:rPr>
        <w:t xml:space="preserve">The PEOSH Health Enforcement Division was staffed with three field health compliance and one compliance officer responsible for indoor air quality/sanitation complaints and handling phone/fax complaints. </w:t>
      </w:r>
      <w:r w:rsidR="00276EE2" w:rsidRPr="00B76CE6">
        <w:rPr>
          <w:bCs/>
        </w:rPr>
        <w:t xml:space="preserve"> Approval is being requested to fill two additional field positions in FY 2024.</w:t>
      </w:r>
    </w:p>
    <w:p w14:paraId="6564CE8E" w14:textId="77777777" w:rsidR="008F70DE" w:rsidRPr="00B76CE6" w:rsidRDefault="008F70DE" w:rsidP="008F70DE">
      <w:pPr>
        <w:rPr>
          <w:bCs/>
        </w:rPr>
      </w:pPr>
      <w:r w:rsidRPr="00B76CE6">
        <w:rPr>
          <w:bCs/>
        </w:rPr>
        <w:t xml:space="preserve"> </w:t>
      </w:r>
    </w:p>
    <w:p w14:paraId="67551B77" w14:textId="3144AB53" w:rsidR="008F70DE" w:rsidRDefault="00276EE2" w:rsidP="008F70DE">
      <w:pPr>
        <w:rPr>
          <w:bCs/>
        </w:rPr>
      </w:pPr>
      <w:r w:rsidRPr="00B76CE6">
        <w:rPr>
          <w:bCs/>
        </w:rPr>
        <w:t xml:space="preserve">The State Plan </w:t>
      </w:r>
      <w:r w:rsidR="008F70DE" w:rsidRPr="00B76CE6">
        <w:rPr>
          <w:bCs/>
        </w:rPr>
        <w:t xml:space="preserve">received a federal base award of </w:t>
      </w:r>
      <w:r w:rsidR="00B76CE6" w:rsidRPr="00B76CE6">
        <w:rPr>
          <w:bCs/>
        </w:rPr>
        <w:t xml:space="preserve">$2,166,200 </w:t>
      </w:r>
      <w:r w:rsidR="008F70DE" w:rsidRPr="00B76CE6">
        <w:rPr>
          <w:bCs/>
        </w:rPr>
        <w:t>to operate its program during FY 202</w:t>
      </w:r>
      <w:r w:rsidRPr="00B76CE6">
        <w:rPr>
          <w:bCs/>
        </w:rPr>
        <w:t>3</w:t>
      </w:r>
      <w:r w:rsidR="008F70DE" w:rsidRPr="00B76CE6">
        <w:rPr>
          <w:bCs/>
        </w:rPr>
        <w:t>.</w:t>
      </w:r>
      <w:r w:rsidRPr="00B76CE6">
        <w:rPr>
          <w:bCs/>
        </w:rPr>
        <w:t xml:space="preserve">  The program accepted $104,565 in one-time funding to purchase </w:t>
      </w:r>
      <w:r w:rsidR="00B76CE6" w:rsidRPr="00B76CE6">
        <w:rPr>
          <w:bCs/>
        </w:rPr>
        <w:t xml:space="preserve">equipment such as cameras, noise cancelling headsets, surface tablets and projectors.  This additional funding was also used to purchase training materials and to enroll staff in virtual training courses.   </w:t>
      </w:r>
      <w:r w:rsidRPr="00B76CE6">
        <w:rPr>
          <w:bCs/>
        </w:rPr>
        <w:t xml:space="preserve"> </w:t>
      </w:r>
    </w:p>
    <w:p w14:paraId="5CBCDA71" w14:textId="77777777" w:rsidR="0089091D" w:rsidRDefault="0089091D" w:rsidP="008F70DE">
      <w:pPr>
        <w:rPr>
          <w:bCs/>
        </w:rPr>
      </w:pPr>
    </w:p>
    <w:p w14:paraId="1877F141" w14:textId="77777777" w:rsidR="00836129" w:rsidRPr="008B7258" w:rsidRDefault="00836129" w:rsidP="00171C6E">
      <w:pPr>
        <w:pStyle w:val="ListParagraph"/>
        <w:numPr>
          <w:ilvl w:val="0"/>
          <w:numId w:val="11"/>
        </w:numPr>
        <w:spacing w:after="0" w:line="240" w:lineRule="auto"/>
        <w:ind w:left="360"/>
      </w:pPr>
      <w:r w:rsidRPr="00143518">
        <w:rPr>
          <w:rFonts w:ascii="Times New Roman" w:hAnsi="Times New Roman" w:cs="Times New Roman"/>
          <w:b/>
          <w:sz w:val="24"/>
          <w:szCs w:val="24"/>
        </w:rPr>
        <w:t>New Issues</w:t>
      </w:r>
    </w:p>
    <w:p w14:paraId="2AFBADBE" w14:textId="77777777" w:rsidR="005D1101" w:rsidRDefault="005D1101" w:rsidP="007A45B2">
      <w:pPr>
        <w:rPr>
          <w:i/>
        </w:rPr>
      </w:pPr>
    </w:p>
    <w:p w14:paraId="5816B589" w14:textId="74981990" w:rsidR="00D60A29" w:rsidRDefault="008F70DE" w:rsidP="00F0311C">
      <w:r>
        <w:t>None</w:t>
      </w:r>
    </w:p>
    <w:p w14:paraId="7A3F37A9" w14:textId="5E14DFF8" w:rsidR="003C0D15" w:rsidRDefault="003C0D15" w:rsidP="00F0311C"/>
    <w:p w14:paraId="7A47B65D" w14:textId="77777777" w:rsidR="00FD094F" w:rsidRDefault="00FD094F" w:rsidP="00F0311C"/>
    <w:p w14:paraId="66474800" w14:textId="77777777" w:rsidR="00B91749" w:rsidRPr="006F52DD" w:rsidRDefault="00A81F5B" w:rsidP="00B91749">
      <w:pPr>
        <w:widowControl/>
        <w:autoSpaceDE/>
        <w:autoSpaceDN/>
        <w:adjustRightInd/>
        <w:spacing w:after="200"/>
        <w:rPr>
          <w:color w:val="4F81BD" w:themeColor="accent1"/>
          <w:sz w:val="32"/>
          <w:szCs w:val="32"/>
        </w:rPr>
      </w:pPr>
      <w:r w:rsidRPr="006F52DD">
        <w:rPr>
          <w:b/>
          <w:color w:val="4F81BD" w:themeColor="accent1"/>
          <w:sz w:val="32"/>
          <w:szCs w:val="32"/>
        </w:rPr>
        <w:t>III.   Assessment of State Plan Progress and Performance</w:t>
      </w:r>
    </w:p>
    <w:p w14:paraId="57A220B5" w14:textId="77777777" w:rsidR="00B91749" w:rsidRPr="0089091D" w:rsidRDefault="00782EEC" w:rsidP="00171C6E">
      <w:pPr>
        <w:pStyle w:val="ListParagraph"/>
        <w:numPr>
          <w:ilvl w:val="0"/>
          <w:numId w:val="10"/>
        </w:numPr>
        <w:ind w:left="360"/>
        <w:rPr>
          <w:b/>
        </w:rPr>
      </w:pPr>
      <w:r w:rsidRPr="006F52DD">
        <w:rPr>
          <w:rFonts w:ascii="Times New Roman" w:hAnsi="Times New Roman" w:cs="Times New Roman"/>
          <w:b/>
          <w:sz w:val="24"/>
          <w:szCs w:val="24"/>
        </w:rPr>
        <w:t>Data</w:t>
      </w:r>
      <w:r w:rsidR="00B91749" w:rsidRPr="006F52DD">
        <w:rPr>
          <w:rFonts w:ascii="Times New Roman" w:hAnsi="Times New Roman" w:cs="Times New Roman"/>
          <w:b/>
          <w:sz w:val="24"/>
          <w:szCs w:val="24"/>
        </w:rPr>
        <w:t xml:space="preserve"> </w:t>
      </w:r>
      <w:r w:rsidR="008B7258">
        <w:rPr>
          <w:rFonts w:ascii="Times New Roman" w:hAnsi="Times New Roman" w:cs="Times New Roman"/>
          <w:b/>
          <w:sz w:val="24"/>
          <w:szCs w:val="24"/>
        </w:rPr>
        <w:t xml:space="preserve">and </w:t>
      </w:r>
      <w:r w:rsidR="00B91749" w:rsidRPr="006F52DD">
        <w:rPr>
          <w:rFonts w:ascii="Times New Roman" w:hAnsi="Times New Roman" w:cs="Times New Roman"/>
          <w:b/>
          <w:sz w:val="24"/>
          <w:szCs w:val="24"/>
        </w:rPr>
        <w:t>Methodology</w:t>
      </w:r>
    </w:p>
    <w:p w14:paraId="56D9B2CC" w14:textId="084BF6E0" w:rsidR="005A02B8" w:rsidRDefault="008B7258" w:rsidP="008B7258">
      <w:pPr>
        <w:widowControl/>
        <w:autoSpaceDE/>
        <w:autoSpaceDN/>
        <w:adjustRightInd/>
        <w:rPr>
          <w:bCs/>
        </w:rPr>
      </w:pPr>
      <w:r w:rsidRPr="001A335E">
        <w:rPr>
          <w:bCs/>
        </w:rPr>
        <w:t xml:space="preserve">OSHA established a two-year cycle for the FAME process.  </w:t>
      </w:r>
      <w:r>
        <w:rPr>
          <w:bCs/>
        </w:rPr>
        <w:t>FY 20</w:t>
      </w:r>
      <w:r w:rsidR="000173A3">
        <w:rPr>
          <w:bCs/>
        </w:rPr>
        <w:t>23</w:t>
      </w:r>
      <w:r>
        <w:rPr>
          <w:bCs/>
        </w:rPr>
        <w:t xml:space="preserve"> is a</w:t>
      </w:r>
      <w:r w:rsidRPr="001A335E">
        <w:rPr>
          <w:bCs/>
        </w:rPr>
        <w:t xml:space="preserve"> </w:t>
      </w:r>
      <w:r>
        <w:rPr>
          <w:bCs/>
        </w:rPr>
        <w:t>comprehensive</w:t>
      </w:r>
      <w:r w:rsidRPr="001A335E">
        <w:rPr>
          <w:bCs/>
        </w:rPr>
        <w:t xml:space="preserve"> year and as such, OSHA was required to </w:t>
      </w:r>
      <w:r w:rsidR="00F0311C">
        <w:rPr>
          <w:bCs/>
        </w:rPr>
        <w:t xml:space="preserve">conduct </w:t>
      </w:r>
      <w:r w:rsidRPr="001A335E">
        <w:rPr>
          <w:bCs/>
        </w:rPr>
        <w:t xml:space="preserve">an on-site evaluation and case file review.  </w:t>
      </w:r>
      <w:r w:rsidR="00BB2C23">
        <w:rPr>
          <w:bCs/>
        </w:rPr>
        <w:t xml:space="preserve">A </w:t>
      </w:r>
      <w:r w:rsidR="000173A3">
        <w:rPr>
          <w:bCs/>
        </w:rPr>
        <w:t>three-</w:t>
      </w:r>
      <w:r w:rsidR="00BB2C23">
        <w:rPr>
          <w:bCs/>
        </w:rPr>
        <w:t>per</w:t>
      </w:r>
      <w:r>
        <w:rPr>
          <w:bCs/>
        </w:rPr>
        <w:t xml:space="preserve">son OSHA </w:t>
      </w:r>
      <w:r w:rsidR="00BB2C23">
        <w:rPr>
          <w:bCs/>
        </w:rPr>
        <w:t>team, which included a whistleblower investigator, was assembled to conduct a full</w:t>
      </w:r>
      <w:r>
        <w:rPr>
          <w:bCs/>
        </w:rPr>
        <w:t xml:space="preserve"> </w:t>
      </w:r>
      <w:r w:rsidR="000173A3">
        <w:rPr>
          <w:bCs/>
        </w:rPr>
        <w:t xml:space="preserve">remote </w:t>
      </w:r>
      <w:r>
        <w:rPr>
          <w:bCs/>
        </w:rPr>
        <w:t>case file review</w:t>
      </w:r>
      <w:r w:rsidR="00BB2C23">
        <w:rPr>
          <w:bCs/>
        </w:rPr>
        <w:t>.</w:t>
      </w:r>
      <w:r>
        <w:rPr>
          <w:bCs/>
        </w:rPr>
        <w:t xml:space="preserve"> The case file review was conducted</w:t>
      </w:r>
      <w:r w:rsidR="00BB2C23">
        <w:rPr>
          <w:bCs/>
        </w:rPr>
        <w:t xml:space="preserve"> </w:t>
      </w:r>
      <w:r w:rsidR="000173A3">
        <w:rPr>
          <w:bCs/>
        </w:rPr>
        <w:t>remotely due to budget constraints beginning on November 13, 2023.</w:t>
      </w:r>
      <w:r w:rsidR="00BB2C23">
        <w:rPr>
          <w:bCs/>
        </w:rPr>
        <w:t xml:space="preserve">  A total of </w:t>
      </w:r>
      <w:r w:rsidR="000121EC">
        <w:rPr>
          <w:bCs/>
        </w:rPr>
        <w:t>94</w:t>
      </w:r>
      <w:r w:rsidR="00BB2C23">
        <w:rPr>
          <w:bCs/>
        </w:rPr>
        <w:t xml:space="preserve"> safety, health</w:t>
      </w:r>
      <w:r w:rsidR="006F52DD">
        <w:rPr>
          <w:bCs/>
        </w:rPr>
        <w:t>,</w:t>
      </w:r>
      <w:r w:rsidR="00BB2C23">
        <w:rPr>
          <w:bCs/>
        </w:rPr>
        <w:t xml:space="preserve"> and </w:t>
      </w:r>
      <w:r w:rsidR="000D34E1">
        <w:rPr>
          <w:bCs/>
        </w:rPr>
        <w:t xml:space="preserve">whistleblower </w:t>
      </w:r>
      <w:r w:rsidR="00BB2C23">
        <w:rPr>
          <w:bCs/>
        </w:rPr>
        <w:t xml:space="preserve">inspection </w:t>
      </w:r>
      <w:r w:rsidR="00F0311C">
        <w:rPr>
          <w:bCs/>
        </w:rPr>
        <w:t xml:space="preserve">case </w:t>
      </w:r>
      <w:r w:rsidR="00BB2C23">
        <w:rPr>
          <w:bCs/>
        </w:rPr>
        <w:t>files were reviewed.  The safety and health inspection files were randomly selected from closed inspections conducted during the evaluation period (Oct 1, 20</w:t>
      </w:r>
      <w:r w:rsidR="00434F9D">
        <w:rPr>
          <w:bCs/>
        </w:rPr>
        <w:t>22</w:t>
      </w:r>
      <w:r w:rsidR="00BB2C23">
        <w:rPr>
          <w:bCs/>
        </w:rPr>
        <w:t xml:space="preserve"> through September 30, 20</w:t>
      </w:r>
      <w:r w:rsidR="00434F9D">
        <w:rPr>
          <w:bCs/>
        </w:rPr>
        <w:t>23</w:t>
      </w:r>
      <w:r w:rsidR="00BB2C23">
        <w:rPr>
          <w:bCs/>
        </w:rPr>
        <w:t>)</w:t>
      </w:r>
      <w:r w:rsidR="005A02B8">
        <w:rPr>
          <w:bCs/>
        </w:rPr>
        <w:t xml:space="preserve">.  The </w:t>
      </w:r>
      <w:r w:rsidR="00F0311C">
        <w:rPr>
          <w:bCs/>
        </w:rPr>
        <w:t xml:space="preserve">selected </w:t>
      </w:r>
      <w:r w:rsidR="005A02B8">
        <w:rPr>
          <w:bCs/>
        </w:rPr>
        <w:t>population included:</w:t>
      </w:r>
    </w:p>
    <w:p w14:paraId="676758EE" w14:textId="77777777" w:rsidR="00434F9D" w:rsidRDefault="00434F9D" w:rsidP="008B7258">
      <w:pPr>
        <w:widowControl/>
        <w:autoSpaceDE/>
        <w:autoSpaceDN/>
        <w:adjustRightInd/>
        <w:rPr>
          <w:bCs/>
        </w:rPr>
      </w:pPr>
    </w:p>
    <w:p w14:paraId="11001776" w14:textId="47B2AF71" w:rsidR="00434F9D" w:rsidRPr="00434F9D" w:rsidRDefault="00434F9D" w:rsidP="00171C6E">
      <w:pPr>
        <w:pStyle w:val="ListParagraph"/>
        <w:numPr>
          <w:ilvl w:val="0"/>
          <w:numId w:val="15"/>
        </w:numPr>
        <w:rPr>
          <w:rFonts w:ascii="Times New Roman" w:hAnsi="Times New Roman" w:cs="Times New Roman"/>
          <w:bCs/>
          <w:sz w:val="24"/>
          <w:szCs w:val="24"/>
        </w:rPr>
      </w:pPr>
      <w:r w:rsidRPr="00434F9D">
        <w:rPr>
          <w:rFonts w:ascii="Times New Roman" w:hAnsi="Times New Roman" w:cs="Times New Roman"/>
          <w:bCs/>
          <w:sz w:val="24"/>
          <w:szCs w:val="24"/>
        </w:rPr>
        <w:t>Three (3) closed fatality case files</w:t>
      </w:r>
    </w:p>
    <w:p w14:paraId="4B90C5E2" w14:textId="31793873" w:rsidR="00434F9D" w:rsidRPr="00434F9D" w:rsidRDefault="00434F9D" w:rsidP="00171C6E">
      <w:pPr>
        <w:pStyle w:val="ListParagraph"/>
        <w:numPr>
          <w:ilvl w:val="0"/>
          <w:numId w:val="15"/>
        </w:numPr>
        <w:rPr>
          <w:rFonts w:ascii="Times New Roman" w:hAnsi="Times New Roman" w:cs="Times New Roman"/>
          <w:bCs/>
          <w:sz w:val="24"/>
          <w:szCs w:val="24"/>
        </w:rPr>
      </w:pPr>
      <w:r w:rsidRPr="00434F9D">
        <w:rPr>
          <w:rFonts w:ascii="Times New Roman" w:hAnsi="Times New Roman" w:cs="Times New Roman"/>
          <w:bCs/>
          <w:sz w:val="24"/>
          <w:szCs w:val="24"/>
        </w:rPr>
        <w:lastRenderedPageBreak/>
        <w:t>Ten (10) closed health files</w:t>
      </w:r>
    </w:p>
    <w:p w14:paraId="0C045BE7" w14:textId="3FB46D69" w:rsidR="00434F9D" w:rsidRPr="00434F9D" w:rsidRDefault="00434F9D" w:rsidP="00171C6E">
      <w:pPr>
        <w:pStyle w:val="ListParagraph"/>
        <w:numPr>
          <w:ilvl w:val="0"/>
          <w:numId w:val="15"/>
        </w:numPr>
        <w:rPr>
          <w:rFonts w:ascii="Times New Roman" w:hAnsi="Times New Roman" w:cs="Times New Roman"/>
          <w:bCs/>
          <w:sz w:val="24"/>
          <w:szCs w:val="24"/>
        </w:rPr>
      </w:pPr>
      <w:r w:rsidRPr="00434F9D">
        <w:rPr>
          <w:rFonts w:ascii="Times New Roman" w:hAnsi="Times New Roman" w:cs="Times New Roman"/>
          <w:bCs/>
          <w:sz w:val="24"/>
          <w:szCs w:val="24"/>
        </w:rPr>
        <w:t>Thiry-five (35) closed safety files</w:t>
      </w:r>
    </w:p>
    <w:p w14:paraId="1E465681" w14:textId="4F42C225" w:rsidR="00434F9D" w:rsidRPr="00434F9D" w:rsidRDefault="00434F9D" w:rsidP="00171C6E">
      <w:pPr>
        <w:pStyle w:val="ListParagraph"/>
        <w:numPr>
          <w:ilvl w:val="0"/>
          <w:numId w:val="15"/>
        </w:numPr>
        <w:rPr>
          <w:rFonts w:ascii="Times New Roman" w:hAnsi="Times New Roman" w:cs="Times New Roman"/>
          <w:bCs/>
          <w:sz w:val="24"/>
          <w:szCs w:val="24"/>
        </w:rPr>
      </w:pPr>
      <w:r w:rsidRPr="00434F9D">
        <w:rPr>
          <w:rFonts w:ascii="Times New Roman" w:hAnsi="Times New Roman" w:cs="Times New Roman"/>
          <w:bCs/>
          <w:sz w:val="24"/>
          <w:szCs w:val="24"/>
        </w:rPr>
        <w:t>Ten (10) closed health unprogrammed activities that were investigated</w:t>
      </w:r>
    </w:p>
    <w:p w14:paraId="5C2D81C7" w14:textId="4DE40869" w:rsidR="000173A3" w:rsidRDefault="00434F9D" w:rsidP="00171C6E">
      <w:pPr>
        <w:pStyle w:val="ListParagraph"/>
        <w:numPr>
          <w:ilvl w:val="0"/>
          <w:numId w:val="15"/>
        </w:numPr>
        <w:rPr>
          <w:rFonts w:ascii="Times New Roman" w:hAnsi="Times New Roman" w:cs="Times New Roman"/>
          <w:bCs/>
          <w:sz w:val="24"/>
          <w:szCs w:val="24"/>
        </w:rPr>
      </w:pPr>
      <w:r w:rsidRPr="00434F9D">
        <w:rPr>
          <w:rFonts w:ascii="Times New Roman" w:hAnsi="Times New Roman" w:cs="Times New Roman"/>
          <w:bCs/>
          <w:sz w:val="24"/>
          <w:szCs w:val="24"/>
        </w:rPr>
        <w:t xml:space="preserve">Ten (10) closed safety unprogrammed activities that were not investigated or inspected </w:t>
      </w:r>
    </w:p>
    <w:p w14:paraId="0B716570" w14:textId="0F07E9DC" w:rsidR="00434F9D" w:rsidRPr="00434F9D" w:rsidRDefault="0095396F" w:rsidP="00171C6E">
      <w:pPr>
        <w:pStyle w:val="ListParagraph"/>
        <w:numPr>
          <w:ilvl w:val="0"/>
          <w:numId w:val="15"/>
        </w:numPr>
        <w:rPr>
          <w:rFonts w:ascii="Times New Roman" w:hAnsi="Times New Roman" w:cs="Times New Roman"/>
          <w:bCs/>
          <w:sz w:val="24"/>
          <w:szCs w:val="24"/>
        </w:rPr>
      </w:pPr>
      <w:r>
        <w:rPr>
          <w:rFonts w:ascii="Times New Roman" w:hAnsi="Times New Roman" w:cs="Times New Roman"/>
          <w:bCs/>
          <w:sz w:val="24"/>
          <w:szCs w:val="24"/>
        </w:rPr>
        <w:t>Eighteen (18) closed consultation files</w:t>
      </w:r>
      <w:r w:rsidR="00434F9D" w:rsidRPr="00434F9D">
        <w:rPr>
          <w:rFonts w:ascii="Times New Roman" w:hAnsi="Times New Roman" w:cs="Times New Roman"/>
          <w:bCs/>
          <w:sz w:val="24"/>
          <w:szCs w:val="24"/>
        </w:rPr>
        <w:t xml:space="preserve">  </w:t>
      </w:r>
    </w:p>
    <w:p w14:paraId="55F04AAD" w14:textId="1132F515" w:rsidR="00434F9D" w:rsidRPr="00434F9D" w:rsidRDefault="00434F9D" w:rsidP="00171C6E">
      <w:pPr>
        <w:pStyle w:val="ListParagraph"/>
        <w:numPr>
          <w:ilvl w:val="0"/>
          <w:numId w:val="15"/>
        </w:numPr>
        <w:rPr>
          <w:rFonts w:ascii="Times New Roman" w:hAnsi="Times New Roman" w:cs="Times New Roman"/>
          <w:bCs/>
          <w:sz w:val="24"/>
          <w:szCs w:val="24"/>
        </w:rPr>
      </w:pPr>
      <w:r w:rsidRPr="00434F9D">
        <w:rPr>
          <w:rFonts w:ascii="Times New Roman" w:hAnsi="Times New Roman" w:cs="Times New Roman"/>
          <w:bCs/>
          <w:sz w:val="24"/>
          <w:szCs w:val="24"/>
        </w:rPr>
        <w:t>Eight (8) closed whistleblower case files</w:t>
      </w:r>
    </w:p>
    <w:p w14:paraId="7CCF4DD4" w14:textId="77777777" w:rsidR="008B7258" w:rsidRDefault="008B7258" w:rsidP="008B7258">
      <w:pPr>
        <w:widowControl/>
        <w:autoSpaceDE/>
        <w:autoSpaceDN/>
        <w:adjustRightInd/>
        <w:rPr>
          <w:bCs/>
        </w:rPr>
      </w:pPr>
      <w:r>
        <w:rPr>
          <w:bCs/>
        </w:rPr>
        <w:t>The analyses and conclusions described in this report are based on information obtained from a variety of monitoring sources, including</w:t>
      </w:r>
      <w:r w:rsidR="00F0311C">
        <w:rPr>
          <w:bCs/>
        </w:rPr>
        <w:t xml:space="preserve"> the</w:t>
      </w:r>
      <w:r>
        <w:rPr>
          <w:bCs/>
        </w:rPr>
        <w:t>:</w:t>
      </w:r>
    </w:p>
    <w:p w14:paraId="37E9AEA2" w14:textId="77777777" w:rsidR="008B7258" w:rsidRDefault="008B7258" w:rsidP="008B7258">
      <w:pPr>
        <w:widowControl/>
        <w:autoSpaceDE/>
        <w:autoSpaceDN/>
        <w:adjustRightInd/>
        <w:rPr>
          <w:bCs/>
        </w:rPr>
      </w:pPr>
    </w:p>
    <w:p w14:paraId="1ADD56FE" w14:textId="77777777" w:rsidR="00D60A29" w:rsidRDefault="008B7258" w:rsidP="00171C6E">
      <w:pPr>
        <w:pStyle w:val="ListParagraph"/>
        <w:numPr>
          <w:ilvl w:val="0"/>
          <w:numId w:val="12"/>
        </w:numPr>
        <w:ind w:left="900"/>
        <w:rPr>
          <w:rFonts w:ascii="Times New Roman" w:hAnsi="Times New Roman" w:cs="Times New Roman"/>
          <w:bCs/>
          <w:sz w:val="24"/>
          <w:szCs w:val="24"/>
        </w:rPr>
      </w:pPr>
      <w:r w:rsidRPr="00F91D79">
        <w:rPr>
          <w:rFonts w:ascii="Times New Roman" w:hAnsi="Times New Roman" w:cs="Times New Roman"/>
          <w:bCs/>
          <w:sz w:val="24"/>
          <w:szCs w:val="24"/>
        </w:rPr>
        <w:t>State Activity</w:t>
      </w:r>
      <w:r>
        <w:rPr>
          <w:rFonts w:ascii="Times New Roman" w:hAnsi="Times New Roman" w:cs="Times New Roman"/>
          <w:bCs/>
          <w:sz w:val="24"/>
          <w:szCs w:val="24"/>
        </w:rPr>
        <w:t xml:space="preserve"> Mandated Measures Report (Appendix D)</w:t>
      </w:r>
    </w:p>
    <w:p w14:paraId="1189ACBE" w14:textId="33F78CB7" w:rsidR="008F70DE" w:rsidRPr="00D60A29" w:rsidRDefault="008F70DE" w:rsidP="00171C6E">
      <w:pPr>
        <w:pStyle w:val="ListParagraph"/>
        <w:numPr>
          <w:ilvl w:val="0"/>
          <w:numId w:val="12"/>
        </w:numPr>
        <w:ind w:left="900"/>
        <w:rPr>
          <w:rFonts w:ascii="Times New Roman" w:hAnsi="Times New Roman" w:cs="Times New Roman"/>
          <w:bCs/>
          <w:sz w:val="24"/>
          <w:szCs w:val="24"/>
        </w:rPr>
      </w:pPr>
      <w:r>
        <w:rPr>
          <w:rFonts w:ascii="Times New Roman" w:hAnsi="Times New Roman" w:cs="Times New Roman"/>
          <w:bCs/>
          <w:sz w:val="24"/>
          <w:szCs w:val="24"/>
        </w:rPr>
        <w:t>OSHA Information System (OIS)</w:t>
      </w:r>
    </w:p>
    <w:p w14:paraId="385F1575" w14:textId="77777777" w:rsidR="008B7258" w:rsidRPr="00D60A29" w:rsidRDefault="008B7258" w:rsidP="00171C6E">
      <w:pPr>
        <w:pStyle w:val="ListParagraph"/>
        <w:numPr>
          <w:ilvl w:val="0"/>
          <w:numId w:val="12"/>
        </w:numPr>
        <w:ind w:left="900"/>
        <w:rPr>
          <w:rFonts w:ascii="Times New Roman" w:hAnsi="Times New Roman" w:cs="Times New Roman"/>
          <w:sz w:val="24"/>
          <w:szCs w:val="24"/>
        </w:rPr>
      </w:pPr>
      <w:r w:rsidRPr="00D60A29">
        <w:rPr>
          <w:rFonts w:ascii="Times New Roman" w:hAnsi="Times New Roman" w:cs="Times New Roman"/>
          <w:sz w:val="24"/>
          <w:szCs w:val="24"/>
        </w:rPr>
        <w:t xml:space="preserve">State Information Report </w:t>
      </w:r>
    </w:p>
    <w:p w14:paraId="32C6F269" w14:textId="77777777" w:rsidR="008B7258" w:rsidRDefault="008B7258" w:rsidP="00171C6E">
      <w:pPr>
        <w:pStyle w:val="ListParagraph"/>
        <w:numPr>
          <w:ilvl w:val="0"/>
          <w:numId w:val="12"/>
        </w:numPr>
        <w:ind w:left="900"/>
        <w:rPr>
          <w:rFonts w:ascii="Times New Roman" w:hAnsi="Times New Roman" w:cs="Times New Roman"/>
          <w:bCs/>
          <w:sz w:val="24"/>
          <w:szCs w:val="24"/>
        </w:rPr>
      </w:pPr>
      <w:r>
        <w:rPr>
          <w:rFonts w:ascii="Times New Roman" w:hAnsi="Times New Roman" w:cs="Times New Roman"/>
          <w:bCs/>
          <w:sz w:val="24"/>
          <w:szCs w:val="24"/>
        </w:rPr>
        <w:t xml:space="preserve">Mandated Activities Report for Consultation </w:t>
      </w:r>
    </w:p>
    <w:p w14:paraId="154E75DF" w14:textId="4A372187" w:rsidR="008B7258" w:rsidRPr="000D34E1" w:rsidRDefault="008B7258" w:rsidP="00171C6E">
      <w:pPr>
        <w:pStyle w:val="ListParagraph"/>
        <w:numPr>
          <w:ilvl w:val="0"/>
          <w:numId w:val="12"/>
        </w:numPr>
        <w:ind w:left="900"/>
        <w:rPr>
          <w:rFonts w:ascii="Times New Roman" w:hAnsi="Times New Roman" w:cs="Times New Roman"/>
          <w:bCs/>
          <w:sz w:val="24"/>
          <w:szCs w:val="24"/>
        </w:rPr>
      </w:pPr>
      <w:r>
        <w:rPr>
          <w:rFonts w:ascii="Times New Roman" w:hAnsi="Times New Roman" w:cs="Times New Roman"/>
          <w:bCs/>
          <w:sz w:val="24"/>
          <w:szCs w:val="24"/>
        </w:rPr>
        <w:t xml:space="preserve">State OSHA Annual Report </w:t>
      </w:r>
    </w:p>
    <w:p w14:paraId="7E0CA9AD" w14:textId="77777777" w:rsidR="008B7258" w:rsidRDefault="008B7258" w:rsidP="00171C6E">
      <w:pPr>
        <w:pStyle w:val="ListParagraph"/>
        <w:numPr>
          <w:ilvl w:val="0"/>
          <w:numId w:val="12"/>
        </w:numPr>
        <w:ind w:left="900"/>
        <w:rPr>
          <w:rFonts w:ascii="Times New Roman" w:hAnsi="Times New Roman" w:cs="Times New Roman"/>
          <w:bCs/>
          <w:sz w:val="24"/>
          <w:szCs w:val="24"/>
        </w:rPr>
      </w:pPr>
      <w:r>
        <w:rPr>
          <w:rFonts w:ascii="Times New Roman" w:hAnsi="Times New Roman" w:cs="Times New Roman"/>
          <w:bCs/>
          <w:sz w:val="24"/>
          <w:szCs w:val="24"/>
        </w:rPr>
        <w:t>State Plan Annual Performance Plan</w:t>
      </w:r>
    </w:p>
    <w:p w14:paraId="46D63E7E" w14:textId="77777777" w:rsidR="008B7258" w:rsidRDefault="008B7258" w:rsidP="00171C6E">
      <w:pPr>
        <w:pStyle w:val="ListParagraph"/>
        <w:numPr>
          <w:ilvl w:val="0"/>
          <w:numId w:val="12"/>
        </w:numPr>
        <w:ind w:left="900"/>
        <w:rPr>
          <w:rFonts w:ascii="Times New Roman" w:hAnsi="Times New Roman" w:cs="Times New Roman"/>
          <w:bCs/>
          <w:sz w:val="24"/>
          <w:szCs w:val="24"/>
        </w:rPr>
      </w:pPr>
      <w:r>
        <w:rPr>
          <w:rFonts w:ascii="Times New Roman" w:hAnsi="Times New Roman" w:cs="Times New Roman"/>
          <w:bCs/>
          <w:sz w:val="24"/>
          <w:szCs w:val="24"/>
        </w:rPr>
        <w:t xml:space="preserve">State Plan </w:t>
      </w:r>
      <w:r w:rsidR="0063159D">
        <w:rPr>
          <w:rFonts w:ascii="Times New Roman" w:hAnsi="Times New Roman" w:cs="Times New Roman"/>
          <w:bCs/>
          <w:sz w:val="24"/>
          <w:szCs w:val="24"/>
        </w:rPr>
        <w:t>G</w:t>
      </w:r>
      <w:r>
        <w:rPr>
          <w:rFonts w:ascii="Times New Roman" w:hAnsi="Times New Roman" w:cs="Times New Roman"/>
          <w:bCs/>
          <w:sz w:val="24"/>
          <w:szCs w:val="24"/>
        </w:rPr>
        <w:t xml:space="preserve">rant </w:t>
      </w:r>
      <w:r w:rsidR="00F0311C">
        <w:rPr>
          <w:rFonts w:ascii="Times New Roman" w:hAnsi="Times New Roman" w:cs="Times New Roman"/>
          <w:bCs/>
          <w:sz w:val="24"/>
          <w:szCs w:val="24"/>
        </w:rPr>
        <w:t>A</w:t>
      </w:r>
      <w:r>
        <w:rPr>
          <w:rFonts w:ascii="Times New Roman" w:hAnsi="Times New Roman" w:cs="Times New Roman"/>
          <w:bCs/>
          <w:sz w:val="24"/>
          <w:szCs w:val="24"/>
        </w:rPr>
        <w:t xml:space="preserve">pplication </w:t>
      </w:r>
    </w:p>
    <w:p w14:paraId="2428504D" w14:textId="77777777" w:rsidR="008B7258" w:rsidRDefault="008B7258" w:rsidP="00171C6E">
      <w:pPr>
        <w:pStyle w:val="ListParagraph"/>
        <w:numPr>
          <w:ilvl w:val="0"/>
          <w:numId w:val="12"/>
        </w:numPr>
        <w:ind w:left="900"/>
        <w:rPr>
          <w:rFonts w:ascii="Times New Roman" w:hAnsi="Times New Roman" w:cs="Times New Roman"/>
          <w:bCs/>
          <w:sz w:val="24"/>
          <w:szCs w:val="24"/>
        </w:rPr>
      </w:pPr>
      <w:r>
        <w:rPr>
          <w:rFonts w:ascii="Times New Roman" w:hAnsi="Times New Roman" w:cs="Times New Roman"/>
          <w:bCs/>
          <w:sz w:val="24"/>
          <w:szCs w:val="24"/>
        </w:rPr>
        <w:t>Quarterly monitoring meetings between OSHA and the State Plan</w:t>
      </w:r>
    </w:p>
    <w:p w14:paraId="399D5C5C" w14:textId="77777777" w:rsidR="005C203B" w:rsidRDefault="008B7258" w:rsidP="00171C6E">
      <w:pPr>
        <w:pStyle w:val="ListParagraph"/>
        <w:numPr>
          <w:ilvl w:val="0"/>
          <w:numId w:val="12"/>
        </w:numPr>
        <w:ind w:left="900"/>
        <w:rPr>
          <w:rFonts w:ascii="Times New Roman" w:hAnsi="Times New Roman" w:cs="Times New Roman"/>
          <w:bCs/>
          <w:sz w:val="24"/>
          <w:szCs w:val="24"/>
        </w:rPr>
      </w:pPr>
      <w:r w:rsidRPr="000D34E1">
        <w:rPr>
          <w:rFonts w:ascii="Times New Roman" w:hAnsi="Times New Roman" w:cs="Times New Roman"/>
          <w:bCs/>
          <w:sz w:val="24"/>
          <w:szCs w:val="24"/>
        </w:rPr>
        <w:t xml:space="preserve">Limited </w:t>
      </w:r>
      <w:r w:rsidR="006F52DD" w:rsidRPr="00980D4F">
        <w:rPr>
          <w:rFonts w:ascii="Times New Roman" w:hAnsi="Times New Roman" w:cs="Times New Roman"/>
          <w:bCs/>
          <w:iCs/>
          <w:sz w:val="24"/>
          <w:szCs w:val="24"/>
        </w:rPr>
        <w:t>(</w:t>
      </w:r>
      <w:r w:rsidRPr="00980D4F">
        <w:rPr>
          <w:rFonts w:ascii="Times New Roman" w:hAnsi="Times New Roman" w:cs="Times New Roman"/>
          <w:bCs/>
          <w:iCs/>
          <w:sz w:val="24"/>
          <w:szCs w:val="24"/>
        </w:rPr>
        <w:t>or full</w:t>
      </w:r>
      <w:r w:rsidR="006F52DD" w:rsidRPr="00980D4F">
        <w:rPr>
          <w:rFonts w:ascii="Times New Roman" w:hAnsi="Times New Roman" w:cs="Times New Roman"/>
          <w:bCs/>
          <w:iCs/>
          <w:sz w:val="24"/>
          <w:szCs w:val="24"/>
        </w:rPr>
        <w:t>)</w:t>
      </w:r>
      <w:r w:rsidRPr="00980D4F">
        <w:rPr>
          <w:rFonts w:ascii="Times New Roman" w:hAnsi="Times New Roman" w:cs="Times New Roman"/>
          <w:bCs/>
          <w:iCs/>
          <w:sz w:val="24"/>
          <w:szCs w:val="24"/>
        </w:rPr>
        <w:t xml:space="preserve"> </w:t>
      </w:r>
      <w:r w:rsidRPr="000D34E1">
        <w:rPr>
          <w:rFonts w:ascii="Times New Roman" w:hAnsi="Times New Roman" w:cs="Times New Roman"/>
          <w:bCs/>
          <w:sz w:val="24"/>
          <w:szCs w:val="24"/>
        </w:rPr>
        <w:t>case file review</w:t>
      </w:r>
    </w:p>
    <w:p w14:paraId="64ED0CB6" w14:textId="760EE80D" w:rsidR="004766E7" w:rsidRDefault="004766E7" w:rsidP="000D34E1">
      <w:pPr>
        <w:tabs>
          <w:tab w:val="left" w:pos="0"/>
        </w:tabs>
      </w:pPr>
      <w:r w:rsidRPr="00D7654E">
        <w:t xml:space="preserve">Each </w:t>
      </w:r>
      <w:r w:rsidR="00311426" w:rsidRPr="00F91D79">
        <w:rPr>
          <w:bCs/>
        </w:rPr>
        <w:t>State Activity</w:t>
      </w:r>
      <w:r w:rsidR="00311426">
        <w:rPr>
          <w:bCs/>
        </w:rPr>
        <w:t xml:space="preserve"> Mandated Measures (</w:t>
      </w:r>
      <w:r w:rsidR="00311426" w:rsidRPr="00D7654E">
        <w:t>SAMM</w:t>
      </w:r>
      <w:r w:rsidR="00311426">
        <w:t>)</w:t>
      </w:r>
      <w:r w:rsidR="00311426" w:rsidRPr="00D7654E">
        <w:t xml:space="preserve"> </w:t>
      </w:r>
      <w:r w:rsidR="00311426">
        <w:rPr>
          <w:bCs/>
        </w:rPr>
        <w:t xml:space="preserve">Report </w:t>
      </w:r>
      <w:r w:rsidRPr="00D7654E">
        <w:t>has an agreed</w:t>
      </w:r>
      <w:r w:rsidR="005C203B">
        <w:t>-</w:t>
      </w:r>
      <w:r w:rsidRPr="00D7654E">
        <w:t xml:space="preserve">upon </w:t>
      </w:r>
      <w:r w:rsidR="00311426">
        <w:t>Further Review L</w:t>
      </w:r>
      <w:r>
        <w:t>evel (</w:t>
      </w:r>
      <w:r w:rsidRPr="00D7654E">
        <w:t>FRL</w:t>
      </w:r>
      <w:r>
        <w:t xml:space="preserve">) </w:t>
      </w:r>
      <w:r w:rsidRPr="00D7654E">
        <w:t xml:space="preserve">which can be either a single number, or a range of numbers above and below the national average.  State Plan SAMM data that falls outside the FRL triggers a closer look at the underlying performance of the mandatory activity.  </w:t>
      </w:r>
      <w:r w:rsidRPr="001E4F8A">
        <w:t xml:space="preserve">Appendix D presents the </w:t>
      </w:r>
      <w:r>
        <w:t xml:space="preserve">State Plan’s </w:t>
      </w:r>
      <w:r w:rsidRPr="001E4F8A">
        <w:t>FY 20</w:t>
      </w:r>
      <w:r w:rsidR="008F70DE">
        <w:t>23</w:t>
      </w:r>
      <w:r w:rsidRPr="001E4F8A">
        <w:t xml:space="preserve"> </w:t>
      </w:r>
      <w:r w:rsidR="007D040C">
        <w:t xml:space="preserve">SAMM Report </w:t>
      </w:r>
      <w:r>
        <w:t>and includes the FRL for each measure</w:t>
      </w:r>
      <w:r w:rsidRPr="001E4F8A">
        <w:t>.</w:t>
      </w:r>
    </w:p>
    <w:p w14:paraId="750D9368" w14:textId="77777777" w:rsidR="004766E7" w:rsidRPr="004766E7" w:rsidRDefault="004766E7" w:rsidP="00F931B1">
      <w:pPr>
        <w:rPr>
          <w:bCs/>
        </w:rPr>
      </w:pPr>
    </w:p>
    <w:p w14:paraId="1743D11B" w14:textId="77777777" w:rsidR="005A02B8" w:rsidRDefault="005A02B8" w:rsidP="00171C6E">
      <w:pPr>
        <w:pStyle w:val="ListParagraph"/>
        <w:numPr>
          <w:ilvl w:val="0"/>
          <w:numId w:val="10"/>
        </w:numPr>
        <w:tabs>
          <w:tab w:val="left" w:pos="360"/>
        </w:tabs>
        <w:spacing w:after="0" w:line="240" w:lineRule="auto"/>
        <w:ind w:left="360"/>
        <w:rPr>
          <w:rFonts w:ascii="Times New Roman" w:hAnsi="Times New Roman" w:cs="Times New Roman"/>
          <w:b/>
          <w:sz w:val="24"/>
          <w:szCs w:val="24"/>
        </w:rPr>
      </w:pPr>
      <w:r w:rsidRPr="00F931B1">
        <w:rPr>
          <w:rFonts w:ascii="Times New Roman" w:hAnsi="Times New Roman" w:cs="Times New Roman"/>
          <w:b/>
          <w:sz w:val="24"/>
          <w:szCs w:val="24"/>
        </w:rPr>
        <w:t>Review of State Plan Pe</w:t>
      </w:r>
      <w:r w:rsidRPr="0082610A">
        <w:rPr>
          <w:rFonts w:ascii="Times New Roman" w:hAnsi="Times New Roman" w:cs="Times New Roman"/>
          <w:b/>
          <w:sz w:val="24"/>
          <w:szCs w:val="24"/>
        </w:rPr>
        <w:t>rformance</w:t>
      </w:r>
      <w:r w:rsidRPr="00F931B1">
        <w:rPr>
          <w:rFonts w:ascii="Times New Roman" w:hAnsi="Times New Roman" w:cs="Times New Roman"/>
          <w:b/>
          <w:sz w:val="24"/>
          <w:szCs w:val="24"/>
        </w:rPr>
        <w:t xml:space="preserve"> </w:t>
      </w:r>
    </w:p>
    <w:p w14:paraId="1FB9C0BE" w14:textId="77777777" w:rsidR="005A02B8" w:rsidRDefault="005A02B8" w:rsidP="00F931B1">
      <w:pPr>
        <w:rPr>
          <w:i/>
        </w:rPr>
      </w:pPr>
    </w:p>
    <w:p w14:paraId="27D9C5BD" w14:textId="15A4C91B" w:rsidR="00782EEC" w:rsidRDefault="005A02B8" w:rsidP="007A6A23">
      <w:pPr>
        <w:tabs>
          <w:tab w:val="left" w:pos="900"/>
        </w:tabs>
        <w:ind w:left="900" w:hanging="540"/>
        <w:rPr>
          <w:b/>
          <w:caps/>
        </w:rPr>
      </w:pPr>
      <w:r>
        <w:rPr>
          <w:b/>
          <w:caps/>
        </w:rPr>
        <w:t xml:space="preserve">1. </w:t>
      </w:r>
      <w:r w:rsidR="007A6A23">
        <w:rPr>
          <w:b/>
          <w:caps/>
        </w:rPr>
        <w:t xml:space="preserve">    </w:t>
      </w:r>
      <w:r w:rsidR="00782EEC" w:rsidRPr="00F931B1">
        <w:rPr>
          <w:b/>
          <w:caps/>
        </w:rPr>
        <w:t>PROGRAM Administration</w:t>
      </w:r>
    </w:p>
    <w:p w14:paraId="0380A56D" w14:textId="77777777" w:rsidR="00C70176" w:rsidRPr="00F931B1" w:rsidRDefault="00C70176" w:rsidP="008B60DF">
      <w:pPr>
        <w:tabs>
          <w:tab w:val="left" w:pos="900"/>
        </w:tabs>
        <w:ind w:left="907" w:hanging="540"/>
        <w:rPr>
          <w:b/>
          <w:caps/>
        </w:rPr>
      </w:pPr>
    </w:p>
    <w:p w14:paraId="6883B4A8" w14:textId="09DCCEAC" w:rsidR="005A02B8" w:rsidRDefault="00782EEC" w:rsidP="008B60DF">
      <w:pPr>
        <w:pStyle w:val="ListParagraph"/>
        <w:numPr>
          <w:ilvl w:val="0"/>
          <w:numId w:val="5"/>
        </w:numPr>
        <w:ind w:left="907"/>
        <w:rPr>
          <w:rFonts w:ascii="Times New Roman" w:hAnsi="Times New Roman" w:cs="Times New Roman"/>
          <w:sz w:val="24"/>
          <w:szCs w:val="24"/>
        </w:rPr>
      </w:pPr>
      <w:r w:rsidRPr="00F23EDB">
        <w:rPr>
          <w:rFonts w:ascii="Times New Roman" w:hAnsi="Times New Roman" w:cs="Times New Roman"/>
          <w:sz w:val="24"/>
          <w:szCs w:val="24"/>
        </w:rPr>
        <w:t xml:space="preserve">Training </w:t>
      </w:r>
    </w:p>
    <w:p w14:paraId="57036479" w14:textId="1016FFCD" w:rsidR="002A526F" w:rsidRDefault="002A526F" w:rsidP="008B60DF">
      <w:pPr>
        <w:ind w:left="907"/>
      </w:pPr>
      <w:r>
        <w:t>Both enforcement and consultation staff participated in training courses held at the OSHA Training Institute</w:t>
      </w:r>
      <w:r w:rsidR="00190F5C">
        <w:t xml:space="preserve"> and OSHA Education Centers</w:t>
      </w:r>
      <w:r>
        <w:t>.</w:t>
      </w:r>
    </w:p>
    <w:p w14:paraId="00007632" w14:textId="77777777" w:rsidR="002A526F" w:rsidRDefault="002A526F" w:rsidP="008B60DF">
      <w:pPr>
        <w:ind w:left="907"/>
      </w:pPr>
    </w:p>
    <w:p w14:paraId="1D09D6A4" w14:textId="77777777" w:rsidR="002A526F" w:rsidRDefault="002A526F" w:rsidP="008B60DF">
      <w:pPr>
        <w:ind w:left="907"/>
      </w:pPr>
      <w:r>
        <w:t>Courses attended by staff included the following:</w:t>
      </w:r>
    </w:p>
    <w:p w14:paraId="2D9A5BC7" w14:textId="45D20F1C" w:rsidR="00190F5C" w:rsidRDefault="002A526F" w:rsidP="008B60DF">
      <w:pPr>
        <w:ind w:left="907"/>
      </w:pPr>
      <w:r>
        <w:t xml:space="preserve"> </w:t>
      </w:r>
    </w:p>
    <w:p w14:paraId="3A33C887" w14:textId="4102C823" w:rsidR="00C6586D" w:rsidRPr="00C70176" w:rsidRDefault="00C6586D" w:rsidP="00171C6E">
      <w:pPr>
        <w:pStyle w:val="ListParagraph"/>
        <w:numPr>
          <w:ilvl w:val="0"/>
          <w:numId w:val="17"/>
        </w:numPr>
        <w:ind w:left="1368"/>
        <w:rPr>
          <w:rFonts w:ascii="Times New Roman" w:hAnsi="Times New Roman" w:cs="Times New Roman"/>
          <w:sz w:val="24"/>
          <w:szCs w:val="24"/>
        </w:rPr>
      </w:pPr>
      <w:r w:rsidRPr="00C70176">
        <w:rPr>
          <w:rFonts w:ascii="Times New Roman" w:hAnsi="Times New Roman" w:cs="Times New Roman"/>
          <w:sz w:val="24"/>
          <w:szCs w:val="24"/>
        </w:rPr>
        <w:t>OSHA 1501, Introduction to Onsite Consultation</w:t>
      </w:r>
    </w:p>
    <w:p w14:paraId="7367AEC5" w14:textId="36B403EE" w:rsidR="00C6586D" w:rsidRPr="00C70176" w:rsidRDefault="00C6586D" w:rsidP="00171C6E">
      <w:pPr>
        <w:pStyle w:val="ListParagraph"/>
        <w:numPr>
          <w:ilvl w:val="0"/>
          <w:numId w:val="17"/>
        </w:numPr>
        <w:ind w:left="1368"/>
        <w:rPr>
          <w:rFonts w:ascii="Times New Roman" w:hAnsi="Times New Roman" w:cs="Times New Roman"/>
          <w:sz w:val="24"/>
          <w:szCs w:val="24"/>
        </w:rPr>
      </w:pPr>
      <w:r w:rsidRPr="00C70176">
        <w:rPr>
          <w:rFonts w:ascii="Times New Roman" w:hAnsi="Times New Roman" w:cs="Times New Roman"/>
          <w:sz w:val="24"/>
          <w:szCs w:val="24"/>
        </w:rPr>
        <w:t>OSHA 2060</w:t>
      </w:r>
      <w:r w:rsidR="00C70176" w:rsidRPr="00C70176">
        <w:rPr>
          <w:rFonts w:ascii="Times New Roman" w:hAnsi="Times New Roman" w:cs="Times New Roman"/>
          <w:sz w:val="24"/>
          <w:szCs w:val="24"/>
        </w:rPr>
        <w:t>, Longshoring and Marine Terminal Processes and Standards</w:t>
      </w:r>
    </w:p>
    <w:p w14:paraId="57A528BA" w14:textId="6DE73E13" w:rsidR="002A526F" w:rsidRPr="00C70176" w:rsidRDefault="002A526F" w:rsidP="00171C6E">
      <w:pPr>
        <w:pStyle w:val="ListParagraph"/>
        <w:numPr>
          <w:ilvl w:val="0"/>
          <w:numId w:val="17"/>
        </w:numPr>
        <w:ind w:left="1368"/>
        <w:rPr>
          <w:rFonts w:ascii="Times New Roman" w:hAnsi="Times New Roman" w:cs="Times New Roman"/>
          <w:sz w:val="24"/>
          <w:szCs w:val="24"/>
        </w:rPr>
      </w:pPr>
      <w:r w:rsidRPr="00C70176">
        <w:rPr>
          <w:rFonts w:ascii="Times New Roman" w:hAnsi="Times New Roman" w:cs="Times New Roman"/>
          <w:sz w:val="24"/>
          <w:szCs w:val="24"/>
        </w:rPr>
        <w:t>OSHA 2090</w:t>
      </w:r>
      <w:r w:rsidR="00C70176" w:rsidRPr="00C70176">
        <w:rPr>
          <w:rFonts w:ascii="Times New Roman" w:hAnsi="Times New Roman" w:cs="Times New Roman"/>
          <w:sz w:val="24"/>
          <w:szCs w:val="24"/>
        </w:rPr>
        <w:t>,</w:t>
      </w:r>
      <w:r w:rsidRPr="00C70176">
        <w:rPr>
          <w:rFonts w:ascii="Times New Roman" w:hAnsi="Times New Roman" w:cs="Times New Roman"/>
          <w:sz w:val="24"/>
          <w:szCs w:val="24"/>
        </w:rPr>
        <w:t xml:space="preserve"> Shipyard Employment</w:t>
      </w:r>
    </w:p>
    <w:p w14:paraId="3A5AE028" w14:textId="5B455BE2" w:rsidR="00C6586D" w:rsidRPr="00C70176" w:rsidRDefault="00C6586D" w:rsidP="00171C6E">
      <w:pPr>
        <w:pStyle w:val="ListParagraph"/>
        <w:numPr>
          <w:ilvl w:val="0"/>
          <w:numId w:val="17"/>
        </w:numPr>
        <w:ind w:left="1368"/>
        <w:rPr>
          <w:rFonts w:ascii="Times New Roman" w:hAnsi="Times New Roman" w:cs="Times New Roman"/>
          <w:sz w:val="24"/>
          <w:szCs w:val="24"/>
        </w:rPr>
      </w:pPr>
      <w:r w:rsidRPr="00C70176">
        <w:rPr>
          <w:rFonts w:ascii="Times New Roman" w:hAnsi="Times New Roman" w:cs="Times New Roman"/>
          <w:sz w:val="24"/>
          <w:szCs w:val="24"/>
        </w:rPr>
        <w:t>OSHA 2260</w:t>
      </w:r>
      <w:r w:rsidR="00C70176" w:rsidRPr="00C70176">
        <w:rPr>
          <w:rFonts w:ascii="Times New Roman" w:hAnsi="Times New Roman" w:cs="Times New Roman"/>
          <w:sz w:val="24"/>
          <w:szCs w:val="24"/>
        </w:rPr>
        <w:t>,</w:t>
      </w:r>
      <w:r w:rsidRPr="00C70176">
        <w:rPr>
          <w:rFonts w:ascii="Times New Roman" w:hAnsi="Times New Roman" w:cs="Times New Roman"/>
          <w:sz w:val="24"/>
          <w:szCs w:val="24"/>
        </w:rPr>
        <w:t xml:space="preserve"> Permit-Required Confined Spaces</w:t>
      </w:r>
    </w:p>
    <w:p w14:paraId="32861B30" w14:textId="41CC10F8" w:rsidR="00C70176" w:rsidRPr="00C70176" w:rsidRDefault="00C70176" w:rsidP="00171C6E">
      <w:pPr>
        <w:pStyle w:val="ListParagraph"/>
        <w:numPr>
          <w:ilvl w:val="0"/>
          <w:numId w:val="17"/>
        </w:numPr>
        <w:ind w:left="1368"/>
        <w:rPr>
          <w:rFonts w:ascii="Times New Roman" w:hAnsi="Times New Roman" w:cs="Times New Roman"/>
          <w:sz w:val="24"/>
          <w:szCs w:val="24"/>
        </w:rPr>
      </w:pPr>
      <w:r w:rsidRPr="00C70176">
        <w:rPr>
          <w:rFonts w:ascii="Times New Roman" w:hAnsi="Times New Roman" w:cs="Times New Roman"/>
          <w:sz w:val="24"/>
          <w:szCs w:val="24"/>
        </w:rPr>
        <w:t>OSHA 2451, Evaluation of Safety and Health Management Systems</w:t>
      </w:r>
    </w:p>
    <w:p w14:paraId="292131A5" w14:textId="51D1FF03" w:rsidR="00C70176" w:rsidRPr="00C70176" w:rsidRDefault="00C70176" w:rsidP="00171C6E">
      <w:pPr>
        <w:pStyle w:val="ListParagraph"/>
        <w:numPr>
          <w:ilvl w:val="0"/>
          <w:numId w:val="17"/>
        </w:numPr>
        <w:ind w:left="1368"/>
        <w:rPr>
          <w:rFonts w:ascii="Times New Roman" w:hAnsi="Times New Roman" w:cs="Times New Roman"/>
          <w:sz w:val="24"/>
          <w:szCs w:val="24"/>
        </w:rPr>
      </w:pPr>
      <w:r w:rsidRPr="00C70176">
        <w:rPr>
          <w:rFonts w:ascii="Times New Roman" w:hAnsi="Times New Roman" w:cs="Times New Roman"/>
          <w:sz w:val="24"/>
          <w:szCs w:val="24"/>
        </w:rPr>
        <w:t>OSHA 3190, Electrical Power Generation</w:t>
      </w:r>
      <w:r w:rsidR="00944653">
        <w:rPr>
          <w:rFonts w:ascii="Times New Roman" w:hAnsi="Times New Roman" w:cs="Times New Roman"/>
          <w:sz w:val="24"/>
          <w:szCs w:val="24"/>
        </w:rPr>
        <w:t>,</w:t>
      </w:r>
      <w:r w:rsidRPr="00C70176">
        <w:rPr>
          <w:rFonts w:ascii="Times New Roman" w:hAnsi="Times New Roman" w:cs="Times New Roman"/>
          <w:sz w:val="24"/>
          <w:szCs w:val="24"/>
        </w:rPr>
        <w:t xml:space="preserve"> Transmission</w:t>
      </w:r>
      <w:r w:rsidR="00944653">
        <w:rPr>
          <w:rFonts w:ascii="Times New Roman" w:hAnsi="Times New Roman" w:cs="Times New Roman"/>
          <w:sz w:val="24"/>
          <w:szCs w:val="24"/>
        </w:rPr>
        <w:t xml:space="preserve"> and Distribution</w:t>
      </w:r>
    </w:p>
    <w:p w14:paraId="788FD1BA" w14:textId="77777777" w:rsidR="00C70176" w:rsidRPr="00C70176" w:rsidRDefault="00C70176" w:rsidP="00171C6E">
      <w:pPr>
        <w:pStyle w:val="ListParagraph"/>
        <w:numPr>
          <w:ilvl w:val="0"/>
          <w:numId w:val="17"/>
        </w:numPr>
        <w:ind w:left="1368"/>
        <w:rPr>
          <w:rFonts w:ascii="Times New Roman" w:hAnsi="Times New Roman" w:cs="Times New Roman"/>
          <w:sz w:val="24"/>
          <w:szCs w:val="24"/>
        </w:rPr>
      </w:pPr>
      <w:r w:rsidRPr="00C70176">
        <w:rPr>
          <w:rFonts w:ascii="Times New Roman" w:hAnsi="Times New Roman" w:cs="Times New Roman"/>
          <w:sz w:val="24"/>
          <w:szCs w:val="24"/>
        </w:rPr>
        <w:t>OSHA 3220, Applied Welding Principles</w:t>
      </w:r>
    </w:p>
    <w:p w14:paraId="0466B17E" w14:textId="361C7D0D" w:rsidR="0043109E" w:rsidRPr="00C70176" w:rsidRDefault="002A526F" w:rsidP="008B60DF">
      <w:pPr>
        <w:ind w:left="907"/>
      </w:pPr>
      <w:r w:rsidRPr="00C70176">
        <w:lastRenderedPageBreak/>
        <w:t xml:space="preserve">PEOSH received one-time funding money in FY 2023 and used the money to </w:t>
      </w:r>
      <w:r w:rsidR="0043109E" w:rsidRPr="00C70176">
        <w:t>offer three training classes to both enforcement and consultation staff.  The</w:t>
      </w:r>
      <w:r w:rsidR="00FF6E62">
        <w:t>se</w:t>
      </w:r>
      <w:r w:rsidR="0043109E" w:rsidRPr="00C70176">
        <w:t xml:space="preserve"> courses included the following: </w:t>
      </w:r>
    </w:p>
    <w:p w14:paraId="32B06901" w14:textId="77777777" w:rsidR="0043109E" w:rsidRPr="00C70176" w:rsidRDefault="0043109E" w:rsidP="008B60DF">
      <w:pPr>
        <w:ind w:left="907"/>
      </w:pPr>
      <w:r w:rsidRPr="00C70176">
        <w:t xml:space="preserve"> </w:t>
      </w:r>
    </w:p>
    <w:p w14:paraId="312C2D4F" w14:textId="43D25DC5" w:rsidR="002A526F" w:rsidRPr="00C70176" w:rsidRDefault="0043109E" w:rsidP="00171C6E">
      <w:pPr>
        <w:pStyle w:val="ListParagraph"/>
        <w:numPr>
          <w:ilvl w:val="0"/>
          <w:numId w:val="18"/>
        </w:numPr>
        <w:ind w:left="1368"/>
        <w:rPr>
          <w:rFonts w:ascii="Times New Roman" w:hAnsi="Times New Roman" w:cs="Times New Roman"/>
          <w:sz w:val="24"/>
          <w:szCs w:val="24"/>
        </w:rPr>
      </w:pPr>
      <w:r w:rsidRPr="00C70176">
        <w:rPr>
          <w:rFonts w:ascii="Times New Roman" w:hAnsi="Times New Roman" w:cs="Times New Roman"/>
          <w:sz w:val="24"/>
          <w:szCs w:val="24"/>
        </w:rPr>
        <w:t>OSHA 5410, Maritime Standards</w:t>
      </w:r>
    </w:p>
    <w:p w14:paraId="34CB16D3" w14:textId="1B169341" w:rsidR="0043109E" w:rsidRPr="00C70176" w:rsidRDefault="0043109E" w:rsidP="00171C6E">
      <w:pPr>
        <w:pStyle w:val="ListParagraph"/>
        <w:numPr>
          <w:ilvl w:val="0"/>
          <w:numId w:val="18"/>
        </w:numPr>
        <w:ind w:left="1368"/>
        <w:rPr>
          <w:rFonts w:ascii="Times New Roman" w:hAnsi="Times New Roman" w:cs="Times New Roman"/>
          <w:sz w:val="24"/>
          <w:szCs w:val="24"/>
        </w:rPr>
      </w:pPr>
      <w:r w:rsidRPr="00C70176">
        <w:rPr>
          <w:rFonts w:ascii="Times New Roman" w:hAnsi="Times New Roman" w:cs="Times New Roman"/>
          <w:sz w:val="24"/>
          <w:szCs w:val="24"/>
        </w:rPr>
        <w:t>OSHA 7600, Disaster Site Worker</w:t>
      </w:r>
    </w:p>
    <w:p w14:paraId="1197CA8E" w14:textId="688B404E" w:rsidR="002A526F" w:rsidRPr="00C70176" w:rsidRDefault="0043109E" w:rsidP="00171C6E">
      <w:pPr>
        <w:pStyle w:val="ListParagraph"/>
        <w:numPr>
          <w:ilvl w:val="0"/>
          <w:numId w:val="18"/>
        </w:numPr>
        <w:ind w:left="1368"/>
        <w:rPr>
          <w:rFonts w:ascii="Times New Roman" w:hAnsi="Times New Roman" w:cs="Times New Roman"/>
          <w:sz w:val="24"/>
          <w:szCs w:val="24"/>
        </w:rPr>
      </w:pPr>
      <w:r w:rsidRPr="00C70176">
        <w:rPr>
          <w:rFonts w:ascii="Times New Roman" w:hAnsi="Times New Roman" w:cs="Times New Roman"/>
          <w:sz w:val="24"/>
          <w:szCs w:val="24"/>
        </w:rPr>
        <w:t>Cardiopulmonary Resuscitation and automated external defibrillator</w:t>
      </w:r>
    </w:p>
    <w:p w14:paraId="5A17C05B" w14:textId="7A4F8FBA" w:rsidR="00C6586D" w:rsidRDefault="00C6586D" w:rsidP="008B60DF">
      <w:pPr>
        <w:ind w:left="907"/>
      </w:pPr>
      <w:r w:rsidRPr="00C6586D">
        <w:t xml:space="preserve">All PEOSH </w:t>
      </w:r>
      <w:r w:rsidR="00917F9B">
        <w:t>c</w:t>
      </w:r>
      <w:r w:rsidRPr="00C6586D">
        <w:t xml:space="preserve">onsultants and PEOSH </w:t>
      </w:r>
      <w:r w:rsidR="00917F9B">
        <w:t>m</w:t>
      </w:r>
      <w:r w:rsidRPr="00C6586D">
        <w:t xml:space="preserve">anagement maintain current certification in Hazardous Waste Operations &amp; Emergency Response (HAZWOPER) through taking </w:t>
      </w:r>
      <w:r w:rsidR="00EA044A">
        <w:t>eight</w:t>
      </w:r>
      <w:r w:rsidRPr="00C6586D">
        <w:t>-hour annual refreshers at the Rutgers</w:t>
      </w:r>
      <w:r>
        <w:t xml:space="preserve"> School of Public Health (NJ SOAR, FY 2023).</w:t>
      </w:r>
    </w:p>
    <w:p w14:paraId="25A0894E" w14:textId="77777777" w:rsidR="0043109E" w:rsidRPr="002A526F" w:rsidRDefault="0043109E" w:rsidP="008B60DF">
      <w:pPr>
        <w:ind w:left="907"/>
      </w:pPr>
    </w:p>
    <w:p w14:paraId="1FB6786F" w14:textId="0BAB57AB" w:rsidR="00876C2D" w:rsidRDefault="00782EEC" w:rsidP="008B60DF">
      <w:pPr>
        <w:pStyle w:val="ListParagraph"/>
        <w:numPr>
          <w:ilvl w:val="0"/>
          <w:numId w:val="5"/>
        </w:numPr>
        <w:ind w:left="907"/>
        <w:rPr>
          <w:rFonts w:ascii="Times New Roman" w:hAnsi="Times New Roman" w:cs="Times New Roman"/>
          <w:sz w:val="24"/>
          <w:szCs w:val="24"/>
        </w:rPr>
      </w:pPr>
      <w:r w:rsidRPr="00F23EDB">
        <w:rPr>
          <w:rFonts w:ascii="Times New Roman" w:hAnsi="Times New Roman" w:cs="Times New Roman"/>
          <w:sz w:val="24"/>
          <w:szCs w:val="24"/>
        </w:rPr>
        <w:t xml:space="preserve">OSHA Information System </w:t>
      </w:r>
    </w:p>
    <w:p w14:paraId="3BB18CE5" w14:textId="77777777" w:rsidR="00667DB2" w:rsidRDefault="00667DB2" w:rsidP="008B60DF">
      <w:pPr>
        <w:ind w:left="907"/>
      </w:pPr>
      <w:r>
        <w:t>The State Plan utilizes OIS to enter all data for enforcement, consultation, and whistleblower case files.  Compliance assistance activities are also captured in OIS.</w:t>
      </w:r>
    </w:p>
    <w:p w14:paraId="67A4E0F8" w14:textId="77777777" w:rsidR="00A666A5" w:rsidRDefault="00A666A5" w:rsidP="008B60DF">
      <w:pPr>
        <w:ind w:left="907"/>
      </w:pPr>
    </w:p>
    <w:p w14:paraId="085162C7" w14:textId="2CC917B8" w:rsidR="00A666A5" w:rsidRPr="00A666A5" w:rsidRDefault="00A666A5" w:rsidP="008B60DF">
      <w:pPr>
        <w:ind w:left="907"/>
        <w:rPr>
          <w:b/>
          <w:bCs/>
          <w:i/>
          <w:iCs/>
        </w:rPr>
      </w:pPr>
      <w:r w:rsidRPr="00A666A5">
        <w:rPr>
          <w:b/>
          <w:bCs/>
          <w:u w:val="single"/>
        </w:rPr>
        <w:t>Observation FY 2023-OB-01(FY 2022-OB-08):</w:t>
      </w:r>
      <w:r>
        <w:t xml:space="preserve">  </w:t>
      </w:r>
      <w:r>
        <w:rPr>
          <w:i/>
          <w:iCs/>
        </w:rPr>
        <w:t>OIS Open Inspection Report-Pending Citations</w:t>
      </w:r>
      <w:r>
        <w:rPr>
          <w:b/>
          <w:bCs/>
          <w:i/>
          <w:iCs/>
        </w:rPr>
        <w:t xml:space="preserve"> </w:t>
      </w:r>
    </w:p>
    <w:p w14:paraId="023935A9" w14:textId="21CFE4D8" w:rsidR="00A666A5" w:rsidRDefault="00A666A5" w:rsidP="008B60DF">
      <w:pPr>
        <w:ind w:left="907"/>
      </w:pPr>
      <w:r>
        <w:t xml:space="preserve">The OIS Open Inspection </w:t>
      </w:r>
      <w:r w:rsidR="00EA044A">
        <w:t>R</w:t>
      </w:r>
      <w:r>
        <w:t>eport</w:t>
      </w:r>
      <w:r w:rsidR="00EA044A">
        <w:t>,</w:t>
      </w:r>
      <w:r>
        <w:t xml:space="preserve"> run on February 5, 2024, showed 23 inspection files that had either an opening and/or closing conference date listed in FY 2022 or FY 2023 </w:t>
      </w:r>
      <w:r w:rsidR="00EA044A">
        <w:t xml:space="preserve">with </w:t>
      </w:r>
      <w:r>
        <w:t xml:space="preserve">citations that were pending issuance over 180 days or six months.  </w:t>
      </w:r>
      <w:r w:rsidR="00EA044A">
        <w:t xml:space="preserve">Page 88 </w:t>
      </w:r>
      <w:r w:rsidR="00B37B17">
        <w:t>of PEOSH’s</w:t>
      </w:r>
      <w:r>
        <w:t xml:space="preserve"> Field Operations Manual (FOM) states that citations can</w:t>
      </w:r>
      <w:r w:rsidR="00EA044A">
        <w:t>no</w:t>
      </w:r>
      <w:r>
        <w:t>t be issued more than six months following the occurrence of the violation.  This section of the FOM makes references to applicable sections in the OSHA Act regarding issuing citations and not the PEOSH Act.</w:t>
      </w:r>
    </w:p>
    <w:p w14:paraId="67CC3EBA" w14:textId="77777777" w:rsidR="00A666A5" w:rsidRDefault="00A666A5" w:rsidP="008B60DF">
      <w:pPr>
        <w:ind w:left="907"/>
      </w:pPr>
      <w:r>
        <w:t xml:space="preserve"> </w:t>
      </w:r>
    </w:p>
    <w:p w14:paraId="218F5777" w14:textId="35C178AF" w:rsidR="00A666A5" w:rsidRDefault="00A666A5" w:rsidP="008B60DF">
      <w:pPr>
        <w:ind w:left="907"/>
      </w:pPr>
      <w:r>
        <w:t>The PEOSH Act under Section 34:6A-41 has been interpreted by PEOSH that citations can be issued more than six months following the occurrence of the violation.  The six-month date is not based on the date of last employee exposure or the opening conference date</w:t>
      </w:r>
      <w:r w:rsidR="00EA044A">
        <w:t>,</w:t>
      </w:r>
      <w:r>
        <w:t xml:space="preserve"> but the date that PEOSH determines that a violative condition exists.</w:t>
      </w:r>
    </w:p>
    <w:p w14:paraId="131B3E4F" w14:textId="77777777" w:rsidR="00A666A5" w:rsidRDefault="00A666A5" w:rsidP="008B60DF">
      <w:pPr>
        <w:ind w:left="907"/>
      </w:pPr>
    </w:p>
    <w:p w14:paraId="3B21979E" w14:textId="77777777" w:rsidR="00D9291F" w:rsidRDefault="00A666A5" w:rsidP="008B60DF">
      <w:pPr>
        <w:ind w:left="907"/>
      </w:pPr>
      <w:bookmarkStart w:id="6" w:name="_Hlk160022198"/>
      <w:r w:rsidRPr="00A666A5">
        <w:rPr>
          <w:b/>
          <w:bCs/>
          <w:u w:val="single"/>
        </w:rPr>
        <w:t>Federal Monitoring Plan FY 2023-OB-01:</w:t>
      </w:r>
      <w:r>
        <w:t xml:space="preserve">  </w:t>
      </w:r>
    </w:p>
    <w:p w14:paraId="23792FCC" w14:textId="5EEDF2EF" w:rsidR="00A666A5" w:rsidRDefault="00A666A5" w:rsidP="008B60DF">
      <w:pPr>
        <w:ind w:left="907"/>
      </w:pPr>
      <w:r>
        <w:t xml:space="preserve">OSHA will </w:t>
      </w:r>
      <w:r w:rsidR="00E7313A">
        <w:t xml:space="preserve">continue to </w:t>
      </w:r>
      <w:r w:rsidR="00890968">
        <w:t>review</w:t>
      </w:r>
      <w:r>
        <w:t xml:space="preserve"> the OIS Open Inspection </w:t>
      </w:r>
      <w:r w:rsidR="00890968">
        <w:t>R</w:t>
      </w:r>
      <w:r>
        <w:t>eport quarterly</w:t>
      </w:r>
      <w:r w:rsidR="00823FE0">
        <w:t xml:space="preserve"> to monitor </w:t>
      </w:r>
      <w:r w:rsidR="00890968">
        <w:t xml:space="preserve">the State Plan’s </w:t>
      </w:r>
      <w:r w:rsidR="00823FE0">
        <w:t>progress in issuing these citations</w:t>
      </w:r>
      <w:r>
        <w:t xml:space="preserve">. </w:t>
      </w:r>
      <w:bookmarkEnd w:id="6"/>
      <w:r>
        <w:t xml:space="preserve"> OSHA will encourage PEOSH to revise this section of the FOM and clarify the discrepancy between these documents but ensure that </w:t>
      </w:r>
      <w:r w:rsidR="0041281B">
        <w:t xml:space="preserve">federal </w:t>
      </w:r>
      <w:r>
        <w:t>a</w:t>
      </w:r>
      <w:r w:rsidR="00EA044A">
        <w:t>t</w:t>
      </w:r>
      <w:r>
        <w:t xml:space="preserve"> least as effective (ALAE) standards are met.</w:t>
      </w:r>
    </w:p>
    <w:p w14:paraId="0E6A8DA1" w14:textId="77777777" w:rsidR="001A524E" w:rsidRDefault="001A524E" w:rsidP="008B60DF">
      <w:pPr>
        <w:ind w:left="907"/>
      </w:pPr>
    </w:p>
    <w:p w14:paraId="0E342ED3" w14:textId="77777777" w:rsidR="00823FE0" w:rsidRDefault="001A524E" w:rsidP="008B60DF">
      <w:pPr>
        <w:ind w:left="907"/>
        <w:rPr>
          <w:i/>
          <w:iCs/>
        </w:rPr>
      </w:pPr>
      <w:r w:rsidRPr="001A524E">
        <w:rPr>
          <w:b/>
          <w:bCs/>
          <w:u w:val="single"/>
        </w:rPr>
        <w:t>Observation FY 2023-OB-02 (FY 2022-OB-07)</w:t>
      </w:r>
      <w:r w:rsidR="00823FE0">
        <w:rPr>
          <w:b/>
          <w:bCs/>
          <w:u w:val="single"/>
        </w:rPr>
        <w:t>:</w:t>
      </w:r>
      <w:r w:rsidR="00823FE0">
        <w:t xml:space="preserve"> </w:t>
      </w:r>
      <w:r w:rsidR="00823FE0">
        <w:rPr>
          <w:i/>
          <w:iCs/>
        </w:rPr>
        <w:t>OIS Open Inspection Report-Pending Abatement</w:t>
      </w:r>
    </w:p>
    <w:p w14:paraId="3E528735" w14:textId="51825E5C" w:rsidR="00E7313A" w:rsidRDefault="00823FE0" w:rsidP="00EA044A">
      <w:pPr>
        <w:ind w:left="907"/>
      </w:pPr>
      <w:r w:rsidRPr="00823FE0">
        <w:t xml:space="preserve">The OIS Open Inspection </w:t>
      </w:r>
      <w:r w:rsidR="00E7313A">
        <w:t>R</w:t>
      </w:r>
      <w:r w:rsidRPr="00823FE0">
        <w:t>eport</w:t>
      </w:r>
      <w:r w:rsidR="00FD094F">
        <w:t>,</w:t>
      </w:r>
      <w:r w:rsidRPr="00823FE0">
        <w:t xml:space="preserve"> run on February 5, 2024</w:t>
      </w:r>
      <w:r w:rsidR="00FD094F">
        <w:t>,</w:t>
      </w:r>
      <w:r>
        <w:t xml:space="preserve"> showed </w:t>
      </w:r>
      <w:r w:rsidR="00E7313A">
        <w:t>15 inspections with overdue abatement.  The number of days overdue for these inspections ranged from 10</w:t>
      </w:r>
      <w:r w:rsidR="00EA044A">
        <w:t xml:space="preserve"> </w:t>
      </w:r>
      <w:r w:rsidR="00A0249A">
        <w:t>to</w:t>
      </w:r>
      <w:r w:rsidR="00EA044A">
        <w:t xml:space="preserve"> </w:t>
      </w:r>
      <w:r w:rsidR="00E7313A">
        <w:t>3,423 days</w:t>
      </w:r>
      <w:r w:rsidR="00A0249A">
        <w:t>.</w:t>
      </w:r>
    </w:p>
    <w:p w14:paraId="6569B569" w14:textId="77777777" w:rsidR="00FF6E62" w:rsidRDefault="00FF6E62" w:rsidP="008B60DF">
      <w:pPr>
        <w:ind w:left="907"/>
      </w:pPr>
    </w:p>
    <w:p w14:paraId="3883FDE2" w14:textId="77777777" w:rsidR="00E7313A" w:rsidRDefault="00E7313A" w:rsidP="008B60DF">
      <w:pPr>
        <w:ind w:left="907"/>
        <w:rPr>
          <w:b/>
          <w:bCs/>
          <w:u w:val="single"/>
        </w:rPr>
      </w:pPr>
      <w:r>
        <w:rPr>
          <w:b/>
          <w:bCs/>
          <w:u w:val="single"/>
        </w:rPr>
        <w:t xml:space="preserve">Federal Monitoring Plan FY 2023-OB-02: </w:t>
      </w:r>
    </w:p>
    <w:p w14:paraId="57258B5B" w14:textId="49ACF3D3" w:rsidR="00667DB2" w:rsidRDefault="00E7313A" w:rsidP="008B60DF">
      <w:pPr>
        <w:ind w:left="907"/>
      </w:pPr>
      <w:r w:rsidRPr="00E7313A">
        <w:t xml:space="preserve">OSHA will continue to </w:t>
      </w:r>
      <w:r w:rsidR="00890968">
        <w:t>review</w:t>
      </w:r>
      <w:r w:rsidRPr="00E7313A">
        <w:t xml:space="preserve"> the OIS Open Inspection </w:t>
      </w:r>
      <w:r>
        <w:t>R</w:t>
      </w:r>
      <w:r w:rsidRPr="00E7313A">
        <w:t>eport quarterly to monitor</w:t>
      </w:r>
      <w:r w:rsidR="00890968">
        <w:t xml:space="preserve"> the State Plan’s</w:t>
      </w:r>
      <w:r w:rsidRPr="00E7313A">
        <w:t xml:space="preserve"> progress in </w:t>
      </w:r>
      <w:r>
        <w:t>obtaining abatement and updating OIS.</w:t>
      </w:r>
    </w:p>
    <w:p w14:paraId="6DC86242" w14:textId="77777777" w:rsidR="00E7313A" w:rsidRDefault="00E7313A" w:rsidP="00A0249A"/>
    <w:p w14:paraId="15E07F6F" w14:textId="1887B805" w:rsidR="00E7313A" w:rsidRDefault="00E7313A" w:rsidP="008B60DF">
      <w:pPr>
        <w:ind w:left="907"/>
        <w:rPr>
          <w:i/>
          <w:iCs/>
        </w:rPr>
      </w:pPr>
      <w:r>
        <w:rPr>
          <w:b/>
          <w:bCs/>
          <w:u w:val="single"/>
        </w:rPr>
        <w:t>Observation FY 2023-OB-03:</w:t>
      </w:r>
      <w:r w:rsidR="00890968">
        <w:rPr>
          <w:i/>
          <w:iCs/>
        </w:rPr>
        <w:t xml:space="preserve"> OIS Open Inspection Report-Citations Not Received</w:t>
      </w:r>
    </w:p>
    <w:p w14:paraId="522D0D58" w14:textId="31ED85AF" w:rsidR="00890968" w:rsidRDefault="00890968" w:rsidP="008B60DF">
      <w:pPr>
        <w:ind w:left="907"/>
      </w:pPr>
      <w:r>
        <w:t>The OIS Open Inspection Report</w:t>
      </w:r>
      <w:r w:rsidR="00EA044A">
        <w:t>,</w:t>
      </w:r>
      <w:r>
        <w:t xml:space="preserve"> run on February 5, 2024, showed 60 inspection files listed that had not been updated in OIS to reflect the receipt of citations.  OIS needs to be updated </w:t>
      </w:r>
      <w:r>
        <w:lastRenderedPageBreak/>
        <w:t>when the State Plan has confirmation that citations have been received so that the system can properly track abatement and the files closed.</w:t>
      </w:r>
    </w:p>
    <w:p w14:paraId="4FD7A3DD" w14:textId="77777777" w:rsidR="00890968" w:rsidRDefault="00890968" w:rsidP="008B60DF">
      <w:pPr>
        <w:ind w:left="907"/>
      </w:pPr>
    </w:p>
    <w:p w14:paraId="0DDFEB0F" w14:textId="7EE9F2BA" w:rsidR="00890968" w:rsidRPr="00890968" w:rsidRDefault="00890968" w:rsidP="008B60DF">
      <w:pPr>
        <w:ind w:left="907"/>
        <w:rPr>
          <w:b/>
          <w:bCs/>
          <w:u w:val="single"/>
        </w:rPr>
      </w:pPr>
      <w:r w:rsidRPr="00890968">
        <w:rPr>
          <w:b/>
          <w:bCs/>
          <w:u w:val="single"/>
        </w:rPr>
        <w:t xml:space="preserve">Federal Monitoring Plan FY 2023-OB-03: </w:t>
      </w:r>
    </w:p>
    <w:p w14:paraId="270AA6EE" w14:textId="69C19605" w:rsidR="00890968" w:rsidRPr="00890968" w:rsidRDefault="00890968" w:rsidP="008B60DF">
      <w:pPr>
        <w:ind w:left="907"/>
        <w:rPr>
          <w:i/>
          <w:iCs/>
        </w:rPr>
      </w:pPr>
      <w:r w:rsidRPr="00890968">
        <w:t xml:space="preserve">OSHA will continue to </w:t>
      </w:r>
      <w:r>
        <w:t>review</w:t>
      </w:r>
      <w:r w:rsidRPr="00890968">
        <w:t xml:space="preserve"> the OIS Open Inspection Report quarterly to monitor</w:t>
      </w:r>
      <w:r>
        <w:t xml:space="preserve"> the State Plan’s</w:t>
      </w:r>
      <w:r w:rsidRPr="00890968">
        <w:t xml:space="preserve"> progress in obtaining abatement and updating OIS.</w:t>
      </w:r>
    </w:p>
    <w:p w14:paraId="114656E8" w14:textId="77777777" w:rsidR="00E7313A" w:rsidRDefault="00E7313A" w:rsidP="008B60DF">
      <w:pPr>
        <w:ind w:left="907"/>
      </w:pPr>
    </w:p>
    <w:p w14:paraId="7C90BB43" w14:textId="1E58B14A" w:rsidR="00C63D9C" w:rsidRDefault="00667DB2" w:rsidP="008B60DF">
      <w:pPr>
        <w:ind w:left="907"/>
        <w:rPr>
          <w:i/>
          <w:iCs/>
        </w:rPr>
      </w:pPr>
      <w:r w:rsidRPr="00C63D9C">
        <w:rPr>
          <w:b/>
          <w:bCs/>
          <w:u w:val="single"/>
        </w:rPr>
        <w:t>Observation FY 2023-</w:t>
      </w:r>
      <w:r w:rsidR="00C63D9C">
        <w:rPr>
          <w:b/>
          <w:bCs/>
          <w:u w:val="single"/>
        </w:rPr>
        <w:t>OB-</w:t>
      </w:r>
      <w:r w:rsidRPr="00C63D9C">
        <w:rPr>
          <w:b/>
          <w:bCs/>
          <w:u w:val="single"/>
        </w:rPr>
        <w:t>0</w:t>
      </w:r>
      <w:r w:rsidR="00E7313A">
        <w:rPr>
          <w:b/>
          <w:bCs/>
          <w:u w:val="single"/>
        </w:rPr>
        <w:t>4</w:t>
      </w:r>
      <w:r w:rsidR="00C63D9C" w:rsidRPr="00C63D9C">
        <w:rPr>
          <w:b/>
          <w:bCs/>
          <w:u w:val="single"/>
        </w:rPr>
        <w:t xml:space="preserve"> (FY 2022-01, FY 2021-01)</w:t>
      </w:r>
      <w:r w:rsidR="00C63D9C">
        <w:rPr>
          <w:b/>
          <w:bCs/>
          <w:u w:val="single"/>
        </w:rPr>
        <w:t xml:space="preserve">: </w:t>
      </w:r>
      <w:r w:rsidRPr="00C63D9C">
        <w:rPr>
          <w:i/>
          <w:iCs/>
        </w:rPr>
        <w:t>Complaint Investigation Processing</w:t>
      </w:r>
    </w:p>
    <w:p w14:paraId="08587D5A" w14:textId="5805ADAE" w:rsidR="00667DB2" w:rsidRDefault="00667DB2" w:rsidP="008B60DF">
      <w:pPr>
        <w:ind w:left="907"/>
      </w:pPr>
      <w:r>
        <w:t xml:space="preserve">During the case file review, </w:t>
      </w:r>
      <w:r w:rsidR="00EA044A">
        <w:t>10</w:t>
      </w:r>
      <w:r>
        <w:t xml:space="preserve"> health complaint investigations were reviewed.  Safety complaints are addressed with inspections only.</w:t>
      </w:r>
      <w:r w:rsidR="006E570D">
        <w:t xml:space="preserve"> </w:t>
      </w:r>
      <w:r>
        <w:t xml:space="preserve"> Four of these </w:t>
      </w:r>
      <w:r w:rsidR="006E41BC">
        <w:t>1</w:t>
      </w:r>
      <w:r w:rsidR="00EA044A">
        <w:t>0</w:t>
      </w:r>
      <w:r>
        <w:t xml:space="preserve"> </w:t>
      </w:r>
      <w:r w:rsidR="00EA044A">
        <w:t xml:space="preserve">(40%) </w:t>
      </w:r>
      <w:r w:rsidR="00C63D9C">
        <w:t xml:space="preserve">health </w:t>
      </w:r>
      <w:r>
        <w:t xml:space="preserve">investigations were missing evidence that the certification of posting was returned </w:t>
      </w:r>
      <w:r w:rsidR="00EA044A">
        <w:t xml:space="preserve">and </w:t>
      </w:r>
      <w:r>
        <w:t>signed by the employer before the investigation was closed.  The certification of posting was emailed to the employer with the complaint</w:t>
      </w:r>
      <w:r w:rsidR="00EA044A">
        <w:t>,</w:t>
      </w:r>
      <w:r>
        <w:t xml:space="preserve"> but not tracked to ensure that it was returned signed by the employer. </w:t>
      </w:r>
      <w:r w:rsidR="006E570D">
        <w:t xml:space="preserve"> </w:t>
      </w:r>
      <w:r>
        <w:t>The PEOSH Field Operations Manual (FOM) requires a certification of posting be received for all complaint investigations.</w:t>
      </w:r>
    </w:p>
    <w:p w14:paraId="72AB5519" w14:textId="77777777" w:rsidR="00C63D9C" w:rsidRDefault="00C63D9C" w:rsidP="008B60DF">
      <w:pPr>
        <w:ind w:left="907"/>
      </w:pPr>
    </w:p>
    <w:p w14:paraId="59A09260" w14:textId="117975E5" w:rsidR="00C63D9C" w:rsidRDefault="006E570D" w:rsidP="008B60DF">
      <w:pPr>
        <w:ind w:left="907"/>
      </w:pPr>
      <w:r>
        <w:t>The FY 2021 and FY 2022 FAME report</w:t>
      </w:r>
      <w:r w:rsidR="00EA044A">
        <w:t>s</w:t>
      </w:r>
      <w:r>
        <w:t xml:space="preserve"> issued a finding for complaint investigation processing that included references to missing OIS letters for non-indoor quality investigations and data entry errors in OIS</w:t>
      </w:r>
      <w:r w:rsidR="00BB731C">
        <w:t>,</w:t>
      </w:r>
      <w:r>
        <w:t xml:space="preserve"> in addition to the certificate of posting requirement.  This FAME identified that the State Plan was issuing all required letters for investigations and making all the required entries into OIS for the </w:t>
      </w:r>
      <w:r w:rsidR="00EA044A">
        <w:t>10</w:t>
      </w:r>
      <w:r>
        <w:t xml:space="preserve"> health investigations reviewed.  The only item from the original finding that was not addressed was to ensure that certificates of posting</w:t>
      </w:r>
      <w:r w:rsidR="00BB731C">
        <w:t xml:space="preserve">s were returned.  Therefore, this finding </w:t>
      </w:r>
      <w:r w:rsidR="00EA044A">
        <w:t xml:space="preserve">was </w:t>
      </w:r>
      <w:r w:rsidR="00BB731C">
        <w:t xml:space="preserve">converted to an observation. </w:t>
      </w:r>
      <w:r>
        <w:t xml:space="preserve">        </w:t>
      </w:r>
    </w:p>
    <w:p w14:paraId="0849D6DE" w14:textId="13C4BF0B" w:rsidR="00C63D9C" w:rsidRDefault="00C63D9C" w:rsidP="008B60DF">
      <w:pPr>
        <w:ind w:left="907"/>
      </w:pPr>
      <w:r>
        <w:t xml:space="preserve"> </w:t>
      </w:r>
    </w:p>
    <w:p w14:paraId="42F28C93" w14:textId="77777777" w:rsidR="00D9291F" w:rsidRDefault="00C63D9C" w:rsidP="008B60DF">
      <w:pPr>
        <w:ind w:left="907"/>
        <w:rPr>
          <w:b/>
          <w:bCs/>
        </w:rPr>
      </w:pPr>
      <w:r w:rsidRPr="00C63D9C">
        <w:rPr>
          <w:b/>
          <w:bCs/>
          <w:u w:val="single"/>
        </w:rPr>
        <w:t>Federal Monitoring Plan FY 2023-OB-0</w:t>
      </w:r>
      <w:r w:rsidR="00E7313A">
        <w:rPr>
          <w:b/>
          <w:bCs/>
          <w:u w:val="single"/>
        </w:rPr>
        <w:t>4</w:t>
      </w:r>
      <w:r w:rsidR="006E570D">
        <w:rPr>
          <w:b/>
          <w:bCs/>
          <w:u w:val="single"/>
        </w:rPr>
        <w:t>:</w:t>
      </w:r>
      <w:r w:rsidR="006E570D">
        <w:rPr>
          <w:b/>
          <w:bCs/>
        </w:rPr>
        <w:t xml:space="preserve"> </w:t>
      </w:r>
    </w:p>
    <w:p w14:paraId="5A5864FD" w14:textId="6A6BC1B1" w:rsidR="00C63D9C" w:rsidRPr="00BB731C" w:rsidRDefault="00BB731C" w:rsidP="008B60DF">
      <w:pPr>
        <w:ind w:left="907"/>
      </w:pPr>
      <w:r w:rsidRPr="00BB731C">
        <w:t xml:space="preserve">During the next comprehensive FAME review, a limited number of </w:t>
      </w:r>
      <w:r w:rsidR="00616EEE">
        <w:t>investigations</w:t>
      </w:r>
      <w:r w:rsidRPr="00BB731C">
        <w:t xml:space="preserve"> will be selected randomly to determine if these are isolated instances or if this represents a trend that requires further evaluation.</w:t>
      </w:r>
    </w:p>
    <w:p w14:paraId="64617A3D" w14:textId="77777777" w:rsidR="00667DB2" w:rsidRPr="00BB731C" w:rsidRDefault="00667DB2" w:rsidP="008B60DF">
      <w:pPr>
        <w:ind w:left="907"/>
        <w:rPr>
          <w:u w:val="single"/>
        </w:rPr>
      </w:pPr>
    </w:p>
    <w:p w14:paraId="116F9393" w14:textId="072157DA" w:rsidR="00BB731C" w:rsidRDefault="00782EEC" w:rsidP="008B60DF">
      <w:pPr>
        <w:pStyle w:val="ListParagraph"/>
        <w:numPr>
          <w:ilvl w:val="0"/>
          <w:numId w:val="5"/>
        </w:numPr>
        <w:ind w:left="907"/>
        <w:rPr>
          <w:rFonts w:ascii="Times New Roman" w:hAnsi="Times New Roman" w:cs="Times New Roman"/>
          <w:sz w:val="24"/>
          <w:szCs w:val="24"/>
        </w:rPr>
      </w:pPr>
      <w:r w:rsidRPr="00F23EDB">
        <w:rPr>
          <w:rFonts w:ascii="Times New Roman" w:hAnsi="Times New Roman" w:cs="Times New Roman"/>
          <w:sz w:val="24"/>
          <w:szCs w:val="24"/>
        </w:rPr>
        <w:t>State Internal Evaluation Program Repor</w:t>
      </w:r>
      <w:r w:rsidR="00F66AFB">
        <w:rPr>
          <w:rFonts w:ascii="Times New Roman" w:hAnsi="Times New Roman" w:cs="Times New Roman"/>
          <w:sz w:val="24"/>
          <w:szCs w:val="24"/>
        </w:rPr>
        <w:t>t</w:t>
      </w:r>
      <w:r w:rsidR="00876C2D">
        <w:rPr>
          <w:rFonts w:ascii="Times New Roman" w:hAnsi="Times New Roman" w:cs="Times New Roman"/>
          <w:sz w:val="24"/>
          <w:szCs w:val="24"/>
        </w:rPr>
        <w:t xml:space="preserve"> </w:t>
      </w:r>
    </w:p>
    <w:p w14:paraId="2D4C82AC" w14:textId="1A3402B3" w:rsidR="00616EEE" w:rsidRDefault="00616EEE" w:rsidP="008B60DF">
      <w:pPr>
        <w:ind w:left="907"/>
      </w:pPr>
      <w:r>
        <w:t xml:space="preserve">The State Plan under the civil service system conducts documented performance reviews of all staff every six months.  These reviews include </w:t>
      </w:r>
      <w:r w:rsidR="00FF6E62">
        <w:t xml:space="preserve">both </w:t>
      </w:r>
      <w:r>
        <w:t xml:space="preserve">a </w:t>
      </w:r>
      <w:r w:rsidR="00FF6E62">
        <w:t xml:space="preserve">review of the work products </w:t>
      </w:r>
      <w:r w:rsidR="00901181">
        <w:t>submitted,</w:t>
      </w:r>
      <w:r w:rsidR="00FF6E62">
        <w:t xml:space="preserve"> and a </w:t>
      </w:r>
      <w:r>
        <w:t xml:space="preserve">documented field observation conducted by management with all field staff. </w:t>
      </w:r>
    </w:p>
    <w:p w14:paraId="36370747" w14:textId="7D891F82" w:rsidR="00876C2D" w:rsidRPr="00BB731C" w:rsidRDefault="00BB731C" w:rsidP="008B60DF">
      <w:pPr>
        <w:ind w:left="907"/>
      </w:pPr>
      <w:r>
        <w:t xml:space="preserve">                    </w:t>
      </w:r>
      <w:r w:rsidR="00876C2D" w:rsidRPr="00BB731C">
        <w:t xml:space="preserve"> </w:t>
      </w:r>
    </w:p>
    <w:p w14:paraId="781EF72C" w14:textId="77777777" w:rsidR="00782EEC" w:rsidRDefault="00F66AFB" w:rsidP="008B60DF">
      <w:pPr>
        <w:pStyle w:val="ListParagraph"/>
        <w:numPr>
          <w:ilvl w:val="0"/>
          <w:numId w:val="5"/>
        </w:numPr>
        <w:ind w:left="907"/>
        <w:rPr>
          <w:rFonts w:ascii="Times New Roman" w:hAnsi="Times New Roman" w:cs="Times New Roman"/>
          <w:sz w:val="24"/>
          <w:szCs w:val="24"/>
        </w:rPr>
      </w:pPr>
      <w:r>
        <w:rPr>
          <w:rFonts w:ascii="Times New Roman" w:hAnsi="Times New Roman" w:cs="Times New Roman"/>
          <w:sz w:val="24"/>
          <w:szCs w:val="24"/>
        </w:rPr>
        <w:t>Staffing</w:t>
      </w:r>
      <w:r w:rsidR="005C203B">
        <w:rPr>
          <w:rFonts w:ascii="Times New Roman" w:hAnsi="Times New Roman" w:cs="Times New Roman"/>
          <w:sz w:val="24"/>
          <w:szCs w:val="24"/>
        </w:rPr>
        <w:t xml:space="preserve"> </w:t>
      </w:r>
    </w:p>
    <w:p w14:paraId="3C37BA0B" w14:textId="233A935B" w:rsidR="00E83AB1" w:rsidRDefault="00E83AB1" w:rsidP="008B60DF">
      <w:pPr>
        <w:ind w:left="907"/>
      </w:pPr>
      <w:r>
        <w:t>PEOSH safety staffing levels saw a net decrease of three safety compliance officers during FY</w:t>
      </w:r>
      <w:r w:rsidR="00EA044A">
        <w:t xml:space="preserve"> 20</w:t>
      </w:r>
      <w:r>
        <w:t xml:space="preserve">23 as two compliance officers were promoted to </w:t>
      </w:r>
      <w:r w:rsidR="00EA044A">
        <w:t>a</w:t>
      </w:r>
      <w:r>
        <w:t xml:space="preserve">ssistant </w:t>
      </w:r>
      <w:r w:rsidR="00EA044A">
        <w:t>c</w:t>
      </w:r>
      <w:r>
        <w:t>hief positions, one in the early spring and one in early summer, and one retired in September leaving the number of compliance staff at six at the end of FY</w:t>
      </w:r>
      <w:r w:rsidR="00EA044A">
        <w:t xml:space="preserve"> 20</w:t>
      </w:r>
      <w:r>
        <w:t xml:space="preserve">23.  PEOSH received approval to hire replacements and has selected four new compliance officers </w:t>
      </w:r>
      <w:r w:rsidR="00EA044A">
        <w:t xml:space="preserve">with </w:t>
      </w:r>
      <w:r>
        <w:t xml:space="preserve">expected start dates </w:t>
      </w:r>
      <w:r w:rsidR="00EA044A">
        <w:t xml:space="preserve">of </w:t>
      </w:r>
      <w:r>
        <w:t>January 2024.</w:t>
      </w:r>
    </w:p>
    <w:p w14:paraId="51B5183B" w14:textId="77777777" w:rsidR="00E83AB1" w:rsidRDefault="00E83AB1" w:rsidP="0067597D"/>
    <w:p w14:paraId="28C94505" w14:textId="4CC423DC" w:rsidR="00E83AB1" w:rsidRDefault="00E83AB1" w:rsidP="008B60DF">
      <w:pPr>
        <w:ind w:left="907"/>
      </w:pPr>
      <w:r>
        <w:t>It is also noted that three of the remaining enforcement staff are trained to conduct PEOSH whistleblower complaint investigations which reduces programmed enforcement inspection activity (NJ SOAR, FY 2023).</w:t>
      </w:r>
    </w:p>
    <w:p w14:paraId="238FC7B5" w14:textId="77777777" w:rsidR="00E83AB1" w:rsidRDefault="00E83AB1" w:rsidP="008B60DF">
      <w:pPr>
        <w:ind w:left="907"/>
      </w:pPr>
    </w:p>
    <w:p w14:paraId="65E7353C" w14:textId="7DCE470F" w:rsidR="00276EE2" w:rsidRDefault="00E83AB1" w:rsidP="0067597D">
      <w:pPr>
        <w:ind w:left="907"/>
      </w:pPr>
      <w:r>
        <w:t>NJDOH PEOSH currently has three compliance safety and health officers (</w:t>
      </w:r>
      <w:r w:rsidR="006E41BC">
        <w:t>CSHO) assigned</w:t>
      </w:r>
      <w:r>
        <w:t xml:space="preserve"> to field work and one CSHO assigned to indoor air quality and sanitation complaints.</w:t>
      </w:r>
      <w:r w:rsidR="00276EE2">
        <w:t xml:space="preserve">  </w:t>
      </w:r>
      <w:r>
        <w:t xml:space="preserve"> In </w:t>
      </w:r>
      <w:r>
        <w:lastRenderedPageBreak/>
        <w:t xml:space="preserve">December 2023, NJDOH PEOSH backfilled one CSHO enforcement position. </w:t>
      </w:r>
      <w:r w:rsidR="00AD61E9">
        <w:t xml:space="preserve"> </w:t>
      </w:r>
      <w:r>
        <w:t>Approval for two additional CSHO positions are currently being pursued</w:t>
      </w:r>
      <w:r w:rsidR="00FF6E62">
        <w:t xml:space="preserve"> (NJ SOAR, FY 2023).</w:t>
      </w:r>
      <w:r w:rsidR="0067597D">
        <w:t xml:space="preserve">  </w:t>
      </w:r>
      <w:r w:rsidR="00276EE2">
        <w:t>There were three safety consultants and one health consultant at the end of FY 2023.</w:t>
      </w:r>
    </w:p>
    <w:p w14:paraId="70A14459" w14:textId="307DD1D2" w:rsidR="00276EE2" w:rsidRPr="00E83AB1" w:rsidRDefault="00276EE2" w:rsidP="008B60DF">
      <w:pPr>
        <w:ind w:left="907"/>
      </w:pPr>
      <w:r>
        <w:t xml:space="preserve"> </w:t>
      </w:r>
    </w:p>
    <w:p w14:paraId="56FD3EA8" w14:textId="00E3A33E" w:rsidR="00782EEC" w:rsidRPr="008B1863" w:rsidRDefault="005A02B8" w:rsidP="007A6A23">
      <w:pPr>
        <w:ind w:left="1080" w:hanging="720"/>
        <w:contextualSpacing/>
        <w:rPr>
          <w:b/>
          <w:smallCaps/>
        </w:rPr>
      </w:pPr>
      <w:r>
        <w:rPr>
          <w:b/>
          <w:smallCaps/>
        </w:rPr>
        <w:t>2</w:t>
      </w:r>
      <w:r w:rsidR="00782EEC" w:rsidRPr="008B1863">
        <w:rPr>
          <w:b/>
          <w:smallCaps/>
        </w:rPr>
        <w:t xml:space="preserve">. </w:t>
      </w:r>
      <w:r>
        <w:rPr>
          <w:b/>
          <w:smallCaps/>
        </w:rPr>
        <w:t xml:space="preserve">     </w:t>
      </w:r>
      <w:r w:rsidR="007A6A23">
        <w:rPr>
          <w:b/>
          <w:smallCaps/>
        </w:rPr>
        <w:t xml:space="preserve"> </w:t>
      </w:r>
      <w:r w:rsidR="00782EEC" w:rsidRPr="008B1863">
        <w:rPr>
          <w:b/>
          <w:smallCaps/>
        </w:rPr>
        <w:t>ENFORCEMENT</w:t>
      </w:r>
    </w:p>
    <w:p w14:paraId="40ABD295" w14:textId="77777777" w:rsidR="00DA2A60" w:rsidRDefault="00DA2A60" w:rsidP="008B60DF">
      <w:pPr>
        <w:widowControl/>
        <w:autoSpaceDE/>
        <w:autoSpaceDN/>
        <w:adjustRightInd/>
        <w:ind w:left="907" w:hanging="360"/>
        <w:contextualSpacing/>
      </w:pPr>
    </w:p>
    <w:p w14:paraId="4C598D9E" w14:textId="17553A81" w:rsidR="002D0DA5" w:rsidRPr="007702C1" w:rsidRDefault="00782EEC" w:rsidP="00171C6E">
      <w:pPr>
        <w:pStyle w:val="ListParagraph"/>
        <w:numPr>
          <w:ilvl w:val="0"/>
          <w:numId w:val="21"/>
        </w:numPr>
        <w:ind w:left="1267"/>
        <w:rPr>
          <w:rFonts w:ascii="Times New Roman" w:hAnsi="Times New Roman" w:cs="Times New Roman"/>
          <w:sz w:val="24"/>
          <w:szCs w:val="24"/>
        </w:rPr>
      </w:pPr>
      <w:r w:rsidRPr="007702C1">
        <w:rPr>
          <w:rFonts w:ascii="Times New Roman" w:hAnsi="Times New Roman" w:cs="Times New Roman"/>
          <w:sz w:val="24"/>
          <w:szCs w:val="24"/>
        </w:rPr>
        <w:t>Complaints</w:t>
      </w:r>
    </w:p>
    <w:p w14:paraId="5300A513" w14:textId="3677926C" w:rsidR="00E3662F" w:rsidRDefault="008265B6" w:rsidP="008B60DF">
      <w:pPr>
        <w:widowControl/>
        <w:tabs>
          <w:tab w:val="left" w:pos="1800"/>
        </w:tabs>
        <w:autoSpaceDE/>
        <w:autoSpaceDN/>
        <w:adjustRightInd/>
        <w:ind w:left="907"/>
        <w:contextualSpacing/>
        <w:rPr>
          <w:bCs/>
        </w:rPr>
      </w:pPr>
      <w:r w:rsidRPr="008265B6">
        <w:rPr>
          <w:bCs/>
        </w:rPr>
        <w:t xml:space="preserve">SAMM #1a showed that the State Plan responded to </w:t>
      </w:r>
      <w:r w:rsidR="00E3662F">
        <w:rPr>
          <w:bCs/>
        </w:rPr>
        <w:t>83</w:t>
      </w:r>
      <w:r w:rsidRPr="008265B6">
        <w:rPr>
          <w:bCs/>
        </w:rPr>
        <w:t xml:space="preserve"> complaint inspections</w:t>
      </w:r>
      <w:r>
        <w:rPr>
          <w:bCs/>
        </w:rPr>
        <w:t xml:space="preserve"> in FY 2023</w:t>
      </w:r>
      <w:r w:rsidRPr="008265B6">
        <w:rPr>
          <w:bCs/>
        </w:rPr>
        <w:t xml:space="preserve"> in an average number of </w:t>
      </w:r>
      <w:r>
        <w:rPr>
          <w:bCs/>
        </w:rPr>
        <w:t>5.42</w:t>
      </w:r>
      <w:r w:rsidRPr="008265B6">
        <w:rPr>
          <w:bCs/>
        </w:rPr>
        <w:t xml:space="preserve"> workdays</w:t>
      </w:r>
      <w:r w:rsidR="00EA044A">
        <w:rPr>
          <w:bCs/>
        </w:rPr>
        <w:t>. T</w:t>
      </w:r>
      <w:r>
        <w:rPr>
          <w:bCs/>
        </w:rPr>
        <w:t xml:space="preserve">he </w:t>
      </w:r>
      <w:r w:rsidRPr="008265B6">
        <w:rPr>
          <w:bCs/>
        </w:rPr>
        <w:t xml:space="preserve">FRL </w:t>
      </w:r>
      <w:r>
        <w:rPr>
          <w:bCs/>
        </w:rPr>
        <w:t>is</w:t>
      </w:r>
      <w:r w:rsidRPr="008265B6">
        <w:rPr>
          <w:bCs/>
        </w:rPr>
        <w:t xml:space="preserve"> five days for serious hazards and 120 days for other-than serious hazards.</w:t>
      </w:r>
      <w:r w:rsidR="00E3662F">
        <w:rPr>
          <w:bCs/>
        </w:rPr>
        <w:t xml:space="preserve">   In FY 2022, SAMM #1a reported that the State Plan responded to 83 complaint inspections in 36.42 workdays.  The State Plan significantly reduced the number of days to conduct complaint inspections in FY 2023. </w:t>
      </w:r>
    </w:p>
    <w:p w14:paraId="067E6BF9" w14:textId="77777777" w:rsidR="00E3662F" w:rsidRDefault="00E3662F" w:rsidP="008B60DF">
      <w:pPr>
        <w:widowControl/>
        <w:tabs>
          <w:tab w:val="left" w:pos="1800"/>
        </w:tabs>
        <w:autoSpaceDE/>
        <w:autoSpaceDN/>
        <w:adjustRightInd/>
        <w:ind w:left="907"/>
        <w:contextualSpacing/>
        <w:rPr>
          <w:bCs/>
        </w:rPr>
      </w:pPr>
    </w:p>
    <w:p w14:paraId="44986DE3" w14:textId="699D89C8" w:rsidR="008265B6" w:rsidRDefault="00E3662F" w:rsidP="008B60DF">
      <w:pPr>
        <w:widowControl/>
        <w:tabs>
          <w:tab w:val="left" w:pos="1800"/>
        </w:tabs>
        <w:autoSpaceDE/>
        <w:autoSpaceDN/>
        <w:adjustRightInd/>
        <w:ind w:left="907"/>
        <w:contextualSpacing/>
        <w:rPr>
          <w:bCs/>
        </w:rPr>
      </w:pPr>
      <w:r>
        <w:rPr>
          <w:bCs/>
        </w:rPr>
        <w:t>SAMM #2a reported that the State Plan responded to complaint investigations within .54 workdays.  In FY 2022, the State Plan responded to complaint investigations within .13 workdays.  The FRL is one workday.</w:t>
      </w:r>
    </w:p>
    <w:p w14:paraId="67BA41C4" w14:textId="77777777" w:rsidR="00DA2A60" w:rsidRDefault="00DA2A60" w:rsidP="008B60DF">
      <w:pPr>
        <w:widowControl/>
        <w:tabs>
          <w:tab w:val="left" w:pos="1800"/>
        </w:tabs>
        <w:autoSpaceDE/>
        <w:autoSpaceDN/>
        <w:adjustRightInd/>
        <w:ind w:left="907"/>
        <w:contextualSpacing/>
        <w:rPr>
          <w:bCs/>
        </w:rPr>
      </w:pPr>
    </w:p>
    <w:p w14:paraId="4CEFA5C0" w14:textId="4B4661C4" w:rsidR="00DA2A60" w:rsidRDefault="00DA2A60" w:rsidP="008B60DF">
      <w:pPr>
        <w:widowControl/>
        <w:tabs>
          <w:tab w:val="left" w:pos="1800"/>
        </w:tabs>
        <w:autoSpaceDE/>
        <w:autoSpaceDN/>
        <w:adjustRightInd/>
        <w:ind w:left="907"/>
        <w:contextualSpacing/>
        <w:rPr>
          <w:bCs/>
        </w:rPr>
      </w:pPr>
      <w:r w:rsidRPr="00DA2A60">
        <w:rPr>
          <w:bCs/>
        </w:rPr>
        <w:t xml:space="preserve">For FY 2023, </w:t>
      </w:r>
      <w:r w:rsidR="00EA044A">
        <w:rPr>
          <w:bCs/>
        </w:rPr>
        <w:t xml:space="preserve">the </w:t>
      </w:r>
      <w:r w:rsidRPr="00DA2A60">
        <w:rPr>
          <w:bCs/>
        </w:rPr>
        <w:t>NJDOH PEOSH Program received 62 non-</w:t>
      </w:r>
      <w:r>
        <w:rPr>
          <w:bCs/>
        </w:rPr>
        <w:t>indoor air quality (</w:t>
      </w:r>
      <w:r w:rsidRPr="00DA2A60">
        <w:rPr>
          <w:bCs/>
        </w:rPr>
        <w:t>IAQ</w:t>
      </w:r>
      <w:r>
        <w:rPr>
          <w:bCs/>
        </w:rPr>
        <w:t>)</w:t>
      </w:r>
      <w:r w:rsidRPr="00DA2A60">
        <w:rPr>
          <w:bCs/>
        </w:rPr>
        <w:t>/</w:t>
      </w:r>
      <w:r>
        <w:rPr>
          <w:bCs/>
        </w:rPr>
        <w:t>s</w:t>
      </w:r>
      <w:r w:rsidRPr="00DA2A60">
        <w:rPr>
          <w:bCs/>
        </w:rPr>
        <w:t xml:space="preserve">anitation complaints. </w:t>
      </w:r>
      <w:r>
        <w:rPr>
          <w:bCs/>
        </w:rPr>
        <w:t xml:space="preserve"> </w:t>
      </w:r>
      <w:r w:rsidRPr="00DA2A60">
        <w:rPr>
          <w:bCs/>
        </w:rPr>
        <w:t xml:space="preserve">Sixty-two inspections were initiated within </w:t>
      </w:r>
      <w:r w:rsidR="006E41BC" w:rsidRPr="00DA2A60">
        <w:rPr>
          <w:bCs/>
        </w:rPr>
        <w:t>five days</w:t>
      </w:r>
      <w:r w:rsidRPr="00DA2A60">
        <w:rPr>
          <w:bCs/>
        </w:rPr>
        <w:t xml:space="preserve"> (average 1.80 days, range 1-5 days). </w:t>
      </w:r>
      <w:r>
        <w:rPr>
          <w:bCs/>
        </w:rPr>
        <w:t xml:space="preserve"> </w:t>
      </w:r>
      <w:r w:rsidRPr="00DA2A60">
        <w:rPr>
          <w:bCs/>
        </w:rPr>
        <w:t>The NJDOH PEOSH Program received 121 IAQ and sanitation complaints in FY 2023</w:t>
      </w:r>
      <w:r>
        <w:rPr>
          <w:bCs/>
        </w:rPr>
        <w:t xml:space="preserve"> (NJ SOAR, FY 2023)</w:t>
      </w:r>
      <w:r w:rsidRPr="00DA2A60">
        <w:rPr>
          <w:bCs/>
        </w:rPr>
        <w:t>.</w:t>
      </w:r>
    </w:p>
    <w:p w14:paraId="32923461" w14:textId="77777777" w:rsidR="0016478D" w:rsidRDefault="0016478D" w:rsidP="008B60DF">
      <w:pPr>
        <w:widowControl/>
        <w:tabs>
          <w:tab w:val="left" w:pos="1800"/>
        </w:tabs>
        <w:autoSpaceDE/>
        <w:autoSpaceDN/>
        <w:adjustRightInd/>
        <w:ind w:left="907"/>
        <w:contextualSpacing/>
        <w:rPr>
          <w:bCs/>
        </w:rPr>
      </w:pPr>
    </w:p>
    <w:p w14:paraId="72E13E98" w14:textId="1D308BB1" w:rsidR="0016478D" w:rsidRDefault="0016478D" w:rsidP="008B60DF">
      <w:pPr>
        <w:widowControl/>
        <w:tabs>
          <w:tab w:val="left" w:pos="1800"/>
        </w:tabs>
        <w:autoSpaceDE/>
        <w:autoSpaceDN/>
        <w:adjustRightInd/>
        <w:ind w:left="907"/>
        <w:contextualSpacing/>
        <w:rPr>
          <w:bCs/>
        </w:rPr>
      </w:pPr>
      <w:r>
        <w:rPr>
          <w:bCs/>
        </w:rPr>
        <w:t xml:space="preserve">SAMM #3 reported that the State Plan responded 100% of the time within one workday of receiving a report of an imminent danger complaint or referral.     </w:t>
      </w:r>
    </w:p>
    <w:p w14:paraId="092A4AFB" w14:textId="77777777" w:rsidR="00E3662F" w:rsidRDefault="00E3662F" w:rsidP="008B60DF">
      <w:pPr>
        <w:widowControl/>
        <w:tabs>
          <w:tab w:val="left" w:pos="1800"/>
        </w:tabs>
        <w:autoSpaceDE/>
        <w:autoSpaceDN/>
        <w:adjustRightInd/>
        <w:ind w:left="907"/>
        <w:contextualSpacing/>
        <w:rPr>
          <w:bCs/>
        </w:rPr>
      </w:pPr>
    </w:p>
    <w:p w14:paraId="3D7246FD" w14:textId="0B94BB08" w:rsidR="00DA2A60" w:rsidRDefault="00EB139B" w:rsidP="008B60DF">
      <w:pPr>
        <w:widowControl/>
        <w:tabs>
          <w:tab w:val="left" w:pos="1800"/>
        </w:tabs>
        <w:autoSpaceDE/>
        <w:autoSpaceDN/>
        <w:adjustRightInd/>
        <w:ind w:left="907"/>
        <w:contextualSpacing/>
        <w:rPr>
          <w:bCs/>
          <w:u w:val="single"/>
        </w:rPr>
      </w:pPr>
      <w:r>
        <w:rPr>
          <w:bCs/>
          <w:u w:val="single"/>
        </w:rPr>
        <w:t>Complainant</w:t>
      </w:r>
      <w:r w:rsidR="003D1966">
        <w:rPr>
          <w:bCs/>
          <w:u w:val="single"/>
        </w:rPr>
        <w:t xml:space="preserve"> Notification</w:t>
      </w:r>
    </w:p>
    <w:p w14:paraId="0FDDEDF4" w14:textId="77777777" w:rsidR="003D1966" w:rsidRDefault="003D1966" w:rsidP="008B60DF">
      <w:pPr>
        <w:widowControl/>
        <w:tabs>
          <w:tab w:val="left" w:pos="1800"/>
        </w:tabs>
        <w:autoSpaceDE/>
        <w:autoSpaceDN/>
        <w:adjustRightInd/>
        <w:ind w:left="907"/>
        <w:contextualSpacing/>
        <w:rPr>
          <w:bCs/>
          <w:u w:val="single"/>
        </w:rPr>
      </w:pPr>
    </w:p>
    <w:p w14:paraId="6ABBFDBC" w14:textId="5A074E4C" w:rsidR="00EB139B" w:rsidRDefault="003D1966" w:rsidP="008B60DF">
      <w:pPr>
        <w:widowControl/>
        <w:tabs>
          <w:tab w:val="left" w:pos="1800"/>
        </w:tabs>
        <w:autoSpaceDE/>
        <w:autoSpaceDN/>
        <w:adjustRightInd/>
        <w:ind w:left="907"/>
        <w:contextualSpacing/>
        <w:rPr>
          <w:bCs/>
          <w:i/>
          <w:iCs/>
        </w:rPr>
      </w:pPr>
      <w:r w:rsidRPr="00EB139B">
        <w:rPr>
          <w:b/>
          <w:u w:val="single"/>
        </w:rPr>
        <w:t xml:space="preserve">Finding </w:t>
      </w:r>
      <w:r w:rsidR="00EB139B" w:rsidRPr="00EB139B">
        <w:rPr>
          <w:b/>
          <w:u w:val="single"/>
        </w:rPr>
        <w:t>FY 2023-0</w:t>
      </w:r>
      <w:r w:rsidR="001A524E">
        <w:rPr>
          <w:b/>
          <w:u w:val="single"/>
        </w:rPr>
        <w:t>1</w:t>
      </w:r>
      <w:r w:rsidR="00EB139B" w:rsidRPr="00EB139B">
        <w:rPr>
          <w:b/>
          <w:u w:val="single"/>
        </w:rPr>
        <w:t xml:space="preserve"> (FY 2022-02, FY 2021-01, FY 2020-OB-01, FY 2019-OB-02, FY 2018-OB-01, FY 2017-OB-01):</w:t>
      </w:r>
      <w:r w:rsidR="00EB139B">
        <w:rPr>
          <w:bCs/>
          <w:i/>
          <w:iCs/>
        </w:rPr>
        <w:t xml:space="preserve">  Complainant Notification</w:t>
      </w:r>
    </w:p>
    <w:p w14:paraId="07984F0C" w14:textId="08DF3ED0" w:rsidR="00EB139B" w:rsidRDefault="00EB139B" w:rsidP="008B60DF">
      <w:pPr>
        <w:widowControl/>
        <w:tabs>
          <w:tab w:val="left" w:pos="1800"/>
        </w:tabs>
        <w:autoSpaceDE/>
        <w:autoSpaceDN/>
        <w:adjustRightInd/>
        <w:ind w:left="907"/>
        <w:contextualSpacing/>
        <w:rPr>
          <w:bCs/>
        </w:rPr>
      </w:pPr>
      <w:r>
        <w:rPr>
          <w:bCs/>
        </w:rPr>
        <w:t xml:space="preserve">The letter to the complainant at the conclusion of the inspection documenting the results of the inspection was missing in </w:t>
      </w:r>
      <w:r w:rsidR="00DC7E4E">
        <w:rPr>
          <w:bCs/>
        </w:rPr>
        <w:t>five</w:t>
      </w:r>
      <w:r>
        <w:rPr>
          <w:bCs/>
        </w:rPr>
        <w:t xml:space="preserve"> of 16 (31%) of the complaint files reviewed.</w:t>
      </w:r>
    </w:p>
    <w:p w14:paraId="70DAC5E9" w14:textId="77777777" w:rsidR="00EB139B" w:rsidRDefault="00EB139B" w:rsidP="008B60DF">
      <w:pPr>
        <w:widowControl/>
        <w:tabs>
          <w:tab w:val="left" w:pos="1800"/>
        </w:tabs>
        <w:autoSpaceDE/>
        <w:autoSpaceDN/>
        <w:adjustRightInd/>
        <w:ind w:left="907"/>
        <w:contextualSpacing/>
        <w:rPr>
          <w:bCs/>
        </w:rPr>
      </w:pPr>
    </w:p>
    <w:p w14:paraId="7DB266D2" w14:textId="77777777" w:rsidR="008B60DF" w:rsidRDefault="00EB139B" w:rsidP="008B60DF">
      <w:pPr>
        <w:widowControl/>
        <w:tabs>
          <w:tab w:val="left" w:pos="1800"/>
        </w:tabs>
        <w:autoSpaceDE/>
        <w:autoSpaceDN/>
        <w:adjustRightInd/>
        <w:ind w:left="907"/>
        <w:contextualSpacing/>
        <w:rPr>
          <w:b/>
        </w:rPr>
      </w:pPr>
      <w:r w:rsidRPr="00EB139B">
        <w:rPr>
          <w:b/>
          <w:u w:val="single"/>
        </w:rPr>
        <w:t>Recommendation FY 2023-0</w:t>
      </w:r>
      <w:r w:rsidR="001A524E">
        <w:rPr>
          <w:b/>
          <w:u w:val="single"/>
        </w:rPr>
        <w:t>1</w:t>
      </w:r>
      <w:r>
        <w:rPr>
          <w:b/>
          <w:u w:val="single"/>
        </w:rPr>
        <w:t>:</w:t>
      </w:r>
      <w:r>
        <w:rPr>
          <w:b/>
        </w:rPr>
        <w:t xml:space="preserve"> </w:t>
      </w:r>
    </w:p>
    <w:p w14:paraId="5258AB04" w14:textId="43B479D3" w:rsidR="00E7313A" w:rsidRDefault="00EB139B" w:rsidP="008B60DF">
      <w:pPr>
        <w:widowControl/>
        <w:tabs>
          <w:tab w:val="left" w:pos="1800"/>
        </w:tabs>
        <w:autoSpaceDE/>
        <w:autoSpaceDN/>
        <w:adjustRightInd/>
        <w:ind w:left="907"/>
        <w:contextualSpacing/>
        <w:rPr>
          <w:bCs/>
        </w:rPr>
      </w:pPr>
      <w:r>
        <w:rPr>
          <w:bCs/>
        </w:rPr>
        <w:t xml:space="preserve">PEOSH needs to ensure that </w:t>
      </w:r>
      <w:r w:rsidR="00E83AB1">
        <w:rPr>
          <w:bCs/>
        </w:rPr>
        <w:t>the complainant receives a letter at the conclusion of the inspection with all allegations addressed and a copy is maintained in the electronic file.</w:t>
      </w:r>
    </w:p>
    <w:p w14:paraId="247A5073" w14:textId="77777777" w:rsidR="002143E7" w:rsidRDefault="002143E7" w:rsidP="008B60DF">
      <w:pPr>
        <w:widowControl/>
        <w:tabs>
          <w:tab w:val="left" w:pos="1800"/>
        </w:tabs>
        <w:autoSpaceDE/>
        <w:autoSpaceDN/>
        <w:adjustRightInd/>
        <w:ind w:left="907"/>
        <w:contextualSpacing/>
        <w:rPr>
          <w:bCs/>
        </w:rPr>
      </w:pPr>
    </w:p>
    <w:p w14:paraId="0247C099" w14:textId="12C25727" w:rsidR="005A02B8" w:rsidRDefault="00DA2A60" w:rsidP="008B60DF">
      <w:pPr>
        <w:widowControl/>
        <w:tabs>
          <w:tab w:val="left" w:pos="1800"/>
        </w:tabs>
        <w:autoSpaceDE/>
        <w:autoSpaceDN/>
        <w:adjustRightInd/>
        <w:ind w:left="907"/>
        <w:contextualSpacing/>
      </w:pPr>
      <w:r>
        <w:t xml:space="preserve">b)  </w:t>
      </w:r>
      <w:r w:rsidR="008265B6">
        <w:t>F</w:t>
      </w:r>
      <w:r w:rsidR="00782EEC" w:rsidRPr="000D34E1">
        <w:t xml:space="preserve">atalities </w:t>
      </w:r>
    </w:p>
    <w:p w14:paraId="4F8D7F4F" w14:textId="77777777" w:rsidR="00DA2A60" w:rsidRPr="003F1CDB" w:rsidRDefault="00DA2A60" w:rsidP="008B60DF">
      <w:pPr>
        <w:widowControl/>
        <w:tabs>
          <w:tab w:val="left" w:pos="1800"/>
        </w:tabs>
        <w:autoSpaceDE/>
        <w:autoSpaceDN/>
        <w:adjustRightInd/>
        <w:ind w:left="907"/>
        <w:contextualSpacing/>
      </w:pPr>
    </w:p>
    <w:p w14:paraId="3D795A8B" w14:textId="1E4162F2" w:rsidR="003F1CDB" w:rsidRDefault="003F1CDB" w:rsidP="008B60DF">
      <w:pPr>
        <w:ind w:left="907"/>
      </w:pPr>
      <w:r>
        <w:t xml:space="preserve">PEOSH reported that they </w:t>
      </w:r>
      <w:r w:rsidR="003D0BE0">
        <w:t xml:space="preserve">investigated </w:t>
      </w:r>
      <w:r>
        <w:t xml:space="preserve">five reports of fatalities in FY 2023.  These fatalities included one safety and four health related fatalities (NJ SOAR, FY 2023). </w:t>
      </w:r>
    </w:p>
    <w:p w14:paraId="0B83669D" w14:textId="77777777" w:rsidR="003D0BE0" w:rsidRDefault="003D0BE0" w:rsidP="008B60DF">
      <w:pPr>
        <w:ind w:left="907"/>
      </w:pPr>
    </w:p>
    <w:p w14:paraId="7CC0ADE2" w14:textId="73ED4673" w:rsidR="003D0BE0" w:rsidRDefault="003D0BE0" w:rsidP="008B60DF">
      <w:pPr>
        <w:ind w:left="907"/>
      </w:pPr>
      <w:r>
        <w:t xml:space="preserve">SAMM #10 </w:t>
      </w:r>
      <w:r w:rsidR="00917F9B">
        <w:t>noted</w:t>
      </w:r>
      <w:r>
        <w:t xml:space="preserve"> that there were four fatality inspections reported that met the reporting criteria to be measured for FY 2023.  SAMM #10 showed that all four of these fatalities were responded to within one working day as required.</w:t>
      </w:r>
    </w:p>
    <w:p w14:paraId="703A4476" w14:textId="77777777" w:rsidR="003D0BE0" w:rsidRDefault="003D0BE0" w:rsidP="008B60DF">
      <w:pPr>
        <w:ind w:left="907"/>
      </w:pPr>
    </w:p>
    <w:p w14:paraId="5E709A53" w14:textId="0FD43685" w:rsidR="003D0BE0" w:rsidRDefault="003D0BE0" w:rsidP="008B60DF">
      <w:pPr>
        <w:ind w:left="907"/>
      </w:pPr>
      <w:r>
        <w:t>Three fatality inspections were reviewed during this FAME.  The review included all the fatality inspections conducted in FY 2023 that were closed.</w:t>
      </w:r>
    </w:p>
    <w:p w14:paraId="25DD0B28" w14:textId="77777777" w:rsidR="00DA2A60" w:rsidRDefault="00DA2A60" w:rsidP="008B60DF">
      <w:pPr>
        <w:ind w:left="907"/>
      </w:pPr>
    </w:p>
    <w:p w14:paraId="4DCC40D4" w14:textId="4714209B" w:rsidR="00DA2A60" w:rsidRPr="00DA2A60" w:rsidRDefault="00DA2A60" w:rsidP="008B60DF">
      <w:pPr>
        <w:ind w:left="907"/>
        <w:rPr>
          <w:i/>
          <w:iCs/>
        </w:rPr>
      </w:pPr>
      <w:r w:rsidRPr="00DA2A60">
        <w:rPr>
          <w:b/>
          <w:bCs/>
          <w:u w:val="single"/>
        </w:rPr>
        <w:lastRenderedPageBreak/>
        <w:t>Finding FY 2023-</w:t>
      </w:r>
      <w:r>
        <w:rPr>
          <w:b/>
          <w:bCs/>
          <w:u w:val="single"/>
        </w:rPr>
        <w:t>0</w:t>
      </w:r>
      <w:r w:rsidR="001A524E">
        <w:rPr>
          <w:b/>
          <w:bCs/>
          <w:u w:val="single"/>
        </w:rPr>
        <w:t>2</w:t>
      </w:r>
      <w:r w:rsidR="00EB139B">
        <w:rPr>
          <w:b/>
          <w:bCs/>
          <w:u w:val="single"/>
        </w:rPr>
        <w:t xml:space="preserve"> (FY 2022-03, FY 2021-03)</w:t>
      </w:r>
      <w:r w:rsidRPr="00DA2A60">
        <w:rPr>
          <w:b/>
          <w:bCs/>
          <w:u w:val="single"/>
        </w:rPr>
        <w:t>:</w:t>
      </w:r>
      <w:r>
        <w:t xml:space="preserve"> </w:t>
      </w:r>
      <w:r w:rsidRPr="00DA2A60">
        <w:rPr>
          <w:i/>
          <w:iCs/>
        </w:rPr>
        <w:t xml:space="preserve">Next-of-Kin Letters </w:t>
      </w:r>
    </w:p>
    <w:p w14:paraId="7F0A4860" w14:textId="2B31E5FA" w:rsidR="00DA2A60" w:rsidRDefault="00DA2A60" w:rsidP="008B60DF">
      <w:pPr>
        <w:ind w:left="907"/>
      </w:pPr>
      <w:r>
        <w:t>In one of the two (50</w:t>
      </w:r>
      <w:r w:rsidR="00A0249A">
        <w:t>%)</w:t>
      </w:r>
      <w:r>
        <w:t xml:space="preserve"> fatality inspections requiring a next-of-kin letter, both the initial and final next-of-kin letters were not sent to the family of the victim.</w:t>
      </w:r>
      <w:r w:rsidR="00944653">
        <w:t xml:space="preserve">  </w:t>
      </w:r>
      <w:r>
        <w:t xml:space="preserve">The State Plan noted in the case file that they did not send the letters because the death was determined not to </w:t>
      </w:r>
      <w:r w:rsidR="00AE59FB">
        <w:t>occupationally related</w:t>
      </w:r>
      <w:r w:rsidR="00944653">
        <w:t xml:space="preserve"> even though there was information in the file on the next-of-kin.  The State Plan adopt</w:t>
      </w:r>
      <w:r w:rsidR="00EA044A">
        <w:t>ed</w:t>
      </w:r>
      <w:r w:rsidR="00944653">
        <w:t xml:space="preserve"> directive CPL 02-00-166, Communicating OSHA Fatality Inspection Procedures to a Victim’s Family that requires an initial letter notifying the family of the investigation</w:t>
      </w:r>
      <w:r w:rsidR="00EA044A">
        <w:t>,</w:t>
      </w:r>
      <w:r w:rsidR="00944653">
        <w:t xml:space="preserve"> and a final letter at the conclusion of the inspection with the results.  </w:t>
      </w:r>
      <w:r>
        <w:t xml:space="preserve">  </w:t>
      </w:r>
      <w:r w:rsidR="00944653">
        <w:t xml:space="preserve"> </w:t>
      </w:r>
    </w:p>
    <w:p w14:paraId="72560AF2" w14:textId="77777777" w:rsidR="00DA2A60" w:rsidRDefault="00DA2A60" w:rsidP="008B60DF">
      <w:pPr>
        <w:ind w:left="907"/>
      </w:pPr>
    </w:p>
    <w:p w14:paraId="2D4B7AD8" w14:textId="77777777" w:rsidR="008B60DF" w:rsidRDefault="00DA2A60" w:rsidP="008B60DF">
      <w:pPr>
        <w:ind w:left="907"/>
        <w:rPr>
          <w:b/>
          <w:bCs/>
          <w:u w:val="single"/>
        </w:rPr>
      </w:pPr>
      <w:r w:rsidRPr="00DA2A60">
        <w:rPr>
          <w:b/>
          <w:bCs/>
          <w:u w:val="single"/>
        </w:rPr>
        <w:t>Recommendation FY 2023-</w:t>
      </w:r>
      <w:r>
        <w:rPr>
          <w:b/>
          <w:bCs/>
          <w:u w:val="single"/>
        </w:rPr>
        <w:t>0</w:t>
      </w:r>
      <w:r w:rsidR="001A524E">
        <w:rPr>
          <w:b/>
          <w:bCs/>
          <w:u w:val="single"/>
        </w:rPr>
        <w:t>2</w:t>
      </w:r>
      <w:r w:rsidRPr="00DA2A60">
        <w:rPr>
          <w:b/>
          <w:bCs/>
          <w:u w:val="single"/>
        </w:rPr>
        <w:t xml:space="preserve">: </w:t>
      </w:r>
    </w:p>
    <w:p w14:paraId="32D52FFF" w14:textId="42AAB9F8" w:rsidR="003D0BE0" w:rsidRDefault="00DA2A60" w:rsidP="008B60DF">
      <w:pPr>
        <w:ind w:left="907"/>
      </w:pPr>
      <w:r>
        <w:t xml:space="preserve">The State Plan needs to issue next-of-kin letters as required by </w:t>
      </w:r>
      <w:r w:rsidR="00DC7E4E">
        <w:t>its</w:t>
      </w:r>
      <w:r>
        <w:t xml:space="preserve"> FOM</w:t>
      </w:r>
      <w:r w:rsidR="00AD61E9">
        <w:t xml:space="preserve"> and the OSHA directive</w:t>
      </w:r>
      <w:r>
        <w:t>.</w:t>
      </w:r>
    </w:p>
    <w:p w14:paraId="6C5741ED" w14:textId="77777777" w:rsidR="00DA290E" w:rsidRDefault="00DA290E" w:rsidP="008B60DF">
      <w:pPr>
        <w:ind w:left="907"/>
      </w:pPr>
    </w:p>
    <w:p w14:paraId="6DBA3B25" w14:textId="084EDD2F" w:rsidR="00DA290E" w:rsidRPr="00DA290E" w:rsidRDefault="00DA290E" w:rsidP="008B60DF">
      <w:pPr>
        <w:ind w:left="907"/>
        <w:rPr>
          <w:i/>
          <w:iCs/>
        </w:rPr>
      </w:pPr>
      <w:r w:rsidRPr="002143E7">
        <w:rPr>
          <w:b/>
          <w:bCs/>
          <w:u w:val="single"/>
        </w:rPr>
        <w:t>Observation FY 2023-OB-0</w:t>
      </w:r>
      <w:r w:rsidR="00F21493">
        <w:rPr>
          <w:b/>
          <w:bCs/>
          <w:u w:val="single"/>
        </w:rPr>
        <w:t>5</w:t>
      </w:r>
      <w:r w:rsidRPr="002143E7">
        <w:rPr>
          <w:b/>
          <w:bCs/>
          <w:u w:val="single"/>
        </w:rPr>
        <w:t xml:space="preserve"> (FY 2022-OB-</w:t>
      </w:r>
      <w:r w:rsidR="002143E7" w:rsidRPr="002143E7">
        <w:rPr>
          <w:b/>
          <w:bCs/>
          <w:u w:val="single"/>
        </w:rPr>
        <w:t xml:space="preserve">03, </w:t>
      </w:r>
      <w:r w:rsidRPr="002143E7">
        <w:rPr>
          <w:b/>
          <w:bCs/>
          <w:u w:val="single"/>
        </w:rPr>
        <w:t>FY 2021-</w:t>
      </w:r>
      <w:r w:rsidR="00971BFB">
        <w:rPr>
          <w:b/>
          <w:bCs/>
          <w:u w:val="single"/>
        </w:rPr>
        <w:t>OB-</w:t>
      </w:r>
      <w:r w:rsidR="002143E7" w:rsidRPr="002143E7">
        <w:rPr>
          <w:b/>
          <w:bCs/>
          <w:u w:val="single"/>
        </w:rPr>
        <w:t xml:space="preserve">04): </w:t>
      </w:r>
      <w:r w:rsidRPr="00DA290E">
        <w:rPr>
          <w:i/>
          <w:iCs/>
        </w:rPr>
        <w:t>Failure to Issue</w:t>
      </w:r>
      <w:r w:rsidR="00F21493">
        <w:rPr>
          <w:i/>
          <w:iCs/>
        </w:rPr>
        <w:t xml:space="preserve"> Order to Comply (</w:t>
      </w:r>
      <w:r w:rsidRPr="00DA290E">
        <w:rPr>
          <w:i/>
          <w:iCs/>
        </w:rPr>
        <w:t>OTC</w:t>
      </w:r>
      <w:r w:rsidR="00F21493">
        <w:rPr>
          <w:i/>
          <w:iCs/>
        </w:rPr>
        <w:t>)</w:t>
      </w:r>
      <w:r w:rsidRPr="00DA290E">
        <w:rPr>
          <w:i/>
          <w:iCs/>
        </w:rPr>
        <w:t xml:space="preserve"> </w:t>
      </w:r>
      <w:r w:rsidR="00FF6E62">
        <w:rPr>
          <w:i/>
          <w:iCs/>
        </w:rPr>
        <w:t xml:space="preserve">to Employer </w:t>
      </w:r>
      <w:r w:rsidRPr="00DA290E">
        <w:rPr>
          <w:i/>
          <w:iCs/>
        </w:rPr>
        <w:t>for Not Reporting Within Eight Hours</w:t>
      </w:r>
      <w:r w:rsidR="00F21493">
        <w:rPr>
          <w:i/>
          <w:iCs/>
        </w:rPr>
        <w:t xml:space="preserve"> of a Fatality</w:t>
      </w:r>
      <w:r w:rsidRPr="00DA290E">
        <w:rPr>
          <w:i/>
          <w:iCs/>
        </w:rPr>
        <w:t xml:space="preserve"> </w:t>
      </w:r>
    </w:p>
    <w:p w14:paraId="63EDF866" w14:textId="5425D219" w:rsidR="00DA290E" w:rsidRDefault="00DA290E" w:rsidP="008B60DF">
      <w:pPr>
        <w:ind w:left="907"/>
      </w:pPr>
      <w:r>
        <w:t xml:space="preserve">The State Plan did not document in one of three </w:t>
      </w:r>
      <w:r w:rsidR="00EA044A">
        <w:t xml:space="preserve">(33%) </w:t>
      </w:r>
      <w:r>
        <w:t xml:space="preserve">closed fatality inspections why an </w:t>
      </w:r>
      <w:r w:rsidR="00F21493">
        <w:t>OTC</w:t>
      </w:r>
      <w:r>
        <w:t xml:space="preserve"> was not proposed for the employer not reporting to PEOSH the fatality within eight hours of being notified of the death. </w:t>
      </w:r>
      <w:r w:rsidR="00F21493">
        <w:t xml:space="preserve"> Additionally, PEOSH received notification of three fatalities in FY 2023 that were not investigated </w:t>
      </w:r>
      <w:r w:rsidR="006E41BC">
        <w:t xml:space="preserve">and </w:t>
      </w:r>
      <w:r w:rsidR="00F21493">
        <w:t xml:space="preserve">reported timely.   </w:t>
      </w:r>
    </w:p>
    <w:p w14:paraId="5290B043" w14:textId="77777777" w:rsidR="00DA290E" w:rsidRDefault="00DA290E" w:rsidP="008B60DF">
      <w:pPr>
        <w:ind w:left="907"/>
      </w:pPr>
    </w:p>
    <w:p w14:paraId="1249BA9D" w14:textId="77777777" w:rsidR="008B60DF" w:rsidRDefault="00DA290E" w:rsidP="008B60DF">
      <w:pPr>
        <w:ind w:left="907"/>
        <w:rPr>
          <w:b/>
          <w:bCs/>
          <w:u w:val="single"/>
        </w:rPr>
      </w:pPr>
      <w:r w:rsidRPr="002143E7">
        <w:rPr>
          <w:b/>
          <w:bCs/>
          <w:u w:val="single"/>
        </w:rPr>
        <w:t>Federal Monitoring Plan FY 2023-OB-</w:t>
      </w:r>
      <w:r w:rsidR="002143E7" w:rsidRPr="002143E7">
        <w:rPr>
          <w:b/>
          <w:bCs/>
          <w:u w:val="single"/>
        </w:rPr>
        <w:t>0</w:t>
      </w:r>
      <w:r w:rsidR="00F21493">
        <w:rPr>
          <w:b/>
          <w:bCs/>
          <w:u w:val="single"/>
        </w:rPr>
        <w:t>5</w:t>
      </w:r>
      <w:r w:rsidRPr="002143E7">
        <w:rPr>
          <w:b/>
          <w:bCs/>
          <w:u w:val="single"/>
        </w:rPr>
        <w:t xml:space="preserve">: </w:t>
      </w:r>
    </w:p>
    <w:p w14:paraId="61A5F398" w14:textId="401F77F5" w:rsidR="00DA290E" w:rsidRDefault="00DA290E" w:rsidP="008B60DF">
      <w:pPr>
        <w:ind w:left="907"/>
      </w:pPr>
      <w:r>
        <w:t>During the next comprehensive FAME review, a limited number of case files will be selected randomly and reviewed to determine if these are isolated instances or if this represents a trend that requires further evaluation.</w:t>
      </w:r>
    </w:p>
    <w:p w14:paraId="3DAF296E" w14:textId="77777777" w:rsidR="002143E7" w:rsidRDefault="002143E7" w:rsidP="008B60DF">
      <w:pPr>
        <w:ind w:left="907"/>
      </w:pPr>
    </w:p>
    <w:p w14:paraId="13A75DC3" w14:textId="3B2AAB99" w:rsidR="00FC7044" w:rsidRDefault="008B60DF" w:rsidP="008B60DF">
      <w:pPr>
        <w:ind w:left="907"/>
        <w:rPr>
          <w:i/>
          <w:iCs/>
        </w:rPr>
      </w:pPr>
      <w:r>
        <w:rPr>
          <w:b/>
          <w:bCs/>
          <w:u w:val="single"/>
        </w:rPr>
        <w:t xml:space="preserve">Finding FY 2023-03: </w:t>
      </w:r>
      <w:r w:rsidR="00FF6E62">
        <w:rPr>
          <w:i/>
          <w:iCs/>
        </w:rPr>
        <w:t xml:space="preserve"> Case File Documentation for Fatalities Not Investigated</w:t>
      </w:r>
    </w:p>
    <w:p w14:paraId="10146238" w14:textId="77777777" w:rsidR="00D05619" w:rsidRDefault="00FF6E62" w:rsidP="008B60DF">
      <w:pPr>
        <w:ind w:left="907"/>
      </w:pPr>
      <w:r>
        <w:t xml:space="preserve">In FY 2023, the State Plan received nine reports of fatalities that were not investigated or inspected.  </w:t>
      </w:r>
      <w:r w:rsidR="00D05619">
        <w:t xml:space="preserve">Of these nine fatality reports, one of these fatalities was not required to be reported to PEOSH because it involved a motor vehicle accident that caused the death.  The other eight fatality reports appeared to meet the reporting requirements of 1904.39. </w:t>
      </w:r>
    </w:p>
    <w:p w14:paraId="64B0ACD1" w14:textId="77777777" w:rsidR="00657178" w:rsidRDefault="00657178" w:rsidP="008B60DF">
      <w:pPr>
        <w:ind w:left="907"/>
      </w:pPr>
    </w:p>
    <w:p w14:paraId="05AA22A7" w14:textId="0D02A1D8" w:rsidR="00657178" w:rsidRDefault="00657178" w:rsidP="008B60DF">
      <w:pPr>
        <w:ind w:left="907"/>
      </w:pPr>
      <w:r>
        <w:t xml:space="preserve">In </w:t>
      </w:r>
      <w:r w:rsidR="00E84BF5">
        <w:t xml:space="preserve">seven </w:t>
      </w:r>
      <w:r>
        <w:t>of eight (</w:t>
      </w:r>
      <w:r w:rsidR="00E84BF5">
        <w:t>87%</w:t>
      </w:r>
      <w:r>
        <w:t xml:space="preserve">) of these fatality reports, PEOSH </w:t>
      </w:r>
      <w:r w:rsidR="00E84BF5">
        <w:t>did not</w:t>
      </w:r>
      <w:r>
        <w:t xml:space="preserve"> acquire medical documentation to support </w:t>
      </w:r>
      <w:r w:rsidR="00C43563">
        <w:t>the conclusion that t</w:t>
      </w:r>
      <w:r>
        <w:t>he fatality was medically related and no</w:t>
      </w:r>
      <w:r w:rsidR="00C43563">
        <w:t>n-</w:t>
      </w:r>
      <w:r>
        <w:t>occupational</w:t>
      </w:r>
      <w:r w:rsidR="00C43563">
        <w:t>ly</w:t>
      </w:r>
      <w:r>
        <w:t xml:space="preserve"> related.  </w:t>
      </w:r>
    </w:p>
    <w:p w14:paraId="7F0B8A59" w14:textId="77777777" w:rsidR="00657178" w:rsidRDefault="00657178" w:rsidP="008B60DF">
      <w:pPr>
        <w:ind w:left="907"/>
      </w:pPr>
    </w:p>
    <w:p w14:paraId="7E9ABCE2" w14:textId="443B4C67" w:rsidR="00657178" w:rsidRDefault="00657178" w:rsidP="008B60DF">
      <w:pPr>
        <w:ind w:left="907"/>
      </w:pPr>
      <w:r>
        <w:t xml:space="preserve">The following fatalities were accepted as </w:t>
      </w:r>
      <w:r w:rsidR="00C43563">
        <w:t>non-occupationally</w:t>
      </w:r>
      <w:r>
        <w:t xml:space="preserve"> related based on discussions with the employer only and warranted further review:</w:t>
      </w:r>
    </w:p>
    <w:p w14:paraId="55B94266" w14:textId="77777777" w:rsidR="00657178" w:rsidRDefault="00657178" w:rsidP="008B60DF">
      <w:pPr>
        <w:ind w:left="907"/>
      </w:pPr>
    </w:p>
    <w:p w14:paraId="3269D94C" w14:textId="77777777" w:rsidR="00FD094F" w:rsidRDefault="00657178" w:rsidP="007A21BE">
      <w:pPr>
        <w:pStyle w:val="ListParagraph"/>
        <w:numPr>
          <w:ilvl w:val="0"/>
          <w:numId w:val="22"/>
        </w:numPr>
        <w:rPr>
          <w:rFonts w:ascii="Times New Roman" w:hAnsi="Times New Roman" w:cs="Times New Roman"/>
          <w:sz w:val="24"/>
          <w:szCs w:val="24"/>
        </w:rPr>
      </w:pPr>
      <w:r w:rsidRPr="007A21BE">
        <w:rPr>
          <w:rFonts w:ascii="Times New Roman" w:hAnsi="Times New Roman" w:cs="Times New Roman"/>
          <w:sz w:val="24"/>
          <w:szCs w:val="24"/>
        </w:rPr>
        <w:t>A young firefighter was admitted to the hospital suffering chest pains after a fire call and died three days later.</w:t>
      </w:r>
      <w:r w:rsidR="00917F9B" w:rsidRPr="007A21BE">
        <w:rPr>
          <w:rFonts w:ascii="Times New Roman" w:hAnsi="Times New Roman" w:cs="Times New Roman"/>
          <w:sz w:val="24"/>
          <w:szCs w:val="24"/>
        </w:rPr>
        <w:t xml:space="preserve">  The case file did not document the details of the fire and work exposures, prior</w:t>
      </w:r>
      <w:r w:rsidR="00672AD1" w:rsidRPr="007A21BE">
        <w:rPr>
          <w:rFonts w:ascii="Times New Roman" w:hAnsi="Times New Roman" w:cs="Times New Roman"/>
          <w:sz w:val="24"/>
          <w:szCs w:val="24"/>
        </w:rPr>
        <w:t xml:space="preserve"> to the employee</w:t>
      </w:r>
      <w:r w:rsidR="00917F9B" w:rsidRPr="007A21BE">
        <w:rPr>
          <w:rFonts w:ascii="Times New Roman" w:hAnsi="Times New Roman" w:cs="Times New Roman"/>
          <w:sz w:val="24"/>
          <w:szCs w:val="24"/>
        </w:rPr>
        <w:t xml:space="preserve"> being admitted to the hospital. </w:t>
      </w:r>
      <w:r w:rsidR="00AD61E9" w:rsidRPr="007A21BE">
        <w:rPr>
          <w:rFonts w:ascii="Times New Roman" w:hAnsi="Times New Roman" w:cs="Times New Roman"/>
          <w:sz w:val="24"/>
          <w:szCs w:val="24"/>
        </w:rPr>
        <w:t xml:space="preserve">  PEOSH did not investigate the in-patient hospitalization or death of the firefighter.</w:t>
      </w:r>
    </w:p>
    <w:p w14:paraId="6BE955BA" w14:textId="74D88B6D" w:rsidR="00657178" w:rsidRPr="007A21BE" w:rsidRDefault="00AD61E9" w:rsidP="00FD094F">
      <w:pPr>
        <w:pStyle w:val="ListParagraph"/>
        <w:ind w:left="1627"/>
        <w:rPr>
          <w:rFonts w:ascii="Times New Roman" w:hAnsi="Times New Roman" w:cs="Times New Roman"/>
          <w:sz w:val="24"/>
          <w:szCs w:val="24"/>
        </w:rPr>
      </w:pPr>
      <w:r w:rsidRPr="007A21BE">
        <w:rPr>
          <w:rFonts w:ascii="Times New Roman" w:hAnsi="Times New Roman" w:cs="Times New Roman"/>
          <w:sz w:val="24"/>
          <w:szCs w:val="24"/>
        </w:rPr>
        <w:t xml:space="preserve"> </w:t>
      </w:r>
    </w:p>
    <w:p w14:paraId="153EAEB5" w14:textId="18BC2CCE" w:rsidR="007A21BE" w:rsidRPr="007A21BE" w:rsidRDefault="007A21BE" w:rsidP="007A21BE">
      <w:pPr>
        <w:pStyle w:val="ListParagraph"/>
        <w:numPr>
          <w:ilvl w:val="0"/>
          <w:numId w:val="22"/>
        </w:numPr>
        <w:rPr>
          <w:rFonts w:ascii="Times New Roman" w:hAnsi="Times New Roman" w:cs="Times New Roman"/>
          <w:sz w:val="24"/>
          <w:szCs w:val="24"/>
        </w:rPr>
      </w:pPr>
      <w:r w:rsidRPr="007A21BE">
        <w:rPr>
          <w:rFonts w:ascii="Times New Roman" w:hAnsi="Times New Roman" w:cs="Times New Roman"/>
          <w:sz w:val="24"/>
          <w:szCs w:val="24"/>
        </w:rPr>
        <w:t>A maintenance mechanic was found dea</w:t>
      </w:r>
      <w:r>
        <w:rPr>
          <w:rFonts w:ascii="Times New Roman" w:hAnsi="Times New Roman" w:cs="Times New Roman"/>
          <w:sz w:val="24"/>
          <w:szCs w:val="24"/>
        </w:rPr>
        <w:t>d</w:t>
      </w:r>
      <w:r w:rsidRPr="007A21BE">
        <w:rPr>
          <w:rFonts w:ascii="Times New Roman" w:hAnsi="Times New Roman" w:cs="Times New Roman"/>
          <w:sz w:val="24"/>
          <w:szCs w:val="24"/>
        </w:rPr>
        <w:t xml:space="preserve"> next to an ice machine in the kitchen of a university according to the employer’s incident report.  The initial report of the incident received and entered into OIS differed from this incident report on where the victim was found unresponsive.  PEOSH did not inquire why the reports were different and investigate to determine what the victim was doing before the fatal event. </w:t>
      </w:r>
    </w:p>
    <w:p w14:paraId="1C27BFD1" w14:textId="77777777" w:rsidR="007A21BE" w:rsidRPr="007A21BE" w:rsidRDefault="007A21BE" w:rsidP="007A21BE">
      <w:pPr>
        <w:pStyle w:val="ListParagraph"/>
        <w:ind w:left="1627"/>
        <w:rPr>
          <w:rFonts w:ascii="Times New Roman" w:hAnsi="Times New Roman" w:cs="Times New Roman"/>
          <w:sz w:val="24"/>
          <w:szCs w:val="24"/>
        </w:rPr>
      </w:pPr>
    </w:p>
    <w:p w14:paraId="34CF874C" w14:textId="4D0C987A" w:rsidR="00E84BF5" w:rsidRPr="00DC7E4E" w:rsidRDefault="007A21BE" w:rsidP="007A21BE">
      <w:pPr>
        <w:pStyle w:val="ListParagraph"/>
        <w:numPr>
          <w:ilvl w:val="0"/>
          <w:numId w:val="22"/>
        </w:numPr>
        <w:rPr>
          <w:rFonts w:ascii="Times New Roman" w:hAnsi="Times New Roman" w:cs="Times New Roman"/>
          <w:sz w:val="24"/>
          <w:szCs w:val="24"/>
        </w:rPr>
      </w:pPr>
      <w:r w:rsidRPr="007A21BE">
        <w:rPr>
          <w:rFonts w:ascii="Times New Roman" w:hAnsi="Times New Roman" w:cs="Times New Roman"/>
          <w:sz w:val="24"/>
          <w:szCs w:val="24"/>
        </w:rPr>
        <w:t>A sewerage treatment worker was reported as dying from a cardiac event in the workplace.  There is no description of what tasks this employee was performing before suffering a cardiac event in the case file or reported in OIS.</w:t>
      </w:r>
    </w:p>
    <w:p w14:paraId="37BA1239" w14:textId="5BC3E1BD" w:rsidR="00E84BF5" w:rsidRDefault="00917F9B" w:rsidP="008B60DF">
      <w:pPr>
        <w:ind w:left="907"/>
      </w:pPr>
      <w:r>
        <w:t>Six</w:t>
      </w:r>
      <w:r w:rsidR="00E84BF5">
        <w:t xml:space="preserve"> of </w:t>
      </w:r>
      <w:r>
        <w:t>eight</w:t>
      </w:r>
      <w:r w:rsidR="00E84BF5">
        <w:t xml:space="preserve"> (</w:t>
      </w:r>
      <w:r>
        <w:t>87%</w:t>
      </w:r>
      <w:r w:rsidR="00E84BF5">
        <w:t>) of these fatali</w:t>
      </w:r>
      <w:r>
        <w:t xml:space="preserve">ty reports did not include a diary sheet to track and document the investigation of these inquires. </w:t>
      </w:r>
    </w:p>
    <w:p w14:paraId="6DAC7849" w14:textId="33A76428" w:rsidR="00C43563" w:rsidRDefault="0009384C" w:rsidP="008B60DF">
      <w:pPr>
        <w:ind w:left="907"/>
      </w:pPr>
      <w:r>
        <w:t xml:space="preserve"> </w:t>
      </w:r>
    </w:p>
    <w:p w14:paraId="7CE170C7" w14:textId="6FB08AE2" w:rsidR="00D9291F" w:rsidRDefault="00657178" w:rsidP="008B60DF">
      <w:pPr>
        <w:ind w:left="907"/>
      </w:pPr>
      <w:r w:rsidRPr="00657178">
        <w:rPr>
          <w:b/>
          <w:bCs/>
          <w:u w:val="single"/>
        </w:rPr>
        <w:t>Recommendation FY 2023-03</w:t>
      </w:r>
      <w:r w:rsidRPr="00657178">
        <w:t xml:space="preserve">: </w:t>
      </w:r>
    </w:p>
    <w:p w14:paraId="11F9E6C9" w14:textId="4EC87FF3" w:rsidR="00FC7044" w:rsidRDefault="00657178" w:rsidP="008B60DF">
      <w:pPr>
        <w:ind w:left="907"/>
      </w:pPr>
      <w:r w:rsidRPr="00657178">
        <w:t xml:space="preserve">Before concluding that a reported fatality is medically related and not related to an occupational exposure, </w:t>
      </w:r>
      <w:r>
        <w:t>PEOSH</w:t>
      </w:r>
      <w:r w:rsidRPr="00657178">
        <w:t xml:space="preserve"> should obtain medical documentation confirming this conclusion, or conduct a thorough inspection to evaluate the circumstances of the death to reach a conclusion.  </w:t>
      </w:r>
      <w:r w:rsidR="00672AD1">
        <w:t xml:space="preserve"> Diary sheets should be utilized to document all actions taken during the inquiry and/or investigation.</w:t>
      </w:r>
    </w:p>
    <w:p w14:paraId="5A2363B1" w14:textId="25A7302D" w:rsidR="003F1CDB" w:rsidRPr="005A02B8" w:rsidRDefault="00DA2A60" w:rsidP="008B60DF">
      <w:pPr>
        <w:ind w:left="907"/>
      </w:pPr>
      <w:r>
        <w:t xml:space="preserve">                      </w:t>
      </w:r>
      <w:r w:rsidR="003F1CDB">
        <w:t xml:space="preserve">                    </w:t>
      </w:r>
    </w:p>
    <w:p w14:paraId="7261683B" w14:textId="7D792A1B" w:rsidR="005C203B" w:rsidRDefault="008B60DF" w:rsidP="008B60DF">
      <w:pPr>
        <w:widowControl/>
        <w:tabs>
          <w:tab w:val="left" w:pos="1260"/>
        </w:tabs>
        <w:autoSpaceDE/>
        <w:autoSpaceDN/>
        <w:adjustRightInd/>
        <w:spacing w:after="200"/>
        <w:ind w:left="907" w:hanging="990"/>
        <w:contextualSpacing/>
        <w:rPr>
          <w:i/>
        </w:rPr>
      </w:pPr>
      <w:r>
        <w:tab/>
      </w:r>
      <w:r w:rsidR="00D60A29">
        <w:t xml:space="preserve">c)  </w:t>
      </w:r>
      <w:r w:rsidR="00782EEC" w:rsidRPr="003C5067">
        <w:t>Targeting and Programmed Inspection</w:t>
      </w:r>
      <w:r w:rsidR="00AE6895">
        <w:t xml:space="preserve"> </w:t>
      </w:r>
    </w:p>
    <w:p w14:paraId="693719EB" w14:textId="29425923" w:rsidR="008D4463" w:rsidRDefault="008D4463" w:rsidP="008B60DF">
      <w:pPr>
        <w:widowControl/>
        <w:tabs>
          <w:tab w:val="left" w:pos="1260"/>
        </w:tabs>
        <w:autoSpaceDE/>
        <w:autoSpaceDN/>
        <w:adjustRightInd/>
        <w:spacing w:after="200"/>
        <w:ind w:left="907" w:hanging="990"/>
        <w:contextualSpacing/>
      </w:pPr>
      <w:r>
        <w:t xml:space="preserve"> </w:t>
      </w:r>
    </w:p>
    <w:p w14:paraId="42642241" w14:textId="77777777" w:rsidR="008D4463" w:rsidRDefault="008D4463" w:rsidP="008B60DF">
      <w:pPr>
        <w:tabs>
          <w:tab w:val="left" w:pos="1890"/>
          <w:tab w:val="left" w:pos="1980"/>
        </w:tabs>
        <w:ind w:left="1627" w:hanging="720"/>
      </w:pPr>
      <w:r>
        <w:t>PEOSH conducted 454 inspections in FY 2023 which was 86% of the combined projected</w:t>
      </w:r>
    </w:p>
    <w:p w14:paraId="57035EE7" w14:textId="012BF5D7" w:rsidR="008D4463" w:rsidRDefault="008D4463" w:rsidP="008B60DF">
      <w:pPr>
        <w:tabs>
          <w:tab w:val="left" w:pos="1890"/>
          <w:tab w:val="left" w:pos="1980"/>
        </w:tabs>
        <w:ind w:left="1627" w:hanging="720"/>
      </w:pPr>
      <w:r>
        <w:t>goal of 525 inspections.</w:t>
      </w:r>
      <w:r w:rsidR="003720B1">
        <w:t xml:space="preserve">  </w:t>
      </w:r>
      <w:r>
        <w:t>Safety staff conducted 360 inspections (90% of the goal) and the</w:t>
      </w:r>
    </w:p>
    <w:p w14:paraId="5143A255" w14:textId="3369E717" w:rsidR="008D4463" w:rsidRDefault="008D4463" w:rsidP="008B60DF">
      <w:pPr>
        <w:tabs>
          <w:tab w:val="left" w:pos="1890"/>
          <w:tab w:val="left" w:pos="1980"/>
        </w:tabs>
        <w:ind w:left="1627" w:hanging="720"/>
      </w:pPr>
      <w:r>
        <w:t>industrial hygiene staff conducted 94 inspections (</w:t>
      </w:r>
      <w:r w:rsidR="003F1CDB">
        <w:t>75% of the goal) in FY 2023</w:t>
      </w:r>
      <w:r>
        <w:t xml:space="preserve"> (SAMM #7).</w:t>
      </w:r>
      <w:r w:rsidR="003F1CDB">
        <w:t xml:space="preserve"> </w:t>
      </w:r>
    </w:p>
    <w:p w14:paraId="5A366228" w14:textId="77777777" w:rsidR="003F1CDB" w:rsidRDefault="003F1CDB" w:rsidP="008B60DF">
      <w:pPr>
        <w:tabs>
          <w:tab w:val="left" w:pos="1890"/>
          <w:tab w:val="left" w:pos="1980"/>
        </w:tabs>
        <w:ind w:left="1627" w:hanging="720"/>
      </w:pPr>
      <w:r>
        <w:t xml:space="preserve">Both disciplines were impacted by staffing shortages due to vacancies not filled and created </w:t>
      </w:r>
    </w:p>
    <w:p w14:paraId="3E33764A" w14:textId="554F31CD" w:rsidR="003F1CDB" w:rsidRDefault="003F1CDB" w:rsidP="008B60DF">
      <w:pPr>
        <w:tabs>
          <w:tab w:val="left" w:pos="1890"/>
          <w:tab w:val="left" w:pos="1980"/>
        </w:tabs>
        <w:ind w:left="1627" w:hanging="720"/>
      </w:pPr>
      <w:r>
        <w:t>by promotions of staff to management positions.</w:t>
      </w:r>
    </w:p>
    <w:p w14:paraId="317C373C" w14:textId="77777777" w:rsidR="008B60DF" w:rsidRDefault="008B60DF" w:rsidP="008B60DF">
      <w:pPr>
        <w:tabs>
          <w:tab w:val="left" w:pos="1890"/>
          <w:tab w:val="left" w:pos="1980"/>
        </w:tabs>
        <w:ind w:left="1627" w:hanging="720"/>
      </w:pPr>
    </w:p>
    <w:p w14:paraId="1EA3D993" w14:textId="07285E0C" w:rsidR="00897D4E" w:rsidRPr="008B60DF" w:rsidRDefault="00897D4E" w:rsidP="008B60DF">
      <w:pPr>
        <w:pStyle w:val="Default"/>
        <w:ind w:left="907"/>
      </w:pPr>
      <w:r w:rsidRPr="008B60DF">
        <w:t xml:space="preserve">FY 2023 was the last of year of PEOSH’s 2019-2023 </w:t>
      </w:r>
      <w:r w:rsidR="00B80A3E">
        <w:t>F</w:t>
      </w:r>
      <w:r w:rsidRPr="008B60DF">
        <w:t>ive</w:t>
      </w:r>
      <w:r w:rsidR="00B80A3E">
        <w:t>-Y</w:t>
      </w:r>
      <w:r w:rsidRPr="008B60DF">
        <w:t xml:space="preserve">ear </w:t>
      </w:r>
      <w:r w:rsidR="00B80A3E">
        <w:t>S</w:t>
      </w:r>
      <w:r w:rsidRPr="008B60DF">
        <w:t xml:space="preserve">trategic </w:t>
      </w:r>
      <w:r w:rsidR="00B80A3E">
        <w:t>P</w:t>
      </w:r>
      <w:r w:rsidRPr="008B60DF">
        <w:t xml:space="preserve">lan. </w:t>
      </w:r>
      <w:r w:rsidR="004D30EB" w:rsidRPr="008B60DF">
        <w:t xml:space="preserve"> This plan identified three goals.  The first goal was to reduce the number of worker injuries and illnesses, by focusing statewide attention and resources on the most prevalent types of injuries and illnesses, the most hazardous public occupations, and the most hazardous workplaces. </w:t>
      </w:r>
      <w:r w:rsidR="003720B1">
        <w:t xml:space="preserve"> </w:t>
      </w:r>
      <w:r w:rsidR="004D30EB" w:rsidRPr="008B60DF">
        <w:t>The four industries selected to target were the following:</w:t>
      </w:r>
    </w:p>
    <w:p w14:paraId="5FC256A9" w14:textId="77777777" w:rsidR="004D30EB" w:rsidRPr="008B60DF" w:rsidRDefault="004D30EB" w:rsidP="008B60DF">
      <w:pPr>
        <w:pStyle w:val="Default"/>
        <w:ind w:left="907"/>
      </w:pPr>
    </w:p>
    <w:p w14:paraId="03DDD295" w14:textId="77777777" w:rsidR="004D30EB" w:rsidRPr="008B60DF" w:rsidRDefault="004D30EB" w:rsidP="00171C6E">
      <w:pPr>
        <w:pStyle w:val="Default"/>
        <w:numPr>
          <w:ilvl w:val="0"/>
          <w:numId w:val="16"/>
        </w:numPr>
        <w:ind w:left="1584"/>
      </w:pPr>
      <w:r w:rsidRPr="008B60DF">
        <w:t>State Support Activities for Transportation (NAICS 488)</w:t>
      </w:r>
    </w:p>
    <w:p w14:paraId="23976A71" w14:textId="1D1C09F8" w:rsidR="004D30EB" w:rsidRPr="008B60DF" w:rsidRDefault="004D30EB" w:rsidP="00171C6E">
      <w:pPr>
        <w:pStyle w:val="Default"/>
        <w:numPr>
          <w:ilvl w:val="0"/>
          <w:numId w:val="16"/>
        </w:numPr>
        <w:ind w:left="1584"/>
      </w:pPr>
      <w:r w:rsidRPr="008B60DF">
        <w:t>Local Fire Protection (NAICS 92216)</w:t>
      </w:r>
    </w:p>
    <w:p w14:paraId="2EE98020" w14:textId="11E043A3" w:rsidR="004D30EB" w:rsidRPr="008B60DF" w:rsidRDefault="004D30EB" w:rsidP="00171C6E">
      <w:pPr>
        <w:pStyle w:val="Default"/>
        <w:numPr>
          <w:ilvl w:val="0"/>
          <w:numId w:val="16"/>
        </w:numPr>
        <w:ind w:left="1584"/>
      </w:pPr>
      <w:r w:rsidRPr="008B60DF">
        <w:t>Departments of Public Works (NAICS 561210)</w:t>
      </w:r>
    </w:p>
    <w:p w14:paraId="75F7CB7E" w14:textId="7AB216A7" w:rsidR="004D30EB" w:rsidRPr="008B60DF" w:rsidRDefault="004D30EB" w:rsidP="00171C6E">
      <w:pPr>
        <w:pStyle w:val="Default"/>
        <w:numPr>
          <w:ilvl w:val="0"/>
          <w:numId w:val="16"/>
        </w:numPr>
        <w:ind w:left="1584"/>
      </w:pPr>
      <w:r w:rsidRPr="008B60DF">
        <w:t>Water and Sewage Treatment Facilities (NAICS 2213)</w:t>
      </w:r>
    </w:p>
    <w:p w14:paraId="0EA6955B" w14:textId="77777777" w:rsidR="00897D4E" w:rsidRPr="008B60DF" w:rsidRDefault="00897D4E" w:rsidP="008B60DF">
      <w:pPr>
        <w:pStyle w:val="Default"/>
        <w:ind w:left="1584"/>
      </w:pPr>
    </w:p>
    <w:p w14:paraId="788EC0FE" w14:textId="00739193" w:rsidR="00F07B87" w:rsidRPr="008B60DF" w:rsidRDefault="00F07B87" w:rsidP="008B60DF">
      <w:pPr>
        <w:pStyle w:val="Default"/>
        <w:ind w:left="907"/>
      </w:pPr>
      <w:r w:rsidRPr="008B60DF">
        <w:t xml:space="preserve">PEOSH </w:t>
      </w:r>
      <w:r w:rsidR="004D30EB" w:rsidRPr="008B60DF">
        <w:t>conducted the following number of inspections in these industries in FY 2023</w:t>
      </w:r>
      <w:r w:rsidRPr="008B60DF">
        <w:t xml:space="preserve"> (NJ SOAR, FY 2023): </w:t>
      </w:r>
    </w:p>
    <w:p w14:paraId="32B7A4A4" w14:textId="77777777" w:rsidR="00F07B87" w:rsidRDefault="00F07B87" w:rsidP="008B60DF">
      <w:pPr>
        <w:pStyle w:val="Default"/>
        <w:ind w:left="907"/>
        <w:rPr>
          <w:sz w:val="23"/>
          <w:szCs w:val="23"/>
        </w:rPr>
      </w:pPr>
    </w:p>
    <w:p w14:paraId="178ECBC2" w14:textId="795A8017" w:rsidR="00F07B87" w:rsidRPr="008B60DF" w:rsidRDefault="00F07B87" w:rsidP="00171C6E">
      <w:pPr>
        <w:pStyle w:val="Default"/>
        <w:numPr>
          <w:ilvl w:val="0"/>
          <w:numId w:val="19"/>
        </w:numPr>
        <w:ind w:left="1224"/>
      </w:pPr>
      <w:r w:rsidRPr="008B60DF">
        <w:t xml:space="preserve">Transportation – </w:t>
      </w:r>
      <w:r w:rsidR="00FD094F">
        <w:t xml:space="preserve">nine </w:t>
      </w:r>
      <w:r w:rsidRPr="008B60DF">
        <w:t xml:space="preserve">inspections </w:t>
      </w:r>
    </w:p>
    <w:p w14:paraId="5C2B9223" w14:textId="733EBCD0" w:rsidR="00F07B87" w:rsidRPr="008B60DF" w:rsidRDefault="00F07B87" w:rsidP="00171C6E">
      <w:pPr>
        <w:pStyle w:val="Default"/>
        <w:numPr>
          <w:ilvl w:val="0"/>
          <w:numId w:val="19"/>
        </w:numPr>
        <w:ind w:left="1224"/>
      </w:pPr>
      <w:r w:rsidRPr="008B60DF">
        <w:t xml:space="preserve">Local Fire Protection – 66 inspections </w:t>
      </w:r>
    </w:p>
    <w:p w14:paraId="0E923F8E" w14:textId="4230983A" w:rsidR="00F07B87" w:rsidRPr="008B60DF" w:rsidRDefault="00F07B87" w:rsidP="00171C6E">
      <w:pPr>
        <w:pStyle w:val="Default"/>
        <w:numPr>
          <w:ilvl w:val="0"/>
          <w:numId w:val="19"/>
        </w:numPr>
        <w:ind w:left="1224"/>
      </w:pPr>
      <w:r w:rsidRPr="008B60DF">
        <w:t xml:space="preserve">Public Works Departments – 203 inspections </w:t>
      </w:r>
    </w:p>
    <w:p w14:paraId="1B9CE136" w14:textId="25CCD157" w:rsidR="00F07B87" w:rsidRPr="008B60DF" w:rsidRDefault="00F07B87" w:rsidP="00171C6E">
      <w:pPr>
        <w:pStyle w:val="Default"/>
        <w:numPr>
          <w:ilvl w:val="0"/>
          <w:numId w:val="19"/>
        </w:numPr>
        <w:ind w:left="1224"/>
      </w:pPr>
      <w:r w:rsidRPr="008B60DF">
        <w:t xml:space="preserve">Water and Sewage Treatment Facilities – 32 inspections </w:t>
      </w:r>
    </w:p>
    <w:p w14:paraId="7740D64B" w14:textId="77777777" w:rsidR="004D30EB" w:rsidRPr="008B60DF" w:rsidRDefault="004D30EB" w:rsidP="008B60DF">
      <w:pPr>
        <w:pStyle w:val="Default"/>
        <w:ind w:left="1224"/>
      </w:pPr>
    </w:p>
    <w:p w14:paraId="7FCDD620" w14:textId="40D092E6" w:rsidR="00FC7044" w:rsidRDefault="008D4463" w:rsidP="00A0249A">
      <w:pPr>
        <w:pStyle w:val="Default"/>
        <w:ind w:left="907"/>
      </w:pPr>
      <w:r w:rsidRPr="008B60DF">
        <w:rPr>
          <w:color w:val="auto"/>
        </w:rPr>
        <w:t xml:space="preserve">The second goal of this strategic plan was </w:t>
      </w:r>
      <w:r w:rsidR="003F1CDB" w:rsidRPr="008B60DF">
        <w:rPr>
          <w:color w:val="auto"/>
        </w:rPr>
        <w:t xml:space="preserve">to promote safety and health values in New Jersey’s public sector workplaces.  </w:t>
      </w:r>
      <w:r w:rsidR="004D30EB" w:rsidRPr="008B60DF">
        <w:t xml:space="preserve">The third goal of this strategic plan was to secure public confidence through excellence in the development and delivery of PEOSH programs and services. </w:t>
      </w:r>
      <w:r w:rsidRPr="008B60DF">
        <w:t xml:space="preserve"> </w:t>
      </w:r>
      <w:r w:rsidR="003D0BE0" w:rsidRPr="008B60DF">
        <w:t>Based on the measures being used to meet these goals, PEOSH determined that the goals were met for FY 2023 (NJ SOAR, FY 2023)</w:t>
      </w:r>
      <w:r w:rsidR="003720B1">
        <w:t>.</w:t>
      </w:r>
      <w:r w:rsidR="003D0BE0" w:rsidRPr="008B60DF">
        <w:t xml:space="preserve"> </w:t>
      </w:r>
    </w:p>
    <w:p w14:paraId="7B1D6D0A" w14:textId="77777777" w:rsidR="009F4756" w:rsidRPr="00A0249A" w:rsidRDefault="009F4756" w:rsidP="00A0249A">
      <w:pPr>
        <w:pStyle w:val="Default"/>
        <w:ind w:left="907"/>
      </w:pPr>
    </w:p>
    <w:p w14:paraId="1AE4B513" w14:textId="77777777" w:rsidR="00980D4F" w:rsidRDefault="00980D4F" w:rsidP="008B60DF">
      <w:pPr>
        <w:pStyle w:val="Default"/>
        <w:ind w:left="907"/>
        <w:rPr>
          <w:u w:val="single"/>
        </w:rPr>
      </w:pPr>
    </w:p>
    <w:p w14:paraId="2A9E9CF2" w14:textId="40C9DB09" w:rsidR="00EF3DEC" w:rsidRPr="00EF3DEC" w:rsidRDefault="00EF3DEC" w:rsidP="008B60DF">
      <w:pPr>
        <w:pStyle w:val="Default"/>
        <w:ind w:left="907"/>
        <w:rPr>
          <w:u w:val="single"/>
        </w:rPr>
      </w:pPr>
      <w:r w:rsidRPr="00EF3DEC">
        <w:rPr>
          <w:u w:val="single"/>
        </w:rPr>
        <w:lastRenderedPageBreak/>
        <w:t>Advanced Notice of Inspections</w:t>
      </w:r>
    </w:p>
    <w:p w14:paraId="3AEAF0E0" w14:textId="77777777" w:rsidR="00EF3DEC" w:rsidRPr="00EF3DEC" w:rsidRDefault="00EF3DEC" w:rsidP="008B60DF">
      <w:pPr>
        <w:pStyle w:val="Default"/>
        <w:ind w:left="907"/>
      </w:pPr>
    </w:p>
    <w:p w14:paraId="43B94D88" w14:textId="77777777" w:rsidR="00EF3DEC" w:rsidRPr="003720B1" w:rsidRDefault="00EF3DEC" w:rsidP="00EF3DEC">
      <w:pPr>
        <w:pStyle w:val="Default"/>
        <w:ind w:left="907"/>
      </w:pPr>
      <w:r w:rsidRPr="003720B1">
        <w:t xml:space="preserve">The New Jersey Administrative Code 2:110-4.3 contains a general prohibition against the </w:t>
      </w:r>
    </w:p>
    <w:p w14:paraId="1B9DE220" w14:textId="4A31CEA0" w:rsidR="00B80A3E" w:rsidRPr="003720B1" w:rsidRDefault="00EF3DEC" w:rsidP="00B80A3E">
      <w:pPr>
        <w:pStyle w:val="Default"/>
        <w:ind w:left="907"/>
      </w:pPr>
      <w:r w:rsidRPr="003720B1">
        <w:t>giving of advance</w:t>
      </w:r>
      <w:r w:rsidR="00B80A3E">
        <w:t>d</w:t>
      </w:r>
      <w:r w:rsidRPr="003720B1">
        <w:t xml:space="preserve"> notice of inspections, except as authorized by the </w:t>
      </w:r>
      <w:r w:rsidR="00B80A3E">
        <w:t>c</w:t>
      </w:r>
      <w:r w:rsidRPr="003720B1">
        <w:t xml:space="preserve">ommissioner or designee.  </w:t>
      </w:r>
      <w:r w:rsidR="00B80A3E" w:rsidRPr="003720B1">
        <w:t>Advance</w:t>
      </w:r>
      <w:r w:rsidR="00B80A3E">
        <w:t>d</w:t>
      </w:r>
      <w:r w:rsidR="00B80A3E" w:rsidRPr="003720B1">
        <w:t xml:space="preserve"> notice of inspections may be given only with the authorization of the </w:t>
      </w:r>
      <w:r w:rsidR="00B80A3E">
        <w:t>d</w:t>
      </w:r>
      <w:r w:rsidR="00B80A3E" w:rsidRPr="003720B1">
        <w:t xml:space="preserve">irector or designee and only in the situations identified under section Chapter 3, II, D.1.b of the PEOSH </w:t>
      </w:r>
      <w:r w:rsidR="00B80A3E">
        <w:t>FOM.</w:t>
      </w:r>
    </w:p>
    <w:p w14:paraId="167E67E9" w14:textId="77777777" w:rsidR="00EF3DEC" w:rsidRPr="003720B1" w:rsidRDefault="00EF3DEC" w:rsidP="00B80A3E">
      <w:pPr>
        <w:pStyle w:val="Default"/>
      </w:pPr>
    </w:p>
    <w:p w14:paraId="0E889FA2" w14:textId="3594494A" w:rsidR="00E84E6C" w:rsidRPr="003720B1" w:rsidRDefault="00EF3DEC" w:rsidP="00EF3DEC">
      <w:pPr>
        <w:pStyle w:val="Default"/>
        <w:ind w:left="907"/>
      </w:pPr>
      <w:r w:rsidRPr="003720B1">
        <w:t>One of these exemptions allow</w:t>
      </w:r>
      <w:r w:rsidR="003720B1">
        <w:t>ed</w:t>
      </w:r>
      <w:r w:rsidRPr="003720B1">
        <w:t xml:space="preserve"> for giving advanced notice</w:t>
      </w:r>
      <w:r w:rsidR="00B80A3E">
        <w:t>,</w:t>
      </w:r>
      <w:r w:rsidRPr="003720B1">
        <w:t xml:space="preserve"> is to ensure the presence of employer and employee representatives or other appropriate personnel who are needed to aid in the inspection.  PEOSH has interpreted this exemption to be applicable to volunteer fire departments.  During this evaluation period, PESOH investigated two health fatality inspections in volunteer fire departments.  PEOSH provided advanced notice of the inspection in both inspections, four weeks before conducting the on</w:t>
      </w:r>
      <w:r w:rsidR="00B80A3E">
        <w:t>-</w:t>
      </w:r>
      <w:r w:rsidRPr="003720B1">
        <w:t xml:space="preserve">site inspection.  There was no explanation in either file why the opening conference was delayed for </w:t>
      </w:r>
      <w:r w:rsidR="00E84E6C" w:rsidRPr="003720B1">
        <w:t>weeks,</w:t>
      </w:r>
      <w:r w:rsidRPr="003720B1">
        <w:t xml:space="preserve"> and that the authorization </w:t>
      </w:r>
      <w:r w:rsidR="00E84E6C" w:rsidRPr="003720B1">
        <w:t>as required by the FOM was obtained, prior to giving advanced notice.</w:t>
      </w:r>
    </w:p>
    <w:p w14:paraId="5F3BBF5E" w14:textId="77777777" w:rsidR="00E84E6C" w:rsidRPr="003720B1" w:rsidRDefault="00E84E6C" w:rsidP="00EF3DEC">
      <w:pPr>
        <w:pStyle w:val="Default"/>
        <w:ind w:left="907"/>
      </w:pPr>
    </w:p>
    <w:p w14:paraId="0981E9AB" w14:textId="39A33C0A" w:rsidR="00E84E6C" w:rsidRPr="003720B1" w:rsidRDefault="00E84E6C" w:rsidP="00EF3DEC">
      <w:pPr>
        <w:pStyle w:val="Default"/>
        <w:ind w:left="907"/>
      </w:pPr>
      <w:r w:rsidRPr="003720B1">
        <w:t xml:space="preserve">Additionally, there were </w:t>
      </w:r>
      <w:r w:rsidR="00AD6356" w:rsidRPr="003720B1">
        <w:t>three</w:t>
      </w:r>
      <w:r w:rsidRPr="003720B1">
        <w:t xml:space="preserve"> safety referral inspections reviewed that provided advanced notice of the inspection to the employer.  There was no evidence in the file that the required authorization had been obtained from the Commissioner or his designee as discussed in the FOM.  These two inspections did not meet any of the exemptions listed in the FOM.      </w:t>
      </w:r>
    </w:p>
    <w:p w14:paraId="6399F639" w14:textId="1C107DA4" w:rsidR="00EF3DEC" w:rsidRPr="00EF3DEC" w:rsidRDefault="00EF3DEC" w:rsidP="00EF3DEC">
      <w:pPr>
        <w:pStyle w:val="Default"/>
        <w:ind w:left="907"/>
        <w:rPr>
          <w:sz w:val="23"/>
          <w:szCs w:val="23"/>
        </w:rPr>
      </w:pPr>
      <w:r>
        <w:rPr>
          <w:sz w:val="23"/>
          <w:szCs w:val="23"/>
        </w:rPr>
        <w:t xml:space="preserve">   </w:t>
      </w:r>
    </w:p>
    <w:p w14:paraId="3BB2D93C" w14:textId="77777777" w:rsidR="00E0589A" w:rsidRDefault="00E0589A" w:rsidP="00F07B87">
      <w:pPr>
        <w:widowControl/>
        <w:tabs>
          <w:tab w:val="left" w:pos="1710"/>
          <w:tab w:val="left" w:pos="1890"/>
        </w:tabs>
        <w:autoSpaceDE/>
        <w:autoSpaceDN/>
        <w:adjustRightInd/>
        <w:spacing w:after="200"/>
        <w:ind w:left="1170" w:hanging="270"/>
        <w:contextualSpacing/>
        <w:rPr>
          <w:i/>
          <w:iCs/>
        </w:rPr>
      </w:pPr>
      <w:r>
        <w:rPr>
          <w:b/>
          <w:bCs/>
          <w:u w:val="single"/>
        </w:rPr>
        <w:t>Finding FY 2023-04 (FY 2022-04, FY 2021-04):</w:t>
      </w:r>
      <w:r>
        <w:rPr>
          <w:i/>
          <w:iCs/>
        </w:rPr>
        <w:t xml:space="preserve"> Advanced Notice of Inspections</w:t>
      </w:r>
    </w:p>
    <w:p w14:paraId="7E8633F3" w14:textId="4C24C3B6" w:rsidR="003720B1" w:rsidRDefault="00E84E6C" w:rsidP="00E0589A">
      <w:pPr>
        <w:widowControl/>
        <w:tabs>
          <w:tab w:val="left" w:pos="1710"/>
          <w:tab w:val="left" w:pos="1890"/>
        </w:tabs>
        <w:autoSpaceDE/>
        <w:autoSpaceDN/>
        <w:adjustRightInd/>
        <w:spacing w:after="200"/>
        <w:ind w:left="1170" w:hanging="270"/>
        <w:contextualSpacing/>
      </w:pPr>
      <w:bookmarkStart w:id="7" w:name="_Hlk160100523"/>
      <w:r>
        <w:t xml:space="preserve">In </w:t>
      </w:r>
      <w:r w:rsidR="00FD094F">
        <w:t xml:space="preserve">five </w:t>
      </w:r>
      <w:r>
        <w:t>of 48 (</w:t>
      </w:r>
      <w:r w:rsidR="00AC38D7">
        <w:t>10%</w:t>
      </w:r>
      <w:r w:rsidR="008F190E">
        <w:t xml:space="preserve">) closed inspection files </w:t>
      </w:r>
      <w:r w:rsidR="003720B1">
        <w:t>there was</w:t>
      </w:r>
      <w:r w:rsidR="008F190E">
        <w:t xml:space="preserve"> evidence that advanced notice of the</w:t>
      </w:r>
    </w:p>
    <w:p w14:paraId="62A996FA" w14:textId="5A136FA0" w:rsidR="008F190E" w:rsidRDefault="003720B1" w:rsidP="00E0589A">
      <w:pPr>
        <w:widowControl/>
        <w:tabs>
          <w:tab w:val="left" w:pos="1710"/>
          <w:tab w:val="left" w:pos="1890"/>
        </w:tabs>
        <w:autoSpaceDE/>
        <w:autoSpaceDN/>
        <w:adjustRightInd/>
        <w:spacing w:after="200"/>
        <w:ind w:left="1170" w:hanging="270"/>
        <w:contextualSpacing/>
      </w:pPr>
      <w:r>
        <w:t>i</w:t>
      </w:r>
      <w:r w:rsidR="008F190E">
        <w:t>nspection</w:t>
      </w:r>
      <w:r>
        <w:t xml:space="preserve"> </w:t>
      </w:r>
      <w:r w:rsidR="008F190E">
        <w:t>was provided to the employer.</w:t>
      </w:r>
    </w:p>
    <w:p w14:paraId="09575964" w14:textId="77777777" w:rsidR="008F190E" w:rsidRDefault="008F190E" w:rsidP="00E0589A">
      <w:pPr>
        <w:widowControl/>
        <w:tabs>
          <w:tab w:val="left" w:pos="1710"/>
          <w:tab w:val="left" w:pos="1890"/>
        </w:tabs>
        <w:autoSpaceDE/>
        <w:autoSpaceDN/>
        <w:adjustRightInd/>
        <w:spacing w:after="200"/>
        <w:ind w:left="1170" w:hanging="270"/>
        <w:contextualSpacing/>
      </w:pPr>
    </w:p>
    <w:p w14:paraId="7F3C61E9" w14:textId="77777777" w:rsidR="008F190E" w:rsidRDefault="008F190E" w:rsidP="00E0589A">
      <w:pPr>
        <w:widowControl/>
        <w:tabs>
          <w:tab w:val="left" w:pos="1710"/>
          <w:tab w:val="left" w:pos="1890"/>
        </w:tabs>
        <w:autoSpaceDE/>
        <w:autoSpaceDN/>
        <w:adjustRightInd/>
        <w:spacing w:after="200"/>
        <w:ind w:left="1170" w:hanging="270"/>
        <w:contextualSpacing/>
        <w:rPr>
          <w:b/>
          <w:bCs/>
          <w:u w:val="single"/>
        </w:rPr>
      </w:pPr>
      <w:r>
        <w:rPr>
          <w:b/>
          <w:bCs/>
          <w:u w:val="single"/>
        </w:rPr>
        <w:t xml:space="preserve">Recommendation FY 2023-04: </w:t>
      </w:r>
    </w:p>
    <w:p w14:paraId="0C993DDE" w14:textId="77777777" w:rsidR="008F190E" w:rsidRDefault="008F190E" w:rsidP="00E0589A">
      <w:pPr>
        <w:widowControl/>
        <w:tabs>
          <w:tab w:val="left" w:pos="1710"/>
          <w:tab w:val="left" w:pos="1890"/>
        </w:tabs>
        <w:autoSpaceDE/>
        <w:autoSpaceDN/>
        <w:adjustRightInd/>
        <w:spacing w:after="200"/>
        <w:ind w:left="1170" w:hanging="270"/>
        <w:contextualSpacing/>
      </w:pPr>
      <w:r>
        <w:t xml:space="preserve">PEOSH should follow the requirements of their FOM when issuing advanced notice of </w:t>
      </w:r>
    </w:p>
    <w:p w14:paraId="0FF2F671" w14:textId="6707FAD8" w:rsidR="00BB4A1B" w:rsidRDefault="00BB4A1B" w:rsidP="00E0589A">
      <w:pPr>
        <w:widowControl/>
        <w:tabs>
          <w:tab w:val="left" w:pos="1710"/>
          <w:tab w:val="left" w:pos="1890"/>
        </w:tabs>
        <w:autoSpaceDE/>
        <w:autoSpaceDN/>
        <w:adjustRightInd/>
        <w:spacing w:after="200"/>
        <w:ind w:left="1170" w:hanging="270"/>
        <w:contextualSpacing/>
      </w:pPr>
      <w:r>
        <w:t>i</w:t>
      </w:r>
      <w:r w:rsidR="008F190E">
        <w:t>nspections</w:t>
      </w:r>
      <w:r>
        <w:t xml:space="preserve"> and secure the required authorizations.</w:t>
      </w:r>
      <w:r w:rsidR="008F190E">
        <w:t xml:space="preserve">  Advanced notice should be given under the</w:t>
      </w:r>
    </w:p>
    <w:p w14:paraId="4641D7FE" w14:textId="77777777" w:rsidR="00BB4A1B" w:rsidRDefault="008F190E" w:rsidP="00E0589A">
      <w:pPr>
        <w:widowControl/>
        <w:tabs>
          <w:tab w:val="left" w:pos="1710"/>
          <w:tab w:val="left" w:pos="1890"/>
        </w:tabs>
        <w:autoSpaceDE/>
        <w:autoSpaceDN/>
        <w:adjustRightInd/>
        <w:spacing w:after="200"/>
        <w:ind w:left="1170" w:hanging="270"/>
        <w:contextualSpacing/>
      </w:pPr>
      <w:r>
        <w:t xml:space="preserve">exemptions permitted in the </w:t>
      </w:r>
      <w:r w:rsidR="00BB4A1B">
        <w:t>FOM,</w:t>
      </w:r>
      <w:r>
        <w:t xml:space="preserve"> but</w:t>
      </w:r>
      <w:r w:rsidR="00BB4A1B">
        <w:t xml:space="preserve"> </w:t>
      </w:r>
      <w:r>
        <w:t xml:space="preserve">the </w:t>
      </w:r>
      <w:r w:rsidR="00BB4A1B">
        <w:t>notice</w:t>
      </w:r>
      <w:r>
        <w:t xml:space="preserve"> </w:t>
      </w:r>
      <w:r w:rsidR="00BB4A1B">
        <w:t xml:space="preserve">provided should be the shortest amount of </w:t>
      </w:r>
    </w:p>
    <w:p w14:paraId="087E4523" w14:textId="41AD7F45" w:rsidR="00E0589A" w:rsidRDefault="00BB4A1B" w:rsidP="00E0589A">
      <w:pPr>
        <w:widowControl/>
        <w:tabs>
          <w:tab w:val="left" w:pos="1710"/>
          <w:tab w:val="left" w:pos="1890"/>
        </w:tabs>
        <w:autoSpaceDE/>
        <w:autoSpaceDN/>
        <w:adjustRightInd/>
        <w:spacing w:after="200"/>
        <w:ind w:left="1170" w:hanging="270"/>
        <w:contextualSpacing/>
      </w:pPr>
      <w:r>
        <w:t>time needed to begin the inspection.</w:t>
      </w:r>
      <w:r w:rsidR="008F190E">
        <w:t xml:space="preserve"> </w:t>
      </w:r>
      <w:r w:rsidR="00E84E6C">
        <w:t xml:space="preserve"> </w:t>
      </w:r>
    </w:p>
    <w:bookmarkEnd w:id="7"/>
    <w:p w14:paraId="2A3E0195" w14:textId="77777777" w:rsidR="00E0589A" w:rsidRPr="008B1863" w:rsidRDefault="00E0589A" w:rsidP="00E0589A">
      <w:pPr>
        <w:widowControl/>
        <w:tabs>
          <w:tab w:val="left" w:pos="1710"/>
          <w:tab w:val="left" w:pos="1890"/>
        </w:tabs>
        <w:autoSpaceDE/>
        <w:autoSpaceDN/>
        <w:adjustRightInd/>
        <w:spacing w:after="200"/>
        <w:ind w:left="1170" w:hanging="270"/>
        <w:contextualSpacing/>
      </w:pPr>
    </w:p>
    <w:p w14:paraId="6E822C7A" w14:textId="75E5AC77" w:rsidR="00782EEC" w:rsidRDefault="00AE6895" w:rsidP="00AE6895">
      <w:pPr>
        <w:widowControl/>
        <w:tabs>
          <w:tab w:val="left" w:pos="1260"/>
          <w:tab w:val="left" w:pos="1350"/>
        </w:tabs>
        <w:autoSpaceDE/>
        <w:autoSpaceDN/>
        <w:adjustRightInd/>
        <w:ind w:firstLine="900"/>
        <w:contextualSpacing/>
      </w:pPr>
      <w:r>
        <w:t xml:space="preserve">d)  </w:t>
      </w:r>
      <w:r w:rsidR="00782EEC" w:rsidRPr="008B1863">
        <w:t xml:space="preserve">Citations and Penalties </w:t>
      </w:r>
    </w:p>
    <w:p w14:paraId="26C718DA" w14:textId="77777777" w:rsidR="00A03632" w:rsidRDefault="00A03632" w:rsidP="00AE6895">
      <w:pPr>
        <w:widowControl/>
        <w:tabs>
          <w:tab w:val="left" w:pos="1260"/>
          <w:tab w:val="left" w:pos="1350"/>
        </w:tabs>
        <w:autoSpaceDE/>
        <w:autoSpaceDN/>
        <w:adjustRightInd/>
        <w:ind w:firstLine="900"/>
        <w:contextualSpacing/>
      </w:pPr>
    </w:p>
    <w:p w14:paraId="267B900A" w14:textId="77777777" w:rsidR="003720B1" w:rsidRDefault="00A03632" w:rsidP="00A03632">
      <w:pPr>
        <w:widowControl/>
        <w:tabs>
          <w:tab w:val="left" w:pos="1260"/>
          <w:tab w:val="left" w:pos="1350"/>
        </w:tabs>
        <w:autoSpaceDE/>
        <w:autoSpaceDN/>
        <w:adjustRightInd/>
        <w:ind w:firstLine="900"/>
        <w:contextualSpacing/>
      </w:pPr>
      <w:r w:rsidRPr="00A03632">
        <w:t>PEOSH’s issuance of violations continue</w:t>
      </w:r>
      <w:r>
        <w:t>s</w:t>
      </w:r>
      <w:r w:rsidRPr="00A03632">
        <w:t xml:space="preserve"> to be above the three-year national average.</w:t>
      </w:r>
      <w:r>
        <w:t xml:space="preserve"> </w:t>
      </w:r>
      <w:r w:rsidR="003720B1">
        <w:t xml:space="preserve"> </w:t>
      </w:r>
      <w:r w:rsidR="00B006D6">
        <w:t>The</w:t>
      </w:r>
    </w:p>
    <w:p w14:paraId="336A0D8C" w14:textId="77777777" w:rsidR="003720B1" w:rsidRDefault="00B006D6" w:rsidP="00A03632">
      <w:pPr>
        <w:widowControl/>
        <w:tabs>
          <w:tab w:val="left" w:pos="1260"/>
          <w:tab w:val="left" w:pos="1350"/>
        </w:tabs>
        <w:autoSpaceDE/>
        <w:autoSpaceDN/>
        <w:adjustRightInd/>
        <w:ind w:firstLine="900"/>
        <w:contextualSpacing/>
      </w:pPr>
      <w:r>
        <w:t>FRL for the average number of violations per inspection with violations by violation type is +/-</w:t>
      </w:r>
    </w:p>
    <w:p w14:paraId="00AF24FC" w14:textId="77777777" w:rsidR="003720B1" w:rsidRDefault="00B006D6" w:rsidP="00A03632">
      <w:pPr>
        <w:widowControl/>
        <w:tabs>
          <w:tab w:val="left" w:pos="1260"/>
          <w:tab w:val="left" w:pos="1350"/>
        </w:tabs>
        <w:autoSpaceDE/>
        <w:autoSpaceDN/>
        <w:adjustRightInd/>
        <w:ind w:firstLine="900"/>
        <w:contextualSpacing/>
      </w:pPr>
      <w:r>
        <w:t>20% of the three-year national average of 1.75 for serious/willful/repeat (S/W/R) violations</w:t>
      </w:r>
    </w:p>
    <w:p w14:paraId="088CB210" w14:textId="41FF7FE4" w:rsidR="00A03632" w:rsidRDefault="003720B1" w:rsidP="00A03632">
      <w:pPr>
        <w:widowControl/>
        <w:tabs>
          <w:tab w:val="left" w:pos="1260"/>
          <w:tab w:val="left" w:pos="1350"/>
        </w:tabs>
        <w:autoSpaceDE/>
        <w:autoSpaceDN/>
        <w:adjustRightInd/>
        <w:ind w:firstLine="900"/>
        <w:contextualSpacing/>
      </w:pPr>
      <w:r>
        <w:t>w</w:t>
      </w:r>
      <w:r w:rsidR="00B006D6">
        <w:t>hich</w:t>
      </w:r>
      <w:r>
        <w:t xml:space="preserve"> </w:t>
      </w:r>
      <w:r w:rsidR="00B006D6">
        <w:t xml:space="preserve">equals a range of 1.40 to 2.10. PEOSH’s S/W/R average was 4.47 violations which was </w:t>
      </w:r>
    </w:p>
    <w:p w14:paraId="10E9A288" w14:textId="01DA2F04" w:rsidR="00A03632" w:rsidRDefault="00B006D6" w:rsidP="00A03632">
      <w:pPr>
        <w:widowControl/>
        <w:tabs>
          <w:tab w:val="left" w:pos="1260"/>
          <w:tab w:val="left" w:pos="1350"/>
        </w:tabs>
        <w:autoSpaceDE/>
        <w:autoSpaceDN/>
        <w:adjustRightInd/>
        <w:ind w:firstLine="900"/>
        <w:contextualSpacing/>
      </w:pPr>
      <w:r>
        <w:t xml:space="preserve">significantly above the FRL range. </w:t>
      </w:r>
      <w:r w:rsidR="003720B1">
        <w:t xml:space="preserve"> </w:t>
      </w:r>
      <w:r>
        <w:t>The FRL for other-than-serious (OTS) violations is +/- 20%</w:t>
      </w:r>
    </w:p>
    <w:p w14:paraId="299A2AB4" w14:textId="77777777" w:rsidR="00A03632" w:rsidRDefault="00B006D6" w:rsidP="00A03632">
      <w:pPr>
        <w:widowControl/>
        <w:tabs>
          <w:tab w:val="left" w:pos="1260"/>
          <w:tab w:val="left" w:pos="1350"/>
        </w:tabs>
        <w:autoSpaceDE/>
        <w:autoSpaceDN/>
        <w:adjustRightInd/>
        <w:ind w:firstLine="900"/>
        <w:contextualSpacing/>
      </w:pPr>
      <w:r>
        <w:t xml:space="preserve">of the three-year national average of 0.89 which equals a range of 0.71 to 1.07. PEOSH’s OTS </w:t>
      </w:r>
    </w:p>
    <w:p w14:paraId="2E2C60D0" w14:textId="77777777" w:rsidR="00A03632" w:rsidRDefault="00B006D6" w:rsidP="00A03632">
      <w:pPr>
        <w:widowControl/>
        <w:tabs>
          <w:tab w:val="left" w:pos="1260"/>
          <w:tab w:val="left" w:pos="1350"/>
        </w:tabs>
        <w:autoSpaceDE/>
        <w:autoSpaceDN/>
        <w:adjustRightInd/>
        <w:ind w:firstLine="900"/>
        <w:contextualSpacing/>
      </w:pPr>
      <w:r>
        <w:t xml:space="preserve">average was 2.56 which was also above the FRL range (SAMM #5) but not indicative of a </w:t>
      </w:r>
    </w:p>
    <w:p w14:paraId="0FBD4DE1" w14:textId="1A64F58A" w:rsidR="00B006D6" w:rsidRDefault="00B006D6" w:rsidP="00A03632">
      <w:pPr>
        <w:widowControl/>
        <w:tabs>
          <w:tab w:val="left" w:pos="1260"/>
          <w:tab w:val="left" w:pos="1350"/>
        </w:tabs>
        <w:autoSpaceDE/>
        <w:autoSpaceDN/>
        <w:adjustRightInd/>
        <w:ind w:firstLine="900"/>
        <w:contextualSpacing/>
      </w:pPr>
      <w:r>
        <w:t>concern.</w:t>
      </w:r>
    </w:p>
    <w:p w14:paraId="2A43F0E3" w14:textId="77777777" w:rsidR="005F4CE2" w:rsidRDefault="005F4CE2" w:rsidP="00B80A3E">
      <w:pPr>
        <w:widowControl/>
        <w:tabs>
          <w:tab w:val="left" w:pos="1260"/>
          <w:tab w:val="left" w:pos="1350"/>
        </w:tabs>
        <w:autoSpaceDE/>
        <w:autoSpaceDN/>
        <w:adjustRightInd/>
        <w:contextualSpacing/>
      </w:pPr>
    </w:p>
    <w:p w14:paraId="234537FC" w14:textId="7AEEFF38" w:rsidR="00A03632" w:rsidRDefault="00B006D6" w:rsidP="00B006D6">
      <w:pPr>
        <w:widowControl/>
        <w:tabs>
          <w:tab w:val="left" w:pos="1260"/>
          <w:tab w:val="left" w:pos="1350"/>
        </w:tabs>
        <w:autoSpaceDE/>
        <w:autoSpaceDN/>
        <w:adjustRightInd/>
        <w:ind w:firstLine="900"/>
        <w:contextualSpacing/>
      </w:pPr>
      <w:r>
        <w:t>PEOSH does not issue monetary penalties except in cases of willful or repeat violations.</w:t>
      </w:r>
      <w:r w:rsidR="003720B1">
        <w:t xml:space="preserve">  T</w:t>
      </w:r>
      <w:r w:rsidR="00A03632">
        <w:t xml:space="preserve">here </w:t>
      </w:r>
    </w:p>
    <w:p w14:paraId="6C617A04" w14:textId="778ACF72" w:rsidR="00B006D6" w:rsidRDefault="00A03632" w:rsidP="00B006D6">
      <w:pPr>
        <w:widowControl/>
        <w:tabs>
          <w:tab w:val="left" w:pos="1260"/>
          <w:tab w:val="left" w:pos="1350"/>
        </w:tabs>
        <w:autoSpaceDE/>
        <w:autoSpaceDN/>
        <w:adjustRightInd/>
        <w:ind w:firstLine="900"/>
        <w:contextualSpacing/>
      </w:pPr>
      <w:r>
        <w:t xml:space="preserve">were two penalty Orders to Comply issued in FY 2023. </w:t>
      </w:r>
    </w:p>
    <w:p w14:paraId="4C787FCC" w14:textId="77777777" w:rsidR="00BB4A1B" w:rsidRDefault="00BB4A1B" w:rsidP="00B006D6">
      <w:pPr>
        <w:widowControl/>
        <w:tabs>
          <w:tab w:val="left" w:pos="1260"/>
          <w:tab w:val="left" w:pos="1350"/>
        </w:tabs>
        <w:autoSpaceDE/>
        <w:autoSpaceDN/>
        <w:adjustRightInd/>
        <w:ind w:firstLine="900"/>
        <w:contextualSpacing/>
      </w:pPr>
    </w:p>
    <w:p w14:paraId="2F3D3AAC" w14:textId="28147D32" w:rsidR="00BB4A1B" w:rsidRDefault="00BB4A1B" w:rsidP="00B006D6">
      <w:pPr>
        <w:widowControl/>
        <w:tabs>
          <w:tab w:val="left" w:pos="1260"/>
          <w:tab w:val="left" w:pos="1350"/>
        </w:tabs>
        <w:autoSpaceDE/>
        <w:autoSpaceDN/>
        <w:adjustRightInd/>
        <w:ind w:firstLine="900"/>
        <w:contextualSpacing/>
        <w:rPr>
          <w:i/>
          <w:iCs/>
        </w:rPr>
      </w:pPr>
      <w:r>
        <w:rPr>
          <w:b/>
          <w:bCs/>
          <w:u w:val="single"/>
        </w:rPr>
        <w:t>Observation FY 2023-OB-06:</w:t>
      </w:r>
      <w:r>
        <w:t xml:space="preserve">  </w:t>
      </w:r>
      <w:r>
        <w:rPr>
          <w:i/>
          <w:iCs/>
        </w:rPr>
        <w:t>Issuing OTCs for 1910.38 and 1910.39</w:t>
      </w:r>
    </w:p>
    <w:p w14:paraId="6B88D282" w14:textId="7E85A105" w:rsidR="00554CF3" w:rsidRPr="00554CF3" w:rsidRDefault="00AC38D7" w:rsidP="00554CF3">
      <w:pPr>
        <w:ind w:left="907"/>
      </w:pPr>
      <w:r>
        <w:t>Four</w:t>
      </w:r>
      <w:r w:rsidR="00554CF3" w:rsidRPr="00554CF3">
        <w:t xml:space="preserve"> of 23 (1</w:t>
      </w:r>
      <w:r>
        <w:t>7</w:t>
      </w:r>
      <w:r w:rsidR="00554CF3" w:rsidRPr="00554CF3">
        <w:t xml:space="preserve">%) of closed safety files with </w:t>
      </w:r>
      <w:r w:rsidR="006D6175">
        <w:t>OTCs</w:t>
      </w:r>
      <w:r w:rsidR="00554CF3" w:rsidRPr="00554CF3">
        <w:t xml:space="preserve"> </w:t>
      </w:r>
      <w:r w:rsidR="00554CF3">
        <w:t xml:space="preserve">that </w:t>
      </w:r>
      <w:r w:rsidR="00554CF3" w:rsidRPr="00554CF3">
        <w:t>had issued an OTC for either OSHA standard 1910.38 or 1910.39</w:t>
      </w:r>
      <w:r w:rsidR="006D6175">
        <w:t xml:space="preserve"> lacked evidence to support the orders and incorrectly cited </w:t>
      </w:r>
      <w:r w:rsidR="006D6175">
        <w:lastRenderedPageBreak/>
        <w:t>1910.38 or 1910.39</w:t>
      </w:r>
      <w:r w:rsidR="003720B1">
        <w:t xml:space="preserve"> directly</w:t>
      </w:r>
      <w:r w:rsidR="00554CF3" w:rsidRPr="00554CF3">
        <w:t xml:space="preserve">.  OSHA standard 1910.38, Emergency Action Plans (EAP) and 1910.39, Fire Prevention Plans (FPP), requires these plans </w:t>
      </w:r>
      <w:r w:rsidR="00554CF3">
        <w:t xml:space="preserve">be developed </w:t>
      </w:r>
      <w:r w:rsidR="00554CF3" w:rsidRPr="00554CF3">
        <w:t>when required by another OSHA standard.</w:t>
      </w:r>
      <w:r w:rsidR="003720B1">
        <w:t xml:space="preserve">  </w:t>
      </w:r>
      <w:r w:rsidR="00554CF3" w:rsidRPr="00554CF3">
        <w:t xml:space="preserve">Per CPL 2-1.037, Compliance Policy for Emergency Action Plans and Fire Prevention Plans, 1910.38 and 1910.39 are not to be cited directly but included as a reference to the specific standard that requires these plans. </w:t>
      </w:r>
      <w:r w:rsidR="003720B1">
        <w:t xml:space="preserve"> </w:t>
      </w:r>
      <w:r w:rsidR="00554CF3" w:rsidRPr="00554CF3">
        <w:t>There was no documentation in these cases noting which OSHA standard required an EAP and/or a FPP be developed</w:t>
      </w:r>
      <w:r w:rsidR="00554CF3">
        <w:t xml:space="preserve"> to support the OTCs</w:t>
      </w:r>
      <w:r w:rsidR="00554CF3" w:rsidRPr="00554CF3">
        <w:t xml:space="preserve">. </w:t>
      </w:r>
    </w:p>
    <w:p w14:paraId="568A6A44" w14:textId="77777777" w:rsidR="00554CF3" w:rsidRDefault="00554CF3" w:rsidP="00B006D6">
      <w:pPr>
        <w:widowControl/>
        <w:tabs>
          <w:tab w:val="left" w:pos="1260"/>
          <w:tab w:val="left" w:pos="1350"/>
        </w:tabs>
        <w:autoSpaceDE/>
        <w:autoSpaceDN/>
        <w:adjustRightInd/>
        <w:ind w:firstLine="900"/>
        <w:contextualSpacing/>
      </w:pPr>
    </w:p>
    <w:p w14:paraId="246AC88C" w14:textId="4BF6F2BE" w:rsidR="00554CF3" w:rsidRPr="00FF27A4" w:rsidRDefault="00554CF3" w:rsidP="00B006D6">
      <w:pPr>
        <w:widowControl/>
        <w:tabs>
          <w:tab w:val="left" w:pos="1260"/>
          <w:tab w:val="left" w:pos="1350"/>
        </w:tabs>
        <w:autoSpaceDE/>
        <w:autoSpaceDN/>
        <w:adjustRightInd/>
        <w:ind w:firstLine="900"/>
        <w:contextualSpacing/>
        <w:rPr>
          <w:b/>
          <w:bCs/>
          <w:u w:val="single"/>
        </w:rPr>
      </w:pPr>
      <w:r w:rsidRPr="00FF27A4">
        <w:rPr>
          <w:b/>
          <w:bCs/>
          <w:u w:val="single"/>
        </w:rPr>
        <w:t>Federal Monitoring Plan FY 2023-OB-06:</w:t>
      </w:r>
    </w:p>
    <w:p w14:paraId="24298AA3" w14:textId="18CA69C1" w:rsidR="00554CF3" w:rsidRPr="00FF27A4" w:rsidRDefault="00554CF3" w:rsidP="00554CF3">
      <w:pPr>
        <w:ind w:left="907"/>
      </w:pPr>
      <w:r w:rsidRPr="00FF27A4">
        <w:t>During the next comprehensive FAME review, a limited number of case files will be selected randomly and reviewed to determine if these are isolated instances or if this represents a trend that requires further evaluation.</w:t>
      </w:r>
    </w:p>
    <w:p w14:paraId="50AC4312" w14:textId="77777777" w:rsidR="00A03632" w:rsidRPr="00FF27A4" w:rsidRDefault="00A03632" w:rsidP="00B006D6">
      <w:pPr>
        <w:widowControl/>
        <w:tabs>
          <w:tab w:val="left" w:pos="1260"/>
          <w:tab w:val="left" w:pos="1350"/>
        </w:tabs>
        <w:autoSpaceDE/>
        <w:autoSpaceDN/>
        <w:adjustRightInd/>
        <w:ind w:firstLine="900"/>
        <w:contextualSpacing/>
      </w:pPr>
    </w:p>
    <w:p w14:paraId="044FDF06" w14:textId="0039D47A" w:rsidR="00554CF3" w:rsidRDefault="006D6175" w:rsidP="00B006D6">
      <w:pPr>
        <w:widowControl/>
        <w:tabs>
          <w:tab w:val="left" w:pos="1260"/>
          <w:tab w:val="left" w:pos="1350"/>
        </w:tabs>
        <w:autoSpaceDE/>
        <w:autoSpaceDN/>
        <w:adjustRightInd/>
        <w:ind w:firstLine="900"/>
        <w:contextualSpacing/>
        <w:rPr>
          <w:u w:val="single"/>
        </w:rPr>
      </w:pPr>
      <w:r w:rsidRPr="00FF27A4">
        <w:rPr>
          <w:u w:val="single"/>
        </w:rPr>
        <w:t>General Duty Clause Violations</w:t>
      </w:r>
    </w:p>
    <w:p w14:paraId="18C0E2DB" w14:textId="77777777" w:rsidR="00FF27A4" w:rsidRDefault="00FF27A4" w:rsidP="00B006D6">
      <w:pPr>
        <w:widowControl/>
        <w:tabs>
          <w:tab w:val="left" w:pos="1260"/>
          <w:tab w:val="left" w:pos="1350"/>
        </w:tabs>
        <w:autoSpaceDE/>
        <w:autoSpaceDN/>
        <w:adjustRightInd/>
        <w:ind w:firstLine="900"/>
        <w:contextualSpacing/>
        <w:rPr>
          <w:u w:val="single"/>
        </w:rPr>
      </w:pPr>
    </w:p>
    <w:p w14:paraId="1CBC7A86" w14:textId="77777777" w:rsidR="00FF27A4" w:rsidRPr="00FF27A4" w:rsidRDefault="00FF27A4" w:rsidP="00B006D6">
      <w:pPr>
        <w:widowControl/>
        <w:tabs>
          <w:tab w:val="left" w:pos="1260"/>
          <w:tab w:val="left" w:pos="1350"/>
        </w:tabs>
        <w:autoSpaceDE/>
        <w:autoSpaceDN/>
        <w:adjustRightInd/>
        <w:ind w:firstLine="900"/>
        <w:contextualSpacing/>
      </w:pPr>
      <w:r w:rsidRPr="00FF27A4">
        <w:t>Section 34:6A-33(a) of the Act requires that “Every employer shall provide each of his</w:t>
      </w:r>
    </w:p>
    <w:p w14:paraId="41B60E0C" w14:textId="77777777" w:rsidR="00FF27A4" w:rsidRPr="00FF27A4" w:rsidRDefault="00FF27A4" w:rsidP="00B006D6">
      <w:pPr>
        <w:widowControl/>
        <w:tabs>
          <w:tab w:val="left" w:pos="1260"/>
          <w:tab w:val="left" w:pos="1350"/>
        </w:tabs>
        <w:autoSpaceDE/>
        <w:autoSpaceDN/>
        <w:adjustRightInd/>
        <w:ind w:firstLine="900"/>
        <w:contextualSpacing/>
      </w:pPr>
      <w:r w:rsidRPr="00FF27A4">
        <w:t xml:space="preserve">employees with employment and a place of employment which are free from recognized </w:t>
      </w:r>
    </w:p>
    <w:p w14:paraId="2F92BA19" w14:textId="78326E15" w:rsidR="00FF27A4" w:rsidRPr="00FF27A4" w:rsidRDefault="00FF27A4" w:rsidP="00B006D6">
      <w:pPr>
        <w:widowControl/>
        <w:tabs>
          <w:tab w:val="left" w:pos="1260"/>
          <w:tab w:val="left" w:pos="1350"/>
        </w:tabs>
        <w:autoSpaceDE/>
        <w:autoSpaceDN/>
        <w:adjustRightInd/>
        <w:ind w:firstLine="900"/>
        <w:contextualSpacing/>
      </w:pPr>
      <w:r w:rsidRPr="00FF27A4">
        <w:t>hazards which may cause serious injury, physical harm or death to his employees”.</w:t>
      </w:r>
    </w:p>
    <w:p w14:paraId="22CF2570" w14:textId="77777777" w:rsidR="00FF27A4" w:rsidRDefault="00FF27A4" w:rsidP="00B006D6">
      <w:pPr>
        <w:widowControl/>
        <w:tabs>
          <w:tab w:val="left" w:pos="1260"/>
          <w:tab w:val="left" w:pos="1350"/>
        </w:tabs>
        <w:autoSpaceDE/>
        <w:autoSpaceDN/>
        <w:adjustRightInd/>
        <w:ind w:firstLine="900"/>
        <w:contextualSpacing/>
        <w:rPr>
          <w:u w:val="single"/>
        </w:rPr>
      </w:pPr>
    </w:p>
    <w:p w14:paraId="0B460DE7" w14:textId="77777777" w:rsidR="00FF27A4" w:rsidRDefault="00FF27A4" w:rsidP="006D6175">
      <w:pPr>
        <w:widowControl/>
        <w:tabs>
          <w:tab w:val="left" w:pos="1260"/>
          <w:tab w:val="left" w:pos="1350"/>
        </w:tabs>
        <w:autoSpaceDE/>
        <w:autoSpaceDN/>
        <w:adjustRightInd/>
        <w:ind w:firstLine="900"/>
        <w:contextualSpacing/>
      </w:pPr>
      <w:r>
        <w:t>The PEOSH FOM states the following elements are necessary to prove a violation of the</w:t>
      </w:r>
    </w:p>
    <w:p w14:paraId="13688AA6" w14:textId="77777777" w:rsidR="00FF27A4" w:rsidRDefault="00FF27A4" w:rsidP="006D6175">
      <w:pPr>
        <w:widowControl/>
        <w:tabs>
          <w:tab w:val="left" w:pos="1260"/>
          <w:tab w:val="left" w:pos="1350"/>
        </w:tabs>
        <w:autoSpaceDE/>
        <w:autoSpaceDN/>
        <w:adjustRightInd/>
        <w:ind w:firstLine="900"/>
        <w:contextualSpacing/>
      </w:pPr>
      <w:r>
        <w:t>general duty clause:</w:t>
      </w:r>
    </w:p>
    <w:p w14:paraId="338B9078" w14:textId="14CA42EA" w:rsidR="006D6175" w:rsidRPr="00FF27A4" w:rsidRDefault="006D6175" w:rsidP="006D6175">
      <w:pPr>
        <w:widowControl/>
        <w:tabs>
          <w:tab w:val="left" w:pos="1260"/>
          <w:tab w:val="left" w:pos="1350"/>
        </w:tabs>
        <w:autoSpaceDE/>
        <w:autoSpaceDN/>
        <w:adjustRightInd/>
        <w:ind w:firstLine="900"/>
        <w:contextualSpacing/>
      </w:pPr>
    </w:p>
    <w:p w14:paraId="790419D0" w14:textId="75838C46" w:rsidR="006D6175" w:rsidRPr="00FF27A4" w:rsidRDefault="006D6175" w:rsidP="00171C6E">
      <w:pPr>
        <w:pStyle w:val="ListParagraph"/>
        <w:numPr>
          <w:ilvl w:val="0"/>
          <w:numId w:val="20"/>
        </w:numPr>
        <w:tabs>
          <w:tab w:val="left" w:pos="1260"/>
          <w:tab w:val="left" w:pos="1350"/>
        </w:tabs>
        <w:rPr>
          <w:rFonts w:ascii="Times New Roman" w:hAnsi="Times New Roman" w:cs="Times New Roman"/>
          <w:sz w:val="24"/>
          <w:szCs w:val="24"/>
        </w:rPr>
      </w:pPr>
      <w:r w:rsidRPr="00FF27A4">
        <w:rPr>
          <w:rFonts w:ascii="Times New Roman" w:hAnsi="Times New Roman" w:cs="Times New Roman"/>
          <w:sz w:val="24"/>
          <w:szCs w:val="24"/>
        </w:rPr>
        <w:t>The employer failed to keep the workplace free of a hazard to which employees of that employer were exposed;</w:t>
      </w:r>
    </w:p>
    <w:p w14:paraId="2D5F4BA2" w14:textId="42AA5296" w:rsidR="006D6175" w:rsidRPr="00FF27A4" w:rsidRDefault="006D6175" w:rsidP="00171C6E">
      <w:pPr>
        <w:pStyle w:val="ListParagraph"/>
        <w:numPr>
          <w:ilvl w:val="0"/>
          <w:numId w:val="20"/>
        </w:numPr>
        <w:tabs>
          <w:tab w:val="left" w:pos="1260"/>
          <w:tab w:val="left" w:pos="1350"/>
        </w:tabs>
        <w:rPr>
          <w:rFonts w:ascii="Times New Roman" w:hAnsi="Times New Roman" w:cs="Times New Roman"/>
          <w:sz w:val="24"/>
          <w:szCs w:val="24"/>
        </w:rPr>
      </w:pPr>
      <w:r w:rsidRPr="00FF27A4">
        <w:rPr>
          <w:rFonts w:ascii="Times New Roman" w:hAnsi="Times New Roman" w:cs="Times New Roman"/>
          <w:sz w:val="24"/>
          <w:szCs w:val="24"/>
        </w:rPr>
        <w:t>The hazard was recognized;</w:t>
      </w:r>
    </w:p>
    <w:p w14:paraId="3BE53E20" w14:textId="790D5BA9" w:rsidR="006D6175" w:rsidRPr="00FF27A4" w:rsidRDefault="006D6175" w:rsidP="00171C6E">
      <w:pPr>
        <w:pStyle w:val="ListParagraph"/>
        <w:numPr>
          <w:ilvl w:val="0"/>
          <w:numId w:val="20"/>
        </w:numPr>
        <w:tabs>
          <w:tab w:val="left" w:pos="1260"/>
          <w:tab w:val="left" w:pos="1350"/>
        </w:tabs>
        <w:rPr>
          <w:rFonts w:ascii="Times New Roman" w:hAnsi="Times New Roman" w:cs="Times New Roman"/>
          <w:sz w:val="24"/>
          <w:szCs w:val="24"/>
        </w:rPr>
      </w:pPr>
      <w:r w:rsidRPr="00FF27A4">
        <w:rPr>
          <w:rFonts w:ascii="Times New Roman" w:hAnsi="Times New Roman" w:cs="Times New Roman"/>
          <w:sz w:val="24"/>
          <w:szCs w:val="24"/>
        </w:rPr>
        <w:t>The hazard was causing or was likely to cause death or serious physical harm; and</w:t>
      </w:r>
    </w:p>
    <w:p w14:paraId="648D14E9" w14:textId="74750041" w:rsidR="006D6175" w:rsidRPr="00FF27A4" w:rsidRDefault="006D6175" w:rsidP="00171C6E">
      <w:pPr>
        <w:pStyle w:val="ListParagraph"/>
        <w:numPr>
          <w:ilvl w:val="0"/>
          <w:numId w:val="20"/>
        </w:numPr>
        <w:tabs>
          <w:tab w:val="left" w:pos="1260"/>
          <w:tab w:val="left" w:pos="1350"/>
        </w:tabs>
        <w:rPr>
          <w:rFonts w:ascii="Times New Roman" w:hAnsi="Times New Roman" w:cs="Times New Roman"/>
          <w:sz w:val="24"/>
          <w:szCs w:val="24"/>
        </w:rPr>
      </w:pPr>
      <w:r w:rsidRPr="00FF27A4">
        <w:rPr>
          <w:rFonts w:ascii="Times New Roman" w:hAnsi="Times New Roman" w:cs="Times New Roman"/>
          <w:sz w:val="24"/>
          <w:szCs w:val="24"/>
        </w:rPr>
        <w:t>There was a feasible and useful method to correct the hazard.</w:t>
      </w:r>
    </w:p>
    <w:p w14:paraId="0A08533A" w14:textId="17711762" w:rsidR="00FF27A4" w:rsidRDefault="00FF27A4" w:rsidP="00B006D6">
      <w:pPr>
        <w:widowControl/>
        <w:tabs>
          <w:tab w:val="left" w:pos="1260"/>
          <w:tab w:val="left" w:pos="1350"/>
        </w:tabs>
        <w:autoSpaceDE/>
        <w:autoSpaceDN/>
        <w:adjustRightInd/>
        <w:ind w:firstLine="900"/>
        <w:contextualSpacing/>
        <w:rPr>
          <w:i/>
          <w:iCs/>
        </w:rPr>
      </w:pPr>
      <w:r>
        <w:rPr>
          <w:b/>
          <w:bCs/>
          <w:u w:val="single"/>
        </w:rPr>
        <w:t xml:space="preserve">Finding FY 2023-05: </w:t>
      </w:r>
      <w:r>
        <w:rPr>
          <w:i/>
          <w:iCs/>
        </w:rPr>
        <w:t xml:space="preserve"> General Duty Clause Violations</w:t>
      </w:r>
    </w:p>
    <w:p w14:paraId="158D89D5" w14:textId="77777777" w:rsidR="005A185C" w:rsidRDefault="001B6F47" w:rsidP="00B006D6">
      <w:pPr>
        <w:widowControl/>
        <w:tabs>
          <w:tab w:val="left" w:pos="1260"/>
          <w:tab w:val="left" w:pos="1350"/>
        </w:tabs>
        <w:autoSpaceDE/>
        <w:autoSpaceDN/>
        <w:adjustRightInd/>
        <w:ind w:firstLine="900"/>
        <w:contextualSpacing/>
      </w:pPr>
      <w:r>
        <w:t xml:space="preserve">Ten of twelve </w:t>
      </w:r>
      <w:r w:rsidR="005A185C">
        <w:t xml:space="preserve">(83%) </w:t>
      </w:r>
      <w:r>
        <w:t>safety files with OTCs did not document all four of the elements required</w:t>
      </w:r>
    </w:p>
    <w:p w14:paraId="6C39794A" w14:textId="687BC238" w:rsidR="00352B39" w:rsidRDefault="005A185C" w:rsidP="00B006D6">
      <w:pPr>
        <w:widowControl/>
        <w:tabs>
          <w:tab w:val="left" w:pos="1260"/>
          <w:tab w:val="left" w:pos="1350"/>
        </w:tabs>
        <w:autoSpaceDE/>
        <w:autoSpaceDN/>
        <w:adjustRightInd/>
        <w:ind w:firstLine="900"/>
        <w:contextualSpacing/>
      </w:pPr>
      <w:r>
        <w:t>t</w:t>
      </w:r>
      <w:r w:rsidR="001B6F47">
        <w:t>o</w:t>
      </w:r>
      <w:r>
        <w:t xml:space="preserve"> </w:t>
      </w:r>
      <w:r w:rsidR="001B6F47">
        <w:t>support a general duty violation.</w:t>
      </w:r>
    </w:p>
    <w:p w14:paraId="068525B6" w14:textId="77777777" w:rsidR="001B6F47" w:rsidRDefault="001B6F47" w:rsidP="00B006D6">
      <w:pPr>
        <w:widowControl/>
        <w:tabs>
          <w:tab w:val="left" w:pos="1260"/>
          <w:tab w:val="left" w:pos="1350"/>
        </w:tabs>
        <w:autoSpaceDE/>
        <w:autoSpaceDN/>
        <w:adjustRightInd/>
        <w:ind w:firstLine="900"/>
        <w:contextualSpacing/>
      </w:pPr>
    </w:p>
    <w:p w14:paraId="6B2435CA" w14:textId="7381E943" w:rsidR="001B6F47" w:rsidRDefault="001B6F47" w:rsidP="00B006D6">
      <w:pPr>
        <w:widowControl/>
        <w:tabs>
          <w:tab w:val="left" w:pos="1260"/>
          <w:tab w:val="left" w:pos="1350"/>
        </w:tabs>
        <w:autoSpaceDE/>
        <w:autoSpaceDN/>
        <w:adjustRightInd/>
        <w:ind w:firstLine="900"/>
        <w:contextualSpacing/>
        <w:rPr>
          <w:b/>
          <w:bCs/>
          <w:u w:val="single"/>
        </w:rPr>
      </w:pPr>
      <w:r>
        <w:rPr>
          <w:b/>
          <w:bCs/>
          <w:u w:val="single"/>
        </w:rPr>
        <w:t>Recommendation FY 2023-05:</w:t>
      </w:r>
    </w:p>
    <w:p w14:paraId="113CEE3B" w14:textId="77777777" w:rsidR="00511564" w:rsidRDefault="001B6F47" w:rsidP="00B006D6">
      <w:pPr>
        <w:widowControl/>
        <w:tabs>
          <w:tab w:val="left" w:pos="1260"/>
          <w:tab w:val="left" w:pos="1350"/>
        </w:tabs>
        <w:autoSpaceDE/>
        <w:autoSpaceDN/>
        <w:adjustRightInd/>
        <w:ind w:firstLine="900"/>
        <w:contextualSpacing/>
      </w:pPr>
      <w:r>
        <w:t xml:space="preserve">PEOSH should ensure that all </w:t>
      </w:r>
      <w:r w:rsidR="00511564">
        <w:t xml:space="preserve">required </w:t>
      </w:r>
      <w:r>
        <w:t xml:space="preserve">elements of </w:t>
      </w:r>
      <w:r w:rsidR="00511564">
        <w:t>a general duty clause violation are</w:t>
      </w:r>
    </w:p>
    <w:p w14:paraId="4C71D6BB" w14:textId="698C01CE" w:rsidR="001B6F47" w:rsidRDefault="00511564" w:rsidP="00B006D6">
      <w:pPr>
        <w:widowControl/>
        <w:tabs>
          <w:tab w:val="left" w:pos="1260"/>
          <w:tab w:val="left" w:pos="1350"/>
        </w:tabs>
        <w:autoSpaceDE/>
        <w:autoSpaceDN/>
        <w:adjustRightInd/>
        <w:ind w:firstLine="900"/>
        <w:contextualSpacing/>
      </w:pPr>
      <w:r>
        <w:t xml:space="preserve">documented on the worksheets. </w:t>
      </w:r>
    </w:p>
    <w:p w14:paraId="77913F80" w14:textId="77777777" w:rsidR="00511564" w:rsidRPr="001B6F47" w:rsidRDefault="00511564" w:rsidP="0067597D">
      <w:pPr>
        <w:widowControl/>
        <w:tabs>
          <w:tab w:val="left" w:pos="1260"/>
          <w:tab w:val="left" w:pos="1350"/>
        </w:tabs>
        <w:autoSpaceDE/>
        <w:autoSpaceDN/>
        <w:adjustRightInd/>
        <w:contextualSpacing/>
      </w:pPr>
    </w:p>
    <w:p w14:paraId="075C3552" w14:textId="2457A456" w:rsidR="00B006D6" w:rsidRDefault="00B006D6" w:rsidP="00AC38D7">
      <w:pPr>
        <w:widowControl/>
        <w:tabs>
          <w:tab w:val="left" w:pos="1260"/>
          <w:tab w:val="left" w:pos="1350"/>
        </w:tabs>
        <w:autoSpaceDE/>
        <w:autoSpaceDN/>
        <w:adjustRightInd/>
        <w:ind w:left="900"/>
        <w:contextualSpacing/>
      </w:pPr>
      <w:bookmarkStart w:id="8" w:name="_Hlk168493187"/>
      <w:r w:rsidRPr="00AC38D7">
        <w:rPr>
          <w:b/>
          <w:bCs/>
          <w:u w:val="single"/>
        </w:rPr>
        <w:t xml:space="preserve">Observation </w:t>
      </w:r>
      <w:r w:rsidR="00AC38D7" w:rsidRPr="00AC38D7">
        <w:rPr>
          <w:b/>
          <w:bCs/>
          <w:u w:val="single"/>
        </w:rPr>
        <w:t>FY 2023-OB-07 (FY 2022-OB-04, FY 2021-OB-06)</w:t>
      </w:r>
      <w:r w:rsidRPr="00AC38D7">
        <w:rPr>
          <w:b/>
          <w:bCs/>
          <w:u w:val="single"/>
        </w:rPr>
        <w:t>:</w:t>
      </w:r>
      <w:r>
        <w:t xml:space="preserve"> </w:t>
      </w:r>
      <w:r w:rsidRPr="00AC38D7">
        <w:rPr>
          <w:i/>
          <w:iCs/>
        </w:rPr>
        <w:t xml:space="preserve">Case File Documentation </w:t>
      </w:r>
      <w:r>
        <w:t xml:space="preserve">In </w:t>
      </w:r>
      <w:r w:rsidR="00AC38D7">
        <w:t xml:space="preserve">18 </w:t>
      </w:r>
      <w:r>
        <w:t xml:space="preserve">of the </w:t>
      </w:r>
      <w:r w:rsidR="00AC38D7">
        <w:t>48</w:t>
      </w:r>
      <w:r>
        <w:t xml:space="preserve"> (</w:t>
      </w:r>
      <w:r w:rsidR="00AC38D7">
        <w:t>38%</w:t>
      </w:r>
      <w:r>
        <w:t>) safety inspection case files reviewed</w:t>
      </w:r>
      <w:r w:rsidR="00886981">
        <w:t>,</w:t>
      </w:r>
      <w:r>
        <w:t xml:space="preserve"> diary sheets were incomplete. </w:t>
      </w:r>
    </w:p>
    <w:p w14:paraId="657B78F2" w14:textId="77777777" w:rsidR="003720B1" w:rsidRDefault="003720B1" w:rsidP="00AE6895">
      <w:pPr>
        <w:widowControl/>
        <w:tabs>
          <w:tab w:val="left" w:pos="1260"/>
          <w:tab w:val="left" w:pos="1350"/>
        </w:tabs>
        <w:autoSpaceDE/>
        <w:autoSpaceDN/>
        <w:adjustRightInd/>
        <w:ind w:firstLine="900"/>
        <w:contextualSpacing/>
        <w:rPr>
          <w:b/>
          <w:bCs/>
          <w:u w:val="single"/>
        </w:rPr>
      </w:pPr>
    </w:p>
    <w:bookmarkEnd w:id="8"/>
    <w:p w14:paraId="12E4C2EA" w14:textId="2847CC75" w:rsidR="00AC38D7" w:rsidRDefault="00AC38D7" w:rsidP="00AE6895">
      <w:pPr>
        <w:widowControl/>
        <w:tabs>
          <w:tab w:val="left" w:pos="1260"/>
          <w:tab w:val="left" w:pos="1350"/>
        </w:tabs>
        <w:autoSpaceDE/>
        <w:autoSpaceDN/>
        <w:adjustRightInd/>
        <w:ind w:firstLine="900"/>
        <w:contextualSpacing/>
      </w:pPr>
      <w:r w:rsidRPr="00AC38D7">
        <w:rPr>
          <w:b/>
          <w:bCs/>
          <w:u w:val="single"/>
        </w:rPr>
        <w:t>Federal Monitoring Plan FY 2023-OB-07:</w:t>
      </w:r>
      <w:r w:rsidRPr="00AC38D7">
        <w:t xml:space="preserve"> </w:t>
      </w:r>
    </w:p>
    <w:p w14:paraId="0BB25257" w14:textId="77777777" w:rsidR="00AC38D7" w:rsidRDefault="00AC38D7" w:rsidP="00AE6895">
      <w:pPr>
        <w:widowControl/>
        <w:tabs>
          <w:tab w:val="left" w:pos="1260"/>
          <w:tab w:val="left" w:pos="1350"/>
        </w:tabs>
        <w:autoSpaceDE/>
        <w:autoSpaceDN/>
        <w:adjustRightInd/>
        <w:ind w:firstLine="900"/>
        <w:contextualSpacing/>
      </w:pPr>
      <w:r w:rsidRPr="00AC38D7">
        <w:t xml:space="preserve">During the next comprehensive FAME review, a limited number of case files will be selected </w:t>
      </w:r>
    </w:p>
    <w:p w14:paraId="4976FD21" w14:textId="77777777" w:rsidR="00AC38D7" w:rsidRDefault="00AC38D7" w:rsidP="00AE6895">
      <w:pPr>
        <w:widowControl/>
        <w:tabs>
          <w:tab w:val="left" w:pos="1260"/>
          <w:tab w:val="left" w:pos="1350"/>
        </w:tabs>
        <w:autoSpaceDE/>
        <w:autoSpaceDN/>
        <w:adjustRightInd/>
        <w:ind w:firstLine="900"/>
        <w:contextualSpacing/>
      </w:pPr>
      <w:r w:rsidRPr="00AC38D7">
        <w:t xml:space="preserve">randomly to determine if these are isolated instances or if this represents a trend that requires </w:t>
      </w:r>
    </w:p>
    <w:p w14:paraId="6FEF1279" w14:textId="530D8A14" w:rsidR="00AC38D7" w:rsidRPr="00AC38D7" w:rsidRDefault="00AC38D7" w:rsidP="00AE6895">
      <w:pPr>
        <w:widowControl/>
        <w:tabs>
          <w:tab w:val="left" w:pos="1260"/>
          <w:tab w:val="left" w:pos="1350"/>
        </w:tabs>
        <w:autoSpaceDE/>
        <w:autoSpaceDN/>
        <w:adjustRightInd/>
        <w:ind w:firstLine="900"/>
        <w:contextualSpacing/>
      </w:pPr>
      <w:r w:rsidRPr="00AC38D7">
        <w:t>further evaluation.</w:t>
      </w:r>
    </w:p>
    <w:p w14:paraId="099894A9" w14:textId="77777777" w:rsidR="00A0249A" w:rsidRPr="008B1863" w:rsidRDefault="00A0249A" w:rsidP="00782EEC">
      <w:pPr>
        <w:tabs>
          <w:tab w:val="left" w:pos="1890"/>
          <w:tab w:val="left" w:pos="2430"/>
        </w:tabs>
        <w:contextualSpacing/>
      </w:pPr>
    </w:p>
    <w:p w14:paraId="7D5772C9" w14:textId="77777777" w:rsidR="00782EEC" w:rsidRDefault="009C6968" w:rsidP="005D5070">
      <w:pPr>
        <w:pStyle w:val="ListParagraph"/>
        <w:numPr>
          <w:ilvl w:val="0"/>
          <w:numId w:val="5"/>
        </w:numPr>
        <w:tabs>
          <w:tab w:val="left" w:pos="1170"/>
          <w:tab w:val="left" w:pos="1350"/>
        </w:tabs>
        <w:ind w:hanging="1260"/>
        <w:rPr>
          <w:rFonts w:ascii="Times New Roman" w:hAnsi="Times New Roman" w:cs="Times New Roman"/>
          <w:sz w:val="24"/>
          <w:szCs w:val="24"/>
        </w:rPr>
      </w:pPr>
      <w:r w:rsidRPr="005D5070">
        <w:rPr>
          <w:rFonts w:ascii="Times New Roman" w:hAnsi="Times New Roman" w:cs="Times New Roman"/>
          <w:sz w:val="24"/>
          <w:szCs w:val="24"/>
        </w:rPr>
        <w:t xml:space="preserve">  </w:t>
      </w:r>
      <w:r w:rsidR="00782EEC" w:rsidRPr="005D5070">
        <w:rPr>
          <w:rFonts w:ascii="Times New Roman" w:hAnsi="Times New Roman" w:cs="Times New Roman"/>
          <w:sz w:val="24"/>
          <w:szCs w:val="24"/>
        </w:rPr>
        <w:t>Abatement</w:t>
      </w:r>
    </w:p>
    <w:p w14:paraId="4A9BA063" w14:textId="760ADDD8" w:rsidR="005A185C" w:rsidRDefault="005A185C" w:rsidP="00347366">
      <w:pPr>
        <w:tabs>
          <w:tab w:val="left" w:pos="1170"/>
          <w:tab w:val="left" w:pos="1350"/>
        </w:tabs>
        <w:ind w:left="907"/>
        <w:rPr>
          <w:i/>
          <w:iCs/>
        </w:rPr>
      </w:pPr>
      <w:r w:rsidRPr="005A185C">
        <w:rPr>
          <w:b/>
          <w:bCs/>
          <w:u w:val="single"/>
        </w:rPr>
        <w:t>Finding FY 2023-06:</w:t>
      </w:r>
      <w:r>
        <w:t xml:space="preserve"> </w:t>
      </w:r>
      <w:r>
        <w:rPr>
          <w:i/>
          <w:iCs/>
        </w:rPr>
        <w:t xml:space="preserve"> Adequate Abatement</w:t>
      </w:r>
    </w:p>
    <w:p w14:paraId="1BAC4B9A" w14:textId="6B6F6B3A" w:rsidR="005A185C" w:rsidRDefault="005A185C" w:rsidP="00347366">
      <w:pPr>
        <w:tabs>
          <w:tab w:val="left" w:pos="1170"/>
          <w:tab w:val="left" w:pos="1350"/>
        </w:tabs>
        <w:ind w:left="907"/>
      </w:pPr>
      <w:r>
        <w:t xml:space="preserve">In 10 of 23 (43%) of closed safety files, evidence of abatement of all the issued OTCs was </w:t>
      </w:r>
    </w:p>
    <w:p w14:paraId="74F4811F" w14:textId="36C9FF62" w:rsidR="005A185C" w:rsidRDefault="005A185C" w:rsidP="00347366">
      <w:pPr>
        <w:tabs>
          <w:tab w:val="left" w:pos="1170"/>
          <w:tab w:val="left" w:pos="1350"/>
        </w:tabs>
        <w:ind w:left="907"/>
      </w:pPr>
      <w:r>
        <w:lastRenderedPageBreak/>
        <w:t>not available for review in the case files.</w:t>
      </w:r>
    </w:p>
    <w:p w14:paraId="45C3F711" w14:textId="77777777" w:rsidR="005A185C" w:rsidRDefault="005A185C" w:rsidP="00347366">
      <w:pPr>
        <w:tabs>
          <w:tab w:val="left" w:pos="1170"/>
          <w:tab w:val="left" w:pos="1350"/>
        </w:tabs>
        <w:ind w:left="907"/>
      </w:pPr>
    </w:p>
    <w:p w14:paraId="7696E166" w14:textId="0FDE1FE9" w:rsidR="005A185C" w:rsidRDefault="005A185C" w:rsidP="00347366">
      <w:pPr>
        <w:tabs>
          <w:tab w:val="left" w:pos="1170"/>
          <w:tab w:val="left" w:pos="1350"/>
        </w:tabs>
        <w:ind w:left="907"/>
        <w:rPr>
          <w:b/>
          <w:bCs/>
          <w:u w:val="single"/>
        </w:rPr>
      </w:pPr>
      <w:r>
        <w:rPr>
          <w:u w:val="single"/>
        </w:rPr>
        <w:t>R</w:t>
      </w:r>
      <w:r w:rsidRPr="005A185C">
        <w:rPr>
          <w:b/>
          <w:bCs/>
          <w:u w:val="single"/>
        </w:rPr>
        <w:t>ecommendation FY 2023-06:</w:t>
      </w:r>
    </w:p>
    <w:p w14:paraId="7BEA78F0" w14:textId="6B9FE3FB" w:rsidR="005A185C" w:rsidRDefault="005A185C" w:rsidP="00347366">
      <w:pPr>
        <w:tabs>
          <w:tab w:val="left" w:pos="1170"/>
          <w:tab w:val="left" w:pos="1350"/>
        </w:tabs>
        <w:ind w:left="907"/>
      </w:pPr>
      <w:r>
        <w:t>PEOSH needs to ensure that all OTCs have adequate documentation of abatement</w:t>
      </w:r>
      <w:r w:rsidR="0054086A">
        <w:t>,</w:t>
      </w:r>
      <w:r>
        <w:t xml:space="preserve"> that </w:t>
      </w:r>
    </w:p>
    <w:p w14:paraId="2CE929DA" w14:textId="4CDBD0F4" w:rsidR="00AD6356" w:rsidRPr="00AD6356" w:rsidRDefault="005A185C" w:rsidP="00347366">
      <w:pPr>
        <w:tabs>
          <w:tab w:val="left" w:pos="1170"/>
          <w:tab w:val="left" w:pos="1350"/>
        </w:tabs>
        <w:ind w:left="907"/>
      </w:pPr>
      <w:r>
        <w:t>the abatement accepted completely addresses the requirements of the standard issued</w:t>
      </w:r>
      <w:r w:rsidR="003720B1">
        <w:t>,</w:t>
      </w:r>
      <w:r w:rsidR="0054086A">
        <w:t xml:space="preserve"> and all instances cited are addressed in the abatement provided by the employer</w:t>
      </w:r>
      <w:r>
        <w:t xml:space="preserve">.   </w:t>
      </w:r>
    </w:p>
    <w:p w14:paraId="3A7AB7BA" w14:textId="77777777" w:rsidR="009C6968" w:rsidRPr="000D34E1" w:rsidRDefault="009C6968" w:rsidP="003C5067">
      <w:pPr>
        <w:pStyle w:val="ListParagraph"/>
        <w:ind w:left="1890"/>
        <w:rPr>
          <w:rFonts w:ascii="Times New Roman" w:hAnsi="Times New Roman" w:cs="Times New Roman"/>
          <w:sz w:val="24"/>
          <w:szCs w:val="24"/>
        </w:rPr>
      </w:pPr>
    </w:p>
    <w:p w14:paraId="10E726B3" w14:textId="77777777" w:rsidR="00782EEC" w:rsidRDefault="00782EEC" w:rsidP="005D5070">
      <w:pPr>
        <w:pStyle w:val="ListParagraph"/>
        <w:numPr>
          <w:ilvl w:val="0"/>
          <w:numId w:val="5"/>
        </w:numPr>
        <w:ind w:left="1260"/>
        <w:rPr>
          <w:rFonts w:ascii="Times New Roman" w:hAnsi="Times New Roman" w:cs="Times New Roman"/>
          <w:sz w:val="24"/>
          <w:szCs w:val="24"/>
        </w:rPr>
      </w:pPr>
      <w:r w:rsidRPr="003C5067">
        <w:rPr>
          <w:rFonts w:ascii="Times New Roman" w:hAnsi="Times New Roman" w:cs="Times New Roman"/>
          <w:sz w:val="24"/>
          <w:szCs w:val="24"/>
        </w:rPr>
        <w:t xml:space="preserve">Worker and Union Involvement </w:t>
      </w:r>
    </w:p>
    <w:p w14:paraId="3F443D81" w14:textId="34DA2C09" w:rsidR="004D4CEA" w:rsidRDefault="00A33BEF" w:rsidP="004D4CEA">
      <w:pPr>
        <w:ind w:left="144"/>
        <w:rPr>
          <w:i/>
          <w:iCs/>
        </w:rPr>
      </w:pPr>
      <w:r>
        <w:t xml:space="preserve">              </w:t>
      </w:r>
      <w:r w:rsidRPr="00A33BEF">
        <w:rPr>
          <w:b/>
          <w:bCs/>
          <w:u w:val="single"/>
        </w:rPr>
        <w:t xml:space="preserve">Finding FY 2023-07 (FY 2022-05, FY 2021-05): </w:t>
      </w:r>
      <w:r>
        <w:rPr>
          <w:i/>
          <w:iCs/>
        </w:rPr>
        <w:t>Worker Involvemen</w:t>
      </w:r>
      <w:r w:rsidR="004D4CEA">
        <w:rPr>
          <w:i/>
          <w:iCs/>
        </w:rPr>
        <w:t>t</w:t>
      </w:r>
    </w:p>
    <w:p w14:paraId="227350BF" w14:textId="64663A1F" w:rsidR="004D4CEA" w:rsidRDefault="00DE17D5" w:rsidP="00B80A3E">
      <w:pPr>
        <w:ind w:left="990"/>
      </w:pPr>
      <w:r>
        <w:t xml:space="preserve">In </w:t>
      </w:r>
      <w:r w:rsidR="00A0249A">
        <w:t>six</w:t>
      </w:r>
      <w:r>
        <w:t xml:space="preserve"> of 12 (</w:t>
      </w:r>
      <w:r w:rsidR="009C5313">
        <w:t>50%</w:t>
      </w:r>
      <w:r>
        <w:t>) of closed health files</w:t>
      </w:r>
      <w:r w:rsidR="004D4CEA">
        <w:t>,</w:t>
      </w:r>
      <w:r>
        <w:t xml:space="preserve"> </w:t>
      </w:r>
      <w:r w:rsidR="00B80A3E">
        <w:t xml:space="preserve">employee </w:t>
      </w:r>
      <w:r>
        <w:t>interviews were not document</w:t>
      </w:r>
      <w:r w:rsidR="00140313">
        <w:t>ed</w:t>
      </w:r>
      <w:r w:rsidR="004D4CEA">
        <w:t xml:space="preserve"> in</w:t>
      </w:r>
      <w:r w:rsidR="00B80A3E">
        <w:t xml:space="preserve"> the field notes.  For both health fatality inspections reviewed there was no evidence in the files that non-managerial employees were interviewed to obtain information about their knowledge of the victim’s death and the general safety and health policies in place at the site. </w:t>
      </w:r>
      <w:r w:rsidR="004D4CEA">
        <w:t xml:space="preserve">In 19 of 36 (53%) of the closed safety files, </w:t>
      </w:r>
      <w:r w:rsidR="00AF41AB">
        <w:t xml:space="preserve">employee </w:t>
      </w:r>
      <w:r w:rsidR="004D4CEA">
        <w:t>interviews were not documented.</w:t>
      </w:r>
    </w:p>
    <w:p w14:paraId="6EBCDC8E" w14:textId="0E798530" w:rsidR="004D4CEA" w:rsidRDefault="004D4CEA" w:rsidP="004D4CEA">
      <w:pPr>
        <w:ind w:left="144"/>
      </w:pPr>
      <w:r>
        <w:t xml:space="preserve">  </w:t>
      </w:r>
    </w:p>
    <w:p w14:paraId="5AC8619D" w14:textId="4365787B" w:rsidR="00A33BEF" w:rsidRPr="004D4CEA" w:rsidRDefault="004D4CEA" w:rsidP="004D4CEA">
      <w:pPr>
        <w:ind w:left="907"/>
        <w:rPr>
          <w:b/>
        </w:rPr>
      </w:pPr>
      <w:r w:rsidRPr="004D4CEA">
        <w:rPr>
          <w:b/>
          <w:bCs/>
          <w:u w:val="single"/>
        </w:rPr>
        <w:t>Recommendation FY 2023</w:t>
      </w:r>
      <w:r w:rsidR="00C63905">
        <w:rPr>
          <w:b/>
          <w:bCs/>
          <w:u w:val="single"/>
        </w:rPr>
        <w:t>-07</w:t>
      </w:r>
      <w:r>
        <w:rPr>
          <w:b/>
          <w:bCs/>
          <w:u w:val="single"/>
        </w:rPr>
        <w:t>:</w:t>
      </w:r>
      <w:r>
        <w:rPr>
          <w:b/>
          <w:bCs/>
        </w:rPr>
        <w:t xml:space="preserve"> </w:t>
      </w:r>
      <w:r w:rsidRPr="004D4CEA">
        <w:t xml:space="preserve">Follow the PEOSH FOM to conduct and document employee interviews during inspections. </w:t>
      </w:r>
      <w:r w:rsidR="00A33BEF" w:rsidRPr="004D4CEA">
        <w:t xml:space="preserve">  </w:t>
      </w:r>
      <w:r w:rsidR="00A33BEF" w:rsidRPr="004D4CEA">
        <w:rPr>
          <w:b/>
        </w:rPr>
        <w:t xml:space="preserve">            </w:t>
      </w:r>
    </w:p>
    <w:p w14:paraId="3CED99F6" w14:textId="77777777" w:rsidR="00FC7044" w:rsidRPr="00FC7044" w:rsidRDefault="00FC7044" w:rsidP="00140313">
      <w:pPr>
        <w:tabs>
          <w:tab w:val="left" w:pos="1890"/>
        </w:tabs>
        <w:ind w:left="907"/>
        <w:rPr>
          <w:b/>
        </w:rPr>
      </w:pPr>
    </w:p>
    <w:p w14:paraId="4FD262E5" w14:textId="76E31683" w:rsidR="00782EEC" w:rsidRDefault="009C6968" w:rsidP="000D34E1">
      <w:pPr>
        <w:tabs>
          <w:tab w:val="left" w:pos="1530"/>
          <w:tab w:val="left" w:pos="1800"/>
        </w:tabs>
        <w:ind w:left="1080" w:hanging="720"/>
        <w:rPr>
          <w:b/>
          <w:smallCaps/>
        </w:rPr>
      </w:pPr>
      <w:r>
        <w:rPr>
          <w:b/>
          <w:smallCaps/>
        </w:rPr>
        <w:t>3</w:t>
      </w:r>
      <w:r w:rsidR="00782EEC" w:rsidRPr="008B1863">
        <w:rPr>
          <w:b/>
          <w:smallCaps/>
        </w:rPr>
        <w:t xml:space="preserve">.    </w:t>
      </w:r>
      <w:r w:rsidR="00C65C60">
        <w:rPr>
          <w:b/>
          <w:smallCaps/>
        </w:rPr>
        <w:t xml:space="preserve">   </w:t>
      </w:r>
      <w:r w:rsidR="007A6A23">
        <w:rPr>
          <w:b/>
          <w:smallCaps/>
        </w:rPr>
        <w:t xml:space="preserve"> </w:t>
      </w:r>
      <w:r w:rsidR="00782EEC" w:rsidRPr="008B1863">
        <w:rPr>
          <w:b/>
          <w:smallCaps/>
        </w:rPr>
        <w:t>REVIEW PROCEDURES</w:t>
      </w:r>
    </w:p>
    <w:p w14:paraId="3A6E5CBA" w14:textId="77777777" w:rsidR="009501DF" w:rsidRDefault="009501DF" w:rsidP="000D34E1">
      <w:pPr>
        <w:tabs>
          <w:tab w:val="left" w:pos="1530"/>
          <w:tab w:val="left" w:pos="1800"/>
        </w:tabs>
        <w:ind w:left="1080" w:hanging="720"/>
        <w:rPr>
          <w:b/>
          <w:smallCaps/>
        </w:rPr>
      </w:pPr>
    </w:p>
    <w:p w14:paraId="484F03C7" w14:textId="1D9B3026" w:rsidR="009501DF" w:rsidRPr="003720B1" w:rsidRDefault="009501DF" w:rsidP="00A03632">
      <w:pPr>
        <w:pStyle w:val="Default"/>
        <w:ind w:left="907"/>
      </w:pPr>
      <w:r w:rsidRPr="003720B1">
        <w:t xml:space="preserve">The Office of Public Employees Occupational Safety and Health (OPEOSH) has concluded that to better serve and to make workplaces safer and healthier, those areas that incur penalties for violations could create safer and healthier environments by using consultation services in their workplaces.  As a </w:t>
      </w:r>
      <w:r w:rsidR="0016478D" w:rsidRPr="003720B1">
        <w:t>result,</w:t>
      </w:r>
      <w:r w:rsidRPr="003720B1">
        <w:t xml:space="preserve"> and to encourage the use of these consultation services, the OPEOSH may at an informal conference offer a reduction of the imposed penalties of up to 75% of the initial amount provided that the offending authority agrees to full consultation services for all facilities within its control.  This agreement would include both the NJDOL and NJDOH consultation units. </w:t>
      </w:r>
    </w:p>
    <w:p w14:paraId="2788BEF5" w14:textId="77777777" w:rsidR="009501DF" w:rsidRPr="003720B1" w:rsidRDefault="009501DF" w:rsidP="00A03632">
      <w:pPr>
        <w:pStyle w:val="Default"/>
        <w:ind w:left="907"/>
      </w:pPr>
    </w:p>
    <w:p w14:paraId="2C9F5006" w14:textId="34CF320F" w:rsidR="009501DF" w:rsidRPr="003720B1" w:rsidRDefault="009501DF" w:rsidP="00A03632">
      <w:pPr>
        <w:pStyle w:val="Default"/>
        <w:ind w:left="907"/>
      </w:pPr>
      <w:r w:rsidRPr="003720B1">
        <w:t xml:space="preserve">Should a penalty reduction agreement be made at the informal conference, the offending authority must provide documentation to OPEOSH confirming that request(s) for consultation were submitted for each facility within its control.  Upon completion of consultation services, the offending authority must provide satisfactory proof to OPEOSH that consultation visits were completed and may do so without disclosing the full consultation report or its findings.  Penalty cases will remain </w:t>
      </w:r>
      <w:r w:rsidR="0016478D" w:rsidRPr="003720B1">
        <w:t>open,</w:t>
      </w:r>
      <w:r w:rsidRPr="003720B1">
        <w:t xml:space="preserve"> and the penalty reduction amount will remain suspended until such documentation is received and approved by OPEOSH.  Due to confidentiality requirements present in 29 CFR 1908, the consultation program will not share any of these details directly with OPEOSH.</w:t>
      </w:r>
      <w:r w:rsidR="00AF41AB">
        <w:t xml:space="preserve"> </w:t>
      </w:r>
      <w:r w:rsidRPr="003720B1">
        <w:t xml:space="preserve"> PEOSH will extend abatement dates if necessary following established PEOSH guidelines. </w:t>
      </w:r>
    </w:p>
    <w:p w14:paraId="3FAD8A3D" w14:textId="77777777" w:rsidR="009501DF" w:rsidRDefault="009501DF" w:rsidP="009501DF">
      <w:pPr>
        <w:pStyle w:val="Default"/>
        <w:ind w:left="720"/>
        <w:rPr>
          <w:sz w:val="23"/>
          <w:szCs w:val="23"/>
        </w:rPr>
      </w:pPr>
    </w:p>
    <w:p w14:paraId="5528C255" w14:textId="77777777" w:rsidR="00782EEC" w:rsidRPr="004B3EA9" w:rsidRDefault="00782EEC" w:rsidP="00171C6E">
      <w:pPr>
        <w:pStyle w:val="ListParagraph"/>
        <w:numPr>
          <w:ilvl w:val="0"/>
          <w:numId w:val="6"/>
        </w:numPr>
        <w:tabs>
          <w:tab w:val="left" w:pos="1170"/>
        </w:tabs>
        <w:ind w:left="1440" w:hanging="630"/>
      </w:pPr>
      <w:r w:rsidRPr="009C6968">
        <w:rPr>
          <w:rFonts w:ascii="Times New Roman" w:hAnsi="Times New Roman" w:cs="Times New Roman"/>
          <w:sz w:val="24"/>
          <w:szCs w:val="24"/>
        </w:rPr>
        <w:t>Informal Conferences</w:t>
      </w:r>
    </w:p>
    <w:p w14:paraId="25981FDC" w14:textId="351CEEFA" w:rsidR="009501DF" w:rsidRPr="008B1863" w:rsidRDefault="004B3EA9" w:rsidP="0067597D">
      <w:pPr>
        <w:widowControl/>
        <w:tabs>
          <w:tab w:val="left" w:pos="1890"/>
        </w:tabs>
        <w:autoSpaceDE/>
        <w:autoSpaceDN/>
        <w:adjustRightInd/>
        <w:ind w:left="907"/>
        <w:contextualSpacing/>
      </w:pPr>
      <w:r w:rsidRPr="004B3EA9">
        <w:t xml:space="preserve">NJ PEOSH conducted one (1) informal conference during FY 2022 </w:t>
      </w:r>
      <w:r>
        <w:t xml:space="preserve">and </w:t>
      </w:r>
      <w:r w:rsidR="009501DF" w:rsidRPr="009501DF">
        <w:t>five informal conferences during FY 2023</w:t>
      </w:r>
      <w:r w:rsidR="009501DF">
        <w:t xml:space="preserve"> (NJ SOAR, FY 2023</w:t>
      </w:r>
      <w:r>
        <w:t xml:space="preserve"> and FY 2022</w:t>
      </w:r>
      <w:r w:rsidR="009501DF">
        <w:t>)</w:t>
      </w:r>
      <w:r w:rsidR="009501DF" w:rsidRPr="009501DF">
        <w:t>.</w:t>
      </w:r>
    </w:p>
    <w:p w14:paraId="72728877" w14:textId="77777777" w:rsidR="00782EEC" w:rsidRPr="009501DF" w:rsidRDefault="00782EEC" w:rsidP="00171C6E">
      <w:pPr>
        <w:pStyle w:val="ListParagraph"/>
        <w:numPr>
          <w:ilvl w:val="0"/>
          <w:numId w:val="6"/>
        </w:numPr>
        <w:tabs>
          <w:tab w:val="left" w:pos="1170"/>
        </w:tabs>
        <w:spacing w:after="0"/>
        <w:ind w:left="1170"/>
      </w:pPr>
      <w:r w:rsidRPr="009C6968">
        <w:rPr>
          <w:rFonts w:ascii="Times New Roman" w:hAnsi="Times New Roman" w:cs="Times New Roman"/>
          <w:sz w:val="24"/>
          <w:szCs w:val="24"/>
        </w:rPr>
        <w:t>Formal Review of Citations</w:t>
      </w:r>
    </w:p>
    <w:p w14:paraId="0734B3EA" w14:textId="77777777" w:rsidR="009501DF" w:rsidRPr="009501DF" w:rsidRDefault="009501DF" w:rsidP="009501DF">
      <w:pPr>
        <w:tabs>
          <w:tab w:val="left" w:pos="1170"/>
        </w:tabs>
        <w:ind w:left="2160"/>
      </w:pPr>
    </w:p>
    <w:p w14:paraId="78860EDB" w14:textId="29A1438F" w:rsidR="004B3EA9" w:rsidRDefault="004B3EA9" w:rsidP="0016478D">
      <w:pPr>
        <w:ind w:left="907"/>
      </w:pPr>
      <w:r>
        <w:t>In FY 2022 there was one penalty Orders to Comply (OTC) issued by PEOSH.</w:t>
      </w:r>
      <w:r w:rsidRPr="009501DF">
        <w:t xml:space="preserve"> </w:t>
      </w:r>
      <w:r>
        <w:t xml:space="preserve"> </w:t>
      </w:r>
      <w:r w:rsidR="009501DF" w:rsidRPr="009501DF">
        <w:t>In FY 2023</w:t>
      </w:r>
      <w:r>
        <w:t>,</w:t>
      </w:r>
      <w:r w:rsidR="009501DF" w:rsidRPr="009501DF">
        <w:t xml:space="preserve"> there were two penalty Orders to Comply (OTC) issued by PEOSH</w:t>
      </w:r>
      <w:r w:rsidR="009501DF">
        <w:t xml:space="preserve"> (NJ SOAR, FY 202</w:t>
      </w:r>
      <w:r>
        <w:t xml:space="preserve">2 and </w:t>
      </w:r>
      <w:r>
        <w:lastRenderedPageBreak/>
        <w:t>2023</w:t>
      </w:r>
      <w:r w:rsidR="009501DF">
        <w:t>)</w:t>
      </w:r>
      <w:r w:rsidR="009501DF" w:rsidRPr="009501DF">
        <w:t>.</w:t>
      </w:r>
      <w:r w:rsidR="009501DF">
        <w:t xml:space="preserve">  </w:t>
      </w:r>
    </w:p>
    <w:p w14:paraId="548E4873" w14:textId="77777777" w:rsidR="004B3EA9" w:rsidRDefault="004B3EA9" w:rsidP="0016478D">
      <w:pPr>
        <w:ind w:left="907"/>
      </w:pPr>
    </w:p>
    <w:p w14:paraId="4656A3F9" w14:textId="0B7CF787" w:rsidR="004B3EA9" w:rsidRDefault="004B3EA9" w:rsidP="0016478D">
      <w:pPr>
        <w:ind w:left="907"/>
      </w:pPr>
      <w:r w:rsidRPr="004B3EA9">
        <w:t>Total monetary penalties collected for FY 2022: $4,000</w:t>
      </w:r>
      <w:r>
        <w:t xml:space="preserve"> (NJ SOAR, FY 2022)</w:t>
      </w:r>
    </w:p>
    <w:p w14:paraId="653122B6" w14:textId="3DAA816E" w:rsidR="00782EEC" w:rsidRDefault="009501DF" w:rsidP="0016478D">
      <w:pPr>
        <w:ind w:left="907"/>
      </w:pPr>
      <w:r w:rsidRPr="009501DF">
        <w:t>Total monetary penalties collected for FY 2023: $182,700</w:t>
      </w:r>
      <w:r>
        <w:t xml:space="preserve"> (NJ SOAR, FY 2023)</w:t>
      </w:r>
    </w:p>
    <w:p w14:paraId="4E0C3AD1" w14:textId="77777777" w:rsidR="00347366" w:rsidRPr="009501DF" w:rsidRDefault="00347366" w:rsidP="0016478D">
      <w:pPr>
        <w:ind w:left="907"/>
      </w:pPr>
    </w:p>
    <w:p w14:paraId="290D9A2D" w14:textId="0BDB4B44" w:rsidR="00782EEC" w:rsidRDefault="009C6968" w:rsidP="000D34E1">
      <w:pPr>
        <w:ind w:left="810" w:hanging="450"/>
        <w:rPr>
          <w:b/>
          <w:caps/>
        </w:rPr>
      </w:pPr>
      <w:r>
        <w:rPr>
          <w:b/>
          <w:smallCaps/>
        </w:rPr>
        <w:t>4</w:t>
      </w:r>
      <w:r w:rsidR="00782EEC" w:rsidRPr="008B1863">
        <w:rPr>
          <w:b/>
          <w:smallCaps/>
        </w:rPr>
        <w:t xml:space="preserve">. </w:t>
      </w:r>
      <w:r w:rsidR="00782EEC">
        <w:rPr>
          <w:b/>
          <w:smallCaps/>
        </w:rPr>
        <w:t xml:space="preserve"> </w:t>
      </w:r>
      <w:r w:rsidR="009A23E7">
        <w:rPr>
          <w:b/>
          <w:smallCaps/>
        </w:rPr>
        <w:t xml:space="preserve">  </w:t>
      </w:r>
      <w:r w:rsidR="007A6A23">
        <w:rPr>
          <w:b/>
          <w:smallCaps/>
        </w:rPr>
        <w:t xml:space="preserve">    </w:t>
      </w:r>
      <w:r w:rsidR="00782EEC" w:rsidRPr="008B1863">
        <w:rPr>
          <w:b/>
          <w:caps/>
        </w:rPr>
        <w:t>Stand</w:t>
      </w:r>
      <w:r w:rsidR="009A23E7">
        <w:rPr>
          <w:b/>
          <w:caps/>
        </w:rPr>
        <w:t>ards and Federal Program Change</w:t>
      </w:r>
      <w:r w:rsidR="00782EEC" w:rsidRPr="008B1863">
        <w:rPr>
          <w:b/>
          <w:caps/>
        </w:rPr>
        <w:t xml:space="preserve"> (</w:t>
      </w:r>
      <w:r w:rsidR="009A23E7">
        <w:rPr>
          <w:b/>
        </w:rPr>
        <w:t>FPC</w:t>
      </w:r>
      <w:r w:rsidR="009A23E7">
        <w:rPr>
          <w:b/>
          <w:caps/>
        </w:rPr>
        <w:t xml:space="preserve">) </w:t>
      </w:r>
      <w:r w:rsidR="00782EEC" w:rsidRPr="008B1863">
        <w:rPr>
          <w:b/>
          <w:caps/>
        </w:rPr>
        <w:t>Adoption</w:t>
      </w:r>
    </w:p>
    <w:p w14:paraId="656F012B" w14:textId="6E8CBFD6" w:rsidR="00E03166" w:rsidRPr="008B1863" w:rsidRDefault="00E03166" w:rsidP="000D34E1">
      <w:pPr>
        <w:ind w:left="810" w:hanging="450"/>
        <w:rPr>
          <w:b/>
          <w:caps/>
        </w:rPr>
      </w:pPr>
      <w:r>
        <w:rPr>
          <w:b/>
          <w:caps/>
        </w:rPr>
        <w:t xml:space="preserve"> </w:t>
      </w:r>
    </w:p>
    <w:p w14:paraId="3D594548" w14:textId="679D800F" w:rsidR="00E03166" w:rsidRDefault="00E03166" w:rsidP="00A03632">
      <w:pPr>
        <w:pStyle w:val="Default"/>
        <w:ind w:left="907"/>
        <w:rPr>
          <w:color w:val="auto"/>
        </w:rPr>
      </w:pPr>
      <w:r w:rsidRPr="003720B1">
        <w:t xml:space="preserve">In accordance with 29 CFR 1902, State Plans are required to adopt standards and Federal Program Changes (FPCs) within a six-month timeframe.  State Plans that do not adopt identical standards and procedures must establish guidelines which are </w:t>
      </w:r>
      <w:r w:rsidR="00AF41AB">
        <w:t xml:space="preserve">ALAE as </w:t>
      </w:r>
      <w:r w:rsidRPr="003720B1">
        <w:t xml:space="preserve">the federal rules.  State Plans also have the option to promulgate standards </w:t>
      </w:r>
      <w:r w:rsidRPr="003720B1">
        <w:rPr>
          <w:color w:val="auto"/>
        </w:rPr>
        <w:t xml:space="preserve">covering hazards not addressed by federal standards. </w:t>
      </w:r>
      <w:r w:rsidR="00EE0C20">
        <w:rPr>
          <w:color w:val="auto"/>
        </w:rPr>
        <w:t xml:space="preserve"> </w:t>
      </w:r>
      <w:r w:rsidRPr="003720B1">
        <w:rPr>
          <w:color w:val="auto"/>
        </w:rPr>
        <w:t xml:space="preserve">During this period, PEOSH responded in a timely manner with the required notice of intent to adopt. </w:t>
      </w:r>
    </w:p>
    <w:p w14:paraId="215CE4B9" w14:textId="77777777" w:rsidR="003720B1" w:rsidRPr="003720B1" w:rsidRDefault="003720B1" w:rsidP="00A03632">
      <w:pPr>
        <w:pStyle w:val="Default"/>
        <w:ind w:left="907"/>
        <w:rPr>
          <w:color w:val="auto"/>
        </w:rPr>
      </w:pPr>
    </w:p>
    <w:p w14:paraId="35415A04" w14:textId="77777777" w:rsidR="00E03166" w:rsidRDefault="00E03166" w:rsidP="00A03632">
      <w:pPr>
        <w:pStyle w:val="Default"/>
        <w:ind w:left="907"/>
        <w:rPr>
          <w:sz w:val="23"/>
          <w:szCs w:val="23"/>
        </w:rPr>
      </w:pPr>
      <w:r>
        <w:rPr>
          <w:sz w:val="23"/>
          <w:szCs w:val="23"/>
        </w:rPr>
        <w:t xml:space="preserve">The tables below provide a complete list of the federal directives and standards which required action during this performance period: </w:t>
      </w:r>
    </w:p>
    <w:p w14:paraId="0C3F3FD2" w14:textId="77777777" w:rsidR="007A6A23" w:rsidRDefault="007A6A23" w:rsidP="00A03632">
      <w:pPr>
        <w:pStyle w:val="Default"/>
        <w:ind w:left="907"/>
        <w:rPr>
          <w:sz w:val="23"/>
          <w:szCs w:val="23"/>
        </w:rPr>
      </w:pPr>
    </w:p>
    <w:p w14:paraId="43FA360C" w14:textId="1D7EB1F3" w:rsidR="00680315" w:rsidRPr="00BE0798" w:rsidRDefault="005B0650" w:rsidP="00680315">
      <w:pPr>
        <w:jc w:val="center"/>
        <w:rPr>
          <w:b/>
        </w:rPr>
      </w:pPr>
      <w:r>
        <w:rPr>
          <w:b/>
          <w:bCs/>
        </w:rPr>
        <w:t>Table A</w:t>
      </w:r>
    </w:p>
    <w:p w14:paraId="70F854AE" w14:textId="22BB9ED0" w:rsidR="00680315" w:rsidRDefault="00680315" w:rsidP="00680315">
      <w:pPr>
        <w:tabs>
          <w:tab w:val="left" w:pos="8367"/>
        </w:tabs>
        <w:jc w:val="center"/>
        <w:rPr>
          <w:b/>
          <w:bCs/>
        </w:rPr>
      </w:pPr>
      <w:r w:rsidRPr="00BE0798">
        <w:rPr>
          <w:b/>
          <w:bCs/>
        </w:rPr>
        <w:t>Status</w:t>
      </w:r>
      <w:r>
        <w:rPr>
          <w:b/>
          <w:bCs/>
        </w:rPr>
        <w:t xml:space="preserve"> of </w:t>
      </w:r>
      <w:r w:rsidR="00A43820">
        <w:rPr>
          <w:b/>
          <w:bCs/>
        </w:rPr>
        <w:t xml:space="preserve">FY 2022 and </w:t>
      </w:r>
      <w:r>
        <w:rPr>
          <w:b/>
          <w:bCs/>
        </w:rPr>
        <w:t>FY</w:t>
      </w:r>
      <w:r w:rsidRPr="00BE0798">
        <w:rPr>
          <w:b/>
          <w:bCs/>
        </w:rPr>
        <w:t xml:space="preserve"> </w:t>
      </w:r>
      <w:r w:rsidR="00694616">
        <w:rPr>
          <w:b/>
          <w:bCs/>
        </w:rPr>
        <w:t>20</w:t>
      </w:r>
      <w:r w:rsidR="00A43820">
        <w:rPr>
          <w:b/>
          <w:bCs/>
        </w:rPr>
        <w:t>23</w:t>
      </w:r>
      <w:r>
        <w:rPr>
          <w:b/>
          <w:bCs/>
        </w:rPr>
        <w:t xml:space="preserve"> Federal Standards Adoption</w:t>
      </w:r>
    </w:p>
    <w:p w14:paraId="01D58DC0" w14:textId="77777777" w:rsidR="00680315" w:rsidRPr="001E11C6" w:rsidRDefault="00680315" w:rsidP="00680315">
      <w:pPr>
        <w:tabs>
          <w:tab w:val="left" w:pos="8367"/>
        </w:tabs>
        <w:jc w:val="center"/>
        <w:rPr>
          <w:b/>
          <w:bCs/>
          <w:i/>
        </w:rPr>
      </w:pPr>
      <w:r w:rsidRPr="001E11C6">
        <w:rPr>
          <w:b/>
          <w:bCs/>
          <w:i/>
        </w:rPr>
        <w:t>(May include any delinquent standards from earlier fiscal years)</w:t>
      </w:r>
    </w:p>
    <w:p w14:paraId="78358BD3" w14:textId="3EF5E93A" w:rsidR="00680315" w:rsidRPr="00BE0798" w:rsidRDefault="00680315" w:rsidP="005D1101">
      <w:pPr>
        <w:tabs>
          <w:tab w:val="left" w:pos="8367"/>
        </w:tabs>
        <w:rPr>
          <w:b/>
          <w:bCs/>
        </w:rPr>
      </w:pPr>
    </w:p>
    <w:tbl>
      <w:tblPr>
        <w:tblStyle w:val="TableGrid"/>
        <w:tblW w:w="10255" w:type="dxa"/>
        <w:tblLook w:val="05A0" w:firstRow="1" w:lastRow="0" w:firstColumn="1" w:lastColumn="1" w:noHBand="0" w:noVBand="1"/>
        <w:tblCaption w:val="Status of FY 2021 Federal Standards Adoption"/>
        <w:tblDescription w:val="Table A"/>
      </w:tblPr>
      <w:tblGrid>
        <w:gridCol w:w="3128"/>
        <w:gridCol w:w="1219"/>
        <w:gridCol w:w="1219"/>
        <w:gridCol w:w="904"/>
        <w:gridCol w:w="1164"/>
        <w:gridCol w:w="1304"/>
        <w:gridCol w:w="1317"/>
      </w:tblGrid>
      <w:tr w:rsidR="00156BBB" w:rsidRPr="00156BBB" w14:paraId="5F83D96B" w14:textId="77777777" w:rsidTr="005D1101">
        <w:trPr>
          <w:tblHeader/>
        </w:trPr>
        <w:tc>
          <w:tcPr>
            <w:tcW w:w="3544" w:type="dxa"/>
            <w:shd w:val="clear" w:color="auto" w:fill="1F497D" w:themeFill="text2"/>
            <w:hideMark/>
          </w:tcPr>
          <w:p w14:paraId="39421A42" w14:textId="2608B99E" w:rsidR="00680315" w:rsidRPr="00156BBB" w:rsidRDefault="00651B09" w:rsidP="00651B09">
            <w:pPr>
              <w:tabs>
                <w:tab w:val="left" w:pos="970"/>
                <w:tab w:val="center" w:pos="1456"/>
                <w:tab w:val="center" w:pos="1778"/>
                <w:tab w:val="left" w:pos="2691"/>
              </w:tabs>
              <w:rPr>
                <w:rFonts w:eastAsia="Calibri"/>
                <w:b/>
                <w:color w:val="FFFFFF" w:themeColor="background1"/>
                <w:sz w:val="22"/>
                <w:szCs w:val="22"/>
              </w:rPr>
            </w:pPr>
            <w:r>
              <w:rPr>
                <w:rFonts w:eastAsia="Calibri"/>
                <w:b/>
                <w:bCs/>
                <w:color w:val="FFFFFF" w:themeColor="background1"/>
                <w:sz w:val="22"/>
                <w:szCs w:val="22"/>
              </w:rPr>
              <w:tab/>
            </w:r>
            <w:r>
              <w:rPr>
                <w:rFonts w:eastAsia="Calibri"/>
                <w:b/>
                <w:bCs/>
                <w:color w:val="FFFFFF" w:themeColor="background1"/>
                <w:sz w:val="22"/>
                <w:szCs w:val="22"/>
              </w:rPr>
              <w:tab/>
            </w:r>
            <w:r w:rsidR="00680315" w:rsidRPr="00156BBB">
              <w:rPr>
                <w:rFonts w:eastAsia="Calibri"/>
                <w:b/>
                <w:bCs/>
                <w:color w:val="FFFFFF" w:themeColor="background1"/>
                <w:sz w:val="22"/>
                <w:szCs w:val="22"/>
              </w:rPr>
              <w:t>Standard</w:t>
            </w:r>
          </w:p>
        </w:tc>
        <w:tc>
          <w:tcPr>
            <w:tcW w:w="1190" w:type="dxa"/>
            <w:shd w:val="clear" w:color="auto" w:fill="1F497D" w:themeFill="text2"/>
          </w:tcPr>
          <w:p w14:paraId="37F63284" w14:textId="77777777" w:rsidR="00680315" w:rsidRPr="00156BBB" w:rsidRDefault="00680315" w:rsidP="00770948">
            <w:pPr>
              <w:jc w:val="center"/>
              <w:rPr>
                <w:rFonts w:eastAsia="Calibri"/>
                <w:b/>
                <w:bCs/>
                <w:color w:val="FFFFFF" w:themeColor="background1"/>
                <w:sz w:val="22"/>
                <w:szCs w:val="22"/>
              </w:rPr>
            </w:pPr>
            <w:r w:rsidRPr="00156BBB">
              <w:rPr>
                <w:rFonts w:eastAsia="Calibri"/>
                <w:b/>
                <w:bCs/>
                <w:color w:val="FFFFFF" w:themeColor="background1"/>
                <w:sz w:val="22"/>
                <w:szCs w:val="22"/>
              </w:rPr>
              <w:t>Response Due Date</w:t>
            </w:r>
          </w:p>
        </w:tc>
        <w:tc>
          <w:tcPr>
            <w:tcW w:w="1177" w:type="dxa"/>
            <w:shd w:val="clear" w:color="auto" w:fill="1F497D" w:themeFill="text2"/>
            <w:hideMark/>
          </w:tcPr>
          <w:p w14:paraId="7AFCB1F0" w14:textId="77777777" w:rsidR="00680315" w:rsidRPr="00156BBB" w:rsidRDefault="00680315" w:rsidP="00770948">
            <w:pPr>
              <w:jc w:val="center"/>
              <w:rPr>
                <w:rFonts w:eastAsia="Calibri"/>
                <w:b/>
                <w:color w:val="FFFFFF" w:themeColor="background1"/>
                <w:sz w:val="22"/>
                <w:szCs w:val="22"/>
              </w:rPr>
            </w:pPr>
            <w:r w:rsidRPr="00156BBB">
              <w:rPr>
                <w:rFonts w:eastAsia="Calibri"/>
                <w:b/>
                <w:bCs/>
                <w:color w:val="FFFFFF" w:themeColor="background1"/>
                <w:sz w:val="22"/>
                <w:szCs w:val="22"/>
              </w:rPr>
              <w:t>State Plan Response Date</w:t>
            </w:r>
          </w:p>
        </w:tc>
        <w:tc>
          <w:tcPr>
            <w:tcW w:w="937" w:type="dxa"/>
            <w:shd w:val="clear" w:color="auto" w:fill="1F497D" w:themeFill="text2"/>
            <w:hideMark/>
          </w:tcPr>
          <w:p w14:paraId="4B434909" w14:textId="77777777" w:rsidR="00680315" w:rsidRPr="00156BBB" w:rsidRDefault="00680315" w:rsidP="00770948">
            <w:pPr>
              <w:jc w:val="center"/>
              <w:rPr>
                <w:rFonts w:eastAsia="Calibri"/>
                <w:b/>
                <w:color w:val="FFFFFF" w:themeColor="background1"/>
                <w:sz w:val="22"/>
                <w:szCs w:val="22"/>
              </w:rPr>
            </w:pPr>
            <w:r w:rsidRPr="00156BBB">
              <w:rPr>
                <w:rFonts w:eastAsia="Calibri"/>
                <w:b/>
                <w:bCs/>
                <w:color w:val="FFFFFF" w:themeColor="background1"/>
                <w:sz w:val="22"/>
                <w:szCs w:val="22"/>
              </w:rPr>
              <w:t>Intent to Adopt</w:t>
            </w:r>
          </w:p>
        </w:tc>
        <w:tc>
          <w:tcPr>
            <w:tcW w:w="1203" w:type="dxa"/>
            <w:shd w:val="clear" w:color="auto" w:fill="1F497D" w:themeFill="text2"/>
            <w:hideMark/>
          </w:tcPr>
          <w:p w14:paraId="6F55BA0E" w14:textId="77777777" w:rsidR="00680315" w:rsidRPr="00156BBB" w:rsidRDefault="00680315" w:rsidP="00770948">
            <w:pPr>
              <w:jc w:val="center"/>
              <w:rPr>
                <w:rFonts w:eastAsia="Calibri"/>
                <w:b/>
                <w:color w:val="FFFFFF" w:themeColor="background1"/>
                <w:sz w:val="22"/>
                <w:szCs w:val="22"/>
              </w:rPr>
            </w:pPr>
            <w:r w:rsidRPr="00156BBB">
              <w:rPr>
                <w:rFonts w:eastAsia="Calibri"/>
                <w:b/>
                <w:bCs/>
                <w:color w:val="FFFFFF" w:themeColor="background1"/>
                <w:sz w:val="22"/>
                <w:szCs w:val="22"/>
              </w:rPr>
              <w:t>Adopt Identical</w:t>
            </w:r>
          </w:p>
        </w:tc>
        <w:tc>
          <w:tcPr>
            <w:tcW w:w="1369" w:type="dxa"/>
            <w:shd w:val="clear" w:color="auto" w:fill="1F497D" w:themeFill="text2"/>
            <w:hideMark/>
          </w:tcPr>
          <w:p w14:paraId="46CF987B" w14:textId="77777777" w:rsidR="00680315" w:rsidRPr="00156BBB" w:rsidRDefault="00680315" w:rsidP="00770948">
            <w:pPr>
              <w:jc w:val="center"/>
              <w:rPr>
                <w:rFonts w:eastAsia="Calibri"/>
                <w:b/>
                <w:color w:val="FFFFFF" w:themeColor="background1"/>
                <w:sz w:val="22"/>
                <w:szCs w:val="22"/>
              </w:rPr>
            </w:pPr>
            <w:r w:rsidRPr="00156BBB">
              <w:rPr>
                <w:rFonts w:eastAsia="Calibri"/>
                <w:b/>
                <w:bCs/>
                <w:color w:val="FFFFFF" w:themeColor="background1"/>
                <w:sz w:val="22"/>
                <w:szCs w:val="22"/>
              </w:rPr>
              <w:t>Adoption Due Date</w:t>
            </w:r>
          </w:p>
        </w:tc>
        <w:tc>
          <w:tcPr>
            <w:tcW w:w="835" w:type="dxa"/>
            <w:shd w:val="clear" w:color="auto" w:fill="1F497D" w:themeFill="text2"/>
            <w:hideMark/>
          </w:tcPr>
          <w:p w14:paraId="25198804" w14:textId="77777777" w:rsidR="00680315" w:rsidRPr="00156BBB" w:rsidRDefault="00680315" w:rsidP="005D1101">
            <w:pPr>
              <w:ind w:right="220"/>
              <w:jc w:val="center"/>
              <w:rPr>
                <w:rFonts w:eastAsia="Calibri"/>
                <w:b/>
                <w:color w:val="FFFFFF" w:themeColor="background1"/>
                <w:sz w:val="22"/>
                <w:szCs w:val="22"/>
              </w:rPr>
            </w:pPr>
            <w:r w:rsidRPr="00156BBB">
              <w:rPr>
                <w:rFonts w:eastAsia="Calibri"/>
                <w:b/>
                <w:bCs/>
                <w:color w:val="FFFFFF" w:themeColor="background1"/>
                <w:sz w:val="22"/>
                <w:szCs w:val="22"/>
              </w:rPr>
              <w:t>State Plan Adoption Date</w:t>
            </w:r>
          </w:p>
        </w:tc>
      </w:tr>
      <w:tr w:rsidR="00680315" w:rsidRPr="00680315" w14:paraId="2B797C9A" w14:textId="77777777" w:rsidTr="005D1101">
        <w:tc>
          <w:tcPr>
            <w:tcW w:w="3544" w:type="dxa"/>
            <w:hideMark/>
          </w:tcPr>
          <w:p w14:paraId="0088B33F" w14:textId="77777777" w:rsidR="00A43820" w:rsidRPr="00A43820" w:rsidRDefault="00A43820" w:rsidP="00A43820">
            <w:pPr>
              <w:rPr>
                <w:sz w:val="22"/>
                <w:szCs w:val="22"/>
              </w:rPr>
            </w:pPr>
            <w:r w:rsidRPr="00A43820">
              <w:rPr>
                <w:sz w:val="22"/>
                <w:szCs w:val="22"/>
              </w:rPr>
              <w:t>COVID-19 Vaccination and Testing; Emergency Temporary Standard</w:t>
            </w:r>
          </w:p>
          <w:p w14:paraId="175137BA" w14:textId="77777777" w:rsidR="00A43820" w:rsidRPr="00A43820" w:rsidRDefault="00A43820" w:rsidP="00A43820">
            <w:pPr>
              <w:rPr>
                <w:sz w:val="22"/>
                <w:szCs w:val="22"/>
              </w:rPr>
            </w:pPr>
            <w:r w:rsidRPr="00A43820">
              <w:rPr>
                <w:sz w:val="22"/>
                <w:szCs w:val="22"/>
              </w:rPr>
              <w:t>29 CFR 1910, 15, 17, 18, 26, 28</w:t>
            </w:r>
          </w:p>
          <w:p w14:paraId="277046FF" w14:textId="21D3AB1F" w:rsidR="00680315" w:rsidRPr="00680315" w:rsidRDefault="00A43820" w:rsidP="00A43820">
            <w:pPr>
              <w:rPr>
                <w:sz w:val="22"/>
                <w:szCs w:val="22"/>
              </w:rPr>
            </w:pPr>
            <w:r w:rsidRPr="00A43820">
              <w:rPr>
                <w:sz w:val="22"/>
                <w:szCs w:val="22"/>
              </w:rPr>
              <w:t>(11/5/2021)</w:t>
            </w:r>
          </w:p>
        </w:tc>
        <w:tc>
          <w:tcPr>
            <w:tcW w:w="1190" w:type="dxa"/>
          </w:tcPr>
          <w:p w14:paraId="19607BC8" w14:textId="286720D5" w:rsidR="00680315" w:rsidRPr="00A43820" w:rsidRDefault="00A43820" w:rsidP="00770948">
            <w:pPr>
              <w:rPr>
                <w:rFonts w:eastAsia="Calibri"/>
                <w:sz w:val="22"/>
                <w:szCs w:val="22"/>
              </w:rPr>
            </w:pPr>
            <w:r>
              <w:rPr>
                <w:rFonts w:eastAsia="Calibri"/>
                <w:sz w:val="22"/>
                <w:szCs w:val="22"/>
              </w:rPr>
              <w:t>11/20/2021</w:t>
            </w:r>
          </w:p>
        </w:tc>
        <w:tc>
          <w:tcPr>
            <w:tcW w:w="1177" w:type="dxa"/>
          </w:tcPr>
          <w:p w14:paraId="257964A6" w14:textId="44140768" w:rsidR="00680315" w:rsidRPr="00EC7093" w:rsidRDefault="00EC7093" w:rsidP="00770948">
            <w:pPr>
              <w:rPr>
                <w:rFonts w:eastAsia="Calibri"/>
                <w:sz w:val="22"/>
                <w:szCs w:val="22"/>
              </w:rPr>
            </w:pPr>
            <w:r>
              <w:rPr>
                <w:rFonts w:eastAsia="Calibri"/>
                <w:sz w:val="22"/>
                <w:szCs w:val="22"/>
              </w:rPr>
              <w:t>3/31/2022</w:t>
            </w:r>
          </w:p>
        </w:tc>
        <w:tc>
          <w:tcPr>
            <w:tcW w:w="937" w:type="dxa"/>
          </w:tcPr>
          <w:p w14:paraId="3D170899" w14:textId="4E910882" w:rsidR="00680315" w:rsidRPr="00680315" w:rsidRDefault="00EE0C20" w:rsidP="00770948">
            <w:pPr>
              <w:rPr>
                <w:rFonts w:eastAsia="Calibri"/>
                <w:sz w:val="22"/>
                <w:szCs w:val="22"/>
              </w:rPr>
            </w:pPr>
            <w:r>
              <w:rPr>
                <w:rFonts w:eastAsia="Calibri"/>
                <w:sz w:val="22"/>
                <w:szCs w:val="22"/>
              </w:rPr>
              <w:t>N/A</w:t>
            </w:r>
          </w:p>
        </w:tc>
        <w:tc>
          <w:tcPr>
            <w:tcW w:w="1203" w:type="dxa"/>
          </w:tcPr>
          <w:p w14:paraId="37B1BCAF" w14:textId="71C8A527" w:rsidR="00680315" w:rsidRPr="00680315" w:rsidRDefault="00680315" w:rsidP="00770948">
            <w:pPr>
              <w:rPr>
                <w:rFonts w:eastAsia="Calibri"/>
                <w:sz w:val="22"/>
                <w:szCs w:val="22"/>
              </w:rPr>
            </w:pPr>
          </w:p>
        </w:tc>
        <w:tc>
          <w:tcPr>
            <w:tcW w:w="1369" w:type="dxa"/>
            <w:hideMark/>
          </w:tcPr>
          <w:p w14:paraId="38A05D04" w14:textId="2D9E8757" w:rsidR="00680315" w:rsidRPr="00680315" w:rsidRDefault="00A43820" w:rsidP="00770948">
            <w:pPr>
              <w:rPr>
                <w:sz w:val="22"/>
                <w:szCs w:val="22"/>
              </w:rPr>
            </w:pPr>
            <w:r>
              <w:rPr>
                <w:sz w:val="22"/>
                <w:szCs w:val="22"/>
              </w:rPr>
              <w:t>12/5/2021</w:t>
            </w:r>
          </w:p>
        </w:tc>
        <w:tc>
          <w:tcPr>
            <w:tcW w:w="835" w:type="dxa"/>
          </w:tcPr>
          <w:p w14:paraId="7B1D3B51" w14:textId="77777777" w:rsidR="00680315" w:rsidRPr="00680315" w:rsidRDefault="00680315" w:rsidP="00770948">
            <w:pPr>
              <w:rPr>
                <w:rFonts w:eastAsia="Calibri"/>
                <w:sz w:val="22"/>
                <w:szCs w:val="22"/>
              </w:rPr>
            </w:pPr>
          </w:p>
        </w:tc>
      </w:tr>
      <w:tr w:rsidR="00680315" w:rsidRPr="00680315" w14:paraId="5D2AD68A" w14:textId="77777777" w:rsidTr="005D1101">
        <w:tc>
          <w:tcPr>
            <w:tcW w:w="3544" w:type="dxa"/>
            <w:hideMark/>
          </w:tcPr>
          <w:p w14:paraId="3E5BEFFB" w14:textId="77777777" w:rsidR="00A43820" w:rsidRPr="00A43820" w:rsidRDefault="00A43820" w:rsidP="00A43820">
            <w:pPr>
              <w:rPr>
                <w:sz w:val="22"/>
                <w:szCs w:val="22"/>
              </w:rPr>
            </w:pPr>
            <w:r w:rsidRPr="00A43820">
              <w:rPr>
                <w:sz w:val="22"/>
                <w:szCs w:val="22"/>
              </w:rPr>
              <w:t>Updated COVID-19 Vaccination and Testing; Emergency Temporary Standard</w:t>
            </w:r>
          </w:p>
          <w:p w14:paraId="68124BD2" w14:textId="77777777" w:rsidR="00A43820" w:rsidRPr="00A43820" w:rsidRDefault="00A43820" w:rsidP="00A43820">
            <w:pPr>
              <w:rPr>
                <w:sz w:val="22"/>
                <w:szCs w:val="22"/>
              </w:rPr>
            </w:pPr>
            <w:r w:rsidRPr="00A43820">
              <w:rPr>
                <w:sz w:val="22"/>
                <w:szCs w:val="22"/>
              </w:rPr>
              <w:t>29 CFR 1910</w:t>
            </w:r>
          </w:p>
          <w:p w14:paraId="29B01F65" w14:textId="77777777" w:rsidR="00680315" w:rsidRDefault="00A43820" w:rsidP="00A43820">
            <w:pPr>
              <w:rPr>
                <w:sz w:val="22"/>
                <w:szCs w:val="22"/>
              </w:rPr>
            </w:pPr>
            <w:r w:rsidRPr="00A43820">
              <w:rPr>
                <w:sz w:val="22"/>
                <w:szCs w:val="22"/>
              </w:rPr>
              <w:t>(11/5/2021)</w:t>
            </w:r>
          </w:p>
          <w:p w14:paraId="7FE18E31" w14:textId="77777777" w:rsidR="007A6A23" w:rsidRDefault="007A6A23" w:rsidP="00A43820">
            <w:pPr>
              <w:rPr>
                <w:sz w:val="22"/>
                <w:szCs w:val="22"/>
              </w:rPr>
            </w:pPr>
          </w:p>
          <w:p w14:paraId="35702F06" w14:textId="20F396C0" w:rsidR="00FD094F" w:rsidRPr="00680315" w:rsidRDefault="00FD094F" w:rsidP="00A43820">
            <w:pPr>
              <w:rPr>
                <w:sz w:val="22"/>
                <w:szCs w:val="22"/>
              </w:rPr>
            </w:pPr>
          </w:p>
        </w:tc>
        <w:tc>
          <w:tcPr>
            <w:tcW w:w="1190" w:type="dxa"/>
          </w:tcPr>
          <w:p w14:paraId="2BC8C4DC" w14:textId="196B715D" w:rsidR="00680315" w:rsidRPr="00680315" w:rsidRDefault="00A43820" w:rsidP="00770948">
            <w:pPr>
              <w:rPr>
                <w:rFonts w:eastAsia="Calibri"/>
                <w:sz w:val="22"/>
                <w:szCs w:val="22"/>
              </w:rPr>
            </w:pPr>
            <w:r>
              <w:rPr>
                <w:rFonts w:eastAsia="Calibri"/>
                <w:sz w:val="22"/>
                <w:szCs w:val="22"/>
              </w:rPr>
              <w:t>1/7/2022</w:t>
            </w:r>
          </w:p>
        </w:tc>
        <w:tc>
          <w:tcPr>
            <w:tcW w:w="1177" w:type="dxa"/>
          </w:tcPr>
          <w:p w14:paraId="5034F0EE" w14:textId="58B48A4E" w:rsidR="00680315" w:rsidRPr="00680315" w:rsidRDefault="00FD0709" w:rsidP="00770948">
            <w:pPr>
              <w:rPr>
                <w:rFonts w:eastAsia="Calibri"/>
                <w:sz w:val="22"/>
                <w:szCs w:val="22"/>
              </w:rPr>
            </w:pPr>
            <w:r>
              <w:rPr>
                <w:rFonts w:eastAsia="Calibri"/>
                <w:sz w:val="22"/>
                <w:szCs w:val="22"/>
              </w:rPr>
              <w:t>1/8/2022</w:t>
            </w:r>
          </w:p>
        </w:tc>
        <w:tc>
          <w:tcPr>
            <w:tcW w:w="937" w:type="dxa"/>
          </w:tcPr>
          <w:p w14:paraId="1A0BBF78" w14:textId="212ABC5D" w:rsidR="00680315" w:rsidRPr="00680315" w:rsidRDefault="00FD0709" w:rsidP="00770948">
            <w:pPr>
              <w:rPr>
                <w:rFonts w:eastAsia="Calibri"/>
                <w:sz w:val="22"/>
                <w:szCs w:val="22"/>
              </w:rPr>
            </w:pPr>
            <w:r>
              <w:rPr>
                <w:rFonts w:eastAsia="Calibri"/>
                <w:sz w:val="22"/>
                <w:szCs w:val="22"/>
              </w:rPr>
              <w:t>Y</w:t>
            </w:r>
          </w:p>
        </w:tc>
        <w:tc>
          <w:tcPr>
            <w:tcW w:w="1203" w:type="dxa"/>
          </w:tcPr>
          <w:p w14:paraId="4FBD0C60" w14:textId="7F88F015" w:rsidR="00680315" w:rsidRPr="00680315" w:rsidRDefault="00FD0709" w:rsidP="00770948">
            <w:pPr>
              <w:rPr>
                <w:rFonts w:eastAsia="Calibri"/>
                <w:sz w:val="22"/>
                <w:szCs w:val="22"/>
              </w:rPr>
            </w:pPr>
            <w:r>
              <w:rPr>
                <w:rFonts w:eastAsia="Calibri"/>
                <w:sz w:val="22"/>
                <w:szCs w:val="22"/>
              </w:rPr>
              <w:t>N</w:t>
            </w:r>
          </w:p>
        </w:tc>
        <w:tc>
          <w:tcPr>
            <w:tcW w:w="1369" w:type="dxa"/>
          </w:tcPr>
          <w:p w14:paraId="2290980B" w14:textId="47D57305" w:rsidR="00680315" w:rsidRPr="00680315" w:rsidRDefault="00A43820" w:rsidP="00770948">
            <w:pPr>
              <w:rPr>
                <w:sz w:val="22"/>
                <w:szCs w:val="22"/>
              </w:rPr>
            </w:pPr>
            <w:r>
              <w:rPr>
                <w:sz w:val="22"/>
                <w:szCs w:val="22"/>
              </w:rPr>
              <w:t>1/24/2022</w:t>
            </w:r>
          </w:p>
        </w:tc>
        <w:tc>
          <w:tcPr>
            <w:tcW w:w="835" w:type="dxa"/>
          </w:tcPr>
          <w:p w14:paraId="20259752" w14:textId="218FC269" w:rsidR="00680315" w:rsidRPr="00680315" w:rsidRDefault="00FD0709" w:rsidP="00770948">
            <w:pPr>
              <w:rPr>
                <w:sz w:val="22"/>
                <w:szCs w:val="22"/>
              </w:rPr>
            </w:pPr>
            <w:r>
              <w:rPr>
                <w:sz w:val="22"/>
                <w:szCs w:val="22"/>
              </w:rPr>
              <w:t>1/24/2022</w:t>
            </w:r>
          </w:p>
        </w:tc>
      </w:tr>
      <w:tr w:rsidR="00A43820" w:rsidRPr="00680315" w14:paraId="44C922B7" w14:textId="77777777" w:rsidTr="005D1101">
        <w:tc>
          <w:tcPr>
            <w:tcW w:w="3544" w:type="dxa"/>
          </w:tcPr>
          <w:p w14:paraId="1D58D9D7" w14:textId="77777777" w:rsidR="00A43820" w:rsidRPr="00A43820" w:rsidRDefault="00A43820" w:rsidP="00A43820">
            <w:pPr>
              <w:rPr>
                <w:sz w:val="22"/>
                <w:szCs w:val="22"/>
              </w:rPr>
            </w:pPr>
            <w:r w:rsidRPr="00A43820">
              <w:rPr>
                <w:sz w:val="22"/>
                <w:szCs w:val="22"/>
              </w:rPr>
              <w:t>Final Rule on the Department of Labor Civil Penalties for Inflation Adjustment Act – Annual Adjustment for 2022</w:t>
            </w:r>
          </w:p>
          <w:p w14:paraId="74A9E0CC" w14:textId="77777777" w:rsidR="00A43820" w:rsidRPr="00A43820" w:rsidRDefault="00A43820" w:rsidP="00A43820">
            <w:pPr>
              <w:rPr>
                <w:sz w:val="22"/>
                <w:szCs w:val="22"/>
              </w:rPr>
            </w:pPr>
            <w:r w:rsidRPr="00A43820">
              <w:rPr>
                <w:sz w:val="22"/>
                <w:szCs w:val="22"/>
              </w:rPr>
              <w:t>29 CFR 1903</w:t>
            </w:r>
          </w:p>
          <w:p w14:paraId="40E2C9F6" w14:textId="3421EE31" w:rsidR="00A43820" w:rsidRPr="00A43820" w:rsidRDefault="00A43820" w:rsidP="00A43820">
            <w:pPr>
              <w:rPr>
                <w:sz w:val="22"/>
                <w:szCs w:val="22"/>
              </w:rPr>
            </w:pPr>
            <w:r w:rsidRPr="00A43820">
              <w:rPr>
                <w:sz w:val="22"/>
                <w:szCs w:val="22"/>
              </w:rPr>
              <w:t>(1/15/2022)</w:t>
            </w:r>
          </w:p>
        </w:tc>
        <w:tc>
          <w:tcPr>
            <w:tcW w:w="1190" w:type="dxa"/>
          </w:tcPr>
          <w:p w14:paraId="576AB131" w14:textId="57A3D2BD" w:rsidR="00A43820" w:rsidRDefault="00A43820" w:rsidP="00770948">
            <w:pPr>
              <w:rPr>
                <w:rFonts w:eastAsia="Calibri"/>
                <w:sz w:val="22"/>
                <w:szCs w:val="22"/>
              </w:rPr>
            </w:pPr>
            <w:r>
              <w:rPr>
                <w:rFonts w:eastAsia="Calibri"/>
                <w:sz w:val="22"/>
                <w:szCs w:val="22"/>
              </w:rPr>
              <w:t>3/15/2022</w:t>
            </w:r>
          </w:p>
        </w:tc>
        <w:tc>
          <w:tcPr>
            <w:tcW w:w="1177" w:type="dxa"/>
          </w:tcPr>
          <w:p w14:paraId="331C81F0" w14:textId="0B498898" w:rsidR="00A43820" w:rsidRPr="00680315" w:rsidRDefault="00FD0709" w:rsidP="00770948">
            <w:pPr>
              <w:rPr>
                <w:rFonts w:eastAsia="Calibri"/>
                <w:sz w:val="22"/>
                <w:szCs w:val="22"/>
              </w:rPr>
            </w:pPr>
            <w:r>
              <w:rPr>
                <w:rFonts w:eastAsia="Calibri"/>
                <w:sz w:val="22"/>
                <w:szCs w:val="22"/>
              </w:rPr>
              <w:t>6/14/2022</w:t>
            </w:r>
          </w:p>
        </w:tc>
        <w:tc>
          <w:tcPr>
            <w:tcW w:w="937" w:type="dxa"/>
          </w:tcPr>
          <w:p w14:paraId="67B1A58F" w14:textId="35ADAB5C" w:rsidR="00A43820" w:rsidRPr="00680315" w:rsidRDefault="00FD0709" w:rsidP="00770948">
            <w:pPr>
              <w:rPr>
                <w:rFonts w:eastAsia="Calibri"/>
                <w:sz w:val="22"/>
                <w:szCs w:val="22"/>
              </w:rPr>
            </w:pPr>
            <w:r>
              <w:rPr>
                <w:rFonts w:eastAsia="Calibri"/>
                <w:sz w:val="22"/>
                <w:szCs w:val="22"/>
              </w:rPr>
              <w:t>N/A</w:t>
            </w:r>
          </w:p>
        </w:tc>
        <w:tc>
          <w:tcPr>
            <w:tcW w:w="1203" w:type="dxa"/>
          </w:tcPr>
          <w:p w14:paraId="252942D5" w14:textId="5DDB8F1B" w:rsidR="00A43820" w:rsidRPr="00680315" w:rsidRDefault="00FD0709" w:rsidP="00770948">
            <w:pPr>
              <w:rPr>
                <w:rFonts w:eastAsia="Calibri"/>
                <w:sz w:val="22"/>
                <w:szCs w:val="22"/>
              </w:rPr>
            </w:pPr>
            <w:r>
              <w:rPr>
                <w:rFonts w:eastAsia="Calibri"/>
                <w:sz w:val="22"/>
                <w:szCs w:val="22"/>
              </w:rPr>
              <w:t>N/A</w:t>
            </w:r>
          </w:p>
        </w:tc>
        <w:tc>
          <w:tcPr>
            <w:tcW w:w="1369" w:type="dxa"/>
          </w:tcPr>
          <w:p w14:paraId="3AF59DBA" w14:textId="51DFCA3B" w:rsidR="00A43820" w:rsidRDefault="00A43820" w:rsidP="00770948">
            <w:pPr>
              <w:rPr>
                <w:sz w:val="22"/>
                <w:szCs w:val="22"/>
              </w:rPr>
            </w:pPr>
            <w:r>
              <w:rPr>
                <w:sz w:val="22"/>
                <w:szCs w:val="22"/>
              </w:rPr>
              <w:t>7/15/2022</w:t>
            </w:r>
          </w:p>
        </w:tc>
        <w:tc>
          <w:tcPr>
            <w:tcW w:w="835" w:type="dxa"/>
          </w:tcPr>
          <w:p w14:paraId="7BB0B2D2" w14:textId="40FFDB42" w:rsidR="00A43820" w:rsidRPr="00680315" w:rsidRDefault="00FD0709" w:rsidP="00770948">
            <w:pPr>
              <w:rPr>
                <w:sz w:val="22"/>
                <w:szCs w:val="22"/>
              </w:rPr>
            </w:pPr>
            <w:r>
              <w:rPr>
                <w:sz w:val="22"/>
                <w:szCs w:val="22"/>
              </w:rPr>
              <w:t xml:space="preserve">SLG workers only-no first instance penalties </w:t>
            </w:r>
          </w:p>
        </w:tc>
      </w:tr>
      <w:tr w:rsidR="00A43820" w:rsidRPr="00680315" w14:paraId="02ED82BD" w14:textId="77777777" w:rsidTr="005D1101">
        <w:tc>
          <w:tcPr>
            <w:tcW w:w="3544" w:type="dxa"/>
          </w:tcPr>
          <w:p w14:paraId="7D80E0A2" w14:textId="77777777" w:rsidR="00A43820" w:rsidRPr="00A43820" w:rsidRDefault="00A43820" w:rsidP="00A43820">
            <w:pPr>
              <w:rPr>
                <w:sz w:val="22"/>
                <w:szCs w:val="22"/>
              </w:rPr>
            </w:pPr>
            <w:r w:rsidRPr="00A43820">
              <w:rPr>
                <w:sz w:val="22"/>
                <w:szCs w:val="22"/>
              </w:rPr>
              <w:t>Occupational Exposure to COVID-19; Healthcare Emergency Temporary Standard: COVID-19 Log and Reporting Provisions</w:t>
            </w:r>
          </w:p>
          <w:p w14:paraId="54369D03" w14:textId="6448091F" w:rsidR="00A43820" w:rsidRPr="00A43820" w:rsidRDefault="00A43820" w:rsidP="00A43820">
            <w:pPr>
              <w:rPr>
                <w:sz w:val="22"/>
                <w:szCs w:val="22"/>
              </w:rPr>
            </w:pPr>
            <w:r w:rsidRPr="00A43820">
              <w:rPr>
                <w:sz w:val="22"/>
                <w:szCs w:val="22"/>
              </w:rPr>
              <w:t xml:space="preserve">29 CFR 1910.502(q)(2)(ii), (q)(3)(ii)-(iv) and </w:t>
            </w:r>
            <w:r w:rsidR="00651B09">
              <w:rPr>
                <w:sz w:val="22"/>
                <w:szCs w:val="22"/>
              </w:rPr>
              <w:t>®</w:t>
            </w:r>
          </w:p>
          <w:p w14:paraId="5635AFF9" w14:textId="4E326729" w:rsidR="00A43820" w:rsidRPr="00A43820" w:rsidRDefault="00A43820" w:rsidP="00A43820">
            <w:pPr>
              <w:rPr>
                <w:sz w:val="22"/>
                <w:szCs w:val="22"/>
              </w:rPr>
            </w:pPr>
            <w:r w:rsidRPr="00A43820">
              <w:rPr>
                <w:sz w:val="22"/>
                <w:szCs w:val="22"/>
              </w:rPr>
              <w:t>(2/14/2022)</w:t>
            </w:r>
          </w:p>
        </w:tc>
        <w:tc>
          <w:tcPr>
            <w:tcW w:w="1190" w:type="dxa"/>
          </w:tcPr>
          <w:p w14:paraId="64ACBC52" w14:textId="289E9295" w:rsidR="00A43820" w:rsidRDefault="00A43820" w:rsidP="00770948">
            <w:pPr>
              <w:rPr>
                <w:rFonts w:eastAsia="Calibri"/>
                <w:sz w:val="22"/>
                <w:szCs w:val="22"/>
              </w:rPr>
            </w:pPr>
            <w:r>
              <w:rPr>
                <w:rFonts w:eastAsia="Calibri"/>
                <w:sz w:val="22"/>
                <w:szCs w:val="22"/>
              </w:rPr>
              <w:t>4/14/2022</w:t>
            </w:r>
          </w:p>
        </w:tc>
        <w:tc>
          <w:tcPr>
            <w:tcW w:w="1177" w:type="dxa"/>
          </w:tcPr>
          <w:p w14:paraId="51C17FF6" w14:textId="40F55B5A" w:rsidR="00A43820" w:rsidRPr="00680315" w:rsidRDefault="00FD0709" w:rsidP="00770948">
            <w:pPr>
              <w:rPr>
                <w:rFonts w:eastAsia="Calibri"/>
                <w:sz w:val="22"/>
                <w:szCs w:val="22"/>
              </w:rPr>
            </w:pPr>
            <w:r>
              <w:rPr>
                <w:rFonts w:eastAsia="Calibri"/>
                <w:sz w:val="22"/>
                <w:szCs w:val="22"/>
              </w:rPr>
              <w:t>4/14/2022</w:t>
            </w:r>
          </w:p>
        </w:tc>
        <w:tc>
          <w:tcPr>
            <w:tcW w:w="937" w:type="dxa"/>
          </w:tcPr>
          <w:p w14:paraId="0756E8F9" w14:textId="7C7FF610" w:rsidR="00A43820" w:rsidRPr="00680315" w:rsidRDefault="00FD0709" w:rsidP="00770948">
            <w:pPr>
              <w:rPr>
                <w:rFonts w:eastAsia="Calibri"/>
                <w:sz w:val="22"/>
                <w:szCs w:val="22"/>
              </w:rPr>
            </w:pPr>
            <w:r>
              <w:rPr>
                <w:rFonts w:eastAsia="Calibri"/>
                <w:sz w:val="22"/>
                <w:szCs w:val="22"/>
              </w:rPr>
              <w:t>Y</w:t>
            </w:r>
          </w:p>
        </w:tc>
        <w:tc>
          <w:tcPr>
            <w:tcW w:w="1203" w:type="dxa"/>
          </w:tcPr>
          <w:p w14:paraId="2C343B73" w14:textId="540FC763" w:rsidR="00A43820" w:rsidRPr="00680315" w:rsidRDefault="00FD0709" w:rsidP="00770948">
            <w:pPr>
              <w:rPr>
                <w:rFonts w:eastAsia="Calibri"/>
                <w:sz w:val="22"/>
                <w:szCs w:val="22"/>
              </w:rPr>
            </w:pPr>
            <w:r>
              <w:rPr>
                <w:rFonts w:eastAsia="Calibri"/>
                <w:sz w:val="22"/>
                <w:szCs w:val="22"/>
              </w:rPr>
              <w:t>Y</w:t>
            </w:r>
          </w:p>
        </w:tc>
        <w:tc>
          <w:tcPr>
            <w:tcW w:w="1369" w:type="dxa"/>
          </w:tcPr>
          <w:p w14:paraId="6AD97DF2" w14:textId="0C4E2A7A" w:rsidR="00A43820" w:rsidRDefault="00A43820" w:rsidP="00770948">
            <w:pPr>
              <w:rPr>
                <w:sz w:val="22"/>
                <w:szCs w:val="22"/>
              </w:rPr>
            </w:pPr>
            <w:r>
              <w:rPr>
                <w:sz w:val="22"/>
                <w:szCs w:val="22"/>
              </w:rPr>
              <w:t>8/14/2022</w:t>
            </w:r>
          </w:p>
        </w:tc>
        <w:tc>
          <w:tcPr>
            <w:tcW w:w="835" w:type="dxa"/>
          </w:tcPr>
          <w:p w14:paraId="34C19E95" w14:textId="3EF50319" w:rsidR="00A43820" w:rsidRPr="00680315" w:rsidRDefault="00FD0709" w:rsidP="00770948">
            <w:pPr>
              <w:rPr>
                <w:sz w:val="22"/>
                <w:szCs w:val="22"/>
              </w:rPr>
            </w:pPr>
            <w:r>
              <w:rPr>
                <w:sz w:val="22"/>
                <w:szCs w:val="22"/>
              </w:rPr>
              <w:t>8/14/2022</w:t>
            </w:r>
          </w:p>
        </w:tc>
      </w:tr>
      <w:tr w:rsidR="00A43820" w:rsidRPr="00680315" w14:paraId="2B5B17D3" w14:textId="77777777" w:rsidTr="005D1101">
        <w:tc>
          <w:tcPr>
            <w:tcW w:w="3544" w:type="dxa"/>
          </w:tcPr>
          <w:p w14:paraId="66612996" w14:textId="77777777" w:rsidR="00A43820" w:rsidRPr="00A43820" w:rsidRDefault="00A43820" w:rsidP="00A43820">
            <w:pPr>
              <w:rPr>
                <w:sz w:val="22"/>
                <w:szCs w:val="22"/>
              </w:rPr>
            </w:pPr>
            <w:r w:rsidRPr="00A43820">
              <w:rPr>
                <w:sz w:val="22"/>
                <w:szCs w:val="22"/>
              </w:rPr>
              <w:t xml:space="preserve">Final Rule on the Department of </w:t>
            </w:r>
            <w:r w:rsidRPr="00A43820">
              <w:rPr>
                <w:sz w:val="22"/>
                <w:szCs w:val="22"/>
              </w:rPr>
              <w:lastRenderedPageBreak/>
              <w:t>Labor Civil Penalties for Inflation Adjustment Act – Annual Adjustment for 2023</w:t>
            </w:r>
          </w:p>
          <w:p w14:paraId="388559B3" w14:textId="77777777" w:rsidR="00A43820" w:rsidRPr="00A43820" w:rsidRDefault="00A43820" w:rsidP="00A43820">
            <w:pPr>
              <w:rPr>
                <w:sz w:val="22"/>
                <w:szCs w:val="22"/>
              </w:rPr>
            </w:pPr>
            <w:r w:rsidRPr="00A43820">
              <w:rPr>
                <w:sz w:val="22"/>
                <w:szCs w:val="22"/>
              </w:rPr>
              <w:t>29 CFR 1903</w:t>
            </w:r>
          </w:p>
          <w:p w14:paraId="1600DF43" w14:textId="6ECF0BAE" w:rsidR="00A43820" w:rsidRPr="00A43820" w:rsidRDefault="00A43820" w:rsidP="00A43820">
            <w:pPr>
              <w:rPr>
                <w:sz w:val="22"/>
                <w:szCs w:val="22"/>
              </w:rPr>
            </w:pPr>
            <w:r w:rsidRPr="00A43820">
              <w:rPr>
                <w:sz w:val="22"/>
                <w:szCs w:val="22"/>
              </w:rPr>
              <w:t>(1/15/2023)</w:t>
            </w:r>
          </w:p>
        </w:tc>
        <w:tc>
          <w:tcPr>
            <w:tcW w:w="1190" w:type="dxa"/>
          </w:tcPr>
          <w:p w14:paraId="3A81D5B9" w14:textId="7E74DC42" w:rsidR="00A43820" w:rsidRDefault="00A43820" w:rsidP="00770948">
            <w:pPr>
              <w:rPr>
                <w:rFonts w:eastAsia="Calibri"/>
                <w:sz w:val="22"/>
                <w:szCs w:val="22"/>
              </w:rPr>
            </w:pPr>
            <w:r>
              <w:rPr>
                <w:rFonts w:eastAsia="Calibri"/>
                <w:sz w:val="22"/>
                <w:szCs w:val="22"/>
              </w:rPr>
              <w:lastRenderedPageBreak/>
              <w:t>3/15/2023</w:t>
            </w:r>
          </w:p>
        </w:tc>
        <w:tc>
          <w:tcPr>
            <w:tcW w:w="1177" w:type="dxa"/>
          </w:tcPr>
          <w:p w14:paraId="21F0DF85" w14:textId="793D81ED" w:rsidR="00A43820" w:rsidRPr="00680315" w:rsidRDefault="00FD0709" w:rsidP="00770948">
            <w:pPr>
              <w:rPr>
                <w:rFonts w:eastAsia="Calibri"/>
                <w:sz w:val="22"/>
                <w:szCs w:val="22"/>
              </w:rPr>
            </w:pPr>
            <w:r>
              <w:rPr>
                <w:rFonts w:eastAsia="Calibri"/>
                <w:sz w:val="22"/>
                <w:szCs w:val="22"/>
              </w:rPr>
              <w:t>2/13/2023</w:t>
            </w:r>
          </w:p>
        </w:tc>
        <w:tc>
          <w:tcPr>
            <w:tcW w:w="937" w:type="dxa"/>
          </w:tcPr>
          <w:p w14:paraId="30BBA578" w14:textId="3DD7E7B4" w:rsidR="00A43820" w:rsidRPr="00680315" w:rsidRDefault="00FD0709" w:rsidP="00770948">
            <w:pPr>
              <w:rPr>
                <w:rFonts w:eastAsia="Calibri"/>
                <w:sz w:val="22"/>
                <w:szCs w:val="22"/>
              </w:rPr>
            </w:pPr>
            <w:r>
              <w:rPr>
                <w:rFonts w:eastAsia="Calibri"/>
                <w:sz w:val="22"/>
                <w:szCs w:val="22"/>
              </w:rPr>
              <w:t>N/A</w:t>
            </w:r>
          </w:p>
        </w:tc>
        <w:tc>
          <w:tcPr>
            <w:tcW w:w="1203" w:type="dxa"/>
          </w:tcPr>
          <w:p w14:paraId="29C7B041" w14:textId="0BFFC9AB" w:rsidR="00A43820" w:rsidRPr="00680315" w:rsidRDefault="00FD0709" w:rsidP="00770948">
            <w:pPr>
              <w:rPr>
                <w:rFonts w:eastAsia="Calibri"/>
                <w:sz w:val="22"/>
                <w:szCs w:val="22"/>
              </w:rPr>
            </w:pPr>
            <w:r>
              <w:rPr>
                <w:rFonts w:eastAsia="Calibri"/>
                <w:sz w:val="22"/>
                <w:szCs w:val="22"/>
              </w:rPr>
              <w:t>N/A</w:t>
            </w:r>
          </w:p>
        </w:tc>
        <w:tc>
          <w:tcPr>
            <w:tcW w:w="1369" w:type="dxa"/>
          </w:tcPr>
          <w:p w14:paraId="6CC18846" w14:textId="7DF66322" w:rsidR="00A43820" w:rsidRDefault="00A43820" w:rsidP="00770948">
            <w:pPr>
              <w:rPr>
                <w:sz w:val="22"/>
                <w:szCs w:val="22"/>
              </w:rPr>
            </w:pPr>
            <w:r>
              <w:rPr>
                <w:sz w:val="22"/>
                <w:szCs w:val="22"/>
              </w:rPr>
              <w:t>7/15/2023</w:t>
            </w:r>
          </w:p>
        </w:tc>
        <w:tc>
          <w:tcPr>
            <w:tcW w:w="835" w:type="dxa"/>
          </w:tcPr>
          <w:p w14:paraId="5795DD64" w14:textId="115B2789" w:rsidR="00A43820" w:rsidRPr="00680315" w:rsidRDefault="00FD0709" w:rsidP="00770948">
            <w:pPr>
              <w:rPr>
                <w:sz w:val="22"/>
                <w:szCs w:val="22"/>
              </w:rPr>
            </w:pPr>
            <w:r>
              <w:rPr>
                <w:sz w:val="22"/>
                <w:szCs w:val="22"/>
              </w:rPr>
              <w:t xml:space="preserve">SLG </w:t>
            </w:r>
            <w:r w:rsidR="0097324B">
              <w:rPr>
                <w:sz w:val="22"/>
                <w:szCs w:val="22"/>
              </w:rPr>
              <w:lastRenderedPageBreak/>
              <w:t>W</w:t>
            </w:r>
            <w:r>
              <w:rPr>
                <w:sz w:val="22"/>
                <w:szCs w:val="22"/>
              </w:rPr>
              <w:t>orkers only-no first instance penalties</w:t>
            </w:r>
          </w:p>
        </w:tc>
      </w:tr>
      <w:tr w:rsidR="00A43820" w:rsidRPr="00680315" w14:paraId="13FD7C22" w14:textId="77777777" w:rsidTr="005D1101">
        <w:tc>
          <w:tcPr>
            <w:tcW w:w="3544" w:type="dxa"/>
          </w:tcPr>
          <w:p w14:paraId="0874B881" w14:textId="77777777" w:rsidR="00A43820" w:rsidRPr="00A43820" w:rsidRDefault="00A43820" w:rsidP="00A43820">
            <w:pPr>
              <w:rPr>
                <w:sz w:val="22"/>
                <w:szCs w:val="22"/>
              </w:rPr>
            </w:pPr>
            <w:r w:rsidRPr="00A43820">
              <w:rPr>
                <w:sz w:val="22"/>
                <w:szCs w:val="22"/>
              </w:rPr>
              <w:lastRenderedPageBreak/>
              <w:t>Final Rule to Improve Tracking of Workplace Injuries and Illnesses</w:t>
            </w:r>
          </w:p>
          <w:p w14:paraId="00D6EE5B" w14:textId="77777777" w:rsidR="00A43820" w:rsidRPr="00A43820" w:rsidRDefault="00A43820" w:rsidP="00A43820">
            <w:pPr>
              <w:rPr>
                <w:sz w:val="22"/>
                <w:szCs w:val="22"/>
              </w:rPr>
            </w:pPr>
            <w:r w:rsidRPr="00A43820">
              <w:rPr>
                <w:sz w:val="22"/>
                <w:szCs w:val="22"/>
              </w:rPr>
              <w:t>29 CFR 1904</w:t>
            </w:r>
          </w:p>
          <w:p w14:paraId="74E7FDE8" w14:textId="5082C318" w:rsidR="00A43820" w:rsidRPr="00A43820" w:rsidRDefault="00A43820" w:rsidP="00A43820">
            <w:pPr>
              <w:rPr>
                <w:sz w:val="22"/>
                <w:szCs w:val="22"/>
              </w:rPr>
            </w:pPr>
            <w:r w:rsidRPr="00A43820">
              <w:rPr>
                <w:sz w:val="22"/>
                <w:szCs w:val="22"/>
              </w:rPr>
              <w:t>(7/21/2023)</w:t>
            </w:r>
          </w:p>
        </w:tc>
        <w:tc>
          <w:tcPr>
            <w:tcW w:w="1190" w:type="dxa"/>
          </w:tcPr>
          <w:p w14:paraId="0304AC70" w14:textId="7A919483" w:rsidR="00A43820" w:rsidRDefault="00A43820" w:rsidP="00770948">
            <w:pPr>
              <w:rPr>
                <w:rFonts w:eastAsia="Calibri"/>
                <w:sz w:val="22"/>
                <w:szCs w:val="22"/>
              </w:rPr>
            </w:pPr>
            <w:r>
              <w:rPr>
                <w:rFonts w:eastAsia="Calibri"/>
                <w:sz w:val="22"/>
                <w:szCs w:val="22"/>
              </w:rPr>
              <w:t>9/21/2023</w:t>
            </w:r>
          </w:p>
        </w:tc>
        <w:tc>
          <w:tcPr>
            <w:tcW w:w="1177" w:type="dxa"/>
          </w:tcPr>
          <w:p w14:paraId="6558019A" w14:textId="2AFFC832" w:rsidR="00A43820" w:rsidRPr="00680315" w:rsidRDefault="00FD0709" w:rsidP="00770948">
            <w:pPr>
              <w:rPr>
                <w:rFonts w:eastAsia="Calibri"/>
                <w:sz w:val="22"/>
                <w:szCs w:val="22"/>
              </w:rPr>
            </w:pPr>
            <w:r>
              <w:rPr>
                <w:rFonts w:eastAsia="Calibri"/>
                <w:sz w:val="22"/>
                <w:szCs w:val="22"/>
              </w:rPr>
              <w:t>12/20/2023</w:t>
            </w:r>
          </w:p>
        </w:tc>
        <w:tc>
          <w:tcPr>
            <w:tcW w:w="937" w:type="dxa"/>
          </w:tcPr>
          <w:p w14:paraId="7C4264A2" w14:textId="4D78F821" w:rsidR="00A43820" w:rsidRPr="00680315" w:rsidRDefault="00FD0709" w:rsidP="00770948">
            <w:pPr>
              <w:rPr>
                <w:rFonts w:eastAsia="Calibri"/>
                <w:sz w:val="22"/>
                <w:szCs w:val="22"/>
              </w:rPr>
            </w:pPr>
            <w:r>
              <w:rPr>
                <w:rFonts w:eastAsia="Calibri"/>
                <w:sz w:val="22"/>
                <w:szCs w:val="22"/>
              </w:rPr>
              <w:t>Y</w:t>
            </w:r>
          </w:p>
        </w:tc>
        <w:tc>
          <w:tcPr>
            <w:tcW w:w="1203" w:type="dxa"/>
          </w:tcPr>
          <w:p w14:paraId="1A1B9D14" w14:textId="34D3EA6C" w:rsidR="00A43820" w:rsidRPr="00680315" w:rsidRDefault="00FD0709" w:rsidP="00770948">
            <w:pPr>
              <w:rPr>
                <w:rFonts w:eastAsia="Calibri"/>
                <w:sz w:val="22"/>
                <w:szCs w:val="22"/>
              </w:rPr>
            </w:pPr>
            <w:r>
              <w:rPr>
                <w:rFonts w:eastAsia="Calibri"/>
                <w:sz w:val="22"/>
                <w:szCs w:val="22"/>
              </w:rPr>
              <w:t>Y</w:t>
            </w:r>
          </w:p>
        </w:tc>
        <w:tc>
          <w:tcPr>
            <w:tcW w:w="1369" w:type="dxa"/>
          </w:tcPr>
          <w:p w14:paraId="3065D66B" w14:textId="38F0012E" w:rsidR="00A43820" w:rsidRDefault="00A43820" w:rsidP="00770948">
            <w:pPr>
              <w:rPr>
                <w:sz w:val="22"/>
                <w:szCs w:val="22"/>
              </w:rPr>
            </w:pPr>
            <w:r>
              <w:rPr>
                <w:sz w:val="22"/>
                <w:szCs w:val="22"/>
              </w:rPr>
              <w:t>1/21/2024</w:t>
            </w:r>
          </w:p>
        </w:tc>
        <w:tc>
          <w:tcPr>
            <w:tcW w:w="835" w:type="dxa"/>
          </w:tcPr>
          <w:p w14:paraId="4DDF8BA8" w14:textId="302DCAD5" w:rsidR="00A43820" w:rsidRPr="00680315" w:rsidRDefault="00FD0709" w:rsidP="00770948">
            <w:pPr>
              <w:rPr>
                <w:sz w:val="22"/>
                <w:szCs w:val="22"/>
              </w:rPr>
            </w:pPr>
            <w:r>
              <w:rPr>
                <w:sz w:val="22"/>
                <w:szCs w:val="22"/>
              </w:rPr>
              <w:t>1/1/2025</w:t>
            </w:r>
          </w:p>
        </w:tc>
      </w:tr>
    </w:tbl>
    <w:p w14:paraId="718C045C" w14:textId="77777777" w:rsidR="00E03166" w:rsidRDefault="00E03166" w:rsidP="0067597D">
      <w:pPr>
        <w:pStyle w:val="ListParagraph"/>
        <w:ind w:left="0"/>
        <w:rPr>
          <w:rFonts w:ascii="Times New Roman" w:hAnsi="Times New Roman" w:cs="Times New Roman"/>
          <w:b/>
          <w:bCs/>
          <w:sz w:val="24"/>
          <w:szCs w:val="24"/>
        </w:rPr>
      </w:pPr>
    </w:p>
    <w:p w14:paraId="45296044" w14:textId="1EF4A381" w:rsidR="00680315" w:rsidRPr="00680315" w:rsidRDefault="00347366" w:rsidP="00680315">
      <w:pPr>
        <w:pStyle w:val="ListParagraph"/>
        <w:ind w:left="0"/>
        <w:jc w:val="center"/>
        <w:rPr>
          <w:rFonts w:ascii="Times New Roman" w:hAnsi="Times New Roman" w:cs="Times New Roman"/>
          <w:b/>
          <w:sz w:val="24"/>
          <w:szCs w:val="24"/>
        </w:rPr>
      </w:pPr>
      <w:r>
        <w:rPr>
          <w:rFonts w:ascii="Times New Roman" w:hAnsi="Times New Roman" w:cs="Times New Roman"/>
          <w:b/>
          <w:bCs/>
          <w:sz w:val="24"/>
          <w:szCs w:val="24"/>
        </w:rPr>
        <w:t>T</w:t>
      </w:r>
      <w:r w:rsidR="005B0650">
        <w:rPr>
          <w:rFonts w:ascii="Times New Roman" w:hAnsi="Times New Roman" w:cs="Times New Roman"/>
          <w:b/>
          <w:bCs/>
          <w:sz w:val="24"/>
          <w:szCs w:val="24"/>
        </w:rPr>
        <w:t>able B</w:t>
      </w:r>
      <w:r w:rsidR="00680315" w:rsidRPr="00680315">
        <w:rPr>
          <w:rFonts w:ascii="Times New Roman" w:hAnsi="Times New Roman" w:cs="Times New Roman"/>
          <w:b/>
          <w:bCs/>
          <w:sz w:val="24"/>
          <w:szCs w:val="24"/>
        </w:rPr>
        <w:t xml:space="preserve"> </w:t>
      </w:r>
    </w:p>
    <w:p w14:paraId="5F5EE0BA" w14:textId="5FE06CA3" w:rsidR="00680315" w:rsidRPr="00680315" w:rsidRDefault="00694616" w:rsidP="00680315">
      <w:pPr>
        <w:pStyle w:val="ListParagraph"/>
        <w:tabs>
          <w:tab w:val="num" w:pos="0"/>
        </w:tabs>
        <w:ind w:left="0"/>
        <w:jc w:val="center"/>
        <w:rPr>
          <w:rFonts w:ascii="Times New Roman" w:hAnsi="Times New Roman" w:cs="Times New Roman"/>
          <w:b/>
          <w:bCs/>
          <w:sz w:val="24"/>
          <w:szCs w:val="24"/>
        </w:rPr>
      </w:pPr>
      <w:r>
        <w:rPr>
          <w:rFonts w:ascii="Times New Roman" w:hAnsi="Times New Roman" w:cs="Times New Roman"/>
          <w:b/>
          <w:bCs/>
          <w:sz w:val="24"/>
          <w:szCs w:val="24"/>
        </w:rPr>
        <w:t>Status of FY 20</w:t>
      </w:r>
      <w:r w:rsidR="00EC7093">
        <w:rPr>
          <w:rFonts w:ascii="Times New Roman" w:hAnsi="Times New Roman" w:cs="Times New Roman"/>
          <w:b/>
          <w:bCs/>
          <w:sz w:val="24"/>
          <w:szCs w:val="24"/>
        </w:rPr>
        <w:t>22 and FY 2023</w:t>
      </w:r>
      <w:r w:rsidR="00680315" w:rsidRPr="00680315">
        <w:rPr>
          <w:rFonts w:ascii="Times New Roman" w:hAnsi="Times New Roman" w:cs="Times New Roman"/>
          <w:b/>
          <w:bCs/>
          <w:sz w:val="24"/>
          <w:szCs w:val="24"/>
        </w:rPr>
        <w:t xml:space="preserve"> Federal Program Change (FPC) Adoption</w:t>
      </w:r>
    </w:p>
    <w:p w14:paraId="55E0191C" w14:textId="77777777" w:rsidR="00680315" w:rsidRPr="00680315" w:rsidRDefault="00680315" w:rsidP="00680315">
      <w:pPr>
        <w:pStyle w:val="ListParagraph"/>
        <w:tabs>
          <w:tab w:val="num" w:pos="0"/>
        </w:tabs>
        <w:ind w:left="0"/>
        <w:jc w:val="center"/>
        <w:rPr>
          <w:rFonts w:ascii="Times New Roman" w:hAnsi="Times New Roman" w:cs="Times New Roman"/>
          <w:b/>
          <w:i/>
          <w:sz w:val="24"/>
          <w:szCs w:val="24"/>
        </w:rPr>
      </w:pPr>
      <w:r w:rsidRPr="00680315">
        <w:rPr>
          <w:rFonts w:ascii="Times New Roman" w:hAnsi="Times New Roman" w:cs="Times New Roman"/>
          <w:b/>
          <w:bCs/>
          <w:i/>
          <w:sz w:val="24"/>
          <w:szCs w:val="24"/>
        </w:rPr>
        <w:t>(May include any delinquent FPCs from earlier fiscal years)</w:t>
      </w:r>
    </w:p>
    <w:tbl>
      <w:tblPr>
        <w:tblStyle w:val="TableGrid"/>
        <w:tblW w:w="10267" w:type="dxa"/>
        <w:tblLook w:val="04A0" w:firstRow="1" w:lastRow="0" w:firstColumn="1" w:lastColumn="0" w:noHBand="0" w:noVBand="1"/>
        <w:tblCaption w:val="Status of FY 20XX Federal Program Change (FPC) Adoption"/>
        <w:tblDescription w:val="Table B"/>
      </w:tblPr>
      <w:tblGrid>
        <w:gridCol w:w="2875"/>
        <w:gridCol w:w="1350"/>
        <w:gridCol w:w="1260"/>
        <w:gridCol w:w="990"/>
        <w:gridCol w:w="1080"/>
        <w:gridCol w:w="1350"/>
        <w:gridCol w:w="1362"/>
      </w:tblGrid>
      <w:tr w:rsidR="00156BBB" w:rsidRPr="00156BBB" w14:paraId="3078C045" w14:textId="77777777" w:rsidTr="005D1101">
        <w:trPr>
          <w:trHeight w:val="1134"/>
          <w:tblHeader/>
        </w:trPr>
        <w:tc>
          <w:tcPr>
            <w:tcW w:w="2875" w:type="dxa"/>
            <w:shd w:val="clear" w:color="auto" w:fill="1F497D" w:themeFill="text2"/>
            <w:hideMark/>
          </w:tcPr>
          <w:p w14:paraId="11302356" w14:textId="77777777" w:rsidR="00680315" w:rsidRPr="00156BBB" w:rsidRDefault="00680315" w:rsidP="00680315">
            <w:pPr>
              <w:spacing w:before="240"/>
              <w:jc w:val="center"/>
              <w:rPr>
                <w:rFonts w:eastAsia="Calibri"/>
                <w:b/>
                <w:bCs/>
                <w:color w:val="FFFFFF" w:themeColor="background1"/>
                <w:sz w:val="22"/>
                <w:szCs w:val="22"/>
              </w:rPr>
            </w:pPr>
            <w:r w:rsidRPr="00156BBB">
              <w:rPr>
                <w:rFonts w:eastAsia="Calibri"/>
                <w:b/>
                <w:bCs/>
                <w:color w:val="FFFFFF" w:themeColor="background1"/>
                <w:sz w:val="22"/>
                <w:szCs w:val="22"/>
              </w:rPr>
              <w:t>FPC Directive/Subject</w:t>
            </w:r>
          </w:p>
        </w:tc>
        <w:tc>
          <w:tcPr>
            <w:tcW w:w="1350" w:type="dxa"/>
            <w:shd w:val="clear" w:color="auto" w:fill="1F497D" w:themeFill="text2"/>
          </w:tcPr>
          <w:p w14:paraId="7EC85DC0" w14:textId="77777777" w:rsidR="00680315" w:rsidRPr="00156BBB" w:rsidRDefault="00680315" w:rsidP="00770948">
            <w:pPr>
              <w:spacing w:before="240"/>
              <w:jc w:val="center"/>
              <w:rPr>
                <w:rFonts w:eastAsia="Calibri"/>
                <w:b/>
                <w:bCs/>
                <w:color w:val="FFFFFF" w:themeColor="background1"/>
                <w:sz w:val="22"/>
                <w:szCs w:val="22"/>
              </w:rPr>
            </w:pPr>
            <w:r w:rsidRPr="00156BBB">
              <w:rPr>
                <w:rFonts w:eastAsia="Calibri"/>
                <w:b/>
                <w:bCs/>
                <w:color w:val="FFFFFF" w:themeColor="background1"/>
                <w:sz w:val="22"/>
                <w:szCs w:val="22"/>
              </w:rPr>
              <w:t>Response Due Date</w:t>
            </w:r>
          </w:p>
        </w:tc>
        <w:tc>
          <w:tcPr>
            <w:tcW w:w="1260" w:type="dxa"/>
            <w:shd w:val="clear" w:color="auto" w:fill="1F497D" w:themeFill="text2"/>
            <w:hideMark/>
          </w:tcPr>
          <w:p w14:paraId="67C181D6" w14:textId="77777777" w:rsidR="00680315" w:rsidRPr="00156BBB" w:rsidRDefault="00680315" w:rsidP="00770948">
            <w:pPr>
              <w:spacing w:before="240"/>
              <w:jc w:val="center"/>
              <w:rPr>
                <w:b/>
                <w:bCs/>
                <w:color w:val="FFFFFF" w:themeColor="background1"/>
                <w:sz w:val="22"/>
                <w:szCs w:val="22"/>
              </w:rPr>
            </w:pPr>
            <w:r w:rsidRPr="00156BBB">
              <w:rPr>
                <w:rFonts w:eastAsia="Calibri"/>
                <w:b/>
                <w:bCs/>
                <w:color w:val="FFFFFF" w:themeColor="background1"/>
                <w:sz w:val="22"/>
                <w:szCs w:val="22"/>
              </w:rPr>
              <w:t>State Plan Response Date</w:t>
            </w:r>
          </w:p>
        </w:tc>
        <w:tc>
          <w:tcPr>
            <w:tcW w:w="990" w:type="dxa"/>
            <w:shd w:val="clear" w:color="auto" w:fill="1F497D" w:themeFill="text2"/>
            <w:hideMark/>
          </w:tcPr>
          <w:p w14:paraId="059EEEF3" w14:textId="77777777" w:rsidR="00680315" w:rsidRPr="00156BBB" w:rsidRDefault="00680315" w:rsidP="00770948">
            <w:pPr>
              <w:spacing w:before="240"/>
              <w:jc w:val="center"/>
              <w:rPr>
                <w:b/>
                <w:bCs/>
                <w:color w:val="FFFFFF" w:themeColor="background1"/>
                <w:sz w:val="22"/>
                <w:szCs w:val="22"/>
              </w:rPr>
            </w:pPr>
            <w:r w:rsidRPr="00156BBB">
              <w:rPr>
                <w:rFonts w:eastAsia="Calibri"/>
                <w:b/>
                <w:bCs/>
                <w:color w:val="FFFFFF" w:themeColor="background1"/>
                <w:sz w:val="22"/>
                <w:szCs w:val="22"/>
              </w:rPr>
              <w:t>Intent to Adopt</w:t>
            </w:r>
          </w:p>
        </w:tc>
        <w:tc>
          <w:tcPr>
            <w:tcW w:w="1080" w:type="dxa"/>
            <w:shd w:val="clear" w:color="auto" w:fill="1F497D" w:themeFill="text2"/>
            <w:hideMark/>
          </w:tcPr>
          <w:p w14:paraId="3D418B96" w14:textId="77777777" w:rsidR="00680315" w:rsidRPr="00156BBB" w:rsidRDefault="00680315" w:rsidP="00770948">
            <w:pPr>
              <w:spacing w:before="240"/>
              <w:jc w:val="center"/>
              <w:rPr>
                <w:b/>
                <w:bCs/>
                <w:color w:val="FFFFFF" w:themeColor="background1"/>
                <w:sz w:val="22"/>
                <w:szCs w:val="22"/>
              </w:rPr>
            </w:pPr>
            <w:r w:rsidRPr="00156BBB">
              <w:rPr>
                <w:rFonts w:eastAsia="Calibri"/>
                <w:b/>
                <w:bCs/>
                <w:color w:val="FFFFFF" w:themeColor="background1"/>
                <w:sz w:val="22"/>
                <w:szCs w:val="22"/>
              </w:rPr>
              <w:t>Adopt Identical</w:t>
            </w:r>
          </w:p>
        </w:tc>
        <w:tc>
          <w:tcPr>
            <w:tcW w:w="1350" w:type="dxa"/>
            <w:shd w:val="clear" w:color="auto" w:fill="1F497D" w:themeFill="text2"/>
            <w:hideMark/>
          </w:tcPr>
          <w:p w14:paraId="1694D2E2" w14:textId="77777777" w:rsidR="00680315" w:rsidRPr="00156BBB" w:rsidRDefault="00680315" w:rsidP="00770948">
            <w:pPr>
              <w:spacing w:before="240"/>
              <w:jc w:val="center"/>
              <w:rPr>
                <w:b/>
                <w:bCs/>
                <w:color w:val="FFFFFF" w:themeColor="background1"/>
                <w:sz w:val="22"/>
                <w:szCs w:val="22"/>
              </w:rPr>
            </w:pPr>
            <w:r w:rsidRPr="00156BBB">
              <w:rPr>
                <w:rFonts w:eastAsia="Calibri"/>
                <w:b/>
                <w:bCs/>
                <w:color w:val="FFFFFF" w:themeColor="background1"/>
                <w:sz w:val="22"/>
                <w:szCs w:val="22"/>
              </w:rPr>
              <w:t>Adoption Due Date</w:t>
            </w:r>
          </w:p>
        </w:tc>
        <w:tc>
          <w:tcPr>
            <w:tcW w:w="1362" w:type="dxa"/>
            <w:shd w:val="clear" w:color="auto" w:fill="1F497D" w:themeFill="text2"/>
            <w:hideMark/>
          </w:tcPr>
          <w:p w14:paraId="666AF653" w14:textId="77777777" w:rsidR="00680315" w:rsidRPr="00156BBB" w:rsidRDefault="00680315" w:rsidP="00770948">
            <w:pPr>
              <w:spacing w:before="240"/>
              <w:jc w:val="center"/>
              <w:rPr>
                <w:b/>
                <w:bCs/>
                <w:color w:val="FFFFFF" w:themeColor="background1"/>
                <w:sz w:val="22"/>
                <w:szCs w:val="22"/>
              </w:rPr>
            </w:pPr>
            <w:r w:rsidRPr="00156BBB">
              <w:rPr>
                <w:rFonts w:eastAsia="Calibri"/>
                <w:b/>
                <w:bCs/>
                <w:color w:val="FFFFFF" w:themeColor="background1"/>
                <w:sz w:val="22"/>
                <w:szCs w:val="22"/>
              </w:rPr>
              <w:t>State Plan Adoption Date</w:t>
            </w:r>
          </w:p>
        </w:tc>
      </w:tr>
      <w:tr w:rsidR="00AA4155" w:rsidRPr="00680315" w14:paraId="7C71C984" w14:textId="77777777" w:rsidTr="005D1101">
        <w:trPr>
          <w:trHeight w:val="323"/>
        </w:trPr>
        <w:tc>
          <w:tcPr>
            <w:tcW w:w="2875" w:type="dxa"/>
          </w:tcPr>
          <w:p w14:paraId="06AB4E83" w14:textId="1943B3CF" w:rsidR="00AA4155" w:rsidRPr="00680315" w:rsidRDefault="00AA4155" w:rsidP="00770948">
            <w:pPr>
              <w:rPr>
                <w:sz w:val="22"/>
                <w:szCs w:val="22"/>
              </w:rPr>
            </w:pPr>
            <w:r w:rsidRPr="00680315">
              <w:rPr>
                <w:b/>
                <w:i/>
                <w:sz w:val="22"/>
                <w:szCs w:val="22"/>
              </w:rPr>
              <w:t>Adoption Required</w:t>
            </w:r>
          </w:p>
        </w:tc>
        <w:tc>
          <w:tcPr>
            <w:tcW w:w="1350" w:type="dxa"/>
          </w:tcPr>
          <w:p w14:paraId="74EF9FD3" w14:textId="77777777" w:rsidR="00AA4155" w:rsidRPr="00680315" w:rsidRDefault="00AA4155" w:rsidP="00770948">
            <w:pPr>
              <w:jc w:val="center"/>
              <w:rPr>
                <w:sz w:val="22"/>
                <w:szCs w:val="22"/>
              </w:rPr>
            </w:pPr>
          </w:p>
        </w:tc>
        <w:tc>
          <w:tcPr>
            <w:tcW w:w="1260" w:type="dxa"/>
          </w:tcPr>
          <w:p w14:paraId="27D35040" w14:textId="77777777" w:rsidR="00AA4155" w:rsidRPr="00680315" w:rsidRDefault="00AA4155" w:rsidP="00770948">
            <w:pPr>
              <w:rPr>
                <w:sz w:val="22"/>
                <w:szCs w:val="22"/>
              </w:rPr>
            </w:pPr>
          </w:p>
        </w:tc>
        <w:tc>
          <w:tcPr>
            <w:tcW w:w="990" w:type="dxa"/>
          </w:tcPr>
          <w:p w14:paraId="70BA5E9F" w14:textId="77777777" w:rsidR="00AA4155" w:rsidRPr="00680315" w:rsidRDefault="00AA4155" w:rsidP="00770948">
            <w:pPr>
              <w:rPr>
                <w:sz w:val="22"/>
                <w:szCs w:val="22"/>
              </w:rPr>
            </w:pPr>
          </w:p>
        </w:tc>
        <w:tc>
          <w:tcPr>
            <w:tcW w:w="1080" w:type="dxa"/>
          </w:tcPr>
          <w:p w14:paraId="38CCDC85" w14:textId="77777777" w:rsidR="00AA4155" w:rsidRPr="00680315" w:rsidRDefault="00AA4155" w:rsidP="00770948">
            <w:pPr>
              <w:rPr>
                <w:sz w:val="22"/>
                <w:szCs w:val="22"/>
              </w:rPr>
            </w:pPr>
          </w:p>
        </w:tc>
        <w:tc>
          <w:tcPr>
            <w:tcW w:w="1350" w:type="dxa"/>
          </w:tcPr>
          <w:p w14:paraId="26349D61" w14:textId="77777777" w:rsidR="00AA4155" w:rsidRPr="00680315" w:rsidRDefault="00AA4155" w:rsidP="00770948">
            <w:pPr>
              <w:widowControl/>
              <w:autoSpaceDE/>
              <w:autoSpaceDN/>
              <w:adjustRightInd/>
              <w:jc w:val="center"/>
              <w:rPr>
                <w:sz w:val="22"/>
                <w:szCs w:val="22"/>
              </w:rPr>
            </w:pPr>
          </w:p>
        </w:tc>
        <w:tc>
          <w:tcPr>
            <w:tcW w:w="1362" w:type="dxa"/>
          </w:tcPr>
          <w:p w14:paraId="4B865B85" w14:textId="77777777" w:rsidR="00AA4155" w:rsidRPr="00680315" w:rsidRDefault="00AA4155" w:rsidP="00770948">
            <w:pPr>
              <w:rPr>
                <w:sz w:val="22"/>
                <w:szCs w:val="22"/>
              </w:rPr>
            </w:pPr>
          </w:p>
        </w:tc>
      </w:tr>
      <w:tr w:rsidR="00680315" w:rsidRPr="00680315" w14:paraId="498FD97F" w14:textId="77777777" w:rsidTr="005D1101">
        <w:trPr>
          <w:trHeight w:val="517"/>
        </w:trPr>
        <w:tc>
          <w:tcPr>
            <w:tcW w:w="2875" w:type="dxa"/>
          </w:tcPr>
          <w:p w14:paraId="1E22FF51" w14:textId="25709077" w:rsidR="00EC7093" w:rsidRPr="00EC7093" w:rsidRDefault="00EC7093" w:rsidP="00EC7093">
            <w:pPr>
              <w:rPr>
                <w:sz w:val="22"/>
                <w:szCs w:val="22"/>
              </w:rPr>
            </w:pPr>
            <w:r w:rsidRPr="00EC7093">
              <w:rPr>
                <w:sz w:val="22"/>
                <w:szCs w:val="22"/>
              </w:rPr>
              <w:t xml:space="preserve">Revised Combustible Dust National Emphasis Program </w:t>
            </w:r>
          </w:p>
          <w:p w14:paraId="3FA99AA5" w14:textId="77777777" w:rsidR="00EC7093" w:rsidRPr="00EC7093" w:rsidRDefault="00EC7093" w:rsidP="00EC7093">
            <w:pPr>
              <w:rPr>
                <w:sz w:val="22"/>
                <w:szCs w:val="22"/>
              </w:rPr>
            </w:pPr>
            <w:r w:rsidRPr="00EC7093">
              <w:rPr>
                <w:sz w:val="22"/>
                <w:szCs w:val="22"/>
              </w:rPr>
              <w:t>CPL 03-00-008</w:t>
            </w:r>
          </w:p>
          <w:p w14:paraId="267EB0D7" w14:textId="689E8C12" w:rsidR="00680315" w:rsidRPr="00680315" w:rsidRDefault="00EC7093" w:rsidP="00EC7093">
            <w:pPr>
              <w:rPr>
                <w:sz w:val="22"/>
                <w:szCs w:val="22"/>
              </w:rPr>
            </w:pPr>
            <w:r w:rsidRPr="00EC7093">
              <w:rPr>
                <w:sz w:val="22"/>
                <w:szCs w:val="22"/>
              </w:rPr>
              <w:t>(1/30/2023)</w:t>
            </w:r>
          </w:p>
        </w:tc>
        <w:tc>
          <w:tcPr>
            <w:tcW w:w="1350" w:type="dxa"/>
          </w:tcPr>
          <w:p w14:paraId="6553023E" w14:textId="38EAE32E" w:rsidR="00680315" w:rsidRPr="00680315" w:rsidRDefault="00EC7093" w:rsidP="009B3451">
            <w:pPr>
              <w:rPr>
                <w:sz w:val="22"/>
                <w:szCs w:val="22"/>
              </w:rPr>
            </w:pPr>
            <w:r>
              <w:rPr>
                <w:sz w:val="22"/>
                <w:szCs w:val="22"/>
              </w:rPr>
              <w:t>3/31/2023</w:t>
            </w:r>
          </w:p>
        </w:tc>
        <w:tc>
          <w:tcPr>
            <w:tcW w:w="1260" w:type="dxa"/>
          </w:tcPr>
          <w:p w14:paraId="3C89F212" w14:textId="4E9EC730" w:rsidR="00680315" w:rsidRPr="00680315" w:rsidRDefault="00EC7093" w:rsidP="009B3451">
            <w:pPr>
              <w:rPr>
                <w:sz w:val="22"/>
                <w:szCs w:val="22"/>
              </w:rPr>
            </w:pPr>
            <w:r>
              <w:rPr>
                <w:sz w:val="22"/>
                <w:szCs w:val="22"/>
              </w:rPr>
              <w:t>2/10/2023</w:t>
            </w:r>
          </w:p>
        </w:tc>
        <w:tc>
          <w:tcPr>
            <w:tcW w:w="990" w:type="dxa"/>
          </w:tcPr>
          <w:p w14:paraId="13186573" w14:textId="3C4C6A82" w:rsidR="00680315" w:rsidRPr="00680315" w:rsidRDefault="00EC7093" w:rsidP="00770948">
            <w:pPr>
              <w:rPr>
                <w:sz w:val="22"/>
                <w:szCs w:val="22"/>
              </w:rPr>
            </w:pPr>
            <w:r>
              <w:rPr>
                <w:sz w:val="22"/>
                <w:szCs w:val="22"/>
              </w:rPr>
              <w:t>Y</w:t>
            </w:r>
          </w:p>
        </w:tc>
        <w:tc>
          <w:tcPr>
            <w:tcW w:w="1080" w:type="dxa"/>
          </w:tcPr>
          <w:p w14:paraId="29F89624" w14:textId="5A9ED08C" w:rsidR="00680315" w:rsidRPr="00680315" w:rsidRDefault="00EC7093" w:rsidP="00770948">
            <w:pPr>
              <w:rPr>
                <w:sz w:val="22"/>
                <w:szCs w:val="22"/>
              </w:rPr>
            </w:pPr>
            <w:r>
              <w:rPr>
                <w:sz w:val="22"/>
                <w:szCs w:val="22"/>
              </w:rPr>
              <w:t>Y</w:t>
            </w:r>
          </w:p>
        </w:tc>
        <w:tc>
          <w:tcPr>
            <w:tcW w:w="1350" w:type="dxa"/>
          </w:tcPr>
          <w:p w14:paraId="40A4A0BF" w14:textId="691B0E8F" w:rsidR="00680315" w:rsidRPr="00680315" w:rsidRDefault="00EC7093" w:rsidP="009B3451">
            <w:pPr>
              <w:widowControl/>
              <w:autoSpaceDE/>
              <w:autoSpaceDN/>
              <w:adjustRightInd/>
              <w:rPr>
                <w:sz w:val="22"/>
                <w:szCs w:val="22"/>
              </w:rPr>
            </w:pPr>
            <w:r>
              <w:rPr>
                <w:sz w:val="22"/>
                <w:szCs w:val="22"/>
              </w:rPr>
              <w:t>7/30/2023</w:t>
            </w:r>
          </w:p>
        </w:tc>
        <w:tc>
          <w:tcPr>
            <w:tcW w:w="1362" w:type="dxa"/>
          </w:tcPr>
          <w:p w14:paraId="06B785AC" w14:textId="6127F29D" w:rsidR="00680315" w:rsidRPr="00680315" w:rsidRDefault="00EC7093" w:rsidP="009B3451">
            <w:pPr>
              <w:rPr>
                <w:sz w:val="22"/>
                <w:szCs w:val="22"/>
              </w:rPr>
            </w:pPr>
            <w:r>
              <w:rPr>
                <w:sz w:val="22"/>
                <w:szCs w:val="22"/>
              </w:rPr>
              <w:t>2/10/2023</w:t>
            </w:r>
          </w:p>
        </w:tc>
      </w:tr>
      <w:tr w:rsidR="00680315" w:rsidRPr="00680315" w14:paraId="591251E3" w14:textId="77777777" w:rsidTr="00EC7093">
        <w:trPr>
          <w:trHeight w:val="517"/>
        </w:trPr>
        <w:tc>
          <w:tcPr>
            <w:tcW w:w="2875" w:type="dxa"/>
          </w:tcPr>
          <w:p w14:paraId="3B53A904" w14:textId="77777777" w:rsidR="00EC7093" w:rsidRPr="00EC7093" w:rsidRDefault="00EC7093" w:rsidP="00EC7093">
            <w:pPr>
              <w:rPr>
                <w:sz w:val="22"/>
                <w:szCs w:val="22"/>
              </w:rPr>
            </w:pPr>
            <w:r w:rsidRPr="00EC7093">
              <w:rPr>
                <w:sz w:val="22"/>
                <w:szCs w:val="22"/>
              </w:rPr>
              <w:t>National Emphasis Program on Warehousing and Distribution Center Operations</w:t>
            </w:r>
          </w:p>
          <w:p w14:paraId="1387E303" w14:textId="77777777" w:rsidR="00EC7093" w:rsidRPr="00EC7093" w:rsidRDefault="00EC7093" w:rsidP="00EC7093">
            <w:pPr>
              <w:rPr>
                <w:sz w:val="22"/>
                <w:szCs w:val="22"/>
              </w:rPr>
            </w:pPr>
            <w:r w:rsidRPr="00EC7093">
              <w:rPr>
                <w:sz w:val="22"/>
                <w:szCs w:val="22"/>
              </w:rPr>
              <w:t>CPL 03-00-026</w:t>
            </w:r>
          </w:p>
          <w:p w14:paraId="1A0B9D22" w14:textId="77777777" w:rsidR="00680315" w:rsidRDefault="00EC7093" w:rsidP="00EC7093">
            <w:pPr>
              <w:rPr>
                <w:sz w:val="22"/>
                <w:szCs w:val="22"/>
              </w:rPr>
            </w:pPr>
            <w:r w:rsidRPr="00EC7093">
              <w:rPr>
                <w:sz w:val="22"/>
                <w:szCs w:val="22"/>
              </w:rPr>
              <w:t>(7/13/2023)</w:t>
            </w:r>
          </w:p>
          <w:p w14:paraId="6D2329BD" w14:textId="5F1C946C" w:rsidR="00667751" w:rsidRPr="00680315" w:rsidRDefault="00667751" w:rsidP="00EC7093">
            <w:pPr>
              <w:rPr>
                <w:sz w:val="22"/>
                <w:szCs w:val="22"/>
              </w:rPr>
            </w:pPr>
          </w:p>
        </w:tc>
        <w:tc>
          <w:tcPr>
            <w:tcW w:w="1350" w:type="dxa"/>
          </w:tcPr>
          <w:p w14:paraId="7905311E" w14:textId="51AD704A" w:rsidR="00680315" w:rsidRPr="00680315" w:rsidRDefault="00EC7093" w:rsidP="009B3451">
            <w:pPr>
              <w:rPr>
                <w:sz w:val="22"/>
                <w:szCs w:val="22"/>
              </w:rPr>
            </w:pPr>
            <w:r>
              <w:rPr>
                <w:sz w:val="22"/>
                <w:szCs w:val="22"/>
              </w:rPr>
              <w:t>9/11/2023</w:t>
            </w:r>
          </w:p>
        </w:tc>
        <w:tc>
          <w:tcPr>
            <w:tcW w:w="1260" w:type="dxa"/>
          </w:tcPr>
          <w:p w14:paraId="573A36AC" w14:textId="483C89AC" w:rsidR="00680315" w:rsidRPr="00680315" w:rsidRDefault="008C7241" w:rsidP="009B3451">
            <w:pPr>
              <w:rPr>
                <w:sz w:val="22"/>
                <w:szCs w:val="22"/>
              </w:rPr>
            </w:pPr>
            <w:r>
              <w:rPr>
                <w:sz w:val="22"/>
                <w:szCs w:val="22"/>
              </w:rPr>
              <w:t>12/20/2023</w:t>
            </w:r>
          </w:p>
        </w:tc>
        <w:tc>
          <w:tcPr>
            <w:tcW w:w="990" w:type="dxa"/>
          </w:tcPr>
          <w:p w14:paraId="6F50382D" w14:textId="557A5EE1" w:rsidR="00680315" w:rsidRPr="00680315" w:rsidRDefault="008C7241" w:rsidP="00770948">
            <w:pPr>
              <w:rPr>
                <w:sz w:val="22"/>
                <w:szCs w:val="22"/>
              </w:rPr>
            </w:pPr>
            <w:r>
              <w:rPr>
                <w:sz w:val="22"/>
                <w:szCs w:val="22"/>
              </w:rPr>
              <w:t>Y</w:t>
            </w:r>
          </w:p>
        </w:tc>
        <w:tc>
          <w:tcPr>
            <w:tcW w:w="1080" w:type="dxa"/>
          </w:tcPr>
          <w:p w14:paraId="7388126D" w14:textId="5296BDF2" w:rsidR="00680315" w:rsidRPr="00680315" w:rsidRDefault="008C7241" w:rsidP="00770948">
            <w:pPr>
              <w:rPr>
                <w:sz w:val="22"/>
                <w:szCs w:val="22"/>
              </w:rPr>
            </w:pPr>
            <w:r>
              <w:rPr>
                <w:sz w:val="22"/>
                <w:szCs w:val="22"/>
              </w:rPr>
              <w:t>Y</w:t>
            </w:r>
          </w:p>
        </w:tc>
        <w:tc>
          <w:tcPr>
            <w:tcW w:w="1350" w:type="dxa"/>
          </w:tcPr>
          <w:p w14:paraId="66487912" w14:textId="6F6E72C1" w:rsidR="00680315" w:rsidRPr="00680315" w:rsidRDefault="00EC7093" w:rsidP="00770948">
            <w:pPr>
              <w:rPr>
                <w:sz w:val="22"/>
                <w:szCs w:val="22"/>
              </w:rPr>
            </w:pPr>
            <w:r>
              <w:rPr>
                <w:sz w:val="22"/>
                <w:szCs w:val="22"/>
              </w:rPr>
              <w:t>1/9/2024</w:t>
            </w:r>
          </w:p>
        </w:tc>
        <w:tc>
          <w:tcPr>
            <w:tcW w:w="1362" w:type="dxa"/>
          </w:tcPr>
          <w:p w14:paraId="05599769" w14:textId="2672A92A" w:rsidR="00680315" w:rsidRPr="00680315" w:rsidRDefault="008C7241" w:rsidP="00770948">
            <w:pPr>
              <w:rPr>
                <w:sz w:val="22"/>
                <w:szCs w:val="22"/>
              </w:rPr>
            </w:pPr>
            <w:r>
              <w:rPr>
                <w:sz w:val="22"/>
                <w:szCs w:val="22"/>
              </w:rPr>
              <w:t>12/20/2023</w:t>
            </w:r>
          </w:p>
        </w:tc>
      </w:tr>
      <w:tr w:rsidR="00AA4155" w:rsidRPr="00680315" w14:paraId="46EB04AC" w14:textId="77777777" w:rsidTr="005D1101">
        <w:trPr>
          <w:trHeight w:val="288"/>
        </w:trPr>
        <w:tc>
          <w:tcPr>
            <w:tcW w:w="2875" w:type="dxa"/>
          </w:tcPr>
          <w:p w14:paraId="2C31A872" w14:textId="78F5594A" w:rsidR="00AA4155" w:rsidRPr="00680315" w:rsidRDefault="00AA4155" w:rsidP="00770948">
            <w:pPr>
              <w:widowControl/>
              <w:autoSpaceDE/>
              <w:autoSpaceDN/>
              <w:adjustRightInd/>
              <w:rPr>
                <w:sz w:val="22"/>
                <w:szCs w:val="22"/>
              </w:rPr>
            </w:pPr>
            <w:r w:rsidRPr="00680315">
              <w:rPr>
                <w:b/>
                <w:i/>
                <w:sz w:val="22"/>
                <w:szCs w:val="22"/>
              </w:rPr>
              <w:t>Equivalency Required</w:t>
            </w:r>
          </w:p>
        </w:tc>
        <w:tc>
          <w:tcPr>
            <w:tcW w:w="1350" w:type="dxa"/>
          </w:tcPr>
          <w:p w14:paraId="0817DB9C" w14:textId="77777777" w:rsidR="00AA4155" w:rsidRPr="00680315" w:rsidRDefault="00AA4155" w:rsidP="00770948">
            <w:pPr>
              <w:jc w:val="center"/>
              <w:rPr>
                <w:sz w:val="22"/>
                <w:szCs w:val="22"/>
              </w:rPr>
            </w:pPr>
          </w:p>
        </w:tc>
        <w:tc>
          <w:tcPr>
            <w:tcW w:w="1260" w:type="dxa"/>
          </w:tcPr>
          <w:p w14:paraId="16509A02" w14:textId="77777777" w:rsidR="00AA4155" w:rsidRPr="00680315" w:rsidRDefault="00AA4155" w:rsidP="00770948">
            <w:pPr>
              <w:jc w:val="center"/>
              <w:rPr>
                <w:sz w:val="22"/>
                <w:szCs w:val="22"/>
              </w:rPr>
            </w:pPr>
          </w:p>
        </w:tc>
        <w:tc>
          <w:tcPr>
            <w:tcW w:w="990" w:type="dxa"/>
          </w:tcPr>
          <w:p w14:paraId="2D310A41" w14:textId="77777777" w:rsidR="00AA4155" w:rsidRPr="00680315" w:rsidRDefault="00AA4155" w:rsidP="00770948">
            <w:pPr>
              <w:jc w:val="center"/>
              <w:rPr>
                <w:sz w:val="22"/>
                <w:szCs w:val="22"/>
              </w:rPr>
            </w:pPr>
          </w:p>
        </w:tc>
        <w:tc>
          <w:tcPr>
            <w:tcW w:w="1080" w:type="dxa"/>
          </w:tcPr>
          <w:p w14:paraId="4D633D0C" w14:textId="77777777" w:rsidR="00AA4155" w:rsidRPr="00680315" w:rsidRDefault="00AA4155" w:rsidP="00770948">
            <w:pPr>
              <w:jc w:val="center"/>
              <w:rPr>
                <w:sz w:val="22"/>
                <w:szCs w:val="22"/>
              </w:rPr>
            </w:pPr>
          </w:p>
        </w:tc>
        <w:tc>
          <w:tcPr>
            <w:tcW w:w="1350" w:type="dxa"/>
          </w:tcPr>
          <w:p w14:paraId="7329E29A" w14:textId="77777777" w:rsidR="00AA4155" w:rsidRPr="00680315" w:rsidRDefault="00AA4155" w:rsidP="00770948">
            <w:pPr>
              <w:widowControl/>
              <w:autoSpaceDE/>
              <w:autoSpaceDN/>
              <w:adjustRightInd/>
              <w:jc w:val="center"/>
              <w:rPr>
                <w:sz w:val="22"/>
                <w:szCs w:val="22"/>
              </w:rPr>
            </w:pPr>
          </w:p>
        </w:tc>
        <w:tc>
          <w:tcPr>
            <w:tcW w:w="1362" w:type="dxa"/>
          </w:tcPr>
          <w:p w14:paraId="28E727B5" w14:textId="77777777" w:rsidR="00AA4155" w:rsidRPr="00680315" w:rsidRDefault="00AA4155" w:rsidP="00770948">
            <w:pPr>
              <w:jc w:val="center"/>
              <w:rPr>
                <w:sz w:val="22"/>
                <w:szCs w:val="22"/>
              </w:rPr>
            </w:pPr>
          </w:p>
        </w:tc>
      </w:tr>
      <w:tr w:rsidR="00680315" w:rsidRPr="00680315" w14:paraId="0281891C" w14:textId="77777777" w:rsidTr="005D1101">
        <w:trPr>
          <w:trHeight w:val="288"/>
        </w:trPr>
        <w:tc>
          <w:tcPr>
            <w:tcW w:w="2875" w:type="dxa"/>
          </w:tcPr>
          <w:p w14:paraId="744E6CE6" w14:textId="77777777" w:rsidR="00BE6959" w:rsidRPr="00BE6959" w:rsidRDefault="00BE6959" w:rsidP="00BE6959">
            <w:pPr>
              <w:widowControl/>
              <w:autoSpaceDE/>
              <w:autoSpaceDN/>
              <w:adjustRightInd/>
              <w:rPr>
                <w:sz w:val="22"/>
                <w:szCs w:val="22"/>
              </w:rPr>
            </w:pPr>
            <w:r w:rsidRPr="00BE6959">
              <w:rPr>
                <w:sz w:val="22"/>
                <w:szCs w:val="22"/>
              </w:rPr>
              <w:t>Compliance Directive for Cranes and Derricks in Construction Standard</w:t>
            </w:r>
          </w:p>
          <w:p w14:paraId="7FB49CF7" w14:textId="77777777" w:rsidR="00BE6959" w:rsidRPr="00BE6959" w:rsidRDefault="00BE6959" w:rsidP="00BE6959">
            <w:pPr>
              <w:widowControl/>
              <w:autoSpaceDE/>
              <w:autoSpaceDN/>
              <w:adjustRightInd/>
              <w:rPr>
                <w:sz w:val="22"/>
                <w:szCs w:val="22"/>
              </w:rPr>
            </w:pPr>
            <w:r w:rsidRPr="00BE6959">
              <w:rPr>
                <w:sz w:val="22"/>
                <w:szCs w:val="22"/>
              </w:rPr>
              <w:t>CPL 02-01-063</w:t>
            </w:r>
          </w:p>
          <w:p w14:paraId="429ACE4D" w14:textId="4EF6B687" w:rsidR="00680315" w:rsidRPr="00680315" w:rsidRDefault="00BE6959" w:rsidP="00BE6959">
            <w:pPr>
              <w:widowControl/>
              <w:autoSpaceDE/>
              <w:autoSpaceDN/>
              <w:adjustRightInd/>
              <w:rPr>
                <w:sz w:val="22"/>
                <w:szCs w:val="22"/>
              </w:rPr>
            </w:pPr>
            <w:r w:rsidRPr="00BE6959">
              <w:rPr>
                <w:sz w:val="22"/>
                <w:szCs w:val="22"/>
              </w:rPr>
              <w:t>(2/11/2022)</w:t>
            </w:r>
          </w:p>
        </w:tc>
        <w:tc>
          <w:tcPr>
            <w:tcW w:w="1350" w:type="dxa"/>
          </w:tcPr>
          <w:p w14:paraId="47E92821" w14:textId="0B76B6FE" w:rsidR="00680315" w:rsidRPr="00680315" w:rsidRDefault="00BE6959" w:rsidP="009B3451">
            <w:pPr>
              <w:rPr>
                <w:sz w:val="22"/>
                <w:szCs w:val="22"/>
              </w:rPr>
            </w:pPr>
            <w:r>
              <w:rPr>
                <w:sz w:val="22"/>
                <w:szCs w:val="22"/>
              </w:rPr>
              <w:t>7/3/2022</w:t>
            </w:r>
          </w:p>
        </w:tc>
        <w:tc>
          <w:tcPr>
            <w:tcW w:w="1260" w:type="dxa"/>
          </w:tcPr>
          <w:p w14:paraId="56B550C1" w14:textId="577CCFB4" w:rsidR="00680315" w:rsidRPr="00680315" w:rsidRDefault="00BE6959" w:rsidP="009B3451">
            <w:pPr>
              <w:rPr>
                <w:sz w:val="22"/>
                <w:szCs w:val="22"/>
              </w:rPr>
            </w:pPr>
            <w:r>
              <w:rPr>
                <w:sz w:val="22"/>
                <w:szCs w:val="22"/>
              </w:rPr>
              <w:t>8/1/2022</w:t>
            </w:r>
          </w:p>
        </w:tc>
        <w:tc>
          <w:tcPr>
            <w:tcW w:w="990" w:type="dxa"/>
          </w:tcPr>
          <w:p w14:paraId="04E7E2FE" w14:textId="6A39101E" w:rsidR="00680315" w:rsidRPr="00680315" w:rsidRDefault="00BE6959" w:rsidP="009B3451">
            <w:pPr>
              <w:rPr>
                <w:sz w:val="22"/>
                <w:szCs w:val="22"/>
              </w:rPr>
            </w:pPr>
            <w:r>
              <w:rPr>
                <w:sz w:val="22"/>
                <w:szCs w:val="22"/>
              </w:rPr>
              <w:t>Y</w:t>
            </w:r>
          </w:p>
        </w:tc>
        <w:tc>
          <w:tcPr>
            <w:tcW w:w="1080" w:type="dxa"/>
          </w:tcPr>
          <w:p w14:paraId="4EFBECCF" w14:textId="2A2C4609" w:rsidR="00680315" w:rsidRPr="00680315" w:rsidRDefault="00BE6959" w:rsidP="009B3451">
            <w:pPr>
              <w:rPr>
                <w:sz w:val="22"/>
                <w:szCs w:val="22"/>
              </w:rPr>
            </w:pPr>
            <w:r>
              <w:rPr>
                <w:sz w:val="22"/>
                <w:szCs w:val="22"/>
              </w:rPr>
              <w:t>Y</w:t>
            </w:r>
          </w:p>
        </w:tc>
        <w:tc>
          <w:tcPr>
            <w:tcW w:w="1350" w:type="dxa"/>
          </w:tcPr>
          <w:p w14:paraId="31B8A66E" w14:textId="25892537" w:rsidR="00680315" w:rsidRPr="00680315" w:rsidRDefault="00BE6959" w:rsidP="009B3451">
            <w:pPr>
              <w:widowControl/>
              <w:autoSpaceDE/>
              <w:autoSpaceDN/>
              <w:adjustRightInd/>
              <w:rPr>
                <w:sz w:val="22"/>
                <w:szCs w:val="22"/>
              </w:rPr>
            </w:pPr>
            <w:r>
              <w:rPr>
                <w:sz w:val="22"/>
                <w:szCs w:val="22"/>
              </w:rPr>
              <w:t>11/3/2022</w:t>
            </w:r>
          </w:p>
        </w:tc>
        <w:tc>
          <w:tcPr>
            <w:tcW w:w="1362" w:type="dxa"/>
          </w:tcPr>
          <w:p w14:paraId="13D58CA6" w14:textId="25759EB8" w:rsidR="00680315" w:rsidRPr="00680315" w:rsidRDefault="00BE6959" w:rsidP="009B3451">
            <w:pPr>
              <w:rPr>
                <w:sz w:val="22"/>
                <w:szCs w:val="22"/>
              </w:rPr>
            </w:pPr>
            <w:r>
              <w:rPr>
                <w:sz w:val="22"/>
                <w:szCs w:val="22"/>
              </w:rPr>
              <w:t>7/13/2022</w:t>
            </w:r>
          </w:p>
        </w:tc>
      </w:tr>
      <w:tr w:rsidR="00680315" w:rsidRPr="00680315" w14:paraId="4B762919" w14:textId="77777777" w:rsidTr="005D1101">
        <w:trPr>
          <w:trHeight w:val="288"/>
        </w:trPr>
        <w:tc>
          <w:tcPr>
            <w:tcW w:w="2875" w:type="dxa"/>
          </w:tcPr>
          <w:p w14:paraId="5A413196" w14:textId="77777777" w:rsidR="00BE6959" w:rsidRPr="00BE6959" w:rsidRDefault="00680315" w:rsidP="00BE6959">
            <w:pPr>
              <w:widowControl/>
              <w:autoSpaceDE/>
              <w:autoSpaceDN/>
              <w:adjustRightInd/>
              <w:rPr>
                <w:sz w:val="22"/>
                <w:szCs w:val="22"/>
              </w:rPr>
            </w:pPr>
            <w:r w:rsidRPr="00680315">
              <w:rPr>
                <w:sz w:val="22"/>
                <w:szCs w:val="22"/>
              </w:rPr>
              <w:t xml:space="preserve"> </w:t>
            </w:r>
            <w:r w:rsidR="00BE6959" w:rsidRPr="00BE6959">
              <w:rPr>
                <w:sz w:val="22"/>
                <w:szCs w:val="22"/>
              </w:rPr>
              <w:t>OSHA Whistleblower Investigations Manual</w:t>
            </w:r>
          </w:p>
          <w:p w14:paraId="12182156" w14:textId="77777777" w:rsidR="00BE6959" w:rsidRPr="00BE6959" w:rsidRDefault="00BE6959" w:rsidP="00BE6959">
            <w:pPr>
              <w:widowControl/>
              <w:autoSpaceDE/>
              <w:autoSpaceDN/>
              <w:adjustRightInd/>
              <w:rPr>
                <w:sz w:val="22"/>
                <w:szCs w:val="22"/>
              </w:rPr>
            </w:pPr>
            <w:r w:rsidRPr="00BE6959">
              <w:rPr>
                <w:sz w:val="22"/>
                <w:szCs w:val="22"/>
              </w:rPr>
              <w:t>CPL 02-03-011</w:t>
            </w:r>
          </w:p>
          <w:p w14:paraId="5EA2A60B" w14:textId="42C38B8D" w:rsidR="00680315" w:rsidRPr="00680315" w:rsidRDefault="00BE6959" w:rsidP="00BE6959">
            <w:pPr>
              <w:widowControl/>
              <w:autoSpaceDE/>
              <w:autoSpaceDN/>
              <w:adjustRightInd/>
              <w:rPr>
                <w:sz w:val="22"/>
                <w:szCs w:val="22"/>
              </w:rPr>
            </w:pPr>
            <w:r w:rsidRPr="00BE6959">
              <w:rPr>
                <w:sz w:val="22"/>
                <w:szCs w:val="22"/>
              </w:rPr>
              <w:t>(4/29/2022)</w:t>
            </w:r>
          </w:p>
        </w:tc>
        <w:tc>
          <w:tcPr>
            <w:tcW w:w="1350" w:type="dxa"/>
          </w:tcPr>
          <w:p w14:paraId="20C8DC00" w14:textId="6B8A63CA" w:rsidR="00680315" w:rsidRPr="00680315" w:rsidRDefault="00BE6959" w:rsidP="009B3451">
            <w:pPr>
              <w:rPr>
                <w:sz w:val="22"/>
                <w:szCs w:val="22"/>
              </w:rPr>
            </w:pPr>
            <w:r>
              <w:rPr>
                <w:sz w:val="22"/>
                <w:szCs w:val="22"/>
              </w:rPr>
              <w:t>10/11/2022</w:t>
            </w:r>
          </w:p>
        </w:tc>
        <w:tc>
          <w:tcPr>
            <w:tcW w:w="1260" w:type="dxa"/>
          </w:tcPr>
          <w:p w14:paraId="54ACA3F8" w14:textId="22B76501" w:rsidR="00680315" w:rsidRPr="00680315" w:rsidRDefault="00BE6959" w:rsidP="009B3451">
            <w:pPr>
              <w:rPr>
                <w:sz w:val="22"/>
                <w:szCs w:val="22"/>
              </w:rPr>
            </w:pPr>
            <w:r>
              <w:rPr>
                <w:sz w:val="22"/>
                <w:szCs w:val="22"/>
              </w:rPr>
              <w:t>10/11/2022</w:t>
            </w:r>
          </w:p>
        </w:tc>
        <w:tc>
          <w:tcPr>
            <w:tcW w:w="990" w:type="dxa"/>
          </w:tcPr>
          <w:p w14:paraId="7E1B553B" w14:textId="70AAA942" w:rsidR="00680315" w:rsidRPr="00680315" w:rsidRDefault="00BE6959" w:rsidP="009B3451">
            <w:pPr>
              <w:rPr>
                <w:sz w:val="22"/>
                <w:szCs w:val="22"/>
              </w:rPr>
            </w:pPr>
            <w:r>
              <w:rPr>
                <w:sz w:val="22"/>
                <w:szCs w:val="22"/>
              </w:rPr>
              <w:t>Y</w:t>
            </w:r>
          </w:p>
        </w:tc>
        <w:tc>
          <w:tcPr>
            <w:tcW w:w="1080" w:type="dxa"/>
          </w:tcPr>
          <w:p w14:paraId="79A1A719" w14:textId="5E2C3745" w:rsidR="00680315" w:rsidRPr="00680315" w:rsidRDefault="00BE6959" w:rsidP="009B3451">
            <w:pPr>
              <w:rPr>
                <w:sz w:val="22"/>
                <w:szCs w:val="22"/>
              </w:rPr>
            </w:pPr>
            <w:r>
              <w:rPr>
                <w:sz w:val="22"/>
                <w:szCs w:val="22"/>
              </w:rPr>
              <w:t>N</w:t>
            </w:r>
          </w:p>
        </w:tc>
        <w:tc>
          <w:tcPr>
            <w:tcW w:w="1350" w:type="dxa"/>
          </w:tcPr>
          <w:p w14:paraId="49947539" w14:textId="29195BCD" w:rsidR="00680315" w:rsidRPr="00680315" w:rsidRDefault="00BE6959" w:rsidP="009B3451">
            <w:pPr>
              <w:rPr>
                <w:sz w:val="22"/>
                <w:szCs w:val="22"/>
              </w:rPr>
            </w:pPr>
            <w:r>
              <w:rPr>
                <w:sz w:val="22"/>
                <w:szCs w:val="22"/>
              </w:rPr>
              <w:t>2/11/2023</w:t>
            </w:r>
          </w:p>
        </w:tc>
        <w:tc>
          <w:tcPr>
            <w:tcW w:w="1362" w:type="dxa"/>
          </w:tcPr>
          <w:p w14:paraId="5F61F162" w14:textId="202924F3" w:rsidR="00680315" w:rsidRPr="00680315" w:rsidRDefault="00BE6959" w:rsidP="009B3451">
            <w:pPr>
              <w:rPr>
                <w:sz w:val="22"/>
                <w:szCs w:val="22"/>
              </w:rPr>
            </w:pPr>
            <w:r>
              <w:rPr>
                <w:sz w:val="22"/>
                <w:szCs w:val="22"/>
              </w:rPr>
              <w:t>2/11/2023</w:t>
            </w:r>
          </w:p>
        </w:tc>
      </w:tr>
      <w:tr w:rsidR="00BE6959" w:rsidRPr="00680315" w14:paraId="4EB2BB94" w14:textId="77777777" w:rsidTr="005D1101">
        <w:trPr>
          <w:trHeight w:val="288"/>
        </w:trPr>
        <w:tc>
          <w:tcPr>
            <w:tcW w:w="2875" w:type="dxa"/>
          </w:tcPr>
          <w:p w14:paraId="14CD5C74" w14:textId="77777777" w:rsidR="00BE6959" w:rsidRPr="00BE6959" w:rsidRDefault="00BE6959" w:rsidP="00BE6959">
            <w:pPr>
              <w:widowControl/>
              <w:autoSpaceDE/>
              <w:autoSpaceDN/>
              <w:adjustRightInd/>
              <w:rPr>
                <w:sz w:val="22"/>
                <w:szCs w:val="22"/>
              </w:rPr>
            </w:pPr>
            <w:r w:rsidRPr="00BE6959">
              <w:rPr>
                <w:sz w:val="22"/>
                <w:szCs w:val="22"/>
              </w:rPr>
              <w:t>Severe Violator Enforcement Program (SVEP)</w:t>
            </w:r>
          </w:p>
          <w:p w14:paraId="25608C8F" w14:textId="77777777" w:rsidR="00BE6959" w:rsidRPr="00BE6959" w:rsidRDefault="00BE6959" w:rsidP="00BE6959">
            <w:pPr>
              <w:widowControl/>
              <w:autoSpaceDE/>
              <w:autoSpaceDN/>
              <w:adjustRightInd/>
              <w:rPr>
                <w:sz w:val="22"/>
                <w:szCs w:val="22"/>
              </w:rPr>
            </w:pPr>
            <w:r w:rsidRPr="00BE6959">
              <w:rPr>
                <w:sz w:val="22"/>
                <w:szCs w:val="22"/>
              </w:rPr>
              <w:t>CPL 02-00-169</w:t>
            </w:r>
          </w:p>
          <w:p w14:paraId="6B72431B" w14:textId="77777777" w:rsidR="00BE6959" w:rsidRDefault="00BE6959" w:rsidP="00BE6959">
            <w:pPr>
              <w:widowControl/>
              <w:autoSpaceDE/>
              <w:autoSpaceDN/>
              <w:adjustRightInd/>
              <w:rPr>
                <w:sz w:val="22"/>
                <w:szCs w:val="22"/>
              </w:rPr>
            </w:pPr>
            <w:r w:rsidRPr="00BE6959">
              <w:rPr>
                <w:sz w:val="22"/>
                <w:szCs w:val="22"/>
              </w:rPr>
              <w:t>(9/15/2022)</w:t>
            </w:r>
          </w:p>
          <w:p w14:paraId="2C2BC7BC" w14:textId="77777777" w:rsidR="0097324B" w:rsidRDefault="0097324B" w:rsidP="00BE6959">
            <w:pPr>
              <w:widowControl/>
              <w:autoSpaceDE/>
              <w:autoSpaceDN/>
              <w:adjustRightInd/>
              <w:rPr>
                <w:sz w:val="22"/>
                <w:szCs w:val="22"/>
              </w:rPr>
            </w:pPr>
          </w:p>
          <w:p w14:paraId="66003A20" w14:textId="03FD0931" w:rsidR="0097324B" w:rsidRPr="00680315" w:rsidRDefault="0097324B" w:rsidP="00BE6959">
            <w:pPr>
              <w:widowControl/>
              <w:autoSpaceDE/>
              <w:autoSpaceDN/>
              <w:adjustRightInd/>
              <w:rPr>
                <w:sz w:val="22"/>
                <w:szCs w:val="22"/>
              </w:rPr>
            </w:pPr>
          </w:p>
        </w:tc>
        <w:tc>
          <w:tcPr>
            <w:tcW w:w="1350" w:type="dxa"/>
          </w:tcPr>
          <w:p w14:paraId="31C2C374" w14:textId="122B4983" w:rsidR="00BE6959" w:rsidRDefault="00BE6959" w:rsidP="009B3451">
            <w:pPr>
              <w:rPr>
                <w:sz w:val="22"/>
                <w:szCs w:val="22"/>
              </w:rPr>
            </w:pPr>
            <w:r>
              <w:rPr>
                <w:sz w:val="22"/>
                <w:szCs w:val="22"/>
              </w:rPr>
              <w:t>11/15/2022</w:t>
            </w:r>
          </w:p>
        </w:tc>
        <w:tc>
          <w:tcPr>
            <w:tcW w:w="1260" w:type="dxa"/>
          </w:tcPr>
          <w:p w14:paraId="17D10D37" w14:textId="0A5576E5" w:rsidR="00BE6959" w:rsidRDefault="00BE6959" w:rsidP="009B3451">
            <w:pPr>
              <w:rPr>
                <w:sz w:val="22"/>
                <w:szCs w:val="22"/>
              </w:rPr>
            </w:pPr>
            <w:r>
              <w:rPr>
                <w:sz w:val="22"/>
                <w:szCs w:val="22"/>
              </w:rPr>
              <w:t>11/15/2022</w:t>
            </w:r>
          </w:p>
        </w:tc>
        <w:tc>
          <w:tcPr>
            <w:tcW w:w="990" w:type="dxa"/>
          </w:tcPr>
          <w:p w14:paraId="49F4A2D0" w14:textId="0BBEF1CE" w:rsidR="00BE6959" w:rsidRDefault="00BE6959" w:rsidP="009B3451">
            <w:pPr>
              <w:rPr>
                <w:sz w:val="22"/>
                <w:szCs w:val="22"/>
              </w:rPr>
            </w:pPr>
            <w:r>
              <w:rPr>
                <w:sz w:val="22"/>
                <w:szCs w:val="22"/>
              </w:rPr>
              <w:t>Y</w:t>
            </w:r>
          </w:p>
        </w:tc>
        <w:tc>
          <w:tcPr>
            <w:tcW w:w="1080" w:type="dxa"/>
          </w:tcPr>
          <w:p w14:paraId="4916E95E" w14:textId="374F31AC" w:rsidR="00BE6959" w:rsidRDefault="00BE6959" w:rsidP="009B3451">
            <w:pPr>
              <w:rPr>
                <w:sz w:val="22"/>
                <w:szCs w:val="22"/>
              </w:rPr>
            </w:pPr>
            <w:r>
              <w:rPr>
                <w:sz w:val="22"/>
                <w:szCs w:val="22"/>
              </w:rPr>
              <w:t>Y</w:t>
            </w:r>
          </w:p>
        </w:tc>
        <w:tc>
          <w:tcPr>
            <w:tcW w:w="1350" w:type="dxa"/>
          </w:tcPr>
          <w:p w14:paraId="0F0392E5" w14:textId="7436B86C" w:rsidR="00BE6959" w:rsidRDefault="00BE6959" w:rsidP="009B3451">
            <w:pPr>
              <w:rPr>
                <w:sz w:val="22"/>
                <w:szCs w:val="22"/>
              </w:rPr>
            </w:pPr>
            <w:r>
              <w:rPr>
                <w:sz w:val="22"/>
                <w:szCs w:val="22"/>
              </w:rPr>
              <w:t>3/15/2022</w:t>
            </w:r>
          </w:p>
        </w:tc>
        <w:tc>
          <w:tcPr>
            <w:tcW w:w="1362" w:type="dxa"/>
          </w:tcPr>
          <w:p w14:paraId="17270335" w14:textId="001AD20C" w:rsidR="00BE6959" w:rsidRDefault="00BE6959" w:rsidP="009B3451">
            <w:pPr>
              <w:rPr>
                <w:sz w:val="22"/>
                <w:szCs w:val="22"/>
              </w:rPr>
            </w:pPr>
            <w:r>
              <w:rPr>
                <w:sz w:val="22"/>
                <w:szCs w:val="22"/>
              </w:rPr>
              <w:t>4/15/2023</w:t>
            </w:r>
          </w:p>
        </w:tc>
      </w:tr>
      <w:tr w:rsidR="00BE6959" w:rsidRPr="00680315" w14:paraId="22872250" w14:textId="77777777" w:rsidTr="005D1101">
        <w:trPr>
          <w:trHeight w:val="288"/>
        </w:trPr>
        <w:tc>
          <w:tcPr>
            <w:tcW w:w="2875" w:type="dxa"/>
          </w:tcPr>
          <w:p w14:paraId="23265924" w14:textId="77777777" w:rsidR="00BE6959" w:rsidRPr="00BE6959" w:rsidRDefault="00BE6959" w:rsidP="00BE6959">
            <w:pPr>
              <w:widowControl/>
              <w:autoSpaceDE/>
              <w:autoSpaceDN/>
              <w:adjustRightInd/>
              <w:rPr>
                <w:sz w:val="22"/>
                <w:szCs w:val="22"/>
              </w:rPr>
            </w:pPr>
            <w:r w:rsidRPr="00BE6959">
              <w:rPr>
                <w:sz w:val="22"/>
                <w:szCs w:val="22"/>
              </w:rPr>
              <w:t>Site-Specific Targeting (SST)</w:t>
            </w:r>
          </w:p>
          <w:p w14:paraId="11366D8F" w14:textId="77777777" w:rsidR="00BE6959" w:rsidRPr="00BE6959" w:rsidRDefault="00BE6959" w:rsidP="00BE6959">
            <w:pPr>
              <w:widowControl/>
              <w:autoSpaceDE/>
              <w:autoSpaceDN/>
              <w:adjustRightInd/>
              <w:rPr>
                <w:sz w:val="22"/>
                <w:szCs w:val="22"/>
              </w:rPr>
            </w:pPr>
            <w:r w:rsidRPr="00BE6959">
              <w:rPr>
                <w:sz w:val="22"/>
                <w:szCs w:val="22"/>
              </w:rPr>
              <w:t>CPL 02-01-064</w:t>
            </w:r>
          </w:p>
          <w:p w14:paraId="5058F2D6" w14:textId="7015B241" w:rsidR="00BE6959" w:rsidRPr="00BE6959" w:rsidRDefault="00BE6959" w:rsidP="00BE6959">
            <w:pPr>
              <w:widowControl/>
              <w:autoSpaceDE/>
              <w:autoSpaceDN/>
              <w:adjustRightInd/>
              <w:rPr>
                <w:sz w:val="22"/>
                <w:szCs w:val="22"/>
              </w:rPr>
            </w:pPr>
            <w:r w:rsidRPr="00BE6959">
              <w:rPr>
                <w:sz w:val="22"/>
                <w:szCs w:val="22"/>
              </w:rPr>
              <w:lastRenderedPageBreak/>
              <w:t>(2/7/2023)</w:t>
            </w:r>
          </w:p>
        </w:tc>
        <w:tc>
          <w:tcPr>
            <w:tcW w:w="1350" w:type="dxa"/>
          </w:tcPr>
          <w:p w14:paraId="7F68ECA8" w14:textId="5F6CE32A" w:rsidR="00BE6959" w:rsidRDefault="00BE6959" w:rsidP="009B3451">
            <w:pPr>
              <w:rPr>
                <w:sz w:val="22"/>
                <w:szCs w:val="22"/>
              </w:rPr>
            </w:pPr>
            <w:r>
              <w:rPr>
                <w:sz w:val="22"/>
                <w:szCs w:val="22"/>
              </w:rPr>
              <w:lastRenderedPageBreak/>
              <w:t>4/8/2023</w:t>
            </w:r>
          </w:p>
        </w:tc>
        <w:tc>
          <w:tcPr>
            <w:tcW w:w="1260" w:type="dxa"/>
          </w:tcPr>
          <w:p w14:paraId="774BDEF7" w14:textId="0E3C0FB0" w:rsidR="00BE6959" w:rsidRDefault="00BE6959" w:rsidP="009B3451">
            <w:pPr>
              <w:rPr>
                <w:sz w:val="22"/>
                <w:szCs w:val="22"/>
              </w:rPr>
            </w:pPr>
            <w:r>
              <w:rPr>
                <w:sz w:val="22"/>
                <w:szCs w:val="22"/>
              </w:rPr>
              <w:t>5/8/2023</w:t>
            </w:r>
          </w:p>
        </w:tc>
        <w:tc>
          <w:tcPr>
            <w:tcW w:w="990" w:type="dxa"/>
          </w:tcPr>
          <w:p w14:paraId="34B5A656" w14:textId="24F20C3C" w:rsidR="00BE6959" w:rsidRDefault="00BE6959" w:rsidP="009B3451">
            <w:pPr>
              <w:rPr>
                <w:sz w:val="22"/>
                <w:szCs w:val="22"/>
              </w:rPr>
            </w:pPr>
            <w:r>
              <w:rPr>
                <w:sz w:val="22"/>
                <w:szCs w:val="22"/>
              </w:rPr>
              <w:t>N</w:t>
            </w:r>
          </w:p>
        </w:tc>
        <w:tc>
          <w:tcPr>
            <w:tcW w:w="1080" w:type="dxa"/>
          </w:tcPr>
          <w:p w14:paraId="37BB0DC8" w14:textId="18BE0CD6" w:rsidR="00BE6959" w:rsidRDefault="00BE6959" w:rsidP="009B3451">
            <w:pPr>
              <w:rPr>
                <w:sz w:val="22"/>
                <w:szCs w:val="22"/>
              </w:rPr>
            </w:pPr>
            <w:r>
              <w:rPr>
                <w:sz w:val="22"/>
                <w:szCs w:val="22"/>
              </w:rPr>
              <w:t>N</w:t>
            </w:r>
            <w:r w:rsidR="009B3451">
              <w:rPr>
                <w:sz w:val="22"/>
                <w:szCs w:val="22"/>
              </w:rPr>
              <w:t>/A</w:t>
            </w:r>
          </w:p>
        </w:tc>
        <w:tc>
          <w:tcPr>
            <w:tcW w:w="1350" w:type="dxa"/>
          </w:tcPr>
          <w:p w14:paraId="1E0C71A6" w14:textId="73944246" w:rsidR="00BE6959" w:rsidRDefault="00BE6959" w:rsidP="009B3451">
            <w:pPr>
              <w:rPr>
                <w:sz w:val="22"/>
                <w:szCs w:val="22"/>
              </w:rPr>
            </w:pPr>
            <w:r>
              <w:rPr>
                <w:sz w:val="22"/>
                <w:szCs w:val="22"/>
              </w:rPr>
              <w:t>8/6/2023</w:t>
            </w:r>
          </w:p>
        </w:tc>
        <w:tc>
          <w:tcPr>
            <w:tcW w:w="1362" w:type="dxa"/>
          </w:tcPr>
          <w:p w14:paraId="5E70A56D" w14:textId="13935A0F" w:rsidR="00BE6959" w:rsidRDefault="00BE6959" w:rsidP="009B3451">
            <w:pPr>
              <w:rPr>
                <w:sz w:val="22"/>
                <w:szCs w:val="22"/>
              </w:rPr>
            </w:pPr>
            <w:r>
              <w:rPr>
                <w:sz w:val="22"/>
                <w:szCs w:val="22"/>
              </w:rPr>
              <w:t xml:space="preserve">SLG workers </w:t>
            </w:r>
            <w:r>
              <w:rPr>
                <w:sz w:val="22"/>
                <w:szCs w:val="22"/>
              </w:rPr>
              <w:lastRenderedPageBreak/>
              <w:t>only</w:t>
            </w:r>
          </w:p>
        </w:tc>
      </w:tr>
      <w:tr w:rsidR="00BE6959" w:rsidRPr="00680315" w14:paraId="7EB8131A" w14:textId="77777777" w:rsidTr="005D1101">
        <w:trPr>
          <w:trHeight w:val="288"/>
        </w:trPr>
        <w:tc>
          <w:tcPr>
            <w:tcW w:w="2875" w:type="dxa"/>
          </w:tcPr>
          <w:p w14:paraId="6101879E" w14:textId="77777777" w:rsidR="00BE6959" w:rsidRPr="00BE6959" w:rsidRDefault="00BE6959" w:rsidP="00BE6959">
            <w:pPr>
              <w:widowControl/>
              <w:autoSpaceDE/>
              <w:autoSpaceDN/>
              <w:adjustRightInd/>
              <w:rPr>
                <w:sz w:val="22"/>
                <w:szCs w:val="22"/>
              </w:rPr>
            </w:pPr>
            <w:r w:rsidRPr="00BE6959">
              <w:rPr>
                <w:sz w:val="22"/>
                <w:szCs w:val="22"/>
              </w:rPr>
              <w:lastRenderedPageBreak/>
              <w:t>National Emphasis Program – Falls</w:t>
            </w:r>
          </w:p>
          <w:p w14:paraId="12BCB336" w14:textId="77777777" w:rsidR="00BE6959" w:rsidRPr="00BE6959" w:rsidRDefault="00BE6959" w:rsidP="00BE6959">
            <w:pPr>
              <w:widowControl/>
              <w:autoSpaceDE/>
              <w:autoSpaceDN/>
              <w:adjustRightInd/>
              <w:rPr>
                <w:sz w:val="22"/>
                <w:szCs w:val="22"/>
              </w:rPr>
            </w:pPr>
            <w:r w:rsidRPr="00BE6959">
              <w:rPr>
                <w:sz w:val="22"/>
                <w:szCs w:val="22"/>
              </w:rPr>
              <w:t>CPL 03-00-025</w:t>
            </w:r>
          </w:p>
          <w:p w14:paraId="03D84B87" w14:textId="6C33C6ED" w:rsidR="00BE6959" w:rsidRPr="00BE6959" w:rsidRDefault="00BE6959" w:rsidP="00BE6959">
            <w:pPr>
              <w:widowControl/>
              <w:autoSpaceDE/>
              <w:autoSpaceDN/>
              <w:adjustRightInd/>
              <w:rPr>
                <w:sz w:val="22"/>
                <w:szCs w:val="22"/>
              </w:rPr>
            </w:pPr>
            <w:r w:rsidRPr="00BE6959">
              <w:rPr>
                <w:sz w:val="22"/>
                <w:szCs w:val="22"/>
              </w:rPr>
              <w:t>(5/1/2023)</w:t>
            </w:r>
          </w:p>
        </w:tc>
        <w:tc>
          <w:tcPr>
            <w:tcW w:w="1350" w:type="dxa"/>
          </w:tcPr>
          <w:p w14:paraId="1BD61CF6" w14:textId="4F5BC80B" w:rsidR="00BE6959" w:rsidRDefault="009B3451" w:rsidP="009B3451">
            <w:pPr>
              <w:rPr>
                <w:sz w:val="22"/>
                <w:szCs w:val="22"/>
              </w:rPr>
            </w:pPr>
            <w:r>
              <w:rPr>
                <w:sz w:val="22"/>
                <w:szCs w:val="22"/>
              </w:rPr>
              <w:t>6/30/2023</w:t>
            </w:r>
          </w:p>
        </w:tc>
        <w:tc>
          <w:tcPr>
            <w:tcW w:w="1260" w:type="dxa"/>
          </w:tcPr>
          <w:p w14:paraId="0021D593" w14:textId="44352401" w:rsidR="00BE6959" w:rsidRDefault="009B3451" w:rsidP="009B3451">
            <w:pPr>
              <w:rPr>
                <w:sz w:val="22"/>
                <w:szCs w:val="22"/>
              </w:rPr>
            </w:pPr>
            <w:r>
              <w:rPr>
                <w:sz w:val="22"/>
                <w:szCs w:val="22"/>
              </w:rPr>
              <w:t>6/30/2023</w:t>
            </w:r>
          </w:p>
        </w:tc>
        <w:tc>
          <w:tcPr>
            <w:tcW w:w="990" w:type="dxa"/>
          </w:tcPr>
          <w:p w14:paraId="2D0B1177" w14:textId="4FCDF994" w:rsidR="00BE6959" w:rsidRDefault="009B3451" w:rsidP="009B3451">
            <w:pPr>
              <w:rPr>
                <w:sz w:val="22"/>
                <w:szCs w:val="22"/>
              </w:rPr>
            </w:pPr>
            <w:r>
              <w:rPr>
                <w:sz w:val="22"/>
                <w:szCs w:val="22"/>
              </w:rPr>
              <w:t>Y</w:t>
            </w:r>
          </w:p>
        </w:tc>
        <w:tc>
          <w:tcPr>
            <w:tcW w:w="1080" w:type="dxa"/>
          </w:tcPr>
          <w:p w14:paraId="1CA9CA64" w14:textId="2BEC8064" w:rsidR="00BE6959" w:rsidRDefault="009B3451" w:rsidP="009B3451">
            <w:pPr>
              <w:rPr>
                <w:sz w:val="22"/>
                <w:szCs w:val="22"/>
              </w:rPr>
            </w:pPr>
            <w:r>
              <w:rPr>
                <w:sz w:val="22"/>
                <w:szCs w:val="22"/>
              </w:rPr>
              <w:t>Y</w:t>
            </w:r>
          </w:p>
        </w:tc>
        <w:tc>
          <w:tcPr>
            <w:tcW w:w="1350" w:type="dxa"/>
          </w:tcPr>
          <w:p w14:paraId="38C61D1E" w14:textId="78EF544E" w:rsidR="00BE6959" w:rsidRDefault="009B3451" w:rsidP="009B3451">
            <w:pPr>
              <w:rPr>
                <w:sz w:val="22"/>
                <w:szCs w:val="22"/>
              </w:rPr>
            </w:pPr>
            <w:r>
              <w:rPr>
                <w:sz w:val="22"/>
                <w:szCs w:val="22"/>
              </w:rPr>
              <w:t>10/28/2023</w:t>
            </w:r>
          </w:p>
        </w:tc>
        <w:tc>
          <w:tcPr>
            <w:tcW w:w="1362" w:type="dxa"/>
          </w:tcPr>
          <w:p w14:paraId="2357E9FB" w14:textId="5A15CD84" w:rsidR="00BE6959" w:rsidRDefault="009B3451" w:rsidP="009B3451">
            <w:pPr>
              <w:rPr>
                <w:sz w:val="22"/>
                <w:szCs w:val="22"/>
              </w:rPr>
            </w:pPr>
            <w:r>
              <w:rPr>
                <w:sz w:val="22"/>
                <w:szCs w:val="22"/>
              </w:rPr>
              <w:t>12/20/2023</w:t>
            </w:r>
          </w:p>
        </w:tc>
      </w:tr>
      <w:tr w:rsidR="009B3451" w:rsidRPr="00680315" w14:paraId="4841CDD7" w14:textId="77777777" w:rsidTr="005D1101">
        <w:trPr>
          <w:trHeight w:val="288"/>
        </w:trPr>
        <w:tc>
          <w:tcPr>
            <w:tcW w:w="2875" w:type="dxa"/>
          </w:tcPr>
          <w:p w14:paraId="57246377" w14:textId="77777777" w:rsidR="009B3451" w:rsidRPr="009B3451" w:rsidRDefault="009B3451" w:rsidP="009B3451">
            <w:pPr>
              <w:widowControl/>
              <w:autoSpaceDE/>
              <w:autoSpaceDN/>
              <w:adjustRightInd/>
              <w:rPr>
                <w:sz w:val="22"/>
                <w:szCs w:val="22"/>
              </w:rPr>
            </w:pPr>
            <w:r w:rsidRPr="009B3451">
              <w:rPr>
                <w:sz w:val="22"/>
                <w:szCs w:val="22"/>
              </w:rPr>
              <w:t xml:space="preserve">Consultation Policies and Procedures Manual </w:t>
            </w:r>
          </w:p>
          <w:p w14:paraId="2A08AD6A" w14:textId="77777777" w:rsidR="009B3451" w:rsidRPr="009B3451" w:rsidRDefault="009B3451" w:rsidP="009B3451">
            <w:pPr>
              <w:widowControl/>
              <w:autoSpaceDE/>
              <w:autoSpaceDN/>
              <w:adjustRightInd/>
              <w:rPr>
                <w:sz w:val="22"/>
                <w:szCs w:val="22"/>
              </w:rPr>
            </w:pPr>
            <w:r w:rsidRPr="009B3451">
              <w:rPr>
                <w:sz w:val="22"/>
                <w:szCs w:val="22"/>
              </w:rPr>
              <w:t>CSP 02-00-005</w:t>
            </w:r>
          </w:p>
          <w:p w14:paraId="2A5A6C5F" w14:textId="77777777" w:rsidR="009B3451" w:rsidRDefault="009B3451" w:rsidP="009B3451">
            <w:pPr>
              <w:widowControl/>
              <w:autoSpaceDE/>
              <w:autoSpaceDN/>
              <w:adjustRightInd/>
              <w:rPr>
                <w:sz w:val="22"/>
                <w:szCs w:val="22"/>
              </w:rPr>
            </w:pPr>
            <w:r w:rsidRPr="009B3451">
              <w:rPr>
                <w:sz w:val="22"/>
                <w:szCs w:val="22"/>
              </w:rPr>
              <w:t xml:space="preserve">(9/29/2023)   </w:t>
            </w:r>
          </w:p>
          <w:p w14:paraId="678FF972" w14:textId="29F1858A" w:rsidR="009B3451" w:rsidRPr="00BE6959" w:rsidRDefault="009B3451" w:rsidP="009B3451">
            <w:pPr>
              <w:widowControl/>
              <w:autoSpaceDE/>
              <w:autoSpaceDN/>
              <w:adjustRightInd/>
              <w:rPr>
                <w:sz w:val="22"/>
                <w:szCs w:val="22"/>
              </w:rPr>
            </w:pPr>
          </w:p>
        </w:tc>
        <w:tc>
          <w:tcPr>
            <w:tcW w:w="1350" w:type="dxa"/>
          </w:tcPr>
          <w:p w14:paraId="1961793C" w14:textId="5E02AB0B" w:rsidR="009B3451" w:rsidRDefault="009B3451" w:rsidP="009B3451">
            <w:pPr>
              <w:rPr>
                <w:sz w:val="22"/>
                <w:szCs w:val="22"/>
              </w:rPr>
            </w:pPr>
            <w:r>
              <w:rPr>
                <w:sz w:val="22"/>
                <w:szCs w:val="22"/>
              </w:rPr>
              <w:t>11/28/2023</w:t>
            </w:r>
          </w:p>
        </w:tc>
        <w:tc>
          <w:tcPr>
            <w:tcW w:w="1260" w:type="dxa"/>
          </w:tcPr>
          <w:p w14:paraId="4B74BF13" w14:textId="386A34DC" w:rsidR="009B3451" w:rsidRDefault="009B3451" w:rsidP="009B3451">
            <w:pPr>
              <w:rPr>
                <w:sz w:val="22"/>
                <w:szCs w:val="22"/>
              </w:rPr>
            </w:pPr>
            <w:r>
              <w:rPr>
                <w:sz w:val="22"/>
                <w:szCs w:val="22"/>
              </w:rPr>
              <w:t>6/30/2023</w:t>
            </w:r>
          </w:p>
        </w:tc>
        <w:tc>
          <w:tcPr>
            <w:tcW w:w="990" w:type="dxa"/>
          </w:tcPr>
          <w:p w14:paraId="58D3124B" w14:textId="5D7AA414" w:rsidR="009B3451" w:rsidRDefault="009B3451" w:rsidP="009B3451">
            <w:pPr>
              <w:rPr>
                <w:sz w:val="22"/>
                <w:szCs w:val="22"/>
              </w:rPr>
            </w:pPr>
            <w:r>
              <w:rPr>
                <w:sz w:val="22"/>
                <w:szCs w:val="22"/>
              </w:rPr>
              <w:t>Y</w:t>
            </w:r>
          </w:p>
        </w:tc>
        <w:tc>
          <w:tcPr>
            <w:tcW w:w="1080" w:type="dxa"/>
          </w:tcPr>
          <w:p w14:paraId="3471B1A5" w14:textId="44F56A08" w:rsidR="009B3451" w:rsidRDefault="009B3451" w:rsidP="009B3451">
            <w:pPr>
              <w:rPr>
                <w:sz w:val="22"/>
                <w:szCs w:val="22"/>
              </w:rPr>
            </w:pPr>
            <w:r>
              <w:rPr>
                <w:sz w:val="22"/>
                <w:szCs w:val="22"/>
              </w:rPr>
              <w:t>N</w:t>
            </w:r>
          </w:p>
        </w:tc>
        <w:tc>
          <w:tcPr>
            <w:tcW w:w="1350" w:type="dxa"/>
          </w:tcPr>
          <w:p w14:paraId="08B8DE16" w14:textId="0C558DD8" w:rsidR="009B3451" w:rsidRDefault="009B3451" w:rsidP="009B3451">
            <w:pPr>
              <w:rPr>
                <w:sz w:val="22"/>
                <w:szCs w:val="22"/>
              </w:rPr>
            </w:pPr>
            <w:r>
              <w:rPr>
                <w:sz w:val="22"/>
                <w:szCs w:val="22"/>
              </w:rPr>
              <w:t>3/27/2024</w:t>
            </w:r>
          </w:p>
        </w:tc>
        <w:tc>
          <w:tcPr>
            <w:tcW w:w="1362" w:type="dxa"/>
          </w:tcPr>
          <w:p w14:paraId="372CAEFC" w14:textId="2E56EA24" w:rsidR="009B3451" w:rsidRDefault="00651B09" w:rsidP="00651B09">
            <w:pPr>
              <w:rPr>
                <w:sz w:val="22"/>
                <w:szCs w:val="22"/>
              </w:rPr>
            </w:pPr>
            <w:r>
              <w:rPr>
                <w:sz w:val="22"/>
                <w:szCs w:val="22"/>
              </w:rPr>
              <w:t xml:space="preserve"> </w:t>
            </w:r>
          </w:p>
        </w:tc>
      </w:tr>
      <w:tr w:rsidR="00AA4155" w:rsidRPr="00680315" w14:paraId="4B0E55C9" w14:textId="77777777" w:rsidTr="005D1101">
        <w:trPr>
          <w:trHeight w:val="323"/>
        </w:trPr>
        <w:tc>
          <w:tcPr>
            <w:tcW w:w="2875" w:type="dxa"/>
          </w:tcPr>
          <w:p w14:paraId="7B19E2EF" w14:textId="7FFDDB34" w:rsidR="00AA4155" w:rsidRPr="00680315" w:rsidRDefault="00AA4155" w:rsidP="00770948">
            <w:pPr>
              <w:widowControl/>
              <w:autoSpaceDE/>
              <w:autoSpaceDN/>
              <w:adjustRightInd/>
              <w:rPr>
                <w:sz w:val="22"/>
                <w:szCs w:val="22"/>
              </w:rPr>
            </w:pPr>
            <w:r w:rsidRPr="00680315">
              <w:rPr>
                <w:b/>
                <w:i/>
                <w:sz w:val="22"/>
                <w:szCs w:val="22"/>
              </w:rPr>
              <w:t>Adoption Encouraged</w:t>
            </w:r>
          </w:p>
        </w:tc>
        <w:tc>
          <w:tcPr>
            <w:tcW w:w="1350" w:type="dxa"/>
          </w:tcPr>
          <w:p w14:paraId="2B23DD77" w14:textId="77777777" w:rsidR="00AA4155" w:rsidRPr="00680315" w:rsidRDefault="00AA4155" w:rsidP="00770948">
            <w:pPr>
              <w:jc w:val="center"/>
              <w:rPr>
                <w:sz w:val="22"/>
                <w:szCs w:val="22"/>
              </w:rPr>
            </w:pPr>
          </w:p>
        </w:tc>
        <w:tc>
          <w:tcPr>
            <w:tcW w:w="1260" w:type="dxa"/>
          </w:tcPr>
          <w:p w14:paraId="19F3F4C6" w14:textId="77777777" w:rsidR="00AA4155" w:rsidRPr="00680315" w:rsidRDefault="00AA4155" w:rsidP="00770948">
            <w:pPr>
              <w:jc w:val="center"/>
              <w:rPr>
                <w:sz w:val="22"/>
                <w:szCs w:val="22"/>
              </w:rPr>
            </w:pPr>
          </w:p>
        </w:tc>
        <w:tc>
          <w:tcPr>
            <w:tcW w:w="990" w:type="dxa"/>
          </w:tcPr>
          <w:p w14:paraId="3F0221E7" w14:textId="77777777" w:rsidR="00AA4155" w:rsidRPr="00680315" w:rsidRDefault="00AA4155" w:rsidP="00770948">
            <w:pPr>
              <w:jc w:val="center"/>
              <w:rPr>
                <w:sz w:val="22"/>
                <w:szCs w:val="22"/>
              </w:rPr>
            </w:pPr>
          </w:p>
        </w:tc>
        <w:tc>
          <w:tcPr>
            <w:tcW w:w="1080" w:type="dxa"/>
          </w:tcPr>
          <w:p w14:paraId="4FDB69D1" w14:textId="77777777" w:rsidR="00AA4155" w:rsidRPr="00680315" w:rsidRDefault="00AA4155" w:rsidP="00770948">
            <w:pPr>
              <w:jc w:val="center"/>
              <w:rPr>
                <w:sz w:val="22"/>
                <w:szCs w:val="22"/>
              </w:rPr>
            </w:pPr>
          </w:p>
        </w:tc>
        <w:tc>
          <w:tcPr>
            <w:tcW w:w="1350" w:type="dxa"/>
          </w:tcPr>
          <w:p w14:paraId="2F775B08" w14:textId="77777777" w:rsidR="00AA4155" w:rsidRPr="00680315" w:rsidRDefault="00AA4155" w:rsidP="00770948">
            <w:pPr>
              <w:rPr>
                <w:sz w:val="22"/>
                <w:szCs w:val="22"/>
              </w:rPr>
            </w:pPr>
          </w:p>
        </w:tc>
        <w:tc>
          <w:tcPr>
            <w:tcW w:w="1362" w:type="dxa"/>
          </w:tcPr>
          <w:p w14:paraId="10EC0F29" w14:textId="77777777" w:rsidR="00AA4155" w:rsidRPr="00680315" w:rsidRDefault="00AA4155" w:rsidP="00770948">
            <w:pPr>
              <w:jc w:val="center"/>
              <w:rPr>
                <w:sz w:val="22"/>
                <w:szCs w:val="22"/>
              </w:rPr>
            </w:pPr>
          </w:p>
        </w:tc>
      </w:tr>
      <w:tr w:rsidR="00680315" w:rsidRPr="00680315" w14:paraId="7D273ACB" w14:textId="77777777" w:rsidTr="005D1101">
        <w:trPr>
          <w:trHeight w:val="1205"/>
        </w:trPr>
        <w:tc>
          <w:tcPr>
            <w:tcW w:w="2875" w:type="dxa"/>
          </w:tcPr>
          <w:p w14:paraId="68A47E87" w14:textId="77777777" w:rsidR="009B3451" w:rsidRPr="009B3451" w:rsidRDefault="009B3451" w:rsidP="009B3451">
            <w:pPr>
              <w:widowControl/>
              <w:autoSpaceDE/>
              <w:autoSpaceDN/>
              <w:adjustRightInd/>
              <w:rPr>
                <w:sz w:val="22"/>
                <w:szCs w:val="22"/>
              </w:rPr>
            </w:pPr>
            <w:r w:rsidRPr="009B3451">
              <w:rPr>
                <w:sz w:val="22"/>
                <w:szCs w:val="22"/>
              </w:rPr>
              <w:t>OSHA’s Use of Small Unmanned Aircraft Systems</w:t>
            </w:r>
          </w:p>
          <w:p w14:paraId="0996E8E6" w14:textId="77777777" w:rsidR="009B3451" w:rsidRPr="009B3451" w:rsidRDefault="009B3451" w:rsidP="009B3451">
            <w:pPr>
              <w:widowControl/>
              <w:autoSpaceDE/>
              <w:autoSpaceDN/>
              <w:adjustRightInd/>
              <w:rPr>
                <w:sz w:val="22"/>
                <w:szCs w:val="22"/>
              </w:rPr>
            </w:pPr>
            <w:r w:rsidRPr="009B3451">
              <w:rPr>
                <w:sz w:val="22"/>
                <w:szCs w:val="22"/>
              </w:rPr>
              <w:t>CPL 02-01-169</w:t>
            </w:r>
          </w:p>
          <w:p w14:paraId="4F71AB31" w14:textId="7D716996" w:rsidR="00680315" w:rsidRPr="00680315" w:rsidRDefault="009B3451" w:rsidP="009B3451">
            <w:pPr>
              <w:widowControl/>
              <w:autoSpaceDE/>
              <w:autoSpaceDN/>
              <w:adjustRightInd/>
              <w:rPr>
                <w:sz w:val="22"/>
                <w:szCs w:val="22"/>
              </w:rPr>
            </w:pPr>
            <w:r w:rsidRPr="009B3451">
              <w:rPr>
                <w:sz w:val="22"/>
                <w:szCs w:val="22"/>
              </w:rPr>
              <w:t>(12/22/2021)</w:t>
            </w:r>
          </w:p>
        </w:tc>
        <w:tc>
          <w:tcPr>
            <w:tcW w:w="1350" w:type="dxa"/>
          </w:tcPr>
          <w:p w14:paraId="56C159A1" w14:textId="769BD7F4" w:rsidR="00680315" w:rsidRPr="00680315" w:rsidRDefault="009B3451" w:rsidP="009B3451">
            <w:pPr>
              <w:rPr>
                <w:sz w:val="22"/>
                <w:szCs w:val="22"/>
              </w:rPr>
            </w:pPr>
            <w:r>
              <w:rPr>
                <w:sz w:val="22"/>
                <w:szCs w:val="22"/>
              </w:rPr>
              <w:t>2/22/2022</w:t>
            </w:r>
          </w:p>
        </w:tc>
        <w:tc>
          <w:tcPr>
            <w:tcW w:w="1260" w:type="dxa"/>
          </w:tcPr>
          <w:p w14:paraId="529865BB" w14:textId="4BC1BA3C" w:rsidR="00680315" w:rsidRPr="00680315" w:rsidRDefault="009B3451" w:rsidP="009B3451">
            <w:pPr>
              <w:rPr>
                <w:sz w:val="22"/>
                <w:szCs w:val="22"/>
              </w:rPr>
            </w:pPr>
            <w:r>
              <w:rPr>
                <w:sz w:val="22"/>
                <w:szCs w:val="22"/>
              </w:rPr>
              <w:t>2/18/2022</w:t>
            </w:r>
          </w:p>
        </w:tc>
        <w:tc>
          <w:tcPr>
            <w:tcW w:w="990" w:type="dxa"/>
          </w:tcPr>
          <w:p w14:paraId="3B839485" w14:textId="62127805" w:rsidR="00680315" w:rsidRPr="00680315" w:rsidRDefault="009B3451" w:rsidP="009B3451">
            <w:pPr>
              <w:rPr>
                <w:sz w:val="22"/>
                <w:szCs w:val="22"/>
              </w:rPr>
            </w:pPr>
            <w:r>
              <w:rPr>
                <w:sz w:val="22"/>
                <w:szCs w:val="22"/>
              </w:rPr>
              <w:t>N</w:t>
            </w:r>
          </w:p>
        </w:tc>
        <w:tc>
          <w:tcPr>
            <w:tcW w:w="1080" w:type="dxa"/>
          </w:tcPr>
          <w:p w14:paraId="41E58723" w14:textId="51A5CACA" w:rsidR="00680315" w:rsidRPr="00680315" w:rsidRDefault="009B3451" w:rsidP="009B3451">
            <w:pPr>
              <w:rPr>
                <w:sz w:val="22"/>
                <w:szCs w:val="22"/>
              </w:rPr>
            </w:pPr>
            <w:r>
              <w:rPr>
                <w:sz w:val="22"/>
                <w:szCs w:val="22"/>
              </w:rPr>
              <w:t>N/A</w:t>
            </w:r>
          </w:p>
        </w:tc>
        <w:tc>
          <w:tcPr>
            <w:tcW w:w="1350" w:type="dxa"/>
          </w:tcPr>
          <w:p w14:paraId="1D7E14DF" w14:textId="7AB058E1" w:rsidR="00680315" w:rsidRPr="00680315" w:rsidRDefault="00D453B8" w:rsidP="009B3451">
            <w:pPr>
              <w:rPr>
                <w:sz w:val="22"/>
                <w:szCs w:val="22"/>
              </w:rPr>
            </w:pPr>
            <w:r>
              <w:rPr>
                <w:sz w:val="22"/>
                <w:szCs w:val="22"/>
              </w:rPr>
              <w:t>N/A</w:t>
            </w:r>
          </w:p>
        </w:tc>
        <w:tc>
          <w:tcPr>
            <w:tcW w:w="1362" w:type="dxa"/>
          </w:tcPr>
          <w:p w14:paraId="08F3699C" w14:textId="77777777" w:rsidR="00680315" w:rsidRPr="00680315" w:rsidRDefault="00680315" w:rsidP="00770948">
            <w:pPr>
              <w:jc w:val="center"/>
              <w:rPr>
                <w:sz w:val="22"/>
                <w:szCs w:val="22"/>
              </w:rPr>
            </w:pPr>
          </w:p>
        </w:tc>
      </w:tr>
      <w:tr w:rsidR="00680315" w:rsidRPr="00680315" w14:paraId="50F0BE20" w14:textId="77777777" w:rsidTr="005D1101">
        <w:trPr>
          <w:trHeight w:val="1430"/>
        </w:trPr>
        <w:tc>
          <w:tcPr>
            <w:tcW w:w="2875" w:type="dxa"/>
          </w:tcPr>
          <w:p w14:paraId="18BF215A" w14:textId="77777777" w:rsidR="009B3451" w:rsidRPr="009B3451" w:rsidRDefault="009B3451" w:rsidP="009B3451">
            <w:pPr>
              <w:widowControl/>
              <w:autoSpaceDE/>
              <w:autoSpaceDN/>
              <w:adjustRightInd/>
              <w:rPr>
                <w:sz w:val="22"/>
                <w:szCs w:val="22"/>
              </w:rPr>
            </w:pPr>
            <w:r w:rsidRPr="009B3451">
              <w:rPr>
                <w:sz w:val="22"/>
                <w:szCs w:val="22"/>
              </w:rPr>
              <w:t>National Emphasis Program – Outdoor and Indoor Heat-Related Hazards</w:t>
            </w:r>
          </w:p>
          <w:p w14:paraId="776F4AEA" w14:textId="77777777" w:rsidR="009B3451" w:rsidRPr="009B3451" w:rsidRDefault="009B3451" w:rsidP="009B3451">
            <w:pPr>
              <w:widowControl/>
              <w:autoSpaceDE/>
              <w:autoSpaceDN/>
              <w:adjustRightInd/>
              <w:rPr>
                <w:sz w:val="22"/>
                <w:szCs w:val="22"/>
              </w:rPr>
            </w:pPr>
            <w:r w:rsidRPr="009B3451">
              <w:rPr>
                <w:sz w:val="22"/>
                <w:szCs w:val="22"/>
              </w:rPr>
              <w:t>CPL 03-00-024</w:t>
            </w:r>
          </w:p>
          <w:p w14:paraId="3F418520" w14:textId="0399EF51" w:rsidR="00680315" w:rsidRPr="00680315" w:rsidRDefault="009B3451" w:rsidP="009B3451">
            <w:pPr>
              <w:widowControl/>
              <w:autoSpaceDE/>
              <w:autoSpaceDN/>
              <w:adjustRightInd/>
              <w:rPr>
                <w:sz w:val="22"/>
                <w:szCs w:val="22"/>
              </w:rPr>
            </w:pPr>
            <w:r w:rsidRPr="009B3451">
              <w:rPr>
                <w:sz w:val="22"/>
                <w:szCs w:val="22"/>
              </w:rPr>
              <w:t>(4/8/2022)</w:t>
            </w:r>
          </w:p>
        </w:tc>
        <w:tc>
          <w:tcPr>
            <w:tcW w:w="1350" w:type="dxa"/>
          </w:tcPr>
          <w:p w14:paraId="4F9D005B" w14:textId="01F9B1EC" w:rsidR="00680315" w:rsidRPr="00680315" w:rsidRDefault="009B3451" w:rsidP="009B3451">
            <w:pPr>
              <w:rPr>
                <w:sz w:val="22"/>
                <w:szCs w:val="22"/>
              </w:rPr>
            </w:pPr>
            <w:r>
              <w:rPr>
                <w:sz w:val="22"/>
                <w:szCs w:val="22"/>
              </w:rPr>
              <w:t>6/8/2022</w:t>
            </w:r>
          </w:p>
        </w:tc>
        <w:tc>
          <w:tcPr>
            <w:tcW w:w="1260" w:type="dxa"/>
          </w:tcPr>
          <w:p w14:paraId="552373D5" w14:textId="59429D65" w:rsidR="00680315" w:rsidRPr="00680315" w:rsidRDefault="009B3451" w:rsidP="009B3451">
            <w:pPr>
              <w:rPr>
                <w:sz w:val="22"/>
                <w:szCs w:val="22"/>
              </w:rPr>
            </w:pPr>
            <w:r>
              <w:rPr>
                <w:sz w:val="22"/>
                <w:szCs w:val="22"/>
              </w:rPr>
              <w:t>6/14/2022</w:t>
            </w:r>
          </w:p>
        </w:tc>
        <w:tc>
          <w:tcPr>
            <w:tcW w:w="990" w:type="dxa"/>
          </w:tcPr>
          <w:p w14:paraId="4C1F84E0" w14:textId="6B9D0933" w:rsidR="00680315" w:rsidRPr="00680315" w:rsidRDefault="009B3451" w:rsidP="009B3451">
            <w:pPr>
              <w:rPr>
                <w:sz w:val="22"/>
                <w:szCs w:val="22"/>
              </w:rPr>
            </w:pPr>
            <w:r>
              <w:rPr>
                <w:sz w:val="22"/>
                <w:szCs w:val="22"/>
              </w:rPr>
              <w:t>Y</w:t>
            </w:r>
          </w:p>
        </w:tc>
        <w:tc>
          <w:tcPr>
            <w:tcW w:w="1080" w:type="dxa"/>
          </w:tcPr>
          <w:p w14:paraId="70395EB0" w14:textId="0276DDBF" w:rsidR="00680315" w:rsidRPr="00680315" w:rsidRDefault="009B3451" w:rsidP="009B3451">
            <w:pPr>
              <w:rPr>
                <w:sz w:val="22"/>
                <w:szCs w:val="22"/>
              </w:rPr>
            </w:pPr>
            <w:r>
              <w:rPr>
                <w:sz w:val="22"/>
                <w:szCs w:val="22"/>
              </w:rPr>
              <w:t>Y</w:t>
            </w:r>
          </w:p>
        </w:tc>
        <w:tc>
          <w:tcPr>
            <w:tcW w:w="1350" w:type="dxa"/>
          </w:tcPr>
          <w:p w14:paraId="63F2738E" w14:textId="1192E4B8" w:rsidR="00680315" w:rsidRPr="00680315" w:rsidRDefault="00D453B8" w:rsidP="00770948">
            <w:pPr>
              <w:rPr>
                <w:sz w:val="22"/>
                <w:szCs w:val="22"/>
              </w:rPr>
            </w:pPr>
            <w:r>
              <w:rPr>
                <w:sz w:val="22"/>
                <w:szCs w:val="22"/>
              </w:rPr>
              <w:t>N/A</w:t>
            </w:r>
          </w:p>
        </w:tc>
        <w:tc>
          <w:tcPr>
            <w:tcW w:w="1362" w:type="dxa"/>
          </w:tcPr>
          <w:p w14:paraId="674804E5" w14:textId="46B6A68A" w:rsidR="00680315" w:rsidRPr="00680315" w:rsidRDefault="009B3451" w:rsidP="009B3451">
            <w:pPr>
              <w:rPr>
                <w:sz w:val="22"/>
                <w:szCs w:val="22"/>
              </w:rPr>
            </w:pPr>
            <w:r>
              <w:rPr>
                <w:sz w:val="22"/>
                <w:szCs w:val="22"/>
              </w:rPr>
              <w:t>6/14/2022</w:t>
            </w:r>
          </w:p>
        </w:tc>
      </w:tr>
    </w:tbl>
    <w:p w14:paraId="3EBAB1E9" w14:textId="77777777" w:rsidR="00680315" w:rsidRPr="00687E7D" w:rsidRDefault="00680315" w:rsidP="00680315"/>
    <w:p w14:paraId="1B47FAC8" w14:textId="77777777" w:rsidR="00782EEC" w:rsidRPr="008B1863" w:rsidRDefault="00782EEC" w:rsidP="00680315">
      <w:pPr>
        <w:tabs>
          <w:tab w:val="num" w:pos="1440"/>
        </w:tabs>
      </w:pPr>
    </w:p>
    <w:p w14:paraId="336C9AE8" w14:textId="77777777" w:rsidR="009A23E7" w:rsidRDefault="009C6968" w:rsidP="000D34E1">
      <w:pPr>
        <w:tabs>
          <w:tab w:val="left" w:pos="720"/>
          <w:tab w:val="left" w:pos="810"/>
        </w:tabs>
        <w:ind w:firstLine="360"/>
        <w:rPr>
          <w:b/>
          <w:caps/>
        </w:rPr>
      </w:pPr>
      <w:r>
        <w:rPr>
          <w:b/>
        </w:rPr>
        <w:t>5</w:t>
      </w:r>
      <w:r w:rsidR="00782EEC" w:rsidRPr="008B1863">
        <w:rPr>
          <w:b/>
        </w:rPr>
        <w:t xml:space="preserve">. </w:t>
      </w:r>
      <w:r w:rsidR="009A23E7">
        <w:rPr>
          <w:b/>
        </w:rPr>
        <w:t xml:space="preserve">   </w:t>
      </w:r>
      <w:r w:rsidR="00782EEC" w:rsidRPr="008B1863">
        <w:rPr>
          <w:b/>
          <w:caps/>
        </w:rPr>
        <w:t xml:space="preserve">Variances </w:t>
      </w:r>
    </w:p>
    <w:p w14:paraId="7603DB4F" w14:textId="77777777" w:rsidR="0092288A" w:rsidRDefault="0092288A" w:rsidP="0092288A">
      <w:pPr>
        <w:widowControl/>
        <w:tabs>
          <w:tab w:val="left" w:pos="2430"/>
        </w:tabs>
        <w:autoSpaceDE/>
        <w:autoSpaceDN/>
        <w:adjustRightInd/>
        <w:spacing w:after="200"/>
        <w:ind w:left="2160"/>
        <w:contextualSpacing/>
      </w:pPr>
    </w:p>
    <w:p w14:paraId="1A549021" w14:textId="64B12B13" w:rsidR="00782EEC" w:rsidRPr="00F66AFB" w:rsidRDefault="00651B09" w:rsidP="00651B09">
      <w:pPr>
        <w:widowControl/>
        <w:tabs>
          <w:tab w:val="left" w:pos="2430"/>
        </w:tabs>
        <w:autoSpaceDE/>
        <w:autoSpaceDN/>
        <w:adjustRightInd/>
        <w:spacing w:after="200"/>
        <w:ind w:left="576"/>
        <w:contextualSpacing/>
      </w:pPr>
      <w:r>
        <w:t xml:space="preserve">    </w:t>
      </w:r>
      <w:r w:rsidR="0092288A">
        <w:t xml:space="preserve">There were no variances requested or approved in FY 2022 or FY 2023. </w:t>
      </w:r>
      <w:r w:rsidR="00782EEC" w:rsidRPr="00F66AFB">
        <w:t xml:space="preserve">  </w:t>
      </w:r>
    </w:p>
    <w:p w14:paraId="392A0427" w14:textId="77777777" w:rsidR="00782EEC" w:rsidRPr="008B1863" w:rsidRDefault="00782EEC" w:rsidP="00782EEC"/>
    <w:p w14:paraId="1BEE0E8F" w14:textId="77777777" w:rsidR="00782EEC" w:rsidRPr="008B1863" w:rsidRDefault="00091167" w:rsidP="009A23E7">
      <w:pPr>
        <w:ind w:left="1530" w:hanging="1170"/>
        <w:rPr>
          <w:b/>
          <w:caps/>
        </w:rPr>
      </w:pPr>
      <w:r>
        <w:rPr>
          <w:b/>
        </w:rPr>
        <w:t>6</w:t>
      </w:r>
      <w:r w:rsidR="00782EEC" w:rsidRPr="008B1863">
        <w:rPr>
          <w:b/>
        </w:rPr>
        <w:t xml:space="preserve">. </w:t>
      </w:r>
      <w:r w:rsidR="009A23E7">
        <w:rPr>
          <w:b/>
        </w:rPr>
        <w:t xml:space="preserve">   </w:t>
      </w:r>
      <w:r w:rsidR="00782EEC">
        <w:rPr>
          <w:b/>
          <w:caps/>
        </w:rPr>
        <w:t xml:space="preserve">STATE AND LOCAL government WORKER </w:t>
      </w:r>
      <w:r w:rsidR="00782EEC" w:rsidRPr="008B1863">
        <w:rPr>
          <w:b/>
          <w:caps/>
        </w:rPr>
        <w:t>Program</w:t>
      </w:r>
    </w:p>
    <w:p w14:paraId="6D7687C2" w14:textId="5D87B52E" w:rsidR="00DB1109" w:rsidRDefault="00DB1109" w:rsidP="00602922">
      <w:pPr>
        <w:ind w:left="1800" w:hanging="1440"/>
        <w:rPr>
          <w:b/>
        </w:rPr>
      </w:pPr>
      <w:r>
        <w:rPr>
          <w:b/>
        </w:rPr>
        <w:t xml:space="preserve">        </w:t>
      </w:r>
    </w:p>
    <w:p w14:paraId="3F66CC0E" w14:textId="77777777" w:rsidR="00FA4CFB" w:rsidRDefault="00DB1109" w:rsidP="00651B09">
      <w:pPr>
        <w:ind w:left="1886" w:hanging="1440"/>
        <w:rPr>
          <w:bCs/>
        </w:rPr>
      </w:pPr>
      <w:r>
        <w:rPr>
          <w:b/>
        </w:rPr>
        <w:t xml:space="preserve">       </w:t>
      </w:r>
      <w:r>
        <w:rPr>
          <w:bCs/>
        </w:rPr>
        <w:t xml:space="preserve">NJ PEOSH conducted 100% of their inspections in state and local government workplaces as </w:t>
      </w:r>
    </w:p>
    <w:p w14:paraId="6E5C3BCB" w14:textId="77777777" w:rsidR="00F51168" w:rsidRDefault="00FA4CFB" w:rsidP="00651B09">
      <w:pPr>
        <w:ind w:left="1886" w:hanging="1440"/>
        <w:rPr>
          <w:bCs/>
        </w:rPr>
      </w:pPr>
      <w:r>
        <w:rPr>
          <w:bCs/>
        </w:rPr>
        <w:t xml:space="preserve">       </w:t>
      </w:r>
      <w:r w:rsidR="00DB1109">
        <w:rPr>
          <w:bCs/>
        </w:rPr>
        <w:t>measured by SAMM #6</w:t>
      </w:r>
      <w:r>
        <w:rPr>
          <w:bCs/>
        </w:rPr>
        <w:t xml:space="preserve"> in FY 2022 and FY 2023</w:t>
      </w:r>
      <w:r w:rsidR="00DB1109">
        <w:rPr>
          <w:bCs/>
        </w:rPr>
        <w:t>.</w:t>
      </w:r>
      <w:r>
        <w:rPr>
          <w:bCs/>
        </w:rPr>
        <w:t xml:space="preserve">  NJ PEOSH conducted a total of 454 </w:t>
      </w:r>
    </w:p>
    <w:p w14:paraId="2567ACBD" w14:textId="77777777" w:rsidR="00451DC8" w:rsidRDefault="00F51168" w:rsidP="00651B09">
      <w:pPr>
        <w:ind w:left="1886" w:hanging="1440"/>
        <w:rPr>
          <w:bCs/>
        </w:rPr>
      </w:pPr>
      <w:r>
        <w:rPr>
          <w:bCs/>
        </w:rPr>
        <w:t xml:space="preserve">       </w:t>
      </w:r>
      <w:r w:rsidR="00FA4CFB">
        <w:rPr>
          <w:bCs/>
        </w:rPr>
        <w:t>inspections, 360 safety and 94 health inspections or 86% of their inspection goal for FY 2023</w:t>
      </w:r>
      <w:r w:rsidR="00451DC8">
        <w:rPr>
          <w:bCs/>
        </w:rPr>
        <w:t xml:space="preserve"> </w:t>
      </w:r>
    </w:p>
    <w:p w14:paraId="46B143D0" w14:textId="7F347B95" w:rsidR="00651B09" w:rsidRDefault="00451DC8" w:rsidP="00AF41AB">
      <w:pPr>
        <w:ind w:left="1886" w:hanging="1440"/>
        <w:rPr>
          <w:bCs/>
        </w:rPr>
      </w:pPr>
      <w:r>
        <w:rPr>
          <w:bCs/>
        </w:rPr>
        <w:t xml:space="preserve">      (SAMM</w:t>
      </w:r>
      <w:r w:rsidR="00947D64">
        <w:rPr>
          <w:bCs/>
        </w:rPr>
        <w:t xml:space="preserve"> #7</w:t>
      </w:r>
      <w:r w:rsidR="004B3EA9">
        <w:rPr>
          <w:bCs/>
        </w:rPr>
        <w:t>, FY 2023</w:t>
      </w:r>
      <w:r>
        <w:rPr>
          <w:bCs/>
        </w:rPr>
        <w:t>)</w:t>
      </w:r>
      <w:r w:rsidR="00AF41AB">
        <w:rPr>
          <w:bCs/>
        </w:rPr>
        <w:t>.</w:t>
      </w:r>
    </w:p>
    <w:p w14:paraId="60C5DCC6" w14:textId="03F500F7" w:rsidR="00DB1109" w:rsidRDefault="00FA4CFB" w:rsidP="00DB1109">
      <w:pPr>
        <w:ind w:left="1800" w:hanging="1440"/>
        <w:rPr>
          <w:b/>
        </w:rPr>
      </w:pPr>
      <w:r>
        <w:rPr>
          <w:bCs/>
        </w:rPr>
        <w:t xml:space="preserve">    </w:t>
      </w:r>
      <w:r w:rsidR="00DB1109">
        <w:rPr>
          <w:b/>
        </w:rPr>
        <w:t xml:space="preserve"> </w:t>
      </w:r>
      <w:r>
        <w:rPr>
          <w:b/>
        </w:rPr>
        <w:t xml:space="preserve">  </w:t>
      </w:r>
      <w:r w:rsidR="00DB1109">
        <w:rPr>
          <w:b/>
        </w:rPr>
        <w:t xml:space="preserve">        </w:t>
      </w:r>
    </w:p>
    <w:p w14:paraId="15A4D1D7" w14:textId="47660AE6" w:rsidR="00782EEC" w:rsidRPr="000D34E1" w:rsidRDefault="00091167" w:rsidP="00602922">
      <w:pPr>
        <w:ind w:left="1800" w:hanging="1440"/>
        <w:rPr>
          <w:i/>
        </w:rPr>
      </w:pPr>
      <w:r>
        <w:rPr>
          <w:b/>
        </w:rPr>
        <w:t>7</w:t>
      </w:r>
      <w:r w:rsidR="00782EEC" w:rsidRPr="008B1863">
        <w:rPr>
          <w:b/>
        </w:rPr>
        <w:t xml:space="preserve">.  </w:t>
      </w:r>
      <w:r w:rsidR="00602922">
        <w:rPr>
          <w:b/>
        </w:rPr>
        <w:t xml:space="preserve"> </w:t>
      </w:r>
      <w:r w:rsidR="009A23E7">
        <w:rPr>
          <w:b/>
        </w:rPr>
        <w:t>WHISTL</w:t>
      </w:r>
      <w:r>
        <w:rPr>
          <w:b/>
        </w:rPr>
        <w:t>E</w:t>
      </w:r>
      <w:r w:rsidR="009A23E7">
        <w:rPr>
          <w:b/>
        </w:rPr>
        <w:t>BLOWER</w:t>
      </w:r>
      <w:r w:rsidR="00782EEC">
        <w:rPr>
          <w:b/>
        </w:rPr>
        <w:t xml:space="preserve"> </w:t>
      </w:r>
      <w:r w:rsidR="00782EEC" w:rsidRPr="008B1863">
        <w:rPr>
          <w:b/>
          <w:caps/>
        </w:rPr>
        <w:t>Program</w:t>
      </w:r>
    </w:p>
    <w:p w14:paraId="19FF64F7" w14:textId="77777777" w:rsidR="00BC4909" w:rsidRDefault="00BC4909" w:rsidP="00091167">
      <w:pPr>
        <w:widowControl/>
        <w:autoSpaceDE/>
        <w:autoSpaceDN/>
        <w:adjustRightInd/>
        <w:spacing w:after="200"/>
        <w:ind w:left="1170" w:hanging="360"/>
        <w:contextualSpacing/>
      </w:pPr>
    </w:p>
    <w:p w14:paraId="5AC0EC37" w14:textId="1B760977" w:rsidR="00F51168" w:rsidRDefault="00F51168" w:rsidP="003A7811">
      <w:pPr>
        <w:widowControl/>
        <w:autoSpaceDE/>
        <w:autoSpaceDN/>
        <w:adjustRightInd/>
        <w:spacing w:after="200"/>
        <w:ind w:left="1080" w:hanging="360"/>
        <w:contextualSpacing/>
      </w:pPr>
      <w:r>
        <w:t xml:space="preserve">NJ PEOSH processed 16 discrimination complaints under its jurisdiction in FY 2023. </w:t>
      </w:r>
      <w:r w:rsidR="00651B09">
        <w:t xml:space="preserve"> </w:t>
      </w:r>
      <w:r>
        <w:t xml:space="preserve">Two </w:t>
      </w:r>
    </w:p>
    <w:p w14:paraId="02E924D9" w14:textId="77777777" w:rsidR="00651B09" w:rsidRDefault="00F51168" w:rsidP="003A7811">
      <w:pPr>
        <w:widowControl/>
        <w:autoSpaceDE/>
        <w:autoSpaceDN/>
        <w:adjustRightInd/>
        <w:spacing w:after="200"/>
        <w:ind w:left="1080" w:hanging="360"/>
        <w:contextualSpacing/>
      </w:pPr>
      <w:r>
        <w:t>cases were investigated and resulted in non-merit findings.</w:t>
      </w:r>
      <w:r w:rsidR="00651B09">
        <w:t xml:space="preserve">  Thirteen</w:t>
      </w:r>
      <w:r>
        <w:t xml:space="preserve"> cases were</w:t>
      </w:r>
    </w:p>
    <w:p w14:paraId="5694A1F6" w14:textId="77777777" w:rsidR="00651B09" w:rsidRDefault="00651B09" w:rsidP="003A7811">
      <w:pPr>
        <w:widowControl/>
        <w:autoSpaceDE/>
        <w:autoSpaceDN/>
        <w:adjustRightInd/>
        <w:spacing w:after="200"/>
        <w:ind w:left="1080" w:hanging="360"/>
        <w:contextualSpacing/>
      </w:pPr>
      <w:r>
        <w:t>a</w:t>
      </w:r>
      <w:r w:rsidR="00F51168">
        <w:t>dministratively</w:t>
      </w:r>
      <w:r>
        <w:t xml:space="preserve"> </w:t>
      </w:r>
      <w:r w:rsidR="00F51168">
        <w:t>closed</w:t>
      </w:r>
      <w:r w:rsidR="00A03632">
        <w:t xml:space="preserve"> </w:t>
      </w:r>
      <w:r w:rsidR="00F51168">
        <w:t>as they did not establish all of the required prima-facie elements to</w:t>
      </w:r>
    </w:p>
    <w:p w14:paraId="57435FC2" w14:textId="77777777" w:rsidR="00651B09" w:rsidRDefault="00F51168" w:rsidP="003A7811">
      <w:pPr>
        <w:widowControl/>
        <w:autoSpaceDE/>
        <w:autoSpaceDN/>
        <w:adjustRightInd/>
        <w:spacing w:after="200"/>
        <w:ind w:left="1080" w:hanging="360"/>
        <w:contextualSpacing/>
      </w:pPr>
      <w:r>
        <w:t>initiate a formal</w:t>
      </w:r>
      <w:r w:rsidR="00651B09">
        <w:t xml:space="preserve"> </w:t>
      </w:r>
      <w:r>
        <w:t>discrimination investigation, were not jurisdictional under the PEOSH Act or</w:t>
      </w:r>
    </w:p>
    <w:p w14:paraId="7ECD4930" w14:textId="77777777" w:rsidR="00651B09" w:rsidRDefault="00F51168" w:rsidP="003A7811">
      <w:pPr>
        <w:widowControl/>
        <w:autoSpaceDE/>
        <w:autoSpaceDN/>
        <w:adjustRightInd/>
        <w:spacing w:after="200"/>
        <w:ind w:left="1080" w:hanging="360"/>
        <w:contextualSpacing/>
      </w:pPr>
      <w:r>
        <w:t>withdrawn by the</w:t>
      </w:r>
      <w:r w:rsidR="00651B09">
        <w:t xml:space="preserve"> </w:t>
      </w:r>
      <w:r>
        <w:t>complainant.  PEOSH determined that one case met merit status.  There were</w:t>
      </w:r>
    </w:p>
    <w:p w14:paraId="6B063F19" w14:textId="55FB30CF" w:rsidR="00F51168" w:rsidRDefault="00651B09" w:rsidP="003A7811">
      <w:pPr>
        <w:widowControl/>
        <w:autoSpaceDE/>
        <w:autoSpaceDN/>
        <w:adjustRightInd/>
        <w:spacing w:after="200"/>
        <w:ind w:left="1080" w:hanging="360"/>
        <w:contextualSpacing/>
      </w:pPr>
      <w:r>
        <w:t xml:space="preserve">no cases </w:t>
      </w:r>
      <w:r w:rsidR="00F51168">
        <w:t xml:space="preserve">transferred to the Office of Administrative Law (OAL).  Once hearing decisions or </w:t>
      </w:r>
    </w:p>
    <w:p w14:paraId="2B88C3B1" w14:textId="77777777" w:rsidR="00A03632" w:rsidRDefault="00F51168" w:rsidP="003A7811">
      <w:pPr>
        <w:widowControl/>
        <w:autoSpaceDE/>
        <w:autoSpaceDN/>
        <w:adjustRightInd/>
        <w:ind w:left="1080" w:hanging="360"/>
        <w:contextualSpacing/>
      </w:pPr>
      <w:r>
        <w:t>recommendations are returned to New Jersey Department of Labor (NJDOL), the</w:t>
      </w:r>
    </w:p>
    <w:p w14:paraId="060CC22B" w14:textId="0F77DC22" w:rsidR="00A03632" w:rsidRDefault="00F51168" w:rsidP="003A7811">
      <w:pPr>
        <w:widowControl/>
        <w:autoSpaceDE/>
        <w:autoSpaceDN/>
        <w:adjustRightInd/>
        <w:ind w:left="1080" w:hanging="360"/>
        <w:contextualSpacing/>
      </w:pPr>
      <w:r>
        <w:t>Commissioner</w:t>
      </w:r>
      <w:r w:rsidR="00A03632">
        <w:t xml:space="preserve"> </w:t>
      </w:r>
      <w:r>
        <w:t>of NJDOL may adopt, reject</w:t>
      </w:r>
      <w:r w:rsidR="007D7760">
        <w:t>,</w:t>
      </w:r>
      <w:r>
        <w:t xml:space="preserve"> or modify the recommendations which will become</w:t>
      </w:r>
    </w:p>
    <w:p w14:paraId="4C9E02B3" w14:textId="1A55E815" w:rsidR="00F51168" w:rsidRDefault="00F51168" w:rsidP="003A7811">
      <w:pPr>
        <w:widowControl/>
        <w:autoSpaceDE/>
        <w:autoSpaceDN/>
        <w:adjustRightInd/>
        <w:ind w:left="1080" w:hanging="360"/>
        <w:contextualSpacing/>
      </w:pPr>
      <w:r>
        <w:t>a final</w:t>
      </w:r>
      <w:r w:rsidR="00A03632">
        <w:t xml:space="preserve"> </w:t>
      </w:r>
      <w:r>
        <w:t>determination no more than 45 days from receipt of the OAL hearing report (NJ</w:t>
      </w:r>
      <w:r w:rsidR="004B3EA9">
        <w:t xml:space="preserve"> </w:t>
      </w:r>
    </w:p>
    <w:p w14:paraId="1340DE33" w14:textId="016EB62E" w:rsidR="00F51168" w:rsidRDefault="00F51168" w:rsidP="003A7811">
      <w:pPr>
        <w:widowControl/>
        <w:autoSpaceDE/>
        <w:autoSpaceDN/>
        <w:adjustRightInd/>
        <w:ind w:left="1080" w:hanging="360"/>
        <w:contextualSpacing/>
      </w:pPr>
      <w:r>
        <w:t>SOAR</w:t>
      </w:r>
      <w:r w:rsidR="004B3EA9">
        <w:t>, FY 2023</w:t>
      </w:r>
      <w:r>
        <w:t>)</w:t>
      </w:r>
      <w:r w:rsidR="004B3EA9">
        <w:t>.</w:t>
      </w:r>
      <w:r>
        <w:t xml:space="preserve"> </w:t>
      </w:r>
    </w:p>
    <w:p w14:paraId="28365501" w14:textId="77777777" w:rsidR="00F51168" w:rsidRDefault="00F51168" w:rsidP="003A7811">
      <w:pPr>
        <w:widowControl/>
        <w:autoSpaceDE/>
        <w:autoSpaceDN/>
        <w:adjustRightInd/>
        <w:ind w:left="1080" w:hanging="360"/>
        <w:contextualSpacing/>
      </w:pPr>
    </w:p>
    <w:p w14:paraId="37FC7E66" w14:textId="75BCFA2E" w:rsidR="00F51168" w:rsidRDefault="00F51168" w:rsidP="003A7811">
      <w:pPr>
        <w:widowControl/>
        <w:autoSpaceDE/>
        <w:autoSpaceDN/>
        <w:adjustRightInd/>
        <w:ind w:left="1080" w:hanging="360"/>
        <w:contextualSpacing/>
      </w:pPr>
      <w:r>
        <w:t>NJ PEOSH processed 15 discrimination complaints under its jurisdiction, three of which</w:t>
      </w:r>
    </w:p>
    <w:p w14:paraId="21C52710" w14:textId="651E5017" w:rsidR="00F51168" w:rsidRDefault="00F51168" w:rsidP="003A7811">
      <w:pPr>
        <w:widowControl/>
        <w:autoSpaceDE/>
        <w:autoSpaceDN/>
        <w:adjustRightInd/>
        <w:ind w:left="1080" w:hanging="360"/>
        <w:contextualSpacing/>
      </w:pPr>
      <w:r>
        <w:t>were completed within 90 days in FY 2022.  Two cases were investigated and resulted in</w:t>
      </w:r>
    </w:p>
    <w:p w14:paraId="70792D91" w14:textId="0DB100A9" w:rsidR="007D7760" w:rsidRDefault="00F51168" w:rsidP="007D7760">
      <w:pPr>
        <w:widowControl/>
        <w:autoSpaceDE/>
        <w:autoSpaceDN/>
        <w:adjustRightInd/>
        <w:ind w:left="720"/>
        <w:contextualSpacing/>
      </w:pPr>
      <w:r>
        <w:t xml:space="preserve">non-merit findings. </w:t>
      </w:r>
      <w:r w:rsidR="007D7760">
        <w:t>Thirteen</w:t>
      </w:r>
      <w:r>
        <w:t xml:space="preserve"> cases were administratively closed as they did not establish all the</w:t>
      </w:r>
      <w:r w:rsidR="007D7760" w:rsidRPr="007D7760">
        <w:t xml:space="preserve"> </w:t>
      </w:r>
      <w:r w:rsidR="007D7760">
        <w:t>required prima-facie elements to initiate a formal discrimination investigation, were not</w:t>
      </w:r>
    </w:p>
    <w:p w14:paraId="73D60544" w14:textId="77777777" w:rsidR="007D7760" w:rsidRDefault="007D7760" w:rsidP="007D7760">
      <w:pPr>
        <w:widowControl/>
        <w:autoSpaceDE/>
        <w:autoSpaceDN/>
        <w:adjustRightInd/>
        <w:ind w:left="1080" w:hanging="360"/>
        <w:contextualSpacing/>
      </w:pPr>
      <w:r>
        <w:t xml:space="preserve">jurisdictional under the PEOSH Act or withdrawn by the complainant.  There were no </w:t>
      </w:r>
    </w:p>
    <w:p w14:paraId="7494E9A0" w14:textId="77777777" w:rsidR="007D7760" w:rsidRDefault="007D7760" w:rsidP="007D7760">
      <w:pPr>
        <w:widowControl/>
        <w:autoSpaceDE/>
        <w:autoSpaceDN/>
        <w:adjustRightInd/>
        <w:ind w:left="1080" w:hanging="360"/>
        <w:contextualSpacing/>
      </w:pPr>
      <w:r>
        <w:t>cases transferred to the OAL.  Once hearing decisions/recommendations are returned to</w:t>
      </w:r>
    </w:p>
    <w:p w14:paraId="0FD39CEF" w14:textId="2BB995A2" w:rsidR="007D7760" w:rsidRDefault="007D7760" w:rsidP="007D7760">
      <w:pPr>
        <w:widowControl/>
        <w:autoSpaceDE/>
        <w:autoSpaceDN/>
        <w:adjustRightInd/>
        <w:ind w:left="1080" w:hanging="360"/>
        <w:contextualSpacing/>
      </w:pPr>
      <w:r>
        <w:t>NJDOL, the Commissioner of NJDOL may adopt, reject, or modify the recommendations which</w:t>
      </w:r>
    </w:p>
    <w:p w14:paraId="44382F67" w14:textId="77777777" w:rsidR="007D7760" w:rsidRDefault="007D7760" w:rsidP="007D7760">
      <w:pPr>
        <w:widowControl/>
        <w:autoSpaceDE/>
        <w:autoSpaceDN/>
        <w:adjustRightInd/>
        <w:ind w:left="1080" w:hanging="360"/>
        <w:contextualSpacing/>
      </w:pPr>
      <w:r>
        <w:t>will become a final determination not more than 45 days from receipt of the OAL hearing report</w:t>
      </w:r>
    </w:p>
    <w:p w14:paraId="3A7F4D32" w14:textId="77777777" w:rsidR="007D7760" w:rsidRDefault="007D7760" w:rsidP="007D7760">
      <w:pPr>
        <w:widowControl/>
        <w:autoSpaceDE/>
        <w:autoSpaceDN/>
        <w:adjustRightInd/>
        <w:ind w:left="1080" w:hanging="360"/>
        <w:contextualSpacing/>
      </w:pPr>
      <w:r>
        <w:t xml:space="preserve">(NJ SOAR, FY 2022).  </w:t>
      </w:r>
    </w:p>
    <w:p w14:paraId="23CDAD17" w14:textId="77777777" w:rsidR="000121EC" w:rsidRDefault="000121EC" w:rsidP="007D7760">
      <w:pPr>
        <w:widowControl/>
        <w:autoSpaceDE/>
        <w:autoSpaceDN/>
        <w:adjustRightInd/>
        <w:contextualSpacing/>
      </w:pPr>
    </w:p>
    <w:p w14:paraId="479C5926" w14:textId="6A44CFC8" w:rsidR="00874F13" w:rsidRDefault="00912DC5" w:rsidP="003A7811">
      <w:pPr>
        <w:widowControl/>
        <w:autoSpaceDE/>
        <w:autoSpaceDN/>
        <w:adjustRightInd/>
        <w:ind w:left="1080" w:hanging="360"/>
        <w:contextualSpacing/>
      </w:pPr>
      <w:r>
        <w:t xml:space="preserve">During the FAME review, Region II’s Supervisory Investigator reviewed two full </w:t>
      </w:r>
      <w:r w:rsidR="00874F13">
        <w:t>investigations</w:t>
      </w:r>
    </w:p>
    <w:p w14:paraId="091EEACD" w14:textId="3A89C66A" w:rsidR="00874F13" w:rsidRDefault="00912DC5" w:rsidP="003A7811">
      <w:pPr>
        <w:widowControl/>
        <w:autoSpaceDE/>
        <w:autoSpaceDN/>
        <w:adjustRightInd/>
        <w:ind w:left="1080" w:hanging="360"/>
        <w:contextualSpacing/>
      </w:pPr>
      <w:r>
        <w:t xml:space="preserve">and </w:t>
      </w:r>
      <w:r w:rsidR="00874F13">
        <w:t xml:space="preserve">six administrative closure cases that were closed in FY 2023.  The review found that </w:t>
      </w:r>
    </w:p>
    <w:p w14:paraId="7AB8AD21" w14:textId="77777777" w:rsidR="00A03632" w:rsidRDefault="00874F13" w:rsidP="003A7811">
      <w:pPr>
        <w:widowControl/>
        <w:autoSpaceDE/>
        <w:autoSpaceDN/>
        <w:adjustRightInd/>
        <w:ind w:left="1080" w:hanging="360"/>
        <w:contextualSpacing/>
      </w:pPr>
      <w:r>
        <w:t>the cases were well documented and followed the procedures in the NJ PEOSH</w:t>
      </w:r>
    </w:p>
    <w:p w14:paraId="57781E2F" w14:textId="77777777" w:rsidR="00A03632" w:rsidRDefault="00874F13" w:rsidP="003A7811">
      <w:pPr>
        <w:widowControl/>
        <w:autoSpaceDE/>
        <w:autoSpaceDN/>
        <w:adjustRightInd/>
        <w:ind w:left="1080" w:hanging="360"/>
        <w:contextualSpacing/>
      </w:pPr>
      <w:r>
        <w:t>Whistleblower’s</w:t>
      </w:r>
      <w:r w:rsidR="00A03632">
        <w:t xml:space="preserve"> </w:t>
      </w:r>
      <w:r>
        <w:t>manual.  There were no findings or observations related to the review of these</w:t>
      </w:r>
    </w:p>
    <w:p w14:paraId="7DB21492" w14:textId="0E27CB5E" w:rsidR="00912DC5" w:rsidRDefault="00874F13" w:rsidP="003A7811">
      <w:pPr>
        <w:widowControl/>
        <w:autoSpaceDE/>
        <w:autoSpaceDN/>
        <w:adjustRightInd/>
        <w:ind w:left="1080" w:hanging="360"/>
        <w:contextualSpacing/>
      </w:pPr>
      <w:r>
        <w:t xml:space="preserve">cases. </w:t>
      </w:r>
    </w:p>
    <w:p w14:paraId="79E0D226" w14:textId="77777777" w:rsidR="00874F13" w:rsidRDefault="00874F13" w:rsidP="003A7811">
      <w:pPr>
        <w:widowControl/>
        <w:autoSpaceDE/>
        <w:autoSpaceDN/>
        <w:adjustRightInd/>
        <w:ind w:left="1080" w:hanging="360"/>
        <w:contextualSpacing/>
      </w:pPr>
    </w:p>
    <w:p w14:paraId="00919733" w14:textId="77777777" w:rsidR="00AF76CD" w:rsidRDefault="00874F13" w:rsidP="003A7811">
      <w:pPr>
        <w:widowControl/>
        <w:autoSpaceDE/>
        <w:autoSpaceDN/>
        <w:adjustRightInd/>
        <w:ind w:left="1080" w:hanging="360"/>
        <w:contextualSpacing/>
      </w:pPr>
      <w:r>
        <w:t xml:space="preserve">NJ PEOSH is utilizing </w:t>
      </w:r>
      <w:r w:rsidR="000121EC">
        <w:t xml:space="preserve">their own </w:t>
      </w:r>
      <w:r>
        <w:t xml:space="preserve">whistleblower manual that has been evaluated and determined </w:t>
      </w:r>
    </w:p>
    <w:p w14:paraId="1142F0F1" w14:textId="68DF967C" w:rsidR="00874F13" w:rsidRDefault="00874F13" w:rsidP="003A7811">
      <w:pPr>
        <w:widowControl/>
        <w:autoSpaceDE/>
        <w:autoSpaceDN/>
        <w:adjustRightInd/>
        <w:ind w:left="1080" w:hanging="360"/>
        <w:contextualSpacing/>
      </w:pPr>
      <w:r>
        <w:t>to be</w:t>
      </w:r>
      <w:r w:rsidR="00AF76CD">
        <w:t xml:space="preserve"> </w:t>
      </w:r>
      <w:r>
        <w:t xml:space="preserve">equivalent to the current federal whistleblower manual </w:t>
      </w:r>
      <w:r w:rsidR="00AF76CD">
        <w:t>by federal whistleblower staff.</w:t>
      </w:r>
    </w:p>
    <w:p w14:paraId="1F39D6A1" w14:textId="1EDE9E62" w:rsidR="00F51168" w:rsidRPr="00F66AFB" w:rsidRDefault="00F51168" w:rsidP="003A7811">
      <w:pPr>
        <w:widowControl/>
        <w:autoSpaceDE/>
        <w:autoSpaceDN/>
        <w:adjustRightInd/>
        <w:spacing w:after="200"/>
        <w:ind w:left="1080" w:hanging="360"/>
        <w:contextualSpacing/>
      </w:pPr>
    </w:p>
    <w:p w14:paraId="75D112D9" w14:textId="23F9542A" w:rsidR="00602922" w:rsidRDefault="00091167" w:rsidP="0067597D">
      <w:pPr>
        <w:tabs>
          <w:tab w:val="left" w:pos="1620"/>
        </w:tabs>
        <w:ind w:left="1440" w:hanging="990"/>
        <w:rPr>
          <w:b/>
        </w:rPr>
      </w:pPr>
      <w:r>
        <w:rPr>
          <w:b/>
        </w:rPr>
        <w:t>8</w:t>
      </w:r>
      <w:r w:rsidR="00782EEC" w:rsidRPr="008B1863">
        <w:rPr>
          <w:b/>
        </w:rPr>
        <w:t xml:space="preserve">.  </w:t>
      </w:r>
      <w:r w:rsidR="00651B09">
        <w:rPr>
          <w:b/>
        </w:rPr>
        <w:t xml:space="preserve"> </w:t>
      </w:r>
      <w:r w:rsidR="00782EEC" w:rsidRPr="00836129">
        <w:rPr>
          <w:rFonts w:ascii="Times New Roman Bold" w:hAnsi="Times New Roman Bold"/>
          <w:b/>
          <w:caps/>
        </w:rPr>
        <w:t>Complaint About State Program Administration</w:t>
      </w:r>
      <w:r w:rsidR="00782EEC">
        <w:rPr>
          <w:b/>
        </w:rPr>
        <w:t xml:space="preserve"> (CASPA) </w:t>
      </w:r>
    </w:p>
    <w:p w14:paraId="08B9777B" w14:textId="5AB57945" w:rsidR="00782EEC" w:rsidRDefault="00602922" w:rsidP="0092288A">
      <w:pPr>
        <w:tabs>
          <w:tab w:val="left" w:pos="1620"/>
        </w:tabs>
        <w:ind w:left="630" w:hanging="270"/>
        <w:rPr>
          <w:b/>
        </w:rPr>
      </w:pPr>
      <w:r w:rsidRPr="005D1101">
        <w:rPr>
          <w:b/>
        </w:rPr>
        <w:t xml:space="preserve">      </w:t>
      </w:r>
    </w:p>
    <w:p w14:paraId="5E871BB3" w14:textId="2F1E9A56" w:rsidR="0092288A" w:rsidRPr="0092288A" w:rsidRDefault="0092288A" w:rsidP="00651B09">
      <w:pPr>
        <w:tabs>
          <w:tab w:val="left" w:pos="1620"/>
        </w:tabs>
        <w:ind w:left="716" w:hanging="270"/>
        <w:rPr>
          <w:bCs/>
        </w:rPr>
      </w:pPr>
      <w:r>
        <w:rPr>
          <w:b/>
        </w:rPr>
        <w:t xml:space="preserve">  </w:t>
      </w:r>
      <w:r w:rsidR="00651B09">
        <w:rPr>
          <w:b/>
        </w:rPr>
        <w:t xml:space="preserve">   </w:t>
      </w:r>
      <w:r>
        <w:rPr>
          <w:bCs/>
        </w:rPr>
        <w:t>There were no Complaints about State Program Administration filed in FY 2022 or FY 2023.</w:t>
      </w:r>
    </w:p>
    <w:p w14:paraId="4E296A7F" w14:textId="77777777" w:rsidR="00782EEC" w:rsidRDefault="00782EEC" w:rsidP="00782EEC">
      <w:pPr>
        <w:contextualSpacing/>
        <w:rPr>
          <w:i/>
        </w:rPr>
      </w:pPr>
    </w:p>
    <w:p w14:paraId="25E7688C" w14:textId="1EDA5C66" w:rsidR="00782EEC" w:rsidRDefault="00091167" w:rsidP="000D34E1">
      <w:pPr>
        <w:ind w:left="450"/>
        <w:rPr>
          <w:b/>
          <w:caps/>
        </w:rPr>
      </w:pPr>
      <w:r>
        <w:rPr>
          <w:b/>
        </w:rPr>
        <w:t>9</w:t>
      </w:r>
      <w:r w:rsidR="00782EEC" w:rsidRPr="008B1863">
        <w:rPr>
          <w:b/>
        </w:rPr>
        <w:t xml:space="preserve">. </w:t>
      </w:r>
      <w:r w:rsidR="00782EEC">
        <w:rPr>
          <w:b/>
        </w:rPr>
        <w:t xml:space="preserve"> </w:t>
      </w:r>
      <w:r w:rsidR="00602922">
        <w:rPr>
          <w:b/>
        </w:rPr>
        <w:t xml:space="preserve"> </w:t>
      </w:r>
      <w:r w:rsidR="00782EEC" w:rsidRPr="008B1863">
        <w:rPr>
          <w:b/>
          <w:caps/>
        </w:rPr>
        <w:t>Voluntary Compliance Program</w:t>
      </w:r>
    </w:p>
    <w:p w14:paraId="7D991BD3" w14:textId="3706A504" w:rsidR="0092288A" w:rsidRDefault="00FA4CFB" w:rsidP="000D34E1">
      <w:pPr>
        <w:ind w:left="450"/>
        <w:rPr>
          <w:b/>
          <w:caps/>
        </w:rPr>
      </w:pPr>
      <w:r>
        <w:rPr>
          <w:b/>
          <w:caps/>
        </w:rPr>
        <w:t xml:space="preserve">  </w:t>
      </w:r>
    </w:p>
    <w:p w14:paraId="24C206AC" w14:textId="165D92ED" w:rsidR="00FA4CFB" w:rsidRDefault="00FA4CFB" w:rsidP="00651B09">
      <w:pPr>
        <w:ind w:left="576"/>
        <w:rPr>
          <w:b/>
          <w:caps/>
        </w:rPr>
      </w:pPr>
      <w:r>
        <w:rPr>
          <w:b/>
          <w:caps/>
        </w:rPr>
        <w:t xml:space="preserve">    </w:t>
      </w:r>
      <w:r>
        <w:t>PEOSH does not administer a Voluntary Compliance Program.</w:t>
      </w:r>
    </w:p>
    <w:p w14:paraId="2A0454AD" w14:textId="366776B0" w:rsidR="0092288A" w:rsidRPr="008B1863" w:rsidRDefault="0092288A" w:rsidP="000D34E1">
      <w:pPr>
        <w:ind w:left="450"/>
        <w:rPr>
          <w:b/>
          <w:caps/>
        </w:rPr>
      </w:pPr>
      <w:r>
        <w:rPr>
          <w:b/>
          <w:caps/>
        </w:rPr>
        <w:t xml:space="preserve">    </w:t>
      </w:r>
      <w:r>
        <w:rPr>
          <w:b/>
          <w:caps/>
        </w:rPr>
        <w:tab/>
      </w:r>
      <w:r w:rsidR="00DB1109">
        <w:rPr>
          <w:b/>
          <w:caps/>
        </w:rPr>
        <w:t xml:space="preserve">   </w:t>
      </w:r>
      <w:r>
        <w:rPr>
          <w:b/>
          <w:caps/>
        </w:rPr>
        <w:t xml:space="preserve">       </w:t>
      </w:r>
      <w:bookmarkStart w:id="9" w:name="_Hlk165389821"/>
    </w:p>
    <w:p w14:paraId="10490CBF" w14:textId="77777777" w:rsidR="00782EEC" w:rsidRDefault="00091167" w:rsidP="000D34E1">
      <w:pPr>
        <w:tabs>
          <w:tab w:val="left" w:pos="1170"/>
        </w:tabs>
        <w:ind w:left="810" w:hanging="450"/>
        <w:rPr>
          <w:b/>
          <w:caps/>
        </w:rPr>
      </w:pPr>
      <w:r>
        <w:rPr>
          <w:b/>
          <w:caps/>
        </w:rPr>
        <w:t>10</w:t>
      </w:r>
      <w:r w:rsidR="00782EEC" w:rsidRPr="008B1863">
        <w:rPr>
          <w:b/>
          <w:caps/>
        </w:rPr>
        <w:t xml:space="preserve">.  </w:t>
      </w:r>
      <w:r w:rsidR="00782EEC">
        <w:rPr>
          <w:b/>
          <w:caps/>
        </w:rPr>
        <w:t xml:space="preserve"> STATE AND LOCAL </w:t>
      </w:r>
      <w:r w:rsidR="00782EEC" w:rsidRPr="00456950">
        <w:rPr>
          <w:b/>
          <w:caps/>
        </w:rPr>
        <w:t>GOVERNMENT</w:t>
      </w:r>
      <w:r w:rsidR="00782EEC" w:rsidRPr="008B1863">
        <w:rPr>
          <w:b/>
          <w:caps/>
        </w:rPr>
        <w:t xml:space="preserve"> 23</w:t>
      </w:r>
      <w:r w:rsidR="00782EEC" w:rsidRPr="008B1863">
        <w:rPr>
          <w:rFonts w:ascii="Times New Roman Bold" w:hAnsi="Times New Roman Bold"/>
          <w:b/>
        </w:rPr>
        <w:t>(</w:t>
      </w:r>
      <w:r w:rsidR="00782EEC">
        <w:rPr>
          <w:rFonts w:ascii="Times New Roman Bold" w:hAnsi="Times New Roman Bold"/>
          <w:b/>
        </w:rPr>
        <w:t>g</w:t>
      </w:r>
      <w:r w:rsidR="00782EEC" w:rsidRPr="008B1863">
        <w:rPr>
          <w:b/>
          <w:caps/>
        </w:rPr>
        <w:t xml:space="preserve">) </w:t>
      </w:r>
      <w:r w:rsidR="00782EEC">
        <w:rPr>
          <w:b/>
          <w:caps/>
        </w:rPr>
        <w:t xml:space="preserve">On-site </w:t>
      </w:r>
      <w:r w:rsidRPr="008B1863">
        <w:rPr>
          <w:b/>
          <w:caps/>
        </w:rPr>
        <w:t>CONSULTATION PROGRAM</w:t>
      </w:r>
      <w:r w:rsidR="00782EEC" w:rsidRPr="008B1863">
        <w:rPr>
          <w:b/>
          <w:caps/>
        </w:rPr>
        <w:t xml:space="preserve"> </w:t>
      </w:r>
    </w:p>
    <w:bookmarkEnd w:id="9"/>
    <w:p w14:paraId="729A1356" w14:textId="65A41C64" w:rsidR="00874F13" w:rsidRDefault="00874F13" w:rsidP="000D34E1">
      <w:pPr>
        <w:tabs>
          <w:tab w:val="left" w:pos="1170"/>
        </w:tabs>
        <w:ind w:left="810" w:hanging="450"/>
        <w:rPr>
          <w:b/>
          <w:caps/>
        </w:rPr>
      </w:pPr>
      <w:r>
        <w:rPr>
          <w:b/>
          <w:caps/>
        </w:rPr>
        <w:t xml:space="preserve">   </w:t>
      </w:r>
      <w:r w:rsidR="003A7811">
        <w:rPr>
          <w:b/>
          <w:caps/>
        </w:rPr>
        <w:t xml:space="preserve">  </w:t>
      </w:r>
    </w:p>
    <w:p w14:paraId="7B5D1B16" w14:textId="20C83893" w:rsidR="003A7811" w:rsidRPr="003D0BE0" w:rsidRDefault="003A7811" w:rsidP="003A7811">
      <w:pPr>
        <w:tabs>
          <w:tab w:val="left" w:pos="1170"/>
        </w:tabs>
        <w:ind w:left="810" w:hanging="450"/>
        <w:rPr>
          <w:b/>
          <w:caps/>
        </w:rPr>
      </w:pPr>
      <w:r>
        <w:rPr>
          <w:b/>
          <w:caps/>
        </w:rPr>
        <w:t xml:space="preserve">        </w:t>
      </w:r>
      <w:r w:rsidRPr="003D0BE0">
        <w:rPr>
          <w:bCs/>
          <w:caps/>
        </w:rPr>
        <w:t>T</w:t>
      </w:r>
      <w:r w:rsidRPr="003D0BE0">
        <w:t xml:space="preserve">he NJDOL PEOSH Consultation Program conducted </w:t>
      </w:r>
      <w:r w:rsidR="00112308">
        <w:t>(</w:t>
      </w:r>
      <w:r w:rsidRPr="003D0BE0">
        <w:t>197</w:t>
      </w:r>
      <w:r w:rsidR="00112308">
        <w:t>)</w:t>
      </w:r>
      <w:r w:rsidRPr="003D0BE0">
        <w:t xml:space="preserve"> total consultation visits consisting of 110 initial visits, 37 follow</w:t>
      </w:r>
      <w:r w:rsidR="007D7760">
        <w:t>-</w:t>
      </w:r>
      <w:r w:rsidRPr="003D0BE0">
        <w:t>up visits, and 50 training and education sessions in FY</w:t>
      </w:r>
      <w:r w:rsidR="007D7760">
        <w:t xml:space="preserve"> </w:t>
      </w:r>
      <w:r w:rsidRPr="003D0BE0">
        <w:t>2022.</w:t>
      </w:r>
      <w:r w:rsidR="009B35E2">
        <w:t xml:space="preserve"> </w:t>
      </w:r>
      <w:r w:rsidRPr="003D0BE0">
        <w:t xml:space="preserve"> The NJDOH PEOSH Program conducted 12 initial visits, </w:t>
      </w:r>
      <w:r w:rsidR="00112308" w:rsidRPr="003D0BE0">
        <w:t>four follow</w:t>
      </w:r>
      <w:r w:rsidR="007D7760">
        <w:t>-</w:t>
      </w:r>
      <w:r w:rsidRPr="003D0BE0">
        <w:t>up visits and one training and assistance visit, but was unable to attain the goal of 30 due to having only one consultant on staff (NJ SOAR, FY 2022)</w:t>
      </w:r>
      <w:r w:rsidR="007D7760">
        <w:t>.</w:t>
      </w:r>
      <w:r w:rsidRPr="003D0BE0">
        <w:t xml:space="preserve"> </w:t>
      </w:r>
    </w:p>
    <w:p w14:paraId="3DE51F04" w14:textId="77777777" w:rsidR="003A7811" w:rsidRPr="003D0BE0" w:rsidRDefault="003A7811" w:rsidP="003A7811">
      <w:pPr>
        <w:tabs>
          <w:tab w:val="left" w:pos="1170"/>
        </w:tabs>
        <w:ind w:left="810" w:hanging="450"/>
        <w:rPr>
          <w:b/>
          <w:caps/>
        </w:rPr>
      </w:pPr>
    </w:p>
    <w:p w14:paraId="19E3B865" w14:textId="38E7E5DD" w:rsidR="003A7811" w:rsidRDefault="003A7811" w:rsidP="003A7811">
      <w:pPr>
        <w:tabs>
          <w:tab w:val="left" w:pos="1170"/>
        </w:tabs>
        <w:ind w:left="810" w:hanging="450"/>
      </w:pPr>
      <w:r w:rsidRPr="003D0BE0">
        <w:rPr>
          <w:b/>
          <w:caps/>
        </w:rPr>
        <w:t xml:space="preserve">       </w:t>
      </w:r>
      <w:r w:rsidRPr="003D0BE0">
        <w:rPr>
          <w:bCs/>
          <w:caps/>
        </w:rPr>
        <w:t>T</w:t>
      </w:r>
      <w:r w:rsidRPr="003D0BE0">
        <w:t>he New Jersey Department of Labor (NJDOL) PEOSH Consultation Program conducted 276 total consultation visits consisting of 132 initial visits, 63 follow up visits, and 81 training and education sessions in FY</w:t>
      </w:r>
      <w:r w:rsidR="007D7760">
        <w:t xml:space="preserve"> </w:t>
      </w:r>
      <w:r w:rsidRPr="003D0BE0">
        <w:t>2023.  The NJDOH PEOSH Program conducted (28 initial visits and one follow</w:t>
      </w:r>
      <w:r w:rsidR="007D7760">
        <w:t>-</w:t>
      </w:r>
      <w:r w:rsidRPr="003D0BE0">
        <w:t xml:space="preserve">up </w:t>
      </w:r>
      <w:r w:rsidR="00112308" w:rsidRPr="003D0BE0">
        <w:t>visit</w:t>
      </w:r>
      <w:r w:rsidR="00112308">
        <w:t xml:space="preserve"> but</w:t>
      </w:r>
      <w:r w:rsidRPr="003D0BE0">
        <w:t xml:space="preserve"> was unable to attain the goal of 30 due to having only one consultation staff member (NJ SOAR, FY 2023).</w:t>
      </w:r>
    </w:p>
    <w:p w14:paraId="5025A94C" w14:textId="77777777" w:rsidR="003A7811" w:rsidRDefault="003A7811" w:rsidP="003A7811">
      <w:pPr>
        <w:tabs>
          <w:tab w:val="left" w:pos="1170"/>
        </w:tabs>
        <w:ind w:left="810" w:hanging="450"/>
      </w:pPr>
    </w:p>
    <w:p w14:paraId="5E3428BE" w14:textId="269A5329" w:rsidR="003A7811" w:rsidRDefault="003A7811" w:rsidP="0097324B">
      <w:pPr>
        <w:tabs>
          <w:tab w:val="left" w:pos="1170"/>
        </w:tabs>
        <w:ind w:left="810" w:hanging="450"/>
      </w:pPr>
      <w:r>
        <w:t xml:space="preserve">       The OIS Consultation Metrics Report</w:t>
      </w:r>
      <w:r w:rsidR="00FD094F">
        <w:t>,</w:t>
      </w:r>
      <w:r>
        <w:t xml:space="preserve"> run on February 26, 2024</w:t>
      </w:r>
      <w:r w:rsidR="00FD094F">
        <w:t>,</w:t>
      </w:r>
      <w:r>
        <w:t xml:space="preserve"> showed 161 requests received in FY 2023, 651 </w:t>
      </w:r>
      <w:r w:rsidR="007D7760">
        <w:t xml:space="preserve">identified </w:t>
      </w:r>
      <w:r>
        <w:t>serious hazards identified, an average of 5.34 serious hazards per initial visit, and consultation visits were conducted in maritime, construction</w:t>
      </w:r>
      <w:r w:rsidR="007D7760">
        <w:t>,</w:t>
      </w:r>
      <w:r>
        <w:t xml:space="preserve"> and general industry sectors.</w:t>
      </w:r>
      <w:r w:rsidR="009B35E2">
        <w:t xml:space="preserve">  </w:t>
      </w:r>
      <w:r>
        <w:t xml:space="preserve">In addition to conducting consultation visits, there were 21 compliance assistance activities conducted. </w:t>
      </w:r>
    </w:p>
    <w:p w14:paraId="120BDD43" w14:textId="248C80B3" w:rsidR="003A7811" w:rsidRPr="003D0BE0" w:rsidRDefault="003A7811" w:rsidP="003A7811">
      <w:pPr>
        <w:tabs>
          <w:tab w:val="left" w:pos="1170"/>
        </w:tabs>
        <w:ind w:left="810" w:hanging="450"/>
      </w:pPr>
      <w:r>
        <w:t xml:space="preserve">       </w:t>
      </w:r>
      <w:r w:rsidRPr="003D0BE0">
        <w:t xml:space="preserve">The OIS Request Pending Report run on February 14, 2024 showed that there were 120 requests </w:t>
      </w:r>
      <w:r w:rsidRPr="003D0BE0">
        <w:lastRenderedPageBreak/>
        <w:t>pending a consultation visit.  Out of these 120 requests</w:t>
      </w:r>
      <w:r w:rsidR="007D7760">
        <w:t>,</w:t>
      </w:r>
      <w:r w:rsidRPr="003D0BE0">
        <w:t xml:space="preserve"> there were 110 requests that had been received more than 30 days ago.  Of the requests that had an identified service scope listed, there were 53 health requests pending a visit on this list.</w:t>
      </w:r>
    </w:p>
    <w:p w14:paraId="0CA535FB" w14:textId="77777777" w:rsidR="00E03166" w:rsidRPr="003D0BE0" w:rsidRDefault="00E03166" w:rsidP="003A7811">
      <w:pPr>
        <w:tabs>
          <w:tab w:val="left" w:pos="1170"/>
        </w:tabs>
        <w:ind w:left="882" w:hanging="450"/>
      </w:pPr>
    </w:p>
    <w:p w14:paraId="795D7970" w14:textId="452C44EC" w:rsidR="00E03166" w:rsidRPr="003D0BE0" w:rsidRDefault="00E03166" w:rsidP="0016478D">
      <w:pPr>
        <w:tabs>
          <w:tab w:val="left" w:pos="1170"/>
        </w:tabs>
        <w:ind w:left="896" w:hanging="450"/>
        <w:rPr>
          <w:i/>
          <w:iCs/>
        </w:rPr>
      </w:pPr>
      <w:r w:rsidRPr="003D0BE0">
        <w:t xml:space="preserve">      </w:t>
      </w:r>
      <w:r w:rsidRPr="003D0BE0">
        <w:rPr>
          <w:b/>
          <w:bCs/>
          <w:u w:val="single"/>
        </w:rPr>
        <w:t>Observation FY 2023-OB-</w:t>
      </w:r>
      <w:r w:rsidR="00347366">
        <w:rPr>
          <w:b/>
          <w:bCs/>
          <w:u w:val="single"/>
        </w:rPr>
        <w:t>08</w:t>
      </w:r>
      <w:r w:rsidRPr="003D0BE0">
        <w:rPr>
          <w:b/>
          <w:bCs/>
          <w:u w:val="single"/>
        </w:rPr>
        <w:t xml:space="preserve">: </w:t>
      </w:r>
      <w:r w:rsidRPr="003D0BE0">
        <w:rPr>
          <w:i/>
          <w:iCs/>
        </w:rPr>
        <w:t xml:space="preserve"> Pending Requests</w:t>
      </w:r>
    </w:p>
    <w:p w14:paraId="576CF8B9" w14:textId="4E5CFA09" w:rsidR="00782EEC" w:rsidRPr="003D0BE0" w:rsidRDefault="00E03166" w:rsidP="0016478D">
      <w:pPr>
        <w:tabs>
          <w:tab w:val="left" w:pos="1170"/>
        </w:tabs>
        <w:ind w:left="896" w:hanging="450"/>
        <w:rPr>
          <w:bCs/>
        </w:rPr>
      </w:pPr>
      <w:r w:rsidRPr="003D0BE0">
        <w:rPr>
          <w:bCs/>
        </w:rPr>
        <w:t xml:space="preserve">      There are 120 requests for consultation visits pending per OIS reports.</w:t>
      </w:r>
    </w:p>
    <w:p w14:paraId="4B8CBB98" w14:textId="77777777" w:rsidR="00E03166" w:rsidRPr="003D0BE0" w:rsidRDefault="00E03166" w:rsidP="0016478D">
      <w:pPr>
        <w:tabs>
          <w:tab w:val="left" w:pos="1170"/>
        </w:tabs>
        <w:ind w:left="896" w:hanging="450"/>
        <w:rPr>
          <w:bCs/>
        </w:rPr>
      </w:pPr>
    </w:p>
    <w:p w14:paraId="7C776C80" w14:textId="2AAD5A66" w:rsidR="00E03166" w:rsidRPr="003D0BE0" w:rsidRDefault="00E03166" w:rsidP="00690603">
      <w:pPr>
        <w:tabs>
          <w:tab w:val="left" w:pos="1170"/>
        </w:tabs>
        <w:ind w:left="720" w:hanging="274"/>
        <w:rPr>
          <w:b/>
          <w:u w:val="single"/>
        </w:rPr>
      </w:pPr>
      <w:r w:rsidRPr="003D0BE0">
        <w:rPr>
          <w:bCs/>
        </w:rPr>
        <w:t xml:space="preserve">      </w:t>
      </w:r>
      <w:r w:rsidRPr="003D0BE0">
        <w:rPr>
          <w:b/>
          <w:u w:val="single"/>
        </w:rPr>
        <w:t>Federal Monitoring Plan FY 2023-OB-</w:t>
      </w:r>
      <w:r w:rsidR="00347366">
        <w:rPr>
          <w:b/>
          <w:u w:val="single"/>
        </w:rPr>
        <w:t>08</w:t>
      </w:r>
      <w:r w:rsidRPr="003D0BE0">
        <w:rPr>
          <w:b/>
          <w:u w:val="single"/>
        </w:rPr>
        <w:t>:</w:t>
      </w:r>
    </w:p>
    <w:p w14:paraId="42BC2D45" w14:textId="5771D604" w:rsidR="00E03166" w:rsidRPr="003D0BE0" w:rsidRDefault="00E03166" w:rsidP="0016478D">
      <w:pPr>
        <w:tabs>
          <w:tab w:val="left" w:pos="1170"/>
        </w:tabs>
        <w:ind w:left="896" w:hanging="450"/>
        <w:rPr>
          <w:bCs/>
        </w:rPr>
      </w:pPr>
      <w:r w:rsidRPr="003D0BE0">
        <w:rPr>
          <w:bCs/>
        </w:rPr>
        <w:t xml:space="preserve">      The Region will monitor quarterly with OIS reports</w:t>
      </w:r>
      <w:r w:rsidR="00530319">
        <w:rPr>
          <w:bCs/>
        </w:rPr>
        <w:t xml:space="preserve"> and discuss at quarterly meetings</w:t>
      </w:r>
      <w:r w:rsidRPr="003D0BE0">
        <w:rPr>
          <w:bCs/>
        </w:rPr>
        <w:t>.</w:t>
      </w:r>
    </w:p>
    <w:p w14:paraId="46BA9D39" w14:textId="77777777" w:rsidR="00E03166" w:rsidRPr="003D0BE0" w:rsidRDefault="00E03166" w:rsidP="0016478D">
      <w:pPr>
        <w:tabs>
          <w:tab w:val="left" w:pos="1170"/>
        </w:tabs>
        <w:ind w:left="896" w:hanging="450"/>
        <w:rPr>
          <w:bCs/>
        </w:rPr>
      </w:pPr>
    </w:p>
    <w:p w14:paraId="65CD0851" w14:textId="4C10CD03" w:rsidR="001870B8" w:rsidRPr="003D0BE0" w:rsidRDefault="00E03166" w:rsidP="00690603">
      <w:pPr>
        <w:tabs>
          <w:tab w:val="left" w:pos="1170"/>
        </w:tabs>
        <w:ind w:left="810" w:hanging="364"/>
        <w:rPr>
          <w:bCs/>
          <w:i/>
          <w:iCs/>
        </w:rPr>
      </w:pPr>
      <w:r w:rsidRPr="003D0BE0">
        <w:rPr>
          <w:bCs/>
        </w:rPr>
        <w:t xml:space="preserve">      </w:t>
      </w:r>
      <w:r w:rsidRPr="003D0BE0">
        <w:rPr>
          <w:b/>
          <w:u w:val="single"/>
        </w:rPr>
        <w:t>Observation FY 2023-OB-</w:t>
      </w:r>
      <w:r w:rsidR="00347366">
        <w:rPr>
          <w:b/>
          <w:u w:val="single"/>
        </w:rPr>
        <w:t>09</w:t>
      </w:r>
      <w:r w:rsidRPr="003D0BE0">
        <w:rPr>
          <w:b/>
          <w:u w:val="single"/>
        </w:rPr>
        <w:t xml:space="preserve"> (FY 2022-OB-</w:t>
      </w:r>
      <w:r w:rsidR="001870B8" w:rsidRPr="003D0BE0">
        <w:rPr>
          <w:b/>
          <w:u w:val="single"/>
        </w:rPr>
        <w:t>01, FY 2021-OB-01)</w:t>
      </w:r>
      <w:r w:rsidR="001870B8" w:rsidRPr="003D0BE0">
        <w:rPr>
          <w:b/>
        </w:rPr>
        <w:t xml:space="preserve">: </w:t>
      </w:r>
      <w:r w:rsidRPr="003D0BE0">
        <w:rPr>
          <w:bCs/>
          <w:i/>
          <w:iCs/>
        </w:rPr>
        <w:t>OIS Uncorrected Hazards</w:t>
      </w:r>
      <w:r w:rsidR="00690603">
        <w:rPr>
          <w:bCs/>
          <w:i/>
          <w:iCs/>
        </w:rPr>
        <w:t xml:space="preserve"> </w:t>
      </w:r>
      <w:r w:rsidRPr="003D0BE0">
        <w:rPr>
          <w:bCs/>
          <w:i/>
          <w:iCs/>
        </w:rPr>
        <w:t>Report</w:t>
      </w:r>
    </w:p>
    <w:p w14:paraId="45D5C52C" w14:textId="31DFF3AB" w:rsidR="007E40C5" w:rsidRPr="003D0BE0" w:rsidRDefault="001870B8" w:rsidP="00690603">
      <w:pPr>
        <w:tabs>
          <w:tab w:val="left" w:pos="1170"/>
        </w:tabs>
        <w:ind w:left="810" w:hanging="450"/>
        <w:rPr>
          <w:bCs/>
        </w:rPr>
      </w:pPr>
      <w:r w:rsidRPr="003D0BE0">
        <w:rPr>
          <w:bCs/>
        </w:rPr>
        <w:t xml:space="preserve">       The OIS</w:t>
      </w:r>
      <w:r w:rsidR="00E03166" w:rsidRPr="003D0BE0">
        <w:rPr>
          <w:bCs/>
        </w:rPr>
        <w:t xml:space="preserve"> Uncorrected Hazards</w:t>
      </w:r>
      <w:r w:rsidRPr="003D0BE0">
        <w:rPr>
          <w:bCs/>
        </w:rPr>
        <w:t xml:space="preserve"> Report</w:t>
      </w:r>
      <w:r w:rsidR="00886981">
        <w:rPr>
          <w:bCs/>
        </w:rPr>
        <w:t>,</w:t>
      </w:r>
      <w:r w:rsidRPr="003D0BE0">
        <w:rPr>
          <w:bCs/>
        </w:rPr>
        <w:t xml:space="preserve"> run </w:t>
      </w:r>
      <w:r w:rsidR="007E40C5" w:rsidRPr="003D0BE0">
        <w:rPr>
          <w:bCs/>
        </w:rPr>
        <w:t>on February 5, 2024</w:t>
      </w:r>
      <w:r w:rsidR="00886981">
        <w:rPr>
          <w:bCs/>
        </w:rPr>
        <w:t>,</w:t>
      </w:r>
      <w:r w:rsidR="007E40C5" w:rsidRPr="003D0BE0">
        <w:rPr>
          <w:bCs/>
        </w:rPr>
        <w:t xml:space="preserve"> showed 34 </w:t>
      </w:r>
      <w:r w:rsidR="00696700">
        <w:rPr>
          <w:bCs/>
        </w:rPr>
        <w:t xml:space="preserve">serious </w:t>
      </w:r>
      <w:r w:rsidR="007E40C5" w:rsidRPr="003D0BE0">
        <w:rPr>
          <w:bCs/>
        </w:rPr>
        <w:t>hazards that were overdue by more than calendar 14 days</w:t>
      </w:r>
      <w:r w:rsidR="00E03166" w:rsidRPr="003D0BE0">
        <w:rPr>
          <w:bCs/>
        </w:rPr>
        <w:t>.</w:t>
      </w:r>
      <w:r w:rsidR="007E40C5" w:rsidRPr="003D0BE0">
        <w:rPr>
          <w:bCs/>
        </w:rPr>
        <w:t xml:space="preserve">  The overdue hazards ranged from 17-70 calendar days overdue.</w:t>
      </w:r>
    </w:p>
    <w:p w14:paraId="77A41ACD" w14:textId="77777777" w:rsidR="007E40C5" w:rsidRPr="003D0BE0" w:rsidRDefault="007E40C5" w:rsidP="0016478D">
      <w:pPr>
        <w:tabs>
          <w:tab w:val="left" w:pos="1170"/>
        </w:tabs>
        <w:ind w:left="896" w:hanging="450"/>
        <w:rPr>
          <w:bCs/>
        </w:rPr>
      </w:pPr>
    </w:p>
    <w:p w14:paraId="28995A6B" w14:textId="1692FA0A" w:rsidR="007E40C5" w:rsidRPr="003D0BE0" w:rsidRDefault="007E40C5" w:rsidP="0016478D">
      <w:pPr>
        <w:tabs>
          <w:tab w:val="left" w:pos="1170"/>
        </w:tabs>
        <w:ind w:left="896" w:hanging="450"/>
        <w:rPr>
          <w:b/>
          <w:u w:val="single"/>
        </w:rPr>
      </w:pPr>
      <w:r w:rsidRPr="003D0BE0">
        <w:rPr>
          <w:bCs/>
        </w:rPr>
        <w:t xml:space="preserve">      </w:t>
      </w:r>
      <w:r w:rsidRPr="003D0BE0">
        <w:rPr>
          <w:b/>
          <w:u w:val="single"/>
        </w:rPr>
        <w:t>Federal Monitoring Plan FY 2023-OB-</w:t>
      </w:r>
      <w:r w:rsidR="00347366">
        <w:rPr>
          <w:b/>
          <w:u w:val="single"/>
        </w:rPr>
        <w:t>09</w:t>
      </w:r>
      <w:r w:rsidRPr="003D0BE0">
        <w:rPr>
          <w:b/>
          <w:u w:val="single"/>
        </w:rPr>
        <w:t xml:space="preserve">: </w:t>
      </w:r>
    </w:p>
    <w:p w14:paraId="23CC2C31" w14:textId="1F8F0111" w:rsidR="008D4463" w:rsidRDefault="007E40C5" w:rsidP="0016478D">
      <w:pPr>
        <w:tabs>
          <w:tab w:val="left" w:pos="1170"/>
        </w:tabs>
        <w:ind w:left="896" w:hanging="450"/>
        <w:rPr>
          <w:bCs/>
        </w:rPr>
      </w:pPr>
      <w:r w:rsidRPr="003D0BE0">
        <w:rPr>
          <w:bCs/>
        </w:rPr>
        <w:t xml:space="preserve">      </w:t>
      </w:r>
      <w:r w:rsidR="00530319" w:rsidRPr="00530319">
        <w:rPr>
          <w:bCs/>
        </w:rPr>
        <w:t>OSHA will monitor this report quarterly and discuss at quarterly meetings.</w:t>
      </w:r>
    </w:p>
    <w:p w14:paraId="4A1E6BAF" w14:textId="77777777" w:rsidR="00530319" w:rsidRPr="003D0BE0" w:rsidRDefault="00530319" w:rsidP="0016478D">
      <w:pPr>
        <w:tabs>
          <w:tab w:val="left" w:pos="1170"/>
        </w:tabs>
        <w:ind w:left="896" w:hanging="450"/>
        <w:rPr>
          <w:bCs/>
        </w:rPr>
      </w:pPr>
    </w:p>
    <w:p w14:paraId="17029E03" w14:textId="4C289BD4" w:rsidR="008D4463" w:rsidRPr="00696700" w:rsidRDefault="008D4463" w:rsidP="0016478D">
      <w:pPr>
        <w:tabs>
          <w:tab w:val="left" w:pos="1170"/>
        </w:tabs>
        <w:ind w:left="896" w:hanging="450"/>
        <w:rPr>
          <w:bCs/>
          <w:u w:val="single"/>
        </w:rPr>
      </w:pPr>
      <w:r w:rsidRPr="003D0BE0">
        <w:rPr>
          <w:bCs/>
        </w:rPr>
        <w:t xml:space="preserve">      </w:t>
      </w:r>
      <w:r w:rsidR="00696700" w:rsidRPr="00696700">
        <w:rPr>
          <w:bCs/>
          <w:u w:val="single"/>
        </w:rPr>
        <w:t>Consultation Case File Documentation</w:t>
      </w:r>
    </w:p>
    <w:p w14:paraId="0C790E6C" w14:textId="520D29AD" w:rsidR="00E03166" w:rsidRDefault="00696700" w:rsidP="0016478D">
      <w:pPr>
        <w:tabs>
          <w:tab w:val="left" w:pos="1170"/>
        </w:tabs>
        <w:ind w:left="896" w:hanging="450"/>
        <w:rPr>
          <w:bCs/>
        </w:rPr>
      </w:pPr>
      <w:r>
        <w:rPr>
          <w:bCs/>
        </w:rPr>
        <w:t xml:space="preserve">         </w:t>
      </w:r>
    </w:p>
    <w:p w14:paraId="4C02344C" w14:textId="5D16885D" w:rsidR="00983621" w:rsidRDefault="00696700" w:rsidP="00690603">
      <w:pPr>
        <w:tabs>
          <w:tab w:val="left" w:pos="1170"/>
        </w:tabs>
        <w:ind w:left="810" w:hanging="364"/>
        <w:rPr>
          <w:bCs/>
        </w:rPr>
      </w:pPr>
      <w:r>
        <w:rPr>
          <w:bCs/>
        </w:rPr>
        <w:t xml:space="preserve">      </w:t>
      </w:r>
      <w:r w:rsidRPr="00696700">
        <w:rPr>
          <w:bCs/>
        </w:rPr>
        <w:t>During this year’s FAME, adequate case file documentation was lacking for the following</w:t>
      </w:r>
      <w:r w:rsidR="00983621">
        <w:rPr>
          <w:bCs/>
        </w:rPr>
        <w:t xml:space="preserve"> health</w:t>
      </w:r>
      <w:r w:rsidR="00690603">
        <w:rPr>
          <w:bCs/>
        </w:rPr>
        <w:t xml:space="preserve"> </w:t>
      </w:r>
      <w:r w:rsidR="00983621">
        <w:rPr>
          <w:bCs/>
        </w:rPr>
        <w:t>consultation files</w:t>
      </w:r>
      <w:r w:rsidRPr="00696700">
        <w:rPr>
          <w:bCs/>
        </w:rPr>
        <w:t xml:space="preserve">: </w:t>
      </w:r>
      <w:r>
        <w:rPr>
          <w:bCs/>
        </w:rPr>
        <w:t xml:space="preserve">three </w:t>
      </w:r>
      <w:r w:rsidRPr="00696700">
        <w:rPr>
          <w:bCs/>
        </w:rPr>
        <w:t>out of five (</w:t>
      </w:r>
      <w:r>
        <w:rPr>
          <w:bCs/>
        </w:rPr>
        <w:t>60%</w:t>
      </w:r>
      <w:r w:rsidRPr="00696700">
        <w:rPr>
          <w:bCs/>
        </w:rPr>
        <w:t xml:space="preserve">) of the initial </w:t>
      </w:r>
      <w:r>
        <w:rPr>
          <w:bCs/>
        </w:rPr>
        <w:t xml:space="preserve">health </w:t>
      </w:r>
      <w:r w:rsidRPr="00696700">
        <w:rPr>
          <w:bCs/>
        </w:rPr>
        <w:t xml:space="preserve">visits lacked evidence </w:t>
      </w:r>
      <w:r w:rsidR="00690603">
        <w:rPr>
          <w:bCs/>
        </w:rPr>
        <w:t xml:space="preserve">that </w:t>
      </w:r>
      <w:r>
        <w:rPr>
          <w:bCs/>
        </w:rPr>
        <w:t>a report was sent to the employer</w:t>
      </w:r>
      <w:r w:rsidR="00690603">
        <w:rPr>
          <w:bCs/>
        </w:rPr>
        <w:t xml:space="preserve">.  In </w:t>
      </w:r>
      <w:r>
        <w:rPr>
          <w:bCs/>
        </w:rPr>
        <w:t>three out of five (60%) of the initial health visits where chlorine cylinder storage was pictured, coverage under the OSHA Process Safety Management Standard 1910.119 was not evaluated</w:t>
      </w:r>
      <w:r w:rsidR="00983621">
        <w:rPr>
          <w:bCs/>
        </w:rPr>
        <w:t>.</w:t>
      </w:r>
      <w:r w:rsidR="009B35E2">
        <w:rPr>
          <w:bCs/>
        </w:rPr>
        <w:t xml:space="preserve"> </w:t>
      </w:r>
      <w:r w:rsidR="002821DE">
        <w:rPr>
          <w:bCs/>
        </w:rPr>
        <w:t xml:space="preserve"> Two of the three </w:t>
      </w:r>
      <w:r w:rsidR="0046097C">
        <w:rPr>
          <w:bCs/>
        </w:rPr>
        <w:t xml:space="preserve">(66%) </w:t>
      </w:r>
      <w:r w:rsidR="002821DE">
        <w:rPr>
          <w:bCs/>
        </w:rPr>
        <w:t>health consultation reports that were</w:t>
      </w:r>
      <w:r w:rsidR="0046097C">
        <w:rPr>
          <w:bCs/>
        </w:rPr>
        <w:t xml:space="preserve"> reviewed had injury and illness rates for </w:t>
      </w:r>
      <w:r w:rsidR="00BC22F3">
        <w:rPr>
          <w:bCs/>
        </w:rPr>
        <w:t xml:space="preserve">only </w:t>
      </w:r>
      <w:r w:rsidR="0046097C">
        <w:rPr>
          <w:bCs/>
        </w:rPr>
        <w:t xml:space="preserve">one year </w:t>
      </w:r>
      <w:r w:rsidR="00BC22F3">
        <w:rPr>
          <w:bCs/>
        </w:rPr>
        <w:t>of data reported</w:t>
      </w:r>
      <w:r w:rsidR="0046097C">
        <w:rPr>
          <w:bCs/>
        </w:rPr>
        <w:t xml:space="preserve">. </w:t>
      </w:r>
      <w:r w:rsidR="002821DE">
        <w:rPr>
          <w:bCs/>
        </w:rPr>
        <w:t xml:space="preserve"> </w:t>
      </w:r>
    </w:p>
    <w:p w14:paraId="5F3FC734" w14:textId="2442A455" w:rsidR="00983621" w:rsidRDefault="00983621" w:rsidP="0016478D">
      <w:pPr>
        <w:tabs>
          <w:tab w:val="left" w:pos="1170"/>
        </w:tabs>
        <w:ind w:left="896" w:hanging="450"/>
        <w:rPr>
          <w:bCs/>
        </w:rPr>
      </w:pPr>
      <w:r>
        <w:rPr>
          <w:bCs/>
        </w:rPr>
        <w:t xml:space="preserve">       </w:t>
      </w:r>
    </w:p>
    <w:p w14:paraId="742027CD" w14:textId="1B8A419F" w:rsidR="008639C7" w:rsidRDefault="00983621" w:rsidP="00690603">
      <w:pPr>
        <w:tabs>
          <w:tab w:val="left" w:pos="1170"/>
        </w:tabs>
        <w:ind w:left="810" w:hanging="364"/>
        <w:rPr>
          <w:bCs/>
        </w:rPr>
      </w:pPr>
      <w:r>
        <w:rPr>
          <w:bCs/>
        </w:rPr>
        <w:t xml:space="preserve">      </w:t>
      </w:r>
      <w:bookmarkStart w:id="10" w:name="_Hlk160102888"/>
      <w:r>
        <w:rPr>
          <w:bCs/>
        </w:rPr>
        <w:t>Three of six</w:t>
      </w:r>
      <w:r w:rsidR="007D7760">
        <w:rPr>
          <w:bCs/>
        </w:rPr>
        <w:t xml:space="preserve"> </w:t>
      </w:r>
      <w:r>
        <w:rPr>
          <w:bCs/>
        </w:rPr>
        <w:t>(50%) safety initial consultation visits issued a notice under 1910.38.  OSHA standard 1910.38,</w:t>
      </w:r>
      <w:r w:rsidR="008639C7">
        <w:rPr>
          <w:bCs/>
        </w:rPr>
        <w:t xml:space="preserve"> Emergency Action Plans</w:t>
      </w:r>
      <w:r>
        <w:rPr>
          <w:bCs/>
        </w:rPr>
        <w:t xml:space="preserve"> </w:t>
      </w:r>
      <w:r w:rsidR="008639C7">
        <w:rPr>
          <w:bCs/>
        </w:rPr>
        <w:t xml:space="preserve">(EAP) </w:t>
      </w:r>
      <w:r>
        <w:rPr>
          <w:bCs/>
        </w:rPr>
        <w:t xml:space="preserve">requires an emergency action plan </w:t>
      </w:r>
      <w:r w:rsidR="00554CF3">
        <w:rPr>
          <w:bCs/>
        </w:rPr>
        <w:t xml:space="preserve">be developed </w:t>
      </w:r>
      <w:r>
        <w:rPr>
          <w:bCs/>
        </w:rPr>
        <w:t>when required by another OSHA</w:t>
      </w:r>
      <w:r w:rsidR="00B31911">
        <w:rPr>
          <w:bCs/>
        </w:rPr>
        <w:t xml:space="preserve"> standard</w:t>
      </w:r>
      <w:r>
        <w:rPr>
          <w:bCs/>
        </w:rPr>
        <w:t>.</w:t>
      </w:r>
      <w:r w:rsidR="009B35E2">
        <w:rPr>
          <w:bCs/>
        </w:rPr>
        <w:t xml:space="preserve"> </w:t>
      </w:r>
      <w:r>
        <w:rPr>
          <w:bCs/>
        </w:rPr>
        <w:t xml:space="preserve"> Per CPL 2-1.037, Compliance Policy for Emergency Action Plans and Fire Prevention Plans, 1910.38</w:t>
      </w:r>
      <w:r w:rsidR="00690603">
        <w:rPr>
          <w:bCs/>
        </w:rPr>
        <w:t>,</w:t>
      </w:r>
      <w:r>
        <w:rPr>
          <w:bCs/>
        </w:rPr>
        <w:t xml:space="preserve"> is not to be cited </w:t>
      </w:r>
      <w:r w:rsidR="008639C7">
        <w:rPr>
          <w:bCs/>
        </w:rPr>
        <w:t xml:space="preserve">directly </w:t>
      </w:r>
      <w:r>
        <w:rPr>
          <w:bCs/>
        </w:rPr>
        <w:t>but the standard that requires the</w:t>
      </w:r>
      <w:r w:rsidR="008639C7">
        <w:rPr>
          <w:bCs/>
        </w:rPr>
        <w:t xml:space="preserve"> EAP be cited with a reference to the specific requirement in 1910.38 in the notice.  There was no documentation in these cases noting which OSHA standard required an EAP be developed to support requiring the development of an EAP.</w:t>
      </w:r>
    </w:p>
    <w:bookmarkEnd w:id="10"/>
    <w:p w14:paraId="51C6D1F9" w14:textId="77777777" w:rsidR="008639C7" w:rsidRDefault="008639C7" w:rsidP="0016478D">
      <w:pPr>
        <w:tabs>
          <w:tab w:val="left" w:pos="1170"/>
        </w:tabs>
        <w:ind w:left="896" w:hanging="450"/>
        <w:rPr>
          <w:bCs/>
        </w:rPr>
      </w:pPr>
    </w:p>
    <w:p w14:paraId="7F3AE87B" w14:textId="5F7535FD" w:rsidR="005F4CE2" w:rsidRDefault="008639C7" w:rsidP="00690603">
      <w:pPr>
        <w:tabs>
          <w:tab w:val="left" w:pos="1170"/>
        </w:tabs>
        <w:ind w:left="810" w:hanging="364"/>
        <w:rPr>
          <w:bCs/>
        </w:rPr>
      </w:pPr>
      <w:r>
        <w:rPr>
          <w:bCs/>
        </w:rPr>
        <w:t xml:space="preserve">      </w:t>
      </w:r>
      <w:r w:rsidR="00174F2E">
        <w:rPr>
          <w:bCs/>
        </w:rPr>
        <w:t xml:space="preserve"> </w:t>
      </w:r>
      <w:r>
        <w:rPr>
          <w:bCs/>
        </w:rPr>
        <w:t xml:space="preserve">In two of two (100%) of safety initial consultation visits where the employer was given an extension there was no documentation that the employer was given an updated </w:t>
      </w:r>
      <w:r w:rsidR="009E4D98">
        <w:rPr>
          <w:bCs/>
        </w:rPr>
        <w:t>L</w:t>
      </w:r>
      <w:r>
        <w:rPr>
          <w:bCs/>
        </w:rPr>
        <w:t xml:space="preserve">ist of </w:t>
      </w:r>
      <w:r w:rsidR="009E4D98">
        <w:rPr>
          <w:bCs/>
        </w:rPr>
        <w:t>H</w:t>
      </w:r>
      <w:r>
        <w:rPr>
          <w:bCs/>
        </w:rPr>
        <w:t>azards when the extension was approved.</w:t>
      </w:r>
      <w:r w:rsidR="009E4D98">
        <w:rPr>
          <w:bCs/>
        </w:rPr>
        <w:t xml:space="preserve"> </w:t>
      </w:r>
      <w:r w:rsidR="009B35E2">
        <w:rPr>
          <w:bCs/>
        </w:rPr>
        <w:t xml:space="preserve"> </w:t>
      </w:r>
      <w:r w:rsidR="00FD658D">
        <w:rPr>
          <w:bCs/>
        </w:rPr>
        <w:t xml:space="preserve">Two notices were issued for not establishing lockout/tagout </w:t>
      </w:r>
      <w:r w:rsidR="00901181">
        <w:rPr>
          <w:bCs/>
        </w:rPr>
        <w:t>programs,</w:t>
      </w:r>
      <w:r w:rsidR="00FD658D">
        <w:rPr>
          <w:bCs/>
        </w:rPr>
        <w:t xml:space="preserve"> but the notices lacked information on the specific equipment being serviced that was required to be included in the lockout/tagout program. </w:t>
      </w:r>
      <w:r w:rsidR="009B35E2">
        <w:rPr>
          <w:bCs/>
        </w:rPr>
        <w:t xml:space="preserve"> </w:t>
      </w:r>
      <w:r w:rsidR="00C407A6">
        <w:rPr>
          <w:bCs/>
        </w:rPr>
        <w:t>One initial safety visit lacked information on how the hazards were corrected on-site.  One follow-up safety consultation visit did not describe how the hazards were corrected.</w:t>
      </w:r>
    </w:p>
    <w:p w14:paraId="2A510A89" w14:textId="746B772D" w:rsidR="00983621" w:rsidRDefault="00C407A6" w:rsidP="0016478D">
      <w:pPr>
        <w:tabs>
          <w:tab w:val="left" w:pos="1170"/>
        </w:tabs>
        <w:ind w:left="896" w:hanging="450"/>
        <w:rPr>
          <w:bCs/>
        </w:rPr>
      </w:pPr>
      <w:r>
        <w:rPr>
          <w:bCs/>
        </w:rPr>
        <w:t xml:space="preserve">  </w:t>
      </w:r>
      <w:r w:rsidR="00FD658D">
        <w:rPr>
          <w:bCs/>
        </w:rPr>
        <w:t xml:space="preserve"> </w:t>
      </w:r>
      <w:r w:rsidR="008639C7">
        <w:rPr>
          <w:bCs/>
        </w:rPr>
        <w:t xml:space="preserve">     </w:t>
      </w:r>
      <w:r w:rsidR="00983621">
        <w:rPr>
          <w:bCs/>
        </w:rPr>
        <w:t xml:space="preserve">  </w:t>
      </w:r>
    </w:p>
    <w:p w14:paraId="7DA8B1C1" w14:textId="427BFC57" w:rsidR="009E4D98" w:rsidRDefault="00983621" w:rsidP="00690603">
      <w:pPr>
        <w:tabs>
          <w:tab w:val="left" w:pos="1170"/>
        </w:tabs>
        <w:ind w:left="810" w:hanging="364"/>
        <w:rPr>
          <w:bCs/>
        </w:rPr>
      </w:pPr>
      <w:bookmarkStart w:id="11" w:name="_Hlk168493603"/>
      <w:r>
        <w:rPr>
          <w:bCs/>
        </w:rPr>
        <w:t xml:space="preserve">      </w:t>
      </w:r>
      <w:bookmarkStart w:id="12" w:name="_Hlk168493625"/>
      <w:r w:rsidR="00696700" w:rsidRPr="0016478D">
        <w:rPr>
          <w:b/>
          <w:u w:val="single"/>
        </w:rPr>
        <w:t>Finding FY 202</w:t>
      </w:r>
      <w:r w:rsidR="009E4D98" w:rsidRPr="0016478D">
        <w:rPr>
          <w:b/>
          <w:u w:val="single"/>
        </w:rPr>
        <w:t>3</w:t>
      </w:r>
      <w:r w:rsidR="00696700" w:rsidRPr="0016478D">
        <w:rPr>
          <w:b/>
          <w:u w:val="single"/>
        </w:rPr>
        <w:t>-</w:t>
      </w:r>
      <w:r w:rsidR="00E12DFB">
        <w:rPr>
          <w:b/>
          <w:u w:val="single"/>
        </w:rPr>
        <w:t>08</w:t>
      </w:r>
      <w:r w:rsidR="00696700" w:rsidRPr="0016478D">
        <w:rPr>
          <w:b/>
          <w:u w:val="single"/>
        </w:rPr>
        <w:t xml:space="preserve"> </w:t>
      </w:r>
      <w:bookmarkEnd w:id="11"/>
      <w:r w:rsidR="009E4D98" w:rsidRPr="0016478D">
        <w:rPr>
          <w:b/>
          <w:u w:val="single"/>
        </w:rPr>
        <w:t>(</w:t>
      </w:r>
      <w:r w:rsidR="00696700" w:rsidRPr="0016478D">
        <w:rPr>
          <w:b/>
          <w:u w:val="single"/>
        </w:rPr>
        <w:t xml:space="preserve">FY </w:t>
      </w:r>
      <w:r w:rsidR="009E4D98" w:rsidRPr="0016478D">
        <w:rPr>
          <w:b/>
          <w:u w:val="single"/>
        </w:rPr>
        <w:t>2022-06, FY 2021-06, FY 2020-02, FY 2019-03):</w:t>
      </w:r>
      <w:r w:rsidR="009E4D98" w:rsidRPr="009E4D98">
        <w:rPr>
          <w:bCs/>
          <w:u w:val="single"/>
        </w:rPr>
        <w:t xml:space="preserve"> </w:t>
      </w:r>
      <w:r w:rsidR="00696700" w:rsidRPr="009E4D98">
        <w:rPr>
          <w:bCs/>
          <w:i/>
          <w:iCs/>
        </w:rPr>
        <w:t>Consultation File</w:t>
      </w:r>
      <w:r w:rsidR="00D9291F">
        <w:rPr>
          <w:bCs/>
          <w:i/>
          <w:iCs/>
        </w:rPr>
        <w:t xml:space="preserve"> </w:t>
      </w:r>
      <w:r w:rsidR="00696700" w:rsidRPr="009E4D98">
        <w:rPr>
          <w:bCs/>
          <w:i/>
          <w:iCs/>
        </w:rPr>
        <w:t>Documentation</w:t>
      </w:r>
      <w:r w:rsidR="00696700" w:rsidRPr="00696700">
        <w:rPr>
          <w:bCs/>
        </w:rPr>
        <w:t xml:space="preserve"> </w:t>
      </w:r>
    </w:p>
    <w:p w14:paraId="267D685C" w14:textId="097519E6" w:rsidR="009E4D98" w:rsidRDefault="00696700" w:rsidP="0097324B">
      <w:pPr>
        <w:tabs>
          <w:tab w:val="left" w:pos="810"/>
        </w:tabs>
        <w:ind w:left="810"/>
        <w:rPr>
          <w:bCs/>
        </w:rPr>
      </w:pPr>
      <w:r w:rsidRPr="00696700">
        <w:rPr>
          <w:bCs/>
        </w:rPr>
        <w:t xml:space="preserve">Consultation case file documentation was lacking. </w:t>
      </w:r>
      <w:r w:rsidR="00D53174">
        <w:rPr>
          <w:bCs/>
        </w:rPr>
        <w:t xml:space="preserve">Specifically, the health files were missing the following: three out of five (60%) of the initial visits lacked a report, three out of five (60%) of the initial visits showing chlorine cylinder storage lacked evidence that coverage under the OSHA Process Safety </w:t>
      </w:r>
      <w:r w:rsidR="00D53174">
        <w:rPr>
          <w:bCs/>
        </w:rPr>
        <w:lastRenderedPageBreak/>
        <w:t>Management Standard was evaluated</w:t>
      </w:r>
      <w:r w:rsidR="00DE2AF7">
        <w:rPr>
          <w:bCs/>
        </w:rPr>
        <w:t xml:space="preserve"> and</w:t>
      </w:r>
      <w:r w:rsidR="00D53174">
        <w:rPr>
          <w:bCs/>
        </w:rPr>
        <w:t xml:space="preserve"> two of the three (66%) of the reports did not include all required years of injury/illness data. The safety consultation files were specifically missing the following: evidence in three of six (50%) of initial visits to support the issuance of notices under 1910.38, in two of two (100%) of the visits with an extension that the employer received an updated List of Hazards, evidence to support issuing lockout</w:t>
      </w:r>
      <w:r w:rsidR="00DE2AF7">
        <w:rPr>
          <w:bCs/>
        </w:rPr>
        <w:t>/tagout program notices for two visits and in two visits how hazards were corrected.</w:t>
      </w:r>
      <w:r w:rsidR="00D53174">
        <w:rPr>
          <w:bCs/>
        </w:rPr>
        <w:t xml:space="preserve">     </w:t>
      </w:r>
    </w:p>
    <w:bookmarkEnd w:id="12"/>
    <w:p w14:paraId="41C7A7E2" w14:textId="77777777" w:rsidR="00980D4F" w:rsidRDefault="00980D4F" w:rsidP="0097324B">
      <w:pPr>
        <w:tabs>
          <w:tab w:val="left" w:pos="1170"/>
        </w:tabs>
        <w:rPr>
          <w:b/>
          <w:u w:val="single"/>
        </w:rPr>
      </w:pPr>
    </w:p>
    <w:p w14:paraId="4B879C5B" w14:textId="53035458" w:rsidR="0016478D" w:rsidRDefault="0016478D" w:rsidP="0067597D">
      <w:pPr>
        <w:tabs>
          <w:tab w:val="left" w:pos="1170"/>
        </w:tabs>
        <w:ind w:left="1346" w:hanging="536"/>
        <w:rPr>
          <w:b/>
          <w:u w:val="single"/>
        </w:rPr>
      </w:pPr>
      <w:r w:rsidRPr="009E4D98">
        <w:rPr>
          <w:b/>
          <w:u w:val="single"/>
        </w:rPr>
        <w:t>Recommendation</w:t>
      </w:r>
      <w:r w:rsidR="00696700" w:rsidRPr="009E4D98">
        <w:rPr>
          <w:b/>
          <w:u w:val="single"/>
        </w:rPr>
        <w:t xml:space="preserve"> FY 202</w:t>
      </w:r>
      <w:r w:rsidR="009E4D98" w:rsidRPr="009E4D98">
        <w:rPr>
          <w:b/>
          <w:u w:val="single"/>
        </w:rPr>
        <w:t>3</w:t>
      </w:r>
      <w:r w:rsidR="00696700" w:rsidRPr="009E4D98">
        <w:rPr>
          <w:b/>
          <w:u w:val="single"/>
        </w:rPr>
        <w:t>-</w:t>
      </w:r>
      <w:r w:rsidR="00E12DFB">
        <w:rPr>
          <w:b/>
          <w:u w:val="single"/>
        </w:rPr>
        <w:t>08</w:t>
      </w:r>
      <w:r w:rsidR="00696700" w:rsidRPr="009E4D98">
        <w:rPr>
          <w:b/>
          <w:u w:val="single"/>
        </w:rPr>
        <w:t xml:space="preserve">: </w:t>
      </w:r>
    </w:p>
    <w:p w14:paraId="2C9B70A2" w14:textId="77777777" w:rsidR="0016478D" w:rsidRDefault="00696700" w:rsidP="0067597D">
      <w:pPr>
        <w:tabs>
          <w:tab w:val="left" w:pos="900"/>
          <w:tab w:val="left" w:pos="1170"/>
        </w:tabs>
        <w:ind w:left="810"/>
        <w:rPr>
          <w:bCs/>
        </w:rPr>
      </w:pPr>
      <w:r w:rsidRPr="00696700">
        <w:rPr>
          <w:bCs/>
        </w:rPr>
        <w:t>PEOSH should improve documentation in its consultation</w:t>
      </w:r>
      <w:r w:rsidR="0016478D">
        <w:rPr>
          <w:bCs/>
        </w:rPr>
        <w:t xml:space="preserve"> c</w:t>
      </w:r>
      <w:r w:rsidRPr="00696700">
        <w:rPr>
          <w:bCs/>
        </w:rPr>
        <w:t>ase</w:t>
      </w:r>
      <w:r w:rsidR="0016478D">
        <w:rPr>
          <w:bCs/>
        </w:rPr>
        <w:t xml:space="preserve"> </w:t>
      </w:r>
      <w:r w:rsidR="009E4D98">
        <w:rPr>
          <w:bCs/>
        </w:rPr>
        <w:t>f</w:t>
      </w:r>
      <w:r w:rsidRPr="00696700">
        <w:rPr>
          <w:bCs/>
        </w:rPr>
        <w:t>iles</w:t>
      </w:r>
      <w:r w:rsidR="009E4D98">
        <w:rPr>
          <w:bCs/>
        </w:rPr>
        <w:t xml:space="preserve"> </w:t>
      </w:r>
      <w:r w:rsidRPr="00696700">
        <w:rPr>
          <w:bCs/>
        </w:rPr>
        <w:t xml:space="preserve">by adhering to </w:t>
      </w:r>
      <w:r w:rsidR="00BB731C">
        <w:rPr>
          <w:bCs/>
        </w:rPr>
        <w:t>CSP 02-00-</w:t>
      </w:r>
    </w:p>
    <w:p w14:paraId="1FC3F80E" w14:textId="3266CB8B" w:rsidR="00696700" w:rsidRPr="00696700" w:rsidRDefault="00BB731C" w:rsidP="0067597D">
      <w:pPr>
        <w:tabs>
          <w:tab w:val="left" w:pos="1170"/>
        </w:tabs>
        <w:ind w:left="1346" w:hanging="536"/>
        <w:rPr>
          <w:bCs/>
        </w:rPr>
      </w:pPr>
      <w:r>
        <w:rPr>
          <w:bCs/>
        </w:rPr>
        <w:t xml:space="preserve">05, Consultation Policies and Procedures Manual. </w:t>
      </w:r>
      <w:r w:rsidR="00696700" w:rsidRPr="00696700">
        <w:rPr>
          <w:bCs/>
        </w:rPr>
        <w:t xml:space="preserve"> </w:t>
      </w:r>
    </w:p>
    <w:p w14:paraId="5D9C4CDF" w14:textId="17DDBAEA" w:rsidR="00E03166" w:rsidRPr="00E03166" w:rsidRDefault="00E03166" w:rsidP="00874F13">
      <w:pPr>
        <w:tabs>
          <w:tab w:val="left" w:pos="1170"/>
        </w:tabs>
        <w:ind w:left="810" w:hanging="450"/>
        <w:rPr>
          <w:bCs/>
        </w:rPr>
      </w:pPr>
      <w:r>
        <w:rPr>
          <w:bCs/>
        </w:rPr>
        <w:t xml:space="preserve">   </w:t>
      </w:r>
    </w:p>
    <w:p w14:paraId="3FC2DBE0" w14:textId="1BF88B25" w:rsidR="003C2918" w:rsidRPr="00690603" w:rsidRDefault="00091167" w:rsidP="0067597D">
      <w:pPr>
        <w:ind w:left="176" w:firstLine="634"/>
        <w:rPr>
          <w:b/>
          <w:caps/>
        </w:rPr>
      </w:pPr>
      <w:r w:rsidRPr="00690603">
        <w:rPr>
          <w:b/>
          <w:bCs/>
        </w:rPr>
        <w:t>11</w:t>
      </w:r>
      <w:r w:rsidR="00782EEC" w:rsidRPr="00690603">
        <w:t xml:space="preserve">.  </w:t>
      </w:r>
      <w:r w:rsidR="00602922" w:rsidRPr="00690603">
        <w:t xml:space="preserve">  </w:t>
      </w:r>
      <w:r w:rsidR="00782EEC" w:rsidRPr="00690603">
        <w:rPr>
          <w:b/>
          <w:caps/>
        </w:rPr>
        <w:t>Private Sector 23</w:t>
      </w:r>
      <w:r w:rsidR="00782EEC" w:rsidRPr="00690603">
        <w:rPr>
          <w:rFonts w:ascii="Times New Roman Bold" w:hAnsi="Times New Roman Bold"/>
          <w:b/>
          <w:caps/>
        </w:rPr>
        <w:t>(g)</w:t>
      </w:r>
      <w:r w:rsidR="00F519F0" w:rsidRPr="00690603">
        <w:rPr>
          <w:b/>
          <w:caps/>
        </w:rPr>
        <w:t xml:space="preserve"> On-site Consultation Program</w:t>
      </w:r>
    </w:p>
    <w:p w14:paraId="33F26E3E" w14:textId="77777777" w:rsidR="00690603" w:rsidRDefault="00690603" w:rsidP="00690603">
      <w:pPr>
        <w:ind w:left="360"/>
        <w:rPr>
          <w:b/>
          <w:caps/>
        </w:rPr>
      </w:pPr>
    </w:p>
    <w:p w14:paraId="41192E8C" w14:textId="334A2703" w:rsidR="00690603" w:rsidRDefault="00690603" w:rsidP="0067597D">
      <w:pPr>
        <w:ind w:left="900" w:hanging="90"/>
        <w:rPr>
          <w:b/>
          <w:caps/>
        </w:rPr>
      </w:pPr>
      <w:r>
        <w:t>NJ PEOSH is a state and local government plan.</w:t>
      </w:r>
      <w:r>
        <w:rPr>
          <w:b/>
          <w:caps/>
        </w:rPr>
        <w:tab/>
      </w:r>
    </w:p>
    <w:p w14:paraId="7B841DAF" w14:textId="77777777" w:rsidR="00690603" w:rsidRPr="00690603" w:rsidRDefault="00690603" w:rsidP="00690603">
      <w:pPr>
        <w:ind w:left="900" w:hanging="540"/>
      </w:pPr>
    </w:p>
    <w:p w14:paraId="4853DC94" w14:textId="531B1440" w:rsidR="003C2918" w:rsidRDefault="003C2918" w:rsidP="00F519F0">
      <w:pPr>
        <w:ind w:left="900" w:hanging="540"/>
        <w:rPr>
          <w:b/>
          <w:caps/>
        </w:rPr>
      </w:pPr>
      <w:r>
        <w:rPr>
          <w:b/>
          <w:caps/>
        </w:rPr>
        <w:t xml:space="preserve">                </w:t>
      </w:r>
    </w:p>
    <w:p w14:paraId="00621C0A" w14:textId="77777777" w:rsidR="003C2918" w:rsidRDefault="003C2918" w:rsidP="00F519F0">
      <w:pPr>
        <w:ind w:left="900" w:hanging="540"/>
        <w:rPr>
          <w:b/>
          <w:caps/>
        </w:rPr>
      </w:pPr>
    </w:p>
    <w:p w14:paraId="35F56ED9" w14:textId="77777777" w:rsidR="003C2918" w:rsidRDefault="003C2918" w:rsidP="00F519F0">
      <w:pPr>
        <w:ind w:left="900" w:hanging="540"/>
        <w:rPr>
          <w:b/>
          <w:caps/>
        </w:rPr>
      </w:pPr>
      <w:r>
        <w:rPr>
          <w:b/>
          <w:caps/>
        </w:rPr>
        <w:t xml:space="preserve">          </w:t>
      </w:r>
    </w:p>
    <w:p w14:paraId="55AD9C9E" w14:textId="77777777" w:rsidR="003C2918" w:rsidRDefault="003C2918" w:rsidP="00F519F0">
      <w:pPr>
        <w:ind w:left="900" w:hanging="540"/>
        <w:rPr>
          <w:b/>
          <w:caps/>
        </w:rPr>
      </w:pPr>
    </w:p>
    <w:p w14:paraId="3898A011" w14:textId="77777777" w:rsidR="003C2918" w:rsidRDefault="003C2918" w:rsidP="00F519F0">
      <w:pPr>
        <w:ind w:left="900" w:hanging="540"/>
        <w:rPr>
          <w:b/>
          <w:caps/>
        </w:rPr>
      </w:pPr>
    </w:p>
    <w:p w14:paraId="34DF1D1C" w14:textId="77777777" w:rsidR="003C2918" w:rsidRDefault="003C2918" w:rsidP="00F519F0">
      <w:pPr>
        <w:ind w:left="900" w:hanging="540"/>
        <w:rPr>
          <w:b/>
          <w:caps/>
        </w:rPr>
      </w:pPr>
    </w:p>
    <w:p w14:paraId="0A8EA91A" w14:textId="5A82BA53" w:rsidR="00782EEC" w:rsidRDefault="003C2918" w:rsidP="00F519F0">
      <w:pPr>
        <w:ind w:left="900" w:hanging="540"/>
        <w:rPr>
          <w:b/>
          <w:caps/>
        </w:rPr>
      </w:pPr>
      <w:r>
        <w:rPr>
          <w:b/>
          <w:caps/>
        </w:rPr>
        <w:t xml:space="preserve">        </w:t>
      </w:r>
    </w:p>
    <w:p w14:paraId="11420D83" w14:textId="77777777" w:rsidR="003C2918" w:rsidRDefault="003C2918" w:rsidP="00F519F0">
      <w:pPr>
        <w:ind w:left="900" w:hanging="540"/>
        <w:rPr>
          <w:b/>
          <w:caps/>
        </w:rPr>
      </w:pPr>
    </w:p>
    <w:p w14:paraId="4911CF1E" w14:textId="77777777" w:rsidR="003C2918" w:rsidRPr="008B1863" w:rsidRDefault="003C2918" w:rsidP="00F519F0">
      <w:pPr>
        <w:ind w:left="900" w:hanging="540"/>
        <w:rPr>
          <w:b/>
          <w:caps/>
        </w:rPr>
      </w:pPr>
    </w:p>
    <w:p w14:paraId="5CD2538C" w14:textId="77777777" w:rsidR="00091167" w:rsidRPr="00690603" w:rsidRDefault="00091167" w:rsidP="00091167">
      <w:pPr>
        <w:rPr>
          <w:iCs/>
        </w:rPr>
        <w:sectPr w:rsidR="00091167" w:rsidRPr="00690603" w:rsidSect="003441A2">
          <w:headerReference w:type="default" r:id="rId10"/>
          <w:footerReference w:type="default" r:id="rId11"/>
          <w:footerReference w:type="first" r:id="rId12"/>
          <w:pgSz w:w="12240" w:h="15840"/>
          <w:pgMar w:top="1170" w:right="900" w:bottom="720" w:left="1170" w:header="720" w:footer="443" w:gutter="0"/>
          <w:pgNumType w:start="1"/>
          <w:cols w:space="720"/>
          <w:titlePg/>
          <w:rtlGutter/>
          <w:docGrid w:linePitch="360"/>
        </w:sectPr>
      </w:pPr>
    </w:p>
    <w:tbl>
      <w:tblPr>
        <w:tblStyle w:val="TableGrid"/>
        <w:tblW w:w="12870" w:type="dxa"/>
        <w:tblLook w:val="01E0" w:firstRow="1" w:lastRow="1" w:firstColumn="1" w:lastColumn="1" w:noHBand="0" w:noVBand="0"/>
        <w:tblCaption w:val="New and Continued Findings and Recommendations"/>
        <w:tblDescription w:val="Appendix X"/>
      </w:tblPr>
      <w:tblGrid>
        <w:gridCol w:w="1440"/>
        <w:gridCol w:w="4721"/>
        <w:gridCol w:w="4819"/>
        <w:gridCol w:w="1890"/>
      </w:tblGrid>
      <w:tr w:rsidR="00156BBB" w:rsidRPr="00156BBB" w14:paraId="7012A54A" w14:textId="77777777" w:rsidTr="00B158D9">
        <w:trPr>
          <w:trHeight w:val="800"/>
          <w:tblHeader/>
        </w:trPr>
        <w:tc>
          <w:tcPr>
            <w:tcW w:w="1440" w:type="dxa"/>
            <w:shd w:val="clear" w:color="auto" w:fill="1F497D" w:themeFill="text2"/>
          </w:tcPr>
          <w:p w14:paraId="0BDBF868" w14:textId="719DAFCC" w:rsidR="006529AA" w:rsidRPr="00156BBB" w:rsidRDefault="006529AA" w:rsidP="007A71AC">
            <w:pPr>
              <w:widowControl/>
              <w:autoSpaceDE/>
              <w:autoSpaceDN/>
              <w:adjustRightInd/>
              <w:jc w:val="center"/>
              <w:rPr>
                <w:b/>
                <w:color w:val="FFFFFF" w:themeColor="background1"/>
              </w:rPr>
            </w:pPr>
            <w:r w:rsidRPr="00156BBB">
              <w:rPr>
                <w:b/>
                <w:color w:val="FFFFFF" w:themeColor="background1"/>
              </w:rPr>
              <w:lastRenderedPageBreak/>
              <w:t>FY 20</w:t>
            </w:r>
            <w:r w:rsidR="00FE0E89">
              <w:rPr>
                <w:b/>
                <w:color w:val="FFFFFF" w:themeColor="background1"/>
              </w:rPr>
              <w:t>23</w:t>
            </w:r>
            <w:r w:rsidRPr="00156BBB">
              <w:rPr>
                <w:b/>
                <w:color w:val="FFFFFF" w:themeColor="background1"/>
              </w:rPr>
              <w:t>-#</w:t>
            </w:r>
          </w:p>
        </w:tc>
        <w:tc>
          <w:tcPr>
            <w:tcW w:w="4721" w:type="dxa"/>
            <w:shd w:val="clear" w:color="auto" w:fill="1F497D" w:themeFill="text2"/>
          </w:tcPr>
          <w:p w14:paraId="10D564DB" w14:textId="77777777" w:rsidR="006529AA" w:rsidRPr="00156BBB" w:rsidRDefault="006529AA" w:rsidP="007A71AC">
            <w:pPr>
              <w:widowControl/>
              <w:autoSpaceDE/>
              <w:autoSpaceDN/>
              <w:adjustRightInd/>
              <w:jc w:val="center"/>
              <w:rPr>
                <w:b/>
                <w:color w:val="FFFFFF" w:themeColor="background1"/>
              </w:rPr>
            </w:pPr>
            <w:r w:rsidRPr="00156BBB">
              <w:rPr>
                <w:b/>
                <w:color w:val="FFFFFF" w:themeColor="background1"/>
              </w:rPr>
              <w:t>Finding</w:t>
            </w:r>
          </w:p>
        </w:tc>
        <w:tc>
          <w:tcPr>
            <w:tcW w:w="4819" w:type="dxa"/>
            <w:shd w:val="clear" w:color="auto" w:fill="1F497D" w:themeFill="text2"/>
          </w:tcPr>
          <w:p w14:paraId="658AEC70" w14:textId="77777777" w:rsidR="006529AA" w:rsidRPr="00156BBB" w:rsidRDefault="006529AA" w:rsidP="007A71AC">
            <w:pPr>
              <w:widowControl/>
              <w:autoSpaceDE/>
              <w:autoSpaceDN/>
              <w:adjustRightInd/>
              <w:jc w:val="center"/>
              <w:rPr>
                <w:b/>
                <w:color w:val="FFFFFF" w:themeColor="background1"/>
              </w:rPr>
            </w:pPr>
            <w:r w:rsidRPr="00156BBB">
              <w:rPr>
                <w:b/>
                <w:color w:val="FFFFFF" w:themeColor="background1"/>
              </w:rPr>
              <w:t>Recommendation</w:t>
            </w:r>
          </w:p>
        </w:tc>
        <w:tc>
          <w:tcPr>
            <w:tcW w:w="1890" w:type="dxa"/>
            <w:shd w:val="clear" w:color="auto" w:fill="1F497D" w:themeFill="text2"/>
          </w:tcPr>
          <w:p w14:paraId="1D9D7E73" w14:textId="7FC4B558" w:rsidR="006529AA" w:rsidRPr="00156BBB" w:rsidRDefault="006529AA" w:rsidP="007A71AC">
            <w:pPr>
              <w:widowControl/>
              <w:autoSpaceDE/>
              <w:autoSpaceDN/>
              <w:adjustRightInd/>
              <w:jc w:val="center"/>
              <w:rPr>
                <w:b/>
                <w:color w:val="FFFFFF" w:themeColor="background1"/>
              </w:rPr>
            </w:pPr>
            <w:r w:rsidRPr="00156BBB">
              <w:rPr>
                <w:b/>
                <w:color w:val="FFFFFF" w:themeColor="background1"/>
              </w:rPr>
              <w:t>FY 20</w:t>
            </w:r>
            <w:r w:rsidR="00FE0E89">
              <w:rPr>
                <w:b/>
                <w:color w:val="FFFFFF" w:themeColor="background1"/>
              </w:rPr>
              <w:t>22</w:t>
            </w:r>
            <w:r w:rsidRPr="00156BBB">
              <w:rPr>
                <w:b/>
                <w:color w:val="FFFFFF" w:themeColor="background1"/>
              </w:rPr>
              <w:t xml:space="preserve">-# or </w:t>
            </w:r>
          </w:p>
          <w:p w14:paraId="3E08BB9F" w14:textId="431BED99" w:rsidR="006529AA" w:rsidRPr="00156BBB" w:rsidRDefault="006529AA" w:rsidP="007A71AC">
            <w:pPr>
              <w:widowControl/>
              <w:autoSpaceDE/>
              <w:autoSpaceDN/>
              <w:adjustRightInd/>
              <w:jc w:val="center"/>
              <w:rPr>
                <w:b/>
                <w:color w:val="FFFFFF" w:themeColor="background1"/>
              </w:rPr>
            </w:pPr>
            <w:r w:rsidRPr="00156BBB">
              <w:rPr>
                <w:b/>
                <w:color w:val="FFFFFF" w:themeColor="background1"/>
              </w:rPr>
              <w:t>FY 20</w:t>
            </w:r>
            <w:r w:rsidR="00FE0E89">
              <w:rPr>
                <w:b/>
                <w:color w:val="FFFFFF" w:themeColor="background1"/>
              </w:rPr>
              <w:t>22</w:t>
            </w:r>
            <w:r w:rsidRPr="00156BBB">
              <w:rPr>
                <w:b/>
                <w:color w:val="FFFFFF" w:themeColor="background1"/>
              </w:rPr>
              <w:t>-OB-#</w:t>
            </w:r>
          </w:p>
        </w:tc>
      </w:tr>
      <w:tr w:rsidR="006529AA" w:rsidRPr="000A134A" w14:paraId="54B16CEE" w14:textId="77777777" w:rsidTr="00C318E1">
        <w:tc>
          <w:tcPr>
            <w:tcW w:w="1440" w:type="dxa"/>
          </w:tcPr>
          <w:p w14:paraId="165C029E" w14:textId="3CFB73E2" w:rsidR="006529AA" w:rsidRPr="00E12DFB" w:rsidRDefault="00FE0E89" w:rsidP="007A71AC">
            <w:pPr>
              <w:widowControl/>
              <w:autoSpaceDE/>
              <w:autoSpaceDN/>
              <w:adjustRightInd/>
              <w:rPr>
                <w:sz w:val="22"/>
                <w:szCs w:val="22"/>
              </w:rPr>
            </w:pPr>
            <w:bookmarkStart w:id="13" w:name="_Hlk160200838"/>
            <w:r w:rsidRPr="00E12DFB">
              <w:rPr>
                <w:sz w:val="22"/>
                <w:szCs w:val="22"/>
              </w:rPr>
              <w:t>FY 2023-01</w:t>
            </w:r>
          </w:p>
          <w:p w14:paraId="62DD2F41" w14:textId="77777777" w:rsidR="006529AA" w:rsidRPr="00E12DFB" w:rsidRDefault="006529AA" w:rsidP="007A71AC">
            <w:pPr>
              <w:widowControl/>
              <w:autoSpaceDE/>
              <w:autoSpaceDN/>
              <w:adjustRightInd/>
              <w:rPr>
                <w:sz w:val="22"/>
                <w:szCs w:val="22"/>
              </w:rPr>
            </w:pPr>
          </w:p>
        </w:tc>
        <w:tc>
          <w:tcPr>
            <w:tcW w:w="4721" w:type="dxa"/>
          </w:tcPr>
          <w:p w14:paraId="1BDC4CD6" w14:textId="563540C2" w:rsidR="00FE0E89" w:rsidRPr="00E12DFB" w:rsidRDefault="00FE0E89" w:rsidP="00FE0E89">
            <w:pPr>
              <w:widowControl/>
              <w:autoSpaceDE/>
              <w:autoSpaceDN/>
              <w:adjustRightInd/>
              <w:rPr>
                <w:i/>
                <w:iCs/>
                <w:sz w:val="22"/>
                <w:szCs w:val="22"/>
              </w:rPr>
            </w:pPr>
            <w:r w:rsidRPr="00E12DFB">
              <w:rPr>
                <w:i/>
                <w:iCs/>
                <w:sz w:val="22"/>
                <w:szCs w:val="22"/>
              </w:rPr>
              <w:t>Complainant Notification</w:t>
            </w:r>
          </w:p>
          <w:p w14:paraId="5A6AB1DE" w14:textId="777978D1" w:rsidR="006529AA" w:rsidRPr="00E12DFB" w:rsidRDefault="00FE0E89" w:rsidP="007A71AC">
            <w:pPr>
              <w:widowControl/>
              <w:autoSpaceDE/>
              <w:autoSpaceDN/>
              <w:adjustRightInd/>
              <w:rPr>
                <w:sz w:val="22"/>
                <w:szCs w:val="22"/>
              </w:rPr>
            </w:pPr>
            <w:bookmarkStart w:id="14" w:name="OLE_LINK1"/>
            <w:r w:rsidRPr="00E12DFB">
              <w:rPr>
                <w:sz w:val="22"/>
                <w:szCs w:val="22"/>
              </w:rPr>
              <w:t xml:space="preserve">The letter to the complainant at the conclusion of the inspection documenting the results of the inspection was missing in </w:t>
            </w:r>
            <w:r w:rsidR="00DC7E4E">
              <w:rPr>
                <w:sz w:val="22"/>
                <w:szCs w:val="22"/>
              </w:rPr>
              <w:t>five</w:t>
            </w:r>
            <w:r w:rsidRPr="00E12DFB">
              <w:rPr>
                <w:sz w:val="22"/>
                <w:szCs w:val="22"/>
              </w:rPr>
              <w:t xml:space="preserve"> of 16 (31%) of the complaint files reviewed.</w:t>
            </w:r>
            <w:bookmarkEnd w:id="14"/>
          </w:p>
        </w:tc>
        <w:tc>
          <w:tcPr>
            <w:tcW w:w="4819" w:type="dxa"/>
          </w:tcPr>
          <w:p w14:paraId="2932F921" w14:textId="28EE7901" w:rsidR="006529AA" w:rsidRPr="00E12DFB" w:rsidRDefault="00FE0E89" w:rsidP="00FE0E89">
            <w:pPr>
              <w:widowControl/>
              <w:autoSpaceDE/>
              <w:autoSpaceDN/>
              <w:adjustRightInd/>
              <w:rPr>
                <w:sz w:val="22"/>
                <w:szCs w:val="22"/>
              </w:rPr>
            </w:pPr>
            <w:r w:rsidRPr="00E12DFB">
              <w:rPr>
                <w:sz w:val="22"/>
                <w:szCs w:val="22"/>
              </w:rPr>
              <w:t>PEOSH needs to ensure that the complainant receives a letter at the conclusion of the inspection with all allegations addressed and a copy is maintained in the electronic file.</w:t>
            </w:r>
          </w:p>
        </w:tc>
        <w:tc>
          <w:tcPr>
            <w:tcW w:w="1890" w:type="dxa"/>
          </w:tcPr>
          <w:p w14:paraId="24300BED" w14:textId="41C408A4" w:rsidR="00FE0E89" w:rsidRPr="00E12DFB" w:rsidRDefault="00FE0E89" w:rsidP="007A71AC">
            <w:pPr>
              <w:widowControl/>
              <w:autoSpaceDE/>
              <w:autoSpaceDN/>
              <w:adjustRightInd/>
              <w:rPr>
                <w:sz w:val="22"/>
                <w:szCs w:val="22"/>
              </w:rPr>
            </w:pPr>
            <w:r w:rsidRPr="00E12DFB">
              <w:rPr>
                <w:sz w:val="22"/>
                <w:szCs w:val="22"/>
              </w:rPr>
              <w:t>FY 2022-02</w:t>
            </w:r>
          </w:p>
          <w:p w14:paraId="1146FD94" w14:textId="179AAF3A" w:rsidR="00FE0E89" w:rsidRPr="00E12DFB" w:rsidRDefault="00FE0E89" w:rsidP="007A71AC">
            <w:pPr>
              <w:widowControl/>
              <w:autoSpaceDE/>
              <w:autoSpaceDN/>
              <w:adjustRightInd/>
              <w:rPr>
                <w:sz w:val="22"/>
                <w:szCs w:val="22"/>
              </w:rPr>
            </w:pPr>
            <w:r w:rsidRPr="00E12DFB">
              <w:rPr>
                <w:sz w:val="22"/>
                <w:szCs w:val="22"/>
              </w:rPr>
              <w:t>FY 2021-0</w:t>
            </w:r>
            <w:r w:rsidR="004C187E">
              <w:rPr>
                <w:sz w:val="22"/>
                <w:szCs w:val="22"/>
              </w:rPr>
              <w:t>2</w:t>
            </w:r>
          </w:p>
          <w:p w14:paraId="238C33F1" w14:textId="296F3B7D" w:rsidR="006529AA" w:rsidRPr="00E12DFB" w:rsidRDefault="00FE0E89" w:rsidP="007A71AC">
            <w:pPr>
              <w:widowControl/>
              <w:autoSpaceDE/>
              <w:autoSpaceDN/>
              <w:adjustRightInd/>
              <w:rPr>
                <w:sz w:val="22"/>
                <w:szCs w:val="22"/>
              </w:rPr>
            </w:pPr>
            <w:r w:rsidRPr="00E12DFB">
              <w:rPr>
                <w:sz w:val="22"/>
                <w:szCs w:val="22"/>
              </w:rPr>
              <w:t>FY 2020-OB-01 FY 2019-OB-02 FY 2018-OB-01 FY 2017-OB-01</w:t>
            </w:r>
          </w:p>
        </w:tc>
      </w:tr>
      <w:tr w:rsidR="006529AA" w:rsidRPr="000A134A" w14:paraId="54867A7F" w14:textId="77777777" w:rsidTr="00C318E1">
        <w:tc>
          <w:tcPr>
            <w:tcW w:w="1440" w:type="dxa"/>
          </w:tcPr>
          <w:p w14:paraId="35ACD222" w14:textId="15347182" w:rsidR="006529AA" w:rsidRPr="00E12DFB" w:rsidRDefault="00FE0E89" w:rsidP="007A71AC">
            <w:pPr>
              <w:widowControl/>
              <w:autoSpaceDE/>
              <w:autoSpaceDN/>
              <w:adjustRightInd/>
              <w:rPr>
                <w:sz w:val="22"/>
                <w:szCs w:val="22"/>
              </w:rPr>
            </w:pPr>
            <w:r w:rsidRPr="00E12DFB">
              <w:rPr>
                <w:sz w:val="22"/>
                <w:szCs w:val="22"/>
              </w:rPr>
              <w:t>FY 2023-02</w:t>
            </w:r>
            <w:r w:rsidR="006529AA" w:rsidRPr="00E12DFB">
              <w:rPr>
                <w:sz w:val="22"/>
                <w:szCs w:val="22"/>
              </w:rPr>
              <w:t xml:space="preserve"> </w:t>
            </w:r>
          </w:p>
          <w:p w14:paraId="42063CDD" w14:textId="77777777" w:rsidR="006529AA" w:rsidRPr="00E12DFB" w:rsidRDefault="006529AA" w:rsidP="007A71AC">
            <w:pPr>
              <w:widowControl/>
              <w:autoSpaceDE/>
              <w:autoSpaceDN/>
              <w:adjustRightInd/>
              <w:rPr>
                <w:sz w:val="22"/>
                <w:szCs w:val="22"/>
              </w:rPr>
            </w:pPr>
          </w:p>
        </w:tc>
        <w:tc>
          <w:tcPr>
            <w:tcW w:w="4721" w:type="dxa"/>
          </w:tcPr>
          <w:p w14:paraId="50FF12C1" w14:textId="051C5EF1" w:rsidR="00FE0E89" w:rsidRPr="00E12DFB" w:rsidRDefault="00FE0E89" w:rsidP="00FE0E89">
            <w:pPr>
              <w:widowControl/>
              <w:autoSpaceDE/>
              <w:autoSpaceDN/>
              <w:adjustRightInd/>
              <w:rPr>
                <w:i/>
                <w:iCs/>
                <w:sz w:val="22"/>
                <w:szCs w:val="22"/>
              </w:rPr>
            </w:pPr>
            <w:r w:rsidRPr="00E12DFB">
              <w:rPr>
                <w:i/>
                <w:iCs/>
                <w:sz w:val="22"/>
                <w:szCs w:val="22"/>
              </w:rPr>
              <w:t xml:space="preserve">Next-of-Kin Letters </w:t>
            </w:r>
          </w:p>
          <w:p w14:paraId="03799EC3" w14:textId="77777777" w:rsidR="006529AA" w:rsidRDefault="00FE0E89" w:rsidP="007A71AC">
            <w:pPr>
              <w:widowControl/>
              <w:autoSpaceDE/>
              <w:autoSpaceDN/>
              <w:adjustRightInd/>
              <w:rPr>
                <w:sz w:val="22"/>
                <w:szCs w:val="22"/>
              </w:rPr>
            </w:pPr>
            <w:r w:rsidRPr="00E12DFB">
              <w:rPr>
                <w:sz w:val="22"/>
                <w:szCs w:val="22"/>
              </w:rPr>
              <w:t>In one of the two (50%) of the fatality inspections requiring a next-of-kin letter, both the initial and final next-of-kin letters were not sent to the family of the victim.  The State Plan noted in the case file that they did not send the letters because the death was determined not to</w:t>
            </w:r>
            <w:r w:rsidR="00FD094F">
              <w:rPr>
                <w:sz w:val="22"/>
                <w:szCs w:val="22"/>
              </w:rPr>
              <w:t xml:space="preserve"> be</w:t>
            </w:r>
            <w:r w:rsidRPr="00E12DFB">
              <w:rPr>
                <w:sz w:val="22"/>
                <w:szCs w:val="22"/>
              </w:rPr>
              <w:t xml:space="preserve"> </w:t>
            </w:r>
            <w:r w:rsidR="00FD094F" w:rsidRPr="00E12DFB">
              <w:rPr>
                <w:sz w:val="22"/>
                <w:szCs w:val="22"/>
              </w:rPr>
              <w:t>occupationally</w:t>
            </w:r>
            <w:r w:rsidR="00FD094F">
              <w:rPr>
                <w:sz w:val="22"/>
                <w:szCs w:val="22"/>
              </w:rPr>
              <w:t xml:space="preserve"> related</w:t>
            </w:r>
            <w:r w:rsidRPr="00E12DFB">
              <w:rPr>
                <w:sz w:val="22"/>
                <w:szCs w:val="22"/>
              </w:rPr>
              <w:t xml:space="preserve"> even though there was information in the file on the next-of-kin.  The State Plan adopt</w:t>
            </w:r>
            <w:r w:rsidR="0041281B">
              <w:rPr>
                <w:sz w:val="22"/>
                <w:szCs w:val="22"/>
              </w:rPr>
              <w:t>ed</w:t>
            </w:r>
            <w:r w:rsidRPr="00E12DFB">
              <w:rPr>
                <w:sz w:val="22"/>
                <w:szCs w:val="22"/>
              </w:rPr>
              <w:t xml:space="preserve"> directive CPL 02-00-166, Communicating OSHA Fatality Inspection Procedures to a Victim’s Family</w:t>
            </w:r>
            <w:r w:rsidR="00690603">
              <w:rPr>
                <w:sz w:val="22"/>
                <w:szCs w:val="22"/>
              </w:rPr>
              <w:t>,</w:t>
            </w:r>
            <w:r w:rsidRPr="00E12DFB">
              <w:rPr>
                <w:sz w:val="22"/>
                <w:szCs w:val="22"/>
              </w:rPr>
              <w:t xml:space="preserve"> that requires an initial letter notifying the family of the investigation and a final letter at the conclusion of the inspection with the results.     </w:t>
            </w:r>
          </w:p>
          <w:p w14:paraId="0532B55E" w14:textId="05CB76F9" w:rsidR="0097324B" w:rsidRPr="00E12DFB" w:rsidRDefault="0097324B" w:rsidP="007A71AC">
            <w:pPr>
              <w:widowControl/>
              <w:autoSpaceDE/>
              <w:autoSpaceDN/>
              <w:adjustRightInd/>
              <w:rPr>
                <w:sz w:val="22"/>
                <w:szCs w:val="22"/>
              </w:rPr>
            </w:pPr>
          </w:p>
        </w:tc>
        <w:tc>
          <w:tcPr>
            <w:tcW w:w="4819" w:type="dxa"/>
          </w:tcPr>
          <w:p w14:paraId="05648263" w14:textId="51F53048" w:rsidR="006529AA" w:rsidRPr="00E12DFB" w:rsidRDefault="00FE0E89" w:rsidP="007A71AC">
            <w:pPr>
              <w:widowControl/>
              <w:autoSpaceDE/>
              <w:autoSpaceDN/>
              <w:adjustRightInd/>
              <w:rPr>
                <w:sz w:val="22"/>
                <w:szCs w:val="22"/>
              </w:rPr>
            </w:pPr>
            <w:r w:rsidRPr="00E12DFB">
              <w:rPr>
                <w:sz w:val="22"/>
                <w:szCs w:val="22"/>
              </w:rPr>
              <w:t xml:space="preserve">The State Plan needs to issue next-of-kin letters as required by </w:t>
            </w:r>
            <w:r w:rsidR="00DC7E4E">
              <w:rPr>
                <w:sz w:val="22"/>
                <w:szCs w:val="22"/>
              </w:rPr>
              <w:t>its</w:t>
            </w:r>
            <w:r w:rsidRPr="00E12DFB">
              <w:rPr>
                <w:sz w:val="22"/>
                <w:szCs w:val="22"/>
              </w:rPr>
              <w:t xml:space="preserve"> FOM</w:t>
            </w:r>
            <w:r w:rsidR="00AD61E9">
              <w:rPr>
                <w:sz w:val="22"/>
                <w:szCs w:val="22"/>
              </w:rPr>
              <w:t xml:space="preserve"> and the OSHA directive</w:t>
            </w:r>
            <w:r w:rsidRPr="00E12DFB">
              <w:rPr>
                <w:sz w:val="22"/>
                <w:szCs w:val="22"/>
              </w:rPr>
              <w:t>.</w:t>
            </w:r>
          </w:p>
          <w:p w14:paraId="7BEABC05" w14:textId="77777777" w:rsidR="006529AA" w:rsidRPr="00E12DFB" w:rsidRDefault="006529AA" w:rsidP="007A71AC">
            <w:pPr>
              <w:widowControl/>
              <w:autoSpaceDE/>
              <w:autoSpaceDN/>
              <w:adjustRightInd/>
              <w:rPr>
                <w:sz w:val="22"/>
                <w:szCs w:val="22"/>
              </w:rPr>
            </w:pPr>
          </w:p>
        </w:tc>
        <w:tc>
          <w:tcPr>
            <w:tcW w:w="1890" w:type="dxa"/>
          </w:tcPr>
          <w:p w14:paraId="3FD730CF" w14:textId="49523D44" w:rsidR="00FE0E89" w:rsidRPr="00E12DFB" w:rsidRDefault="00FE0E89" w:rsidP="007A71AC">
            <w:pPr>
              <w:widowControl/>
              <w:autoSpaceDE/>
              <w:autoSpaceDN/>
              <w:adjustRightInd/>
              <w:rPr>
                <w:sz w:val="22"/>
                <w:szCs w:val="22"/>
              </w:rPr>
            </w:pPr>
            <w:r w:rsidRPr="00E12DFB">
              <w:rPr>
                <w:sz w:val="22"/>
                <w:szCs w:val="22"/>
              </w:rPr>
              <w:t>FY 2022-03</w:t>
            </w:r>
          </w:p>
          <w:p w14:paraId="7AB2470B" w14:textId="77777777" w:rsidR="006529AA" w:rsidRDefault="00FE0E89" w:rsidP="007A71AC">
            <w:pPr>
              <w:widowControl/>
              <w:autoSpaceDE/>
              <w:autoSpaceDN/>
              <w:adjustRightInd/>
              <w:rPr>
                <w:sz w:val="22"/>
                <w:szCs w:val="22"/>
              </w:rPr>
            </w:pPr>
            <w:r w:rsidRPr="00E12DFB">
              <w:rPr>
                <w:sz w:val="22"/>
                <w:szCs w:val="22"/>
              </w:rPr>
              <w:t>FY 2021-03</w:t>
            </w:r>
          </w:p>
          <w:p w14:paraId="773C0486" w14:textId="730528D3" w:rsidR="004C187E" w:rsidRPr="00E12DFB" w:rsidRDefault="004C187E" w:rsidP="004C187E">
            <w:pPr>
              <w:widowControl/>
              <w:autoSpaceDE/>
              <w:autoSpaceDN/>
              <w:adjustRightInd/>
              <w:rPr>
                <w:sz w:val="22"/>
                <w:szCs w:val="22"/>
              </w:rPr>
            </w:pPr>
          </w:p>
        </w:tc>
      </w:tr>
      <w:tr w:rsidR="006529AA" w:rsidRPr="000A134A" w14:paraId="6A6E2B90" w14:textId="77777777" w:rsidTr="00C318E1">
        <w:tc>
          <w:tcPr>
            <w:tcW w:w="1440" w:type="dxa"/>
          </w:tcPr>
          <w:p w14:paraId="461630AE" w14:textId="14F029A3" w:rsidR="006529AA" w:rsidRPr="00E12DFB" w:rsidRDefault="00FE0E89" w:rsidP="007A71AC">
            <w:pPr>
              <w:widowControl/>
              <w:autoSpaceDE/>
              <w:autoSpaceDN/>
              <w:adjustRightInd/>
              <w:rPr>
                <w:sz w:val="22"/>
                <w:szCs w:val="22"/>
              </w:rPr>
            </w:pPr>
            <w:r w:rsidRPr="00E12DFB">
              <w:rPr>
                <w:sz w:val="22"/>
                <w:szCs w:val="22"/>
              </w:rPr>
              <w:t>FY 2023-03</w:t>
            </w:r>
          </w:p>
        </w:tc>
        <w:tc>
          <w:tcPr>
            <w:tcW w:w="4721" w:type="dxa"/>
          </w:tcPr>
          <w:p w14:paraId="08303C51" w14:textId="77777777" w:rsidR="006529AA" w:rsidRPr="00E12DFB" w:rsidRDefault="006529AA" w:rsidP="007A71AC">
            <w:pPr>
              <w:widowControl/>
              <w:autoSpaceDE/>
              <w:autoSpaceDN/>
              <w:adjustRightInd/>
              <w:rPr>
                <w:i/>
                <w:iCs/>
                <w:sz w:val="22"/>
                <w:szCs w:val="22"/>
              </w:rPr>
            </w:pPr>
            <w:r w:rsidRPr="00E12DFB">
              <w:rPr>
                <w:sz w:val="22"/>
                <w:szCs w:val="22"/>
              </w:rPr>
              <w:t xml:space="preserve"> </w:t>
            </w:r>
            <w:r w:rsidR="00FE0E89" w:rsidRPr="00E12DFB">
              <w:rPr>
                <w:i/>
                <w:iCs/>
                <w:sz w:val="22"/>
                <w:szCs w:val="22"/>
              </w:rPr>
              <w:t>Case File Documentation of Fatalities Not Inspected</w:t>
            </w:r>
          </w:p>
          <w:p w14:paraId="52758F51" w14:textId="20058779" w:rsidR="00FE0E89" w:rsidRDefault="00FE0E89" w:rsidP="007A71AC">
            <w:pPr>
              <w:widowControl/>
              <w:autoSpaceDE/>
              <w:autoSpaceDN/>
              <w:adjustRightInd/>
              <w:rPr>
                <w:sz w:val="22"/>
                <w:szCs w:val="22"/>
              </w:rPr>
            </w:pPr>
            <w:r w:rsidRPr="00E12DFB">
              <w:rPr>
                <w:sz w:val="22"/>
                <w:szCs w:val="22"/>
              </w:rPr>
              <w:t xml:space="preserve">The case files of eight reported fatalities not inspected lacked </w:t>
            </w:r>
            <w:r w:rsidR="0054086A" w:rsidRPr="00E12DFB">
              <w:rPr>
                <w:sz w:val="22"/>
                <w:szCs w:val="22"/>
              </w:rPr>
              <w:t>evidence to support the conclusion that the death was not occupationally</w:t>
            </w:r>
            <w:r w:rsidR="0041281B">
              <w:rPr>
                <w:sz w:val="22"/>
                <w:szCs w:val="22"/>
              </w:rPr>
              <w:t>-</w:t>
            </w:r>
            <w:r w:rsidR="0054086A" w:rsidRPr="00E12DFB">
              <w:rPr>
                <w:sz w:val="22"/>
                <w:szCs w:val="22"/>
              </w:rPr>
              <w:t xml:space="preserve"> related.</w:t>
            </w:r>
          </w:p>
          <w:p w14:paraId="5C56552E" w14:textId="657C4F22" w:rsidR="00BD2F43" w:rsidRPr="00E12DFB" w:rsidRDefault="00BD2F43" w:rsidP="007A71AC">
            <w:pPr>
              <w:widowControl/>
              <w:autoSpaceDE/>
              <w:autoSpaceDN/>
              <w:adjustRightInd/>
              <w:rPr>
                <w:sz w:val="22"/>
                <w:szCs w:val="22"/>
              </w:rPr>
            </w:pPr>
          </w:p>
        </w:tc>
        <w:tc>
          <w:tcPr>
            <w:tcW w:w="4819" w:type="dxa"/>
          </w:tcPr>
          <w:p w14:paraId="36E45AF6" w14:textId="450EC808" w:rsidR="00FE0E89" w:rsidRPr="00E12DFB" w:rsidRDefault="00FE0E89" w:rsidP="00FE0E89">
            <w:pPr>
              <w:widowControl/>
              <w:autoSpaceDE/>
              <w:autoSpaceDN/>
              <w:adjustRightInd/>
              <w:rPr>
                <w:sz w:val="22"/>
                <w:szCs w:val="22"/>
              </w:rPr>
            </w:pPr>
            <w:r w:rsidRPr="00E12DFB">
              <w:rPr>
                <w:sz w:val="22"/>
                <w:szCs w:val="22"/>
              </w:rPr>
              <w:t>Before concluding that a reported fatality is medically related and not related to an occupational exposure, PEOSH should obtain medical documentation confirming this conclusion, or conduct a thorough inspection to evaluate the circumstances of the death to reach a conclusion.   Diary sheets should be utilized to document all actions taken during the inquiry and/or investigation.</w:t>
            </w:r>
          </w:p>
          <w:p w14:paraId="770EBAF8" w14:textId="71825067" w:rsidR="006529AA" w:rsidRPr="00E12DFB" w:rsidRDefault="00FE0E89" w:rsidP="00FE0E89">
            <w:pPr>
              <w:widowControl/>
              <w:autoSpaceDE/>
              <w:autoSpaceDN/>
              <w:adjustRightInd/>
              <w:rPr>
                <w:sz w:val="22"/>
                <w:szCs w:val="22"/>
              </w:rPr>
            </w:pPr>
            <w:r w:rsidRPr="00E12DFB">
              <w:rPr>
                <w:sz w:val="22"/>
                <w:szCs w:val="22"/>
              </w:rPr>
              <w:t xml:space="preserve">                                          </w:t>
            </w:r>
          </w:p>
          <w:p w14:paraId="6BE0C1A0" w14:textId="77777777" w:rsidR="006529AA" w:rsidRDefault="006529AA" w:rsidP="007A71AC">
            <w:pPr>
              <w:widowControl/>
              <w:autoSpaceDE/>
              <w:autoSpaceDN/>
              <w:adjustRightInd/>
              <w:rPr>
                <w:sz w:val="22"/>
                <w:szCs w:val="22"/>
              </w:rPr>
            </w:pPr>
          </w:p>
          <w:p w14:paraId="0B27C691" w14:textId="77777777" w:rsidR="00980D4F" w:rsidRPr="00E12DFB" w:rsidRDefault="00980D4F" w:rsidP="007A71AC">
            <w:pPr>
              <w:widowControl/>
              <w:autoSpaceDE/>
              <w:autoSpaceDN/>
              <w:adjustRightInd/>
              <w:rPr>
                <w:sz w:val="22"/>
                <w:szCs w:val="22"/>
              </w:rPr>
            </w:pPr>
          </w:p>
        </w:tc>
        <w:tc>
          <w:tcPr>
            <w:tcW w:w="1890" w:type="dxa"/>
          </w:tcPr>
          <w:p w14:paraId="0FF94F91" w14:textId="5EF0DE64" w:rsidR="006529AA" w:rsidRPr="00E12DFB" w:rsidRDefault="006529AA" w:rsidP="007A71AC">
            <w:pPr>
              <w:widowControl/>
              <w:autoSpaceDE/>
              <w:autoSpaceDN/>
              <w:adjustRightInd/>
              <w:rPr>
                <w:sz w:val="22"/>
                <w:szCs w:val="22"/>
              </w:rPr>
            </w:pPr>
            <w:r w:rsidRPr="00E12DFB">
              <w:rPr>
                <w:sz w:val="22"/>
                <w:szCs w:val="22"/>
              </w:rPr>
              <w:t xml:space="preserve"> </w:t>
            </w:r>
            <w:r w:rsidR="00FE0E89" w:rsidRPr="00E12DFB">
              <w:rPr>
                <w:sz w:val="22"/>
                <w:szCs w:val="22"/>
              </w:rPr>
              <w:t>New</w:t>
            </w:r>
          </w:p>
        </w:tc>
      </w:tr>
      <w:tr w:rsidR="0054086A" w:rsidRPr="000A134A" w14:paraId="1E2F2B42" w14:textId="77777777" w:rsidTr="00C318E1">
        <w:tc>
          <w:tcPr>
            <w:tcW w:w="1440" w:type="dxa"/>
          </w:tcPr>
          <w:p w14:paraId="3180F46C" w14:textId="71EFD5F0" w:rsidR="0054086A" w:rsidRPr="00E12DFB" w:rsidRDefault="0054086A" w:rsidP="007A71AC">
            <w:pPr>
              <w:widowControl/>
              <w:autoSpaceDE/>
              <w:autoSpaceDN/>
              <w:adjustRightInd/>
              <w:rPr>
                <w:sz w:val="22"/>
                <w:szCs w:val="22"/>
              </w:rPr>
            </w:pPr>
            <w:bookmarkStart w:id="15" w:name="_Hlk160200927"/>
            <w:bookmarkEnd w:id="13"/>
            <w:r w:rsidRPr="00E12DFB">
              <w:rPr>
                <w:sz w:val="22"/>
                <w:szCs w:val="22"/>
              </w:rPr>
              <w:lastRenderedPageBreak/>
              <w:t>FY 2023-04</w:t>
            </w:r>
          </w:p>
        </w:tc>
        <w:tc>
          <w:tcPr>
            <w:tcW w:w="4721" w:type="dxa"/>
          </w:tcPr>
          <w:p w14:paraId="19B68B6B" w14:textId="77777777" w:rsidR="0054086A" w:rsidRPr="00E12DFB" w:rsidRDefault="0054086A" w:rsidP="0054086A">
            <w:pPr>
              <w:widowControl/>
              <w:autoSpaceDE/>
              <w:autoSpaceDN/>
              <w:adjustRightInd/>
              <w:rPr>
                <w:i/>
                <w:iCs/>
                <w:sz w:val="22"/>
                <w:szCs w:val="22"/>
              </w:rPr>
            </w:pPr>
            <w:r w:rsidRPr="00E12DFB">
              <w:rPr>
                <w:i/>
                <w:iCs/>
                <w:sz w:val="22"/>
                <w:szCs w:val="22"/>
              </w:rPr>
              <w:t>Advanced Notice of Inspections</w:t>
            </w:r>
          </w:p>
          <w:p w14:paraId="3B2DAF66" w14:textId="0B32ECC3" w:rsidR="0054086A" w:rsidRPr="00E12DFB" w:rsidRDefault="0054086A" w:rsidP="0054086A">
            <w:pPr>
              <w:widowControl/>
              <w:autoSpaceDE/>
              <w:autoSpaceDN/>
              <w:adjustRightInd/>
              <w:rPr>
                <w:sz w:val="22"/>
                <w:szCs w:val="22"/>
              </w:rPr>
            </w:pPr>
            <w:r w:rsidRPr="00E12DFB">
              <w:rPr>
                <w:sz w:val="22"/>
                <w:szCs w:val="22"/>
              </w:rPr>
              <w:t xml:space="preserve">In </w:t>
            </w:r>
            <w:r w:rsidR="00FD094F">
              <w:rPr>
                <w:sz w:val="22"/>
                <w:szCs w:val="22"/>
              </w:rPr>
              <w:t xml:space="preserve">five </w:t>
            </w:r>
            <w:r w:rsidRPr="00E12DFB">
              <w:rPr>
                <w:sz w:val="22"/>
                <w:szCs w:val="22"/>
              </w:rPr>
              <w:t xml:space="preserve">of 48 (10%) closed inspection files </w:t>
            </w:r>
            <w:r w:rsidR="003A7811">
              <w:rPr>
                <w:sz w:val="22"/>
                <w:szCs w:val="22"/>
              </w:rPr>
              <w:t>there was</w:t>
            </w:r>
            <w:r w:rsidRPr="00E12DFB">
              <w:rPr>
                <w:sz w:val="22"/>
                <w:szCs w:val="22"/>
              </w:rPr>
              <w:t xml:space="preserve"> evidence that advanced notice of the inspection was provided to the employer.</w:t>
            </w:r>
          </w:p>
        </w:tc>
        <w:tc>
          <w:tcPr>
            <w:tcW w:w="4819" w:type="dxa"/>
          </w:tcPr>
          <w:p w14:paraId="329691C1" w14:textId="77777777" w:rsidR="0054086A" w:rsidRPr="00E12DFB" w:rsidRDefault="0054086A" w:rsidP="0054086A">
            <w:pPr>
              <w:widowControl/>
              <w:autoSpaceDE/>
              <w:autoSpaceDN/>
              <w:adjustRightInd/>
              <w:rPr>
                <w:sz w:val="22"/>
                <w:szCs w:val="22"/>
              </w:rPr>
            </w:pPr>
            <w:r w:rsidRPr="00E12DFB">
              <w:rPr>
                <w:sz w:val="22"/>
                <w:szCs w:val="22"/>
              </w:rPr>
              <w:t xml:space="preserve">PEOSH should follow the requirements of their FOM when issuing advanced notice of </w:t>
            </w:r>
          </w:p>
          <w:p w14:paraId="62AE9F90" w14:textId="0F2622B9" w:rsidR="0054086A" w:rsidRPr="00E12DFB" w:rsidRDefault="0054086A" w:rsidP="0054086A">
            <w:pPr>
              <w:widowControl/>
              <w:autoSpaceDE/>
              <w:autoSpaceDN/>
              <w:adjustRightInd/>
              <w:rPr>
                <w:sz w:val="22"/>
                <w:szCs w:val="22"/>
              </w:rPr>
            </w:pPr>
            <w:r w:rsidRPr="00E12DFB">
              <w:rPr>
                <w:sz w:val="22"/>
                <w:szCs w:val="22"/>
              </w:rPr>
              <w:t>inspections and secure the required authorizations.  Advanced notice should be given under the exemptions permitted in the FOM, but the notice provided should be the shortest amount of time needed to begin the inspection.</w:t>
            </w:r>
          </w:p>
        </w:tc>
        <w:tc>
          <w:tcPr>
            <w:tcW w:w="1890" w:type="dxa"/>
          </w:tcPr>
          <w:p w14:paraId="1CE5C421" w14:textId="77777777" w:rsidR="0054086A" w:rsidRPr="00E12DFB" w:rsidRDefault="0054086A" w:rsidP="007A71AC">
            <w:pPr>
              <w:widowControl/>
              <w:autoSpaceDE/>
              <w:autoSpaceDN/>
              <w:adjustRightInd/>
              <w:rPr>
                <w:sz w:val="22"/>
                <w:szCs w:val="22"/>
              </w:rPr>
            </w:pPr>
            <w:r w:rsidRPr="00E12DFB">
              <w:rPr>
                <w:sz w:val="22"/>
                <w:szCs w:val="22"/>
              </w:rPr>
              <w:t>FY 2022-04</w:t>
            </w:r>
          </w:p>
          <w:p w14:paraId="602C4A67" w14:textId="6B6826BB" w:rsidR="0054086A" w:rsidRPr="00E12DFB" w:rsidRDefault="0054086A" w:rsidP="007A71AC">
            <w:pPr>
              <w:widowControl/>
              <w:autoSpaceDE/>
              <w:autoSpaceDN/>
              <w:adjustRightInd/>
              <w:rPr>
                <w:sz w:val="22"/>
                <w:szCs w:val="22"/>
              </w:rPr>
            </w:pPr>
            <w:r w:rsidRPr="00E12DFB">
              <w:rPr>
                <w:sz w:val="22"/>
                <w:szCs w:val="22"/>
              </w:rPr>
              <w:t>FY 2021-04</w:t>
            </w:r>
          </w:p>
        </w:tc>
      </w:tr>
      <w:tr w:rsidR="0054086A" w:rsidRPr="000A134A" w14:paraId="439AACC1" w14:textId="77777777" w:rsidTr="00C318E1">
        <w:tc>
          <w:tcPr>
            <w:tcW w:w="1440" w:type="dxa"/>
          </w:tcPr>
          <w:p w14:paraId="1B0F85DC" w14:textId="373E484B" w:rsidR="0054086A" w:rsidRPr="00E12DFB" w:rsidRDefault="0054086A" w:rsidP="007A71AC">
            <w:pPr>
              <w:widowControl/>
              <w:autoSpaceDE/>
              <w:autoSpaceDN/>
              <w:adjustRightInd/>
              <w:rPr>
                <w:sz w:val="22"/>
                <w:szCs w:val="22"/>
              </w:rPr>
            </w:pPr>
            <w:bookmarkStart w:id="16" w:name="_Hlk160201265"/>
            <w:r w:rsidRPr="00E12DFB">
              <w:rPr>
                <w:sz w:val="22"/>
                <w:szCs w:val="22"/>
              </w:rPr>
              <w:t>FY 2023-05</w:t>
            </w:r>
          </w:p>
        </w:tc>
        <w:tc>
          <w:tcPr>
            <w:tcW w:w="4721" w:type="dxa"/>
          </w:tcPr>
          <w:p w14:paraId="71212335" w14:textId="77777777" w:rsidR="00BD2F43" w:rsidRPr="00BD2F43" w:rsidRDefault="00BD2F43" w:rsidP="00BD2F43">
            <w:pPr>
              <w:widowControl/>
              <w:autoSpaceDE/>
              <w:autoSpaceDN/>
              <w:adjustRightInd/>
              <w:rPr>
                <w:i/>
                <w:iCs/>
                <w:sz w:val="22"/>
                <w:szCs w:val="22"/>
              </w:rPr>
            </w:pPr>
            <w:r w:rsidRPr="00BD2F43">
              <w:rPr>
                <w:i/>
                <w:iCs/>
                <w:sz w:val="22"/>
                <w:szCs w:val="22"/>
              </w:rPr>
              <w:t>General Duty Clause Violations</w:t>
            </w:r>
          </w:p>
          <w:p w14:paraId="1F50A742" w14:textId="77AA7A2A" w:rsidR="00BD2F43" w:rsidRPr="00BD2F43" w:rsidRDefault="00BD2F43" w:rsidP="00BD2F43">
            <w:pPr>
              <w:widowControl/>
              <w:autoSpaceDE/>
              <w:autoSpaceDN/>
              <w:adjustRightInd/>
              <w:rPr>
                <w:sz w:val="22"/>
                <w:szCs w:val="22"/>
              </w:rPr>
            </w:pPr>
            <w:r w:rsidRPr="00BD2F43">
              <w:rPr>
                <w:sz w:val="22"/>
                <w:szCs w:val="22"/>
              </w:rPr>
              <w:t xml:space="preserve">Ten of </w:t>
            </w:r>
            <w:r w:rsidR="0041281B">
              <w:rPr>
                <w:sz w:val="22"/>
                <w:szCs w:val="22"/>
              </w:rPr>
              <w:t xml:space="preserve">12 </w:t>
            </w:r>
            <w:r w:rsidRPr="00BD2F43">
              <w:rPr>
                <w:sz w:val="22"/>
                <w:szCs w:val="22"/>
              </w:rPr>
              <w:t>(83%) safety files with OTCs did not document all four of the elements required</w:t>
            </w:r>
          </w:p>
          <w:p w14:paraId="1964B4C1" w14:textId="77777777" w:rsidR="0054086A" w:rsidRDefault="00BD2F43" w:rsidP="00BD2F43">
            <w:pPr>
              <w:widowControl/>
              <w:autoSpaceDE/>
              <w:autoSpaceDN/>
              <w:adjustRightInd/>
              <w:rPr>
                <w:sz w:val="22"/>
                <w:szCs w:val="22"/>
              </w:rPr>
            </w:pPr>
            <w:r w:rsidRPr="00BD2F43">
              <w:rPr>
                <w:sz w:val="22"/>
                <w:szCs w:val="22"/>
              </w:rPr>
              <w:t>to support a general duty violation.</w:t>
            </w:r>
          </w:p>
          <w:p w14:paraId="3D8F0AB6" w14:textId="742D6451" w:rsidR="0097324B" w:rsidRPr="00E12DFB" w:rsidRDefault="0097324B" w:rsidP="00BD2F43">
            <w:pPr>
              <w:widowControl/>
              <w:autoSpaceDE/>
              <w:autoSpaceDN/>
              <w:adjustRightInd/>
              <w:rPr>
                <w:i/>
                <w:iCs/>
                <w:sz w:val="22"/>
                <w:szCs w:val="22"/>
              </w:rPr>
            </w:pPr>
          </w:p>
        </w:tc>
        <w:tc>
          <w:tcPr>
            <w:tcW w:w="4819" w:type="dxa"/>
          </w:tcPr>
          <w:p w14:paraId="5021CA8C" w14:textId="77777777" w:rsidR="00BD2F43" w:rsidRPr="00BD2F43" w:rsidRDefault="00BD2F43" w:rsidP="00BD2F43">
            <w:pPr>
              <w:widowControl/>
              <w:autoSpaceDE/>
              <w:autoSpaceDN/>
              <w:adjustRightInd/>
              <w:rPr>
                <w:sz w:val="22"/>
                <w:szCs w:val="22"/>
              </w:rPr>
            </w:pPr>
            <w:r w:rsidRPr="00BD2F43">
              <w:rPr>
                <w:sz w:val="22"/>
                <w:szCs w:val="22"/>
              </w:rPr>
              <w:t>PEOSH should ensure that all required elements of a general duty clause violation are</w:t>
            </w:r>
          </w:p>
          <w:p w14:paraId="339AC508" w14:textId="3B644CBA" w:rsidR="0054086A" w:rsidRPr="00E12DFB" w:rsidRDefault="00BD2F43" w:rsidP="00BD2F43">
            <w:pPr>
              <w:widowControl/>
              <w:autoSpaceDE/>
              <w:autoSpaceDN/>
              <w:adjustRightInd/>
              <w:rPr>
                <w:sz w:val="22"/>
                <w:szCs w:val="22"/>
              </w:rPr>
            </w:pPr>
            <w:r w:rsidRPr="00BD2F43">
              <w:rPr>
                <w:sz w:val="22"/>
                <w:szCs w:val="22"/>
              </w:rPr>
              <w:t>documented on the worksheets.</w:t>
            </w:r>
          </w:p>
        </w:tc>
        <w:tc>
          <w:tcPr>
            <w:tcW w:w="1890" w:type="dxa"/>
          </w:tcPr>
          <w:p w14:paraId="5385805F" w14:textId="0D0B40B7" w:rsidR="0054086A" w:rsidRPr="00E12DFB" w:rsidRDefault="00BD2F43" w:rsidP="007A71AC">
            <w:pPr>
              <w:widowControl/>
              <w:autoSpaceDE/>
              <w:autoSpaceDN/>
              <w:adjustRightInd/>
              <w:rPr>
                <w:sz w:val="22"/>
                <w:szCs w:val="22"/>
              </w:rPr>
            </w:pPr>
            <w:r>
              <w:rPr>
                <w:sz w:val="22"/>
                <w:szCs w:val="22"/>
              </w:rPr>
              <w:t>New</w:t>
            </w:r>
          </w:p>
        </w:tc>
      </w:tr>
      <w:tr w:rsidR="0054086A" w:rsidRPr="000A134A" w14:paraId="437BA25E" w14:textId="77777777" w:rsidTr="00C318E1">
        <w:tc>
          <w:tcPr>
            <w:tcW w:w="1440" w:type="dxa"/>
          </w:tcPr>
          <w:p w14:paraId="0F98DF07" w14:textId="5DDEE856" w:rsidR="0054086A" w:rsidRPr="00E12DFB" w:rsidRDefault="0054086A" w:rsidP="007A71AC">
            <w:pPr>
              <w:widowControl/>
              <w:autoSpaceDE/>
              <w:autoSpaceDN/>
              <w:adjustRightInd/>
              <w:rPr>
                <w:sz w:val="22"/>
                <w:szCs w:val="22"/>
              </w:rPr>
            </w:pPr>
            <w:r w:rsidRPr="00E12DFB">
              <w:rPr>
                <w:sz w:val="22"/>
                <w:szCs w:val="22"/>
              </w:rPr>
              <w:t>FY 2023-06</w:t>
            </w:r>
          </w:p>
        </w:tc>
        <w:tc>
          <w:tcPr>
            <w:tcW w:w="4721" w:type="dxa"/>
          </w:tcPr>
          <w:p w14:paraId="553BF860" w14:textId="77777777" w:rsidR="0054086A" w:rsidRPr="00E12DFB" w:rsidRDefault="0054086A" w:rsidP="0054086A">
            <w:pPr>
              <w:widowControl/>
              <w:autoSpaceDE/>
              <w:autoSpaceDN/>
              <w:adjustRightInd/>
              <w:rPr>
                <w:i/>
                <w:iCs/>
                <w:sz w:val="22"/>
                <w:szCs w:val="22"/>
              </w:rPr>
            </w:pPr>
            <w:r w:rsidRPr="00E12DFB">
              <w:rPr>
                <w:i/>
                <w:iCs/>
                <w:sz w:val="22"/>
                <w:szCs w:val="22"/>
              </w:rPr>
              <w:t>Adequate Abatement</w:t>
            </w:r>
          </w:p>
          <w:p w14:paraId="76B0D4B3" w14:textId="45D70C21" w:rsidR="0054086A" w:rsidRPr="00E12DFB" w:rsidRDefault="0054086A" w:rsidP="0054086A">
            <w:pPr>
              <w:widowControl/>
              <w:autoSpaceDE/>
              <w:autoSpaceDN/>
              <w:adjustRightInd/>
              <w:rPr>
                <w:sz w:val="22"/>
                <w:szCs w:val="22"/>
              </w:rPr>
            </w:pPr>
            <w:r w:rsidRPr="00E12DFB">
              <w:rPr>
                <w:sz w:val="22"/>
                <w:szCs w:val="22"/>
              </w:rPr>
              <w:t>In 10 of 23 (43%) of closed safety files, evidence of abatement of all the issued OTCs was not available for review in the case files.</w:t>
            </w:r>
          </w:p>
        </w:tc>
        <w:tc>
          <w:tcPr>
            <w:tcW w:w="4819" w:type="dxa"/>
          </w:tcPr>
          <w:p w14:paraId="147F6FA6" w14:textId="77777777" w:rsidR="0054086A" w:rsidRPr="00E12DFB" w:rsidRDefault="0054086A" w:rsidP="0054086A">
            <w:pPr>
              <w:widowControl/>
              <w:autoSpaceDE/>
              <w:autoSpaceDN/>
              <w:adjustRightInd/>
              <w:rPr>
                <w:sz w:val="22"/>
                <w:szCs w:val="22"/>
              </w:rPr>
            </w:pPr>
            <w:r w:rsidRPr="00E12DFB">
              <w:rPr>
                <w:sz w:val="22"/>
                <w:szCs w:val="22"/>
              </w:rPr>
              <w:t xml:space="preserve">PEOSH needs to ensure that all OTCs have adequate documentation of abatement, that </w:t>
            </w:r>
          </w:p>
          <w:p w14:paraId="78DCC9F7" w14:textId="77EAF889" w:rsidR="0054086A" w:rsidRPr="00E12DFB" w:rsidRDefault="0054086A" w:rsidP="0054086A">
            <w:pPr>
              <w:widowControl/>
              <w:autoSpaceDE/>
              <w:autoSpaceDN/>
              <w:adjustRightInd/>
              <w:rPr>
                <w:sz w:val="22"/>
                <w:szCs w:val="22"/>
              </w:rPr>
            </w:pPr>
            <w:r w:rsidRPr="00E12DFB">
              <w:rPr>
                <w:sz w:val="22"/>
                <w:szCs w:val="22"/>
              </w:rPr>
              <w:t xml:space="preserve">the abatement accepted completely addresses the requirements of the standard issued and all instances cited are addressed in the abatement provided by the employer.   </w:t>
            </w:r>
          </w:p>
        </w:tc>
        <w:tc>
          <w:tcPr>
            <w:tcW w:w="1890" w:type="dxa"/>
          </w:tcPr>
          <w:p w14:paraId="493CFB25" w14:textId="1A36BB8A" w:rsidR="0054086A" w:rsidRPr="00E12DFB" w:rsidRDefault="0054086A" w:rsidP="007A71AC">
            <w:pPr>
              <w:widowControl/>
              <w:autoSpaceDE/>
              <w:autoSpaceDN/>
              <w:adjustRightInd/>
              <w:rPr>
                <w:sz w:val="22"/>
                <w:szCs w:val="22"/>
              </w:rPr>
            </w:pPr>
            <w:r w:rsidRPr="00E12DFB">
              <w:rPr>
                <w:sz w:val="22"/>
                <w:szCs w:val="22"/>
              </w:rPr>
              <w:t>New</w:t>
            </w:r>
          </w:p>
        </w:tc>
      </w:tr>
      <w:bookmarkEnd w:id="15"/>
      <w:tr w:rsidR="00E12DFB" w:rsidRPr="000A134A" w14:paraId="2EB2334B" w14:textId="77777777" w:rsidTr="00C318E1">
        <w:tc>
          <w:tcPr>
            <w:tcW w:w="1440" w:type="dxa"/>
          </w:tcPr>
          <w:p w14:paraId="207D55B0" w14:textId="236262EE" w:rsidR="00E12DFB" w:rsidRPr="00E12DFB" w:rsidRDefault="00E12DFB" w:rsidP="007A71AC">
            <w:pPr>
              <w:widowControl/>
              <w:autoSpaceDE/>
              <w:autoSpaceDN/>
              <w:adjustRightInd/>
              <w:rPr>
                <w:sz w:val="22"/>
                <w:szCs w:val="22"/>
              </w:rPr>
            </w:pPr>
            <w:r>
              <w:rPr>
                <w:sz w:val="22"/>
                <w:szCs w:val="22"/>
              </w:rPr>
              <w:t>FY 2023-07</w:t>
            </w:r>
          </w:p>
        </w:tc>
        <w:tc>
          <w:tcPr>
            <w:tcW w:w="4721" w:type="dxa"/>
          </w:tcPr>
          <w:p w14:paraId="02D743A1" w14:textId="77777777" w:rsidR="00C63905" w:rsidRDefault="00C63905" w:rsidP="00C63905">
            <w:pPr>
              <w:widowControl/>
              <w:autoSpaceDE/>
              <w:autoSpaceDN/>
              <w:adjustRightInd/>
              <w:rPr>
                <w:i/>
                <w:iCs/>
                <w:sz w:val="22"/>
                <w:szCs w:val="22"/>
              </w:rPr>
            </w:pPr>
            <w:r w:rsidRPr="00C63905">
              <w:rPr>
                <w:i/>
                <w:iCs/>
                <w:sz w:val="22"/>
                <w:szCs w:val="22"/>
              </w:rPr>
              <w:t>Worker Involvement</w:t>
            </w:r>
          </w:p>
          <w:p w14:paraId="11E3A87B" w14:textId="73B09226" w:rsidR="00C63905" w:rsidRDefault="00C63905" w:rsidP="00C63905">
            <w:pPr>
              <w:widowControl/>
              <w:autoSpaceDE/>
              <w:autoSpaceDN/>
              <w:adjustRightInd/>
              <w:rPr>
                <w:sz w:val="22"/>
                <w:szCs w:val="22"/>
              </w:rPr>
            </w:pPr>
            <w:r w:rsidRPr="00C63905">
              <w:rPr>
                <w:sz w:val="22"/>
                <w:szCs w:val="22"/>
              </w:rPr>
              <w:t xml:space="preserve">In </w:t>
            </w:r>
            <w:r w:rsidR="00DC7E4E">
              <w:rPr>
                <w:sz w:val="22"/>
                <w:szCs w:val="22"/>
              </w:rPr>
              <w:t>six</w:t>
            </w:r>
            <w:r w:rsidR="00424A0D">
              <w:rPr>
                <w:sz w:val="22"/>
                <w:szCs w:val="22"/>
              </w:rPr>
              <w:t xml:space="preserve"> </w:t>
            </w:r>
            <w:r w:rsidRPr="00C63905">
              <w:rPr>
                <w:sz w:val="22"/>
                <w:szCs w:val="22"/>
              </w:rPr>
              <w:t>of 12 (</w:t>
            </w:r>
            <w:r w:rsidR="009C5313">
              <w:rPr>
                <w:sz w:val="22"/>
                <w:szCs w:val="22"/>
              </w:rPr>
              <w:t>50%</w:t>
            </w:r>
            <w:r w:rsidRPr="00C63905">
              <w:rPr>
                <w:sz w:val="22"/>
                <w:szCs w:val="22"/>
              </w:rPr>
              <w:t xml:space="preserve">) of closed health files, </w:t>
            </w:r>
            <w:r w:rsidR="0041281B">
              <w:rPr>
                <w:sz w:val="22"/>
                <w:szCs w:val="22"/>
              </w:rPr>
              <w:t xml:space="preserve">employee </w:t>
            </w:r>
            <w:r w:rsidRPr="00C63905">
              <w:rPr>
                <w:sz w:val="22"/>
                <w:szCs w:val="22"/>
              </w:rPr>
              <w:t xml:space="preserve">interviews were not documented in </w:t>
            </w:r>
            <w:r w:rsidR="00424A0D" w:rsidRPr="00C63905">
              <w:rPr>
                <w:sz w:val="22"/>
                <w:szCs w:val="22"/>
              </w:rPr>
              <w:t>the field</w:t>
            </w:r>
            <w:r w:rsidRPr="00C63905">
              <w:rPr>
                <w:sz w:val="22"/>
                <w:szCs w:val="22"/>
              </w:rPr>
              <w:t xml:space="preserve"> notes.  For both health fatality inspections reviewed there was no evidence in the files that</w:t>
            </w:r>
            <w:r w:rsidR="00DC7E4E">
              <w:rPr>
                <w:sz w:val="22"/>
                <w:szCs w:val="22"/>
              </w:rPr>
              <w:t xml:space="preserve"> employees were</w:t>
            </w:r>
          </w:p>
          <w:p w14:paraId="65C3213E" w14:textId="6C2361A8" w:rsidR="00C63905" w:rsidRDefault="00C63905" w:rsidP="00C63905">
            <w:pPr>
              <w:widowControl/>
              <w:autoSpaceDE/>
              <w:autoSpaceDN/>
              <w:adjustRightInd/>
              <w:rPr>
                <w:sz w:val="22"/>
                <w:szCs w:val="22"/>
              </w:rPr>
            </w:pPr>
            <w:r w:rsidRPr="00C63905">
              <w:rPr>
                <w:sz w:val="22"/>
                <w:szCs w:val="22"/>
              </w:rPr>
              <w:t>interviewed to obtain information about their knowledge of the victim’s death</w:t>
            </w:r>
            <w:r w:rsidR="00DC7E4E">
              <w:rPr>
                <w:sz w:val="22"/>
                <w:szCs w:val="22"/>
              </w:rPr>
              <w:t xml:space="preserve"> and the general </w:t>
            </w:r>
          </w:p>
          <w:p w14:paraId="09DF27F6" w14:textId="24665C73" w:rsidR="00C63905" w:rsidRPr="00C63905" w:rsidRDefault="00C63905" w:rsidP="00C63905">
            <w:pPr>
              <w:widowControl/>
              <w:autoSpaceDE/>
              <w:autoSpaceDN/>
              <w:adjustRightInd/>
              <w:rPr>
                <w:sz w:val="22"/>
                <w:szCs w:val="22"/>
              </w:rPr>
            </w:pPr>
            <w:r w:rsidRPr="00C63905">
              <w:rPr>
                <w:sz w:val="22"/>
                <w:szCs w:val="22"/>
              </w:rPr>
              <w:t xml:space="preserve">safety and health policies in place at the site. </w:t>
            </w:r>
          </w:p>
          <w:p w14:paraId="510CB313" w14:textId="77777777" w:rsidR="00C63905" w:rsidRPr="00C63905" w:rsidRDefault="00C63905" w:rsidP="00C63905">
            <w:pPr>
              <w:widowControl/>
              <w:autoSpaceDE/>
              <w:autoSpaceDN/>
              <w:adjustRightInd/>
              <w:rPr>
                <w:sz w:val="22"/>
                <w:szCs w:val="22"/>
              </w:rPr>
            </w:pPr>
            <w:r w:rsidRPr="00C63905">
              <w:rPr>
                <w:sz w:val="22"/>
                <w:szCs w:val="22"/>
              </w:rPr>
              <w:t xml:space="preserve">       </w:t>
            </w:r>
          </w:p>
          <w:p w14:paraId="3E1BEF25" w14:textId="77777777" w:rsidR="00E12DFB" w:rsidRDefault="00C63905" w:rsidP="00C63905">
            <w:pPr>
              <w:widowControl/>
              <w:autoSpaceDE/>
              <w:autoSpaceDN/>
              <w:adjustRightInd/>
              <w:rPr>
                <w:sz w:val="22"/>
                <w:szCs w:val="22"/>
              </w:rPr>
            </w:pPr>
            <w:r>
              <w:rPr>
                <w:sz w:val="22"/>
                <w:szCs w:val="22"/>
              </w:rPr>
              <w:t>I</w:t>
            </w:r>
            <w:r w:rsidRPr="00C63905">
              <w:rPr>
                <w:sz w:val="22"/>
                <w:szCs w:val="22"/>
              </w:rPr>
              <w:t xml:space="preserve">n 19 of 36 (53%) of the closed safety files, </w:t>
            </w:r>
            <w:r w:rsidR="0041281B">
              <w:rPr>
                <w:sz w:val="22"/>
                <w:szCs w:val="22"/>
              </w:rPr>
              <w:t xml:space="preserve">employee </w:t>
            </w:r>
            <w:r w:rsidRPr="00C63905">
              <w:rPr>
                <w:sz w:val="22"/>
                <w:szCs w:val="22"/>
              </w:rPr>
              <w:t xml:space="preserve">interviews were not </w:t>
            </w:r>
            <w:r w:rsidRPr="00FD094F">
              <w:rPr>
                <w:sz w:val="22"/>
                <w:szCs w:val="22"/>
              </w:rPr>
              <w:t>documented.</w:t>
            </w:r>
          </w:p>
          <w:p w14:paraId="097B9D41" w14:textId="77777777" w:rsidR="0097324B" w:rsidRDefault="0097324B" w:rsidP="00C63905">
            <w:pPr>
              <w:widowControl/>
              <w:autoSpaceDE/>
              <w:autoSpaceDN/>
              <w:adjustRightInd/>
              <w:rPr>
                <w:i/>
                <w:iCs/>
                <w:sz w:val="22"/>
                <w:szCs w:val="22"/>
              </w:rPr>
            </w:pPr>
          </w:p>
          <w:p w14:paraId="746F0605" w14:textId="77777777" w:rsidR="0097324B" w:rsidRDefault="0097324B" w:rsidP="00C63905">
            <w:pPr>
              <w:widowControl/>
              <w:autoSpaceDE/>
              <w:autoSpaceDN/>
              <w:adjustRightInd/>
              <w:rPr>
                <w:i/>
                <w:iCs/>
                <w:sz w:val="22"/>
                <w:szCs w:val="22"/>
              </w:rPr>
            </w:pPr>
          </w:p>
          <w:p w14:paraId="034D0FFE" w14:textId="7EE7130F" w:rsidR="0097324B" w:rsidRPr="00E12DFB" w:rsidRDefault="0097324B" w:rsidP="00C63905">
            <w:pPr>
              <w:widowControl/>
              <w:autoSpaceDE/>
              <w:autoSpaceDN/>
              <w:adjustRightInd/>
              <w:rPr>
                <w:i/>
                <w:iCs/>
                <w:sz w:val="22"/>
                <w:szCs w:val="22"/>
              </w:rPr>
            </w:pPr>
          </w:p>
        </w:tc>
        <w:tc>
          <w:tcPr>
            <w:tcW w:w="4819" w:type="dxa"/>
          </w:tcPr>
          <w:p w14:paraId="3E6B2897" w14:textId="300F3C55" w:rsidR="00E12DFB" w:rsidRPr="00E12DFB" w:rsidRDefault="0041281B" w:rsidP="0054086A">
            <w:pPr>
              <w:widowControl/>
              <w:autoSpaceDE/>
              <w:autoSpaceDN/>
              <w:adjustRightInd/>
              <w:rPr>
                <w:sz w:val="22"/>
                <w:szCs w:val="22"/>
              </w:rPr>
            </w:pPr>
            <w:r>
              <w:rPr>
                <w:sz w:val="22"/>
                <w:szCs w:val="22"/>
              </w:rPr>
              <w:t>PEOSH should f</w:t>
            </w:r>
            <w:r w:rsidR="00C63905" w:rsidRPr="00C63905">
              <w:rPr>
                <w:sz w:val="22"/>
                <w:szCs w:val="22"/>
              </w:rPr>
              <w:t xml:space="preserve">ollow the PEOSH FOM to conduct and document employee interviews during inspections.               </w:t>
            </w:r>
          </w:p>
        </w:tc>
        <w:tc>
          <w:tcPr>
            <w:tcW w:w="1890" w:type="dxa"/>
          </w:tcPr>
          <w:p w14:paraId="0C09AD29" w14:textId="77777777" w:rsidR="00BD2F43" w:rsidRDefault="00BD2F43" w:rsidP="007A71AC">
            <w:pPr>
              <w:widowControl/>
              <w:autoSpaceDE/>
              <w:autoSpaceDN/>
              <w:adjustRightInd/>
              <w:rPr>
                <w:sz w:val="22"/>
                <w:szCs w:val="22"/>
              </w:rPr>
            </w:pPr>
            <w:r w:rsidRPr="00BD2F43">
              <w:rPr>
                <w:sz w:val="22"/>
                <w:szCs w:val="22"/>
              </w:rPr>
              <w:t>FY 2022-05</w:t>
            </w:r>
          </w:p>
          <w:p w14:paraId="3000EDDE" w14:textId="6A44C766" w:rsidR="00E12DFB" w:rsidRPr="00E12DFB" w:rsidRDefault="00BD2F43" w:rsidP="007A71AC">
            <w:pPr>
              <w:widowControl/>
              <w:autoSpaceDE/>
              <w:autoSpaceDN/>
              <w:adjustRightInd/>
              <w:rPr>
                <w:sz w:val="22"/>
                <w:szCs w:val="22"/>
              </w:rPr>
            </w:pPr>
            <w:r w:rsidRPr="00BD2F43">
              <w:rPr>
                <w:sz w:val="22"/>
                <w:szCs w:val="22"/>
              </w:rPr>
              <w:t>FY 2021-05</w:t>
            </w:r>
          </w:p>
        </w:tc>
      </w:tr>
      <w:tr w:rsidR="00E12DFB" w:rsidRPr="000A134A" w14:paraId="491FEA16" w14:textId="77777777" w:rsidTr="00C318E1">
        <w:tc>
          <w:tcPr>
            <w:tcW w:w="1440" w:type="dxa"/>
          </w:tcPr>
          <w:p w14:paraId="16B07CF8" w14:textId="523C2007" w:rsidR="00E12DFB" w:rsidRPr="00E12DFB" w:rsidRDefault="00E12DFB" w:rsidP="007A71AC">
            <w:pPr>
              <w:widowControl/>
              <w:autoSpaceDE/>
              <w:autoSpaceDN/>
              <w:adjustRightInd/>
              <w:rPr>
                <w:sz w:val="22"/>
                <w:szCs w:val="22"/>
              </w:rPr>
            </w:pPr>
            <w:r>
              <w:rPr>
                <w:sz w:val="22"/>
                <w:szCs w:val="22"/>
              </w:rPr>
              <w:t>FY 2023-08</w:t>
            </w:r>
          </w:p>
        </w:tc>
        <w:tc>
          <w:tcPr>
            <w:tcW w:w="4721" w:type="dxa"/>
          </w:tcPr>
          <w:p w14:paraId="298EA407" w14:textId="77777777" w:rsidR="00E12DFB" w:rsidRPr="00E12DFB" w:rsidRDefault="00E12DFB" w:rsidP="00E12DFB">
            <w:pPr>
              <w:widowControl/>
              <w:autoSpaceDE/>
              <w:autoSpaceDN/>
              <w:adjustRightInd/>
              <w:rPr>
                <w:i/>
                <w:iCs/>
                <w:sz w:val="22"/>
                <w:szCs w:val="22"/>
              </w:rPr>
            </w:pPr>
            <w:r w:rsidRPr="00E12DFB">
              <w:rPr>
                <w:i/>
                <w:iCs/>
                <w:sz w:val="22"/>
                <w:szCs w:val="22"/>
              </w:rPr>
              <w:t xml:space="preserve">Consultation File Documentation </w:t>
            </w:r>
          </w:p>
          <w:p w14:paraId="0BB6FACE" w14:textId="50B23B21" w:rsidR="00E12DFB" w:rsidRPr="00E12DFB" w:rsidRDefault="00E12DFB" w:rsidP="00E12DFB">
            <w:pPr>
              <w:widowControl/>
              <w:autoSpaceDE/>
              <w:autoSpaceDN/>
              <w:adjustRightInd/>
              <w:rPr>
                <w:sz w:val="22"/>
                <w:szCs w:val="22"/>
              </w:rPr>
            </w:pPr>
            <w:r w:rsidRPr="00E12DFB">
              <w:rPr>
                <w:sz w:val="22"/>
                <w:szCs w:val="22"/>
              </w:rPr>
              <w:t xml:space="preserve">Consultation case file documentation was </w:t>
            </w:r>
            <w:r w:rsidR="00DE2AF7" w:rsidRPr="00DE2AF7">
              <w:rPr>
                <w:sz w:val="22"/>
                <w:szCs w:val="22"/>
              </w:rPr>
              <w:t xml:space="preserve">Specifically, the health files were missing the following: three out of five (60%) of the initial visits lacked a report, three out of five (60%) of </w:t>
            </w:r>
            <w:r w:rsidR="00DE2AF7" w:rsidRPr="00DE2AF7">
              <w:rPr>
                <w:sz w:val="22"/>
                <w:szCs w:val="22"/>
              </w:rPr>
              <w:lastRenderedPageBreak/>
              <w:t>the initial visits showing chlorine cylinder storage lacked evidence that coverage under the OSHA Process Safety Management Standard was evaluated and two of the three (66%) of the reports did not include all required years of injury/illness data. The safety consultation files were specifically missing the following: evidence in three of six (50%) of initial visits to support the issuance of notices under 1910.38, in two of two (100%) of the visits with an extension that the employer received an updated List of Hazards, evidence to support issuing lockout/tagout program notices for two visits and in two visits how hazards were corrected</w:t>
            </w:r>
            <w:r w:rsidR="0097324B">
              <w:rPr>
                <w:sz w:val="22"/>
                <w:szCs w:val="22"/>
              </w:rPr>
              <w:t>.</w:t>
            </w:r>
          </w:p>
        </w:tc>
        <w:tc>
          <w:tcPr>
            <w:tcW w:w="4819" w:type="dxa"/>
          </w:tcPr>
          <w:p w14:paraId="21EE337F" w14:textId="77777777" w:rsidR="00E12DFB" w:rsidRPr="00E12DFB" w:rsidRDefault="00E12DFB" w:rsidP="00E12DFB">
            <w:pPr>
              <w:widowControl/>
              <w:autoSpaceDE/>
              <w:autoSpaceDN/>
              <w:adjustRightInd/>
              <w:rPr>
                <w:sz w:val="22"/>
                <w:szCs w:val="22"/>
              </w:rPr>
            </w:pPr>
            <w:r w:rsidRPr="00E12DFB">
              <w:rPr>
                <w:sz w:val="22"/>
                <w:szCs w:val="22"/>
              </w:rPr>
              <w:lastRenderedPageBreak/>
              <w:t>PEOSH should improve documentation in its consultation case files by adhering to CSP 02-00-</w:t>
            </w:r>
          </w:p>
          <w:p w14:paraId="05C079F8" w14:textId="4A3A51E6" w:rsidR="00E12DFB" w:rsidRPr="00E12DFB" w:rsidRDefault="00E12DFB" w:rsidP="00E12DFB">
            <w:pPr>
              <w:widowControl/>
              <w:autoSpaceDE/>
              <w:autoSpaceDN/>
              <w:adjustRightInd/>
              <w:rPr>
                <w:sz w:val="22"/>
                <w:szCs w:val="22"/>
              </w:rPr>
            </w:pPr>
            <w:r w:rsidRPr="00E12DFB">
              <w:rPr>
                <w:sz w:val="22"/>
                <w:szCs w:val="22"/>
              </w:rPr>
              <w:t xml:space="preserve">05, Consultation Policies and Procedures Manual.  </w:t>
            </w:r>
          </w:p>
        </w:tc>
        <w:tc>
          <w:tcPr>
            <w:tcW w:w="1890" w:type="dxa"/>
          </w:tcPr>
          <w:p w14:paraId="49F865AA" w14:textId="77777777" w:rsidR="00E12DFB" w:rsidRDefault="00E12DFB" w:rsidP="007A71AC">
            <w:pPr>
              <w:widowControl/>
              <w:autoSpaceDE/>
              <w:autoSpaceDN/>
              <w:adjustRightInd/>
              <w:rPr>
                <w:sz w:val="22"/>
                <w:szCs w:val="22"/>
              </w:rPr>
            </w:pPr>
            <w:r w:rsidRPr="00E12DFB">
              <w:rPr>
                <w:sz w:val="22"/>
                <w:szCs w:val="22"/>
              </w:rPr>
              <w:t>FY 2022-06</w:t>
            </w:r>
          </w:p>
          <w:p w14:paraId="58054A7A" w14:textId="77777777" w:rsidR="00E12DFB" w:rsidRDefault="00E12DFB" w:rsidP="007A71AC">
            <w:pPr>
              <w:widowControl/>
              <w:autoSpaceDE/>
              <w:autoSpaceDN/>
              <w:adjustRightInd/>
              <w:rPr>
                <w:sz w:val="22"/>
                <w:szCs w:val="22"/>
              </w:rPr>
            </w:pPr>
            <w:r w:rsidRPr="00E12DFB">
              <w:rPr>
                <w:sz w:val="22"/>
                <w:szCs w:val="22"/>
              </w:rPr>
              <w:t>FY 2021-06</w:t>
            </w:r>
          </w:p>
          <w:p w14:paraId="52384C54" w14:textId="77777777" w:rsidR="00E12DFB" w:rsidRDefault="00E12DFB" w:rsidP="007A71AC">
            <w:pPr>
              <w:widowControl/>
              <w:autoSpaceDE/>
              <w:autoSpaceDN/>
              <w:adjustRightInd/>
              <w:rPr>
                <w:sz w:val="22"/>
                <w:szCs w:val="22"/>
              </w:rPr>
            </w:pPr>
            <w:r w:rsidRPr="00E12DFB">
              <w:rPr>
                <w:sz w:val="22"/>
                <w:szCs w:val="22"/>
              </w:rPr>
              <w:t>FY 2020-02</w:t>
            </w:r>
          </w:p>
          <w:p w14:paraId="4413DD5C" w14:textId="54D507C8" w:rsidR="00E12DFB" w:rsidRPr="00E12DFB" w:rsidRDefault="00E12DFB" w:rsidP="007A71AC">
            <w:pPr>
              <w:widowControl/>
              <w:autoSpaceDE/>
              <w:autoSpaceDN/>
              <w:adjustRightInd/>
              <w:rPr>
                <w:sz w:val="22"/>
                <w:szCs w:val="22"/>
              </w:rPr>
            </w:pPr>
            <w:r w:rsidRPr="00E12DFB">
              <w:rPr>
                <w:sz w:val="22"/>
                <w:szCs w:val="22"/>
              </w:rPr>
              <w:t>FY 2019-03</w:t>
            </w:r>
          </w:p>
        </w:tc>
      </w:tr>
      <w:bookmarkEnd w:id="16"/>
    </w:tbl>
    <w:p w14:paraId="57A1ACD4" w14:textId="77777777" w:rsidR="00D1582D" w:rsidRPr="00D1582D"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sectPr w:rsidR="00D1582D" w:rsidRPr="00D1582D" w:rsidSect="003441A2">
          <w:headerReference w:type="default" r:id="rId13"/>
          <w:footerReference w:type="default" r:id="rId14"/>
          <w:headerReference w:type="first" r:id="rId15"/>
          <w:footerReference w:type="first" r:id="rId16"/>
          <w:pgSz w:w="15840" w:h="12240" w:orient="landscape"/>
          <w:pgMar w:top="1440" w:right="1440" w:bottom="1440" w:left="1440" w:header="720" w:footer="720" w:gutter="0"/>
          <w:pgNumType w:start="1"/>
          <w:cols w:space="720"/>
          <w:rtlGutter/>
          <w:docGrid w:linePitch="360"/>
        </w:sectPr>
      </w:pPr>
    </w:p>
    <w:p w14:paraId="1B04AFBA" w14:textId="77777777" w:rsidR="0052265F" w:rsidRDefault="0052265F" w:rsidP="007A71AC">
      <w:pPr>
        <w:widowControl/>
        <w:autoSpaceDE/>
        <w:autoSpaceDN/>
        <w:adjustRightInd/>
        <w:rPr>
          <w:i/>
          <w:sz w:val="22"/>
          <w:szCs w:val="22"/>
        </w:rPr>
      </w:pPr>
    </w:p>
    <w:tbl>
      <w:tblPr>
        <w:tblStyle w:val="TableGrid"/>
        <w:tblpPr w:leftFromText="180" w:rightFromText="180" w:vertAnchor="text" w:horzAnchor="margin" w:tblpXSpec="center" w:tblpY="77"/>
        <w:tblW w:w="13968" w:type="dxa"/>
        <w:tblLook w:val="01E0" w:firstRow="1" w:lastRow="1" w:firstColumn="1" w:lastColumn="1" w:noHBand="0" w:noVBand="0"/>
        <w:tblCaption w:val="Observations Subject to New and Continued Findings"/>
        <w:tblDescription w:val="Appendix B"/>
      </w:tblPr>
      <w:tblGrid>
        <w:gridCol w:w="1812"/>
        <w:gridCol w:w="1873"/>
        <w:gridCol w:w="4612"/>
        <w:gridCol w:w="4538"/>
        <w:gridCol w:w="1133"/>
      </w:tblGrid>
      <w:tr w:rsidR="00156BBB" w:rsidRPr="00156BBB" w14:paraId="52741B7A" w14:textId="77777777" w:rsidTr="00E12DFB">
        <w:trPr>
          <w:trHeight w:val="411"/>
          <w:tblHeader/>
        </w:trPr>
        <w:tc>
          <w:tcPr>
            <w:tcW w:w="1812" w:type="dxa"/>
            <w:shd w:val="clear" w:color="auto" w:fill="1F497D" w:themeFill="text2"/>
          </w:tcPr>
          <w:p w14:paraId="1DD6461E" w14:textId="77777777" w:rsidR="008D2CFC" w:rsidRPr="00156BBB" w:rsidRDefault="008D2CFC" w:rsidP="008D2CFC">
            <w:pPr>
              <w:widowControl/>
              <w:autoSpaceDE/>
              <w:autoSpaceDN/>
              <w:adjustRightInd/>
              <w:jc w:val="center"/>
              <w:rPr>
                <w:b/>
                <w:color w:val="FFFFFF" w:themeColor="background1"/>
              </w:rPr>
            </w:pPr>
            <w:r w:rsidRPr="00156BBB">
              <w:rPr>
                <w:b/>
                <w:color w:val="FFFFFF" w:themeColor="background1"/>
              </w:rPr>
              <w:t>Observation #</w:t>
            </w:r>
          </w:p>
          <w:p w14:paraId="404CB4AE" w14:textId="2CED715E" w:rsidR="008D2CFC" w:rsidRPr="00156BBB" w:rsidRDefault="008D2CFC" w:rsidP="008D2CFC">
            <w:pPr>
              <w:widowControl/>
              <w:autoSpaceDE/>
              <w:autoSpaceDN/>
              <w:adjustRightInd/>
              <w:jc w:val="center"/>
              <w:rPr>
                <w:b/>
                <w:color w:val="FFFFFF" w:themeColor="background1"/>
              </w:rPr>
            </w:pPr>
            <w:r w:rsidRPr="00156BBB">
              <w:rPr>
                <w:b/>
                <w:color w:val="FFFFFF" w:themeColor="background1"/>
              </w:rPr>
              <w:t>FY 20</w:t>
            </w:r>
            <w:r w:rsidR="00667DB2">
              <w:rPr>
                <w:b/>
                <w:color w:val="FFFFFF" w:themeColor="background1"/>
              </w:rPr>
              <w:t>23</w:t>
            </w:r>
            <w:r w:rsidRPr="00156BBB">
              <w:rPr>
                <w:b/>
                <w:color w:val="FFFFFF" w:themeColor="background1"/>
              </w:rPr>
              <w:t>-OB-#</w:t>
            </w:r>
          </w:p>
        </w:tc>
        <w:tc>
          <w:tcPr>
            <w:tcW w:w="1873" w:type="dxa"/>
            <w:shd w:val="clear" w:color="auto" w:fill="1F497D" w:themeFill="text2"/>
          </w:tcPr>
          <w:p w14:paraId="59BC5180" w14:textId="77777777" w:rsidR="008D2CFC" w:rsidRPr="00156BBB" w:rsidRDefault="008D2CFC" w:rsidP="008D2CFC">
            <w:pPr>
              <w:widowControl/>
              <w:autoSpaceDE/>
              <w:autoSpaceDN/>
              <w:adjustRightInd/>
              <w:jc w:val="center"/>
              <w:rPr>
                <w:b/>
                <w:color w:val="FFFFFF" w:themeColor="background1"/>
              </w:rPr>
            </w:pPr>
            <w:r w:rsidRPr="00156BBB">
              <w:rPr>
                <w:b/>
                <w:color w:val="FFFFFF" w:themeColor="background1"/>
              </w:rPr>
              <w:t>Observation#</w:t>
            </w:r>
          </w:p>
          <w:p w14:paraId="288F709F" w14:textId="18CC1887" w:rsidR="008D2CFC" w:rsidRPr="00156BBB" w:rsidRDefault="008D2CFC" w:rsidP="008D2CFC">
            <w:pPr>
              <w:widowControl/>
              <w:autoSpaceDE/>
              <w:autoSpaceDN/>
              <w:adjustRightInd/>
              <w:jc w:val="center"/>
              <w:rPr>
                <w:b/>
                <w:color w:val="FFFFFF" w:themeColor="background1"/>
              </w:rPr>
            </w:pPr>
            <w:r w:rsidRPr="00156BBB">
              <w:rPr>
                <w:b/>
                <w:color w:val="FFFFFF" w:themeColor="background1"/>
              </w:rPr>
              <w:t>FY 20</w:t>
            </w:r>
            <w:r w:rsidR="00667DB2">
              <w:rPr>
                <w:b/>
                <w:color w:val="FFFFFF" w:themeColor="background1"/>
              </w:rPr>
              <w:t>22</w:t>
            </w:r>
            <w:r w:rsidRPr="00156BBB">
              <w:rPr>
                <w:b/>
                <w:color w:val="FFFFFF" w:themeColor="background1"/>
              </w:rPr>
              <w:t xml:space="preserve">-OB-# </w:t>
            </w:r>
            <w:r w:rsidRPr="00156BBB">
              <w:rPr>
                <w:b/>
                <w:i/>
                <w:color w:val="FFFFFF" w:themeColor="background1"/>
              </w:rPr>
              <w:t>or</w:t>
            </w:r>
            <w:r w:rsidRPr="00156BBB">
              <w:rPr>
                <w:b/>
                <w:color w:val="FFFFFF" w:themeColor="background1"/>
              </w:rPr>
              <w:t xml:space="preserve"> FY 20XX-#</w:t>
            </w:r>
          </w:p>
        </w:tc>
        <w:tc>
          <w:tcPr>
            <w:tcW w:w="4612" w:type="dxa"/>
            <w:shd w:val="clear" w:color="auto" w:fill="1F497D" w:themeFill="text2"/>
          </w:tcPr>
          <w:p w14:paraId="21E0446D" w14:textId="77777777" w:rsidR="008D2CFC" w:rsidRPr="00156BBB" w:rsidRDefault="008D2CFC" w:rsidP="008D2CFC">
            <w:pPr>
              <w:widowControl/>
              <w:autoSpaceDE/>
              <w:autoSpaceDN/>
              <w:adjustRightInd/>
              <w:jc w:val="center"/>
              <w:rPr>
                <w:b/>
                <w:color w:val="FFFFFF" w:themeColor="background1"/>
              </w:rPr>
            </w:pPr>
            <w:r w:rsidRPr="00156BBB">
              <w:rPr>
                <w:b/>
                <w:color w:val="FFFFFF" w:themeColor="background1"/>
              </w:rPr>
              <w:t>Observation</w:t>
            </w:r>
          </w:p>
        </w:tc>
        <w:tc>
          <w:tcPr>
            <w:tcW w:w="4538" w:type="dxa"/>
            <w:shd w:val="clear" w:color="auto" w:fill="1F497D" w:themeFill="text2"/>
          </w:tcPr>
          <w:p w14:paraId="33ADDA12" w14:textId="77777777" w:rsidR="008D2CFC" w:rsidRPr="00156BBB" w:rsidRDefault="008D2CFC" w:rsidP="008D2CFC">
            <w:pPr>
              <w:widowControl/>
              <w:autoSpaceDE/>
              <w:autoSpaceDN/>
              <w:adjustRightInd/>
              <w:jc w:val="center"/>
              <w:rPr>
                <w:b/>
                <w:color w:val="FFFFFF" w:themeColor="background1"/>
              </w:rPr>
            </w:pPr>
            <w:r w:rsidRPr="00156BBB">
              <w:rPr>
                <w:b/>
                <w:color w:val="FFFFFF" w:themeColor="background1"/>
              </w:rPr>
              <w:t>Federal Monitoring Plan</w:t>
            </w:r>
          </w:p>
        </w:tc>
        <w:tc>
          <w:tcPr>
            <w:tcW w:w="1133" w:type="dxa"/>
            <w:shd w:val="clear" w:color="auto" w:fill="1F497D" w:themeFill="text2"/>
          </w:tcPr>
          <w:p w14:paraId="2F93C187" w14:textId="77777777" w:rsidR="008D2CFC" w:rsidRPr="00156BBB" w:rsidRDefault="008D2CFC" w:rsidP="008D2CFC">
            <w:pPr>
              <w:widowControl/>
              <w:autoSpaceDE/>
              <w:autoSpaceDN/>
              <w:adjustRightInd/>
              <w:jc w:val="center"/>
              <w:rPr>
                <w:b/>
                <w:color w:val="FFFFFF" w:themeColor="background1"/>
              </w:rPr>
            </w:pPr>
            <w:r w:rsidRPr="00156BBB">
              <w:rPr>
                <w:b/>
                <w:color w:val="FFFFFF" w:themeColor="background1"/>
              </w:rPr>
              <w:t>Current Status</w:t>
            </w:r>
          </w:p>
        </w:tc>
      </w:tr>
      <w:tr w:rsidR="00B158D9" w:rsidRPr="000A134A" w14:paraId="15B4B489" w14:textId="77777777" w:rsidTr="0097324B">
        <w:trPr>
          <w:trHeight w:val="1847"/>
        </w:trPr>
        <w:tc>
          <w:tcPr>
            <w:tcW w:w="1812" w:type="dxa"/>
          </w:tcPr>
          <w:p w14:paraId="0E61C577" w14:textId="63C3D5AE" w:rsidR="00B158D9" w:rsidRPr="00530319" w:rsidRDefault="00B158D9" w:rsidP="00B158D9">
            <w:pPr>
              <w:widowControl/>
              <w:autoSpaceDE/>
              <w:autoSpaceDN/>
              <w:adjustRightInd/>
              <w:rPr>
                <w:iCs/>
                <w:sz w:val="22"/>
                <w:szCs w:val="22"/>
              </w:rPr>
            </w:pPr>
            <w:bookmarkStart w:id="17" w:name="_Hlk160201518"/>
            <w:r w:rsidRPr="00530319">
              <w:rPr>
                <w:iCs/>
                <w:sz w:val="22"/>
                <w:szCs w:val="22"/>
              </w:rPr>
              <w:t>FY 2023-OB-01</w:t>
            </w:r>
          </w:p>
        </w:tc>
        <w:tc>
          <w:tcPr>
            <w:tcW w:w="1873" w:type="dxa"/>
          </w:tcPr>
          <w:p w14:paraId="57E1143C" w14:textId="4E598EC3" w:rsidR="00B158D9" w:rsidRPr="00530319" w:rsidRDefault="00B158D9" w:rsidP="00DE6E65">
            <w:pPr>
              <w:widowControl/>
              <w:autoSpaceDE/>
              <w:autoSpaceDN/>
              <w:adjustRightInd/>
              <w:rPr>
                <w:iCs/>
                <w:sz w:val="22"/>
                <w:szCs w:val="22"/>
              </w:rPr>
            </w:pPr>
            <w:r w:rsidRPr="00530319">
              <w:rPr>
                <w:iCs/>
                <w:sz w:val="22"/>
                <w:szCs w:val="22"/>
              </w:rPr>
              <w:t>FY 2022-OB-08</w:t>
            </w:r>
          </w:p>
        </w:tc>
        <w:tc>
          <w:tcPr>
            <w:tcW w:w="4612" w:type="dxa"/>
          </w:tcPr>
          <w:p w14:paraId="7C0C4559" w14:textId="31B62A32" w:rsidR="00B158D9" w:rsidRPr="00530319" w:rsidRDefault="00B158D9" w:rsidP="00DE6E65">
            <w:pPr>
              <w:widowControl/>
              <w:autoSpaceDE/>
              <w:autoSpaceDN/>
              <w:adjustRightInd/>
              <w:rPr>
                <w:i/>
                <w:sz w:val="22"/>
                <w:szCs w:val="22"/>
              </w:rPr>
            </w:pPr>
            <w:r w:rsidRPr="00530319">
              <w:rPr>
                <w:i/>
                <w:sz w:val="22"/>
                <w:szCs w:val="22"/>
              </w:rPr>
              <w:t>OIS Open Inspection Report-Pending Citations</w:t>
            </w:r>
          </w:p>
          <w:p w14:paraId="70D22FDD" w14:textId="34506BC8" w:rsidR="00B158D9" w:rsidRPr="00530319" w:rsidRDefault="00B158D9" w:rsidP="00DE6E65">
            <w:pPr>
              <w:widowControl/>
              <w:autoSpaceDE/>
              <w:autoSpaceDN/>
              <w:adjustRightInd/>
              <w:rPr>
                <w:iCs/>
                <w:sz w:val="22"/>
                <w:szCs w:val="22"/>
              </w:rPr>
            </w:pPr>
            <w:r w:rsidRPr="00530319">
              <w:rPr>
                <w:iCs/>
                <w:sz w:val="22"/>
                <w:szCs w:val="22"/>
              </w:rPr>
              <w:t xml:space="preserve">The OIS Open Inspection </w:t>
            </w:r>
            <w:r w:rsidR="0041281B">
              <w:rPr>
                <w:iCs/>
                <w:sz w:val="22"/>
                <w:szCs w:val="22"/>
              </w:rPr>
              <w:t>R</w:t>
            </w:r>
            <w:r w:rsidRPr="00530319">
              <w:rPr>
                <w:iCs/>
                <w:sz w:val="22"/>
                <w:szCs w:val="22"/>
              </w:rPr>
              <w:t>eport</w:t>
            </w:r>
            <w:r w:rsidR="00A0249A">
              <w:rPr>
                <w:iCs/>
                <w:sz w:val="22"/>
                <w:szCs w:val="22"/>
              </w:rPr>
              <w:t>,</w:t>
            </w:r>
            <w:r w:rsidRPr="00530319">
              <w:rPr>
                <w:iCs/>
                <w:sz w:val="22"/>
                <w:szCs w:val="22"/>
              </w:rPr>
              <w:t xml:space="preserve"> run on February 5, 2024, showed 23 inspection files that had either an opening and/or closing conference date listed in FY 2022 or FY 2023, that had citations that were pending issuance over 180 days or six months.</w:t>
            </w:r>
          </w:p>
        </w:tc>
        <w:tc>
          <w:tcPr>
            <w:tcW w:w="4538" w:type="dxa"/>
          </w:tcPr>
          <w:p w14:paraId="4A832AF8" w14:textId="19480E3E" w:rsidR="00B158D9" w:rsidRPr="00530319" w:rsidRDefault="00B158D9" w:rsidP="0097324B">
            <w:pPr>
              <w:rPr>
                <w:iCs/>
                <w:sz w:val="22"/>
                <w:szCs w:val="22"/>
              </w:rPr>
            </w:pPr>
            <w:r w:rsidRPr="00530319">
              <w:rPr>
                <w:iCs/>
                <w:sz w:val="22"/>
                <w:szCs w:val="22"/>
              </w:rPr>
              <w:t>OSHA will continue to review the OIS Open Inspection Report quarterly to monitor the State Plan’s progress in issuing these citations.  OSHA will encourage PEOSH to revise this section of the FOM and clarify the discrepancy between these documents but ensure that</w:t>
            </w:r>
            <w:r w:rsidR="0041281B">
              <w:rPr>
                <w:iCs/>
                <w:sz w:val="22"/>
                <w:szCs w:val="22"/>
              </w:rPr>
              <w:t xml:space="preserve"> federal</w:t>
            </w:r>
            <w:r w:rsidRPr="00530319">
              <w:rPr>
                <w:iCs/>
                <w:sz w:val="22"/>
                <w:szCs w:val="22"/>
              </w:rPr>
              <w:t xml:space="preserve"> a</w:t>
            </w:r>
            <w:r w:rsidR="0041281B">
              <w:rPr>
                <w:iCs/>
                <w:sz w:val="22"/>
                <w:szCs w:val="22"/>
              </w:rPr>
              <w:t>t</w:t>
            </w:r>
            <w:r w:rsidRPr="00530319">
              <w:rPr>
                <w:iCs/>
                <w:sz w:val="22"/>
                <w:szCs w:val="22"/>
              </w:rPr>
              <w:t xml:space="preserve"> least as effective (ALAE) standards are met.</w:t>
            </w:r>
          </w:p>
        </w:tc>
        <w:tc>
          <w:tcPr>
            <w:tcW w:w="1133" w:type="dxa"/>
          </w:tcPr>
          <w:p w14:paraId="25144556" w14:textId="3E78FEA3" w:rsidR="00B158D9" w:rsidRPr="00530319" w:rsidRDefault="00B158D9" w:rsidP="005A414C">
            <w:pPr>
              <w:widowControl/>
              <w:autoSpaceDE/>
              <w:autoSpaceDN/>
              <w:adjustRightInd/>
              <w:rPr>
                <w:iCs/>
                <w:sz w:val="22"/>
                <w:szCs w:val="22"/>
              </w:rPr>
            </w:pPr>
            <w:r w:rsidRPr="00530319">
              <w:rPr>
                <w:iCs/>
                <w:sz w:val="22"/>
                <w:szCs w:val="22"/>
              </w:rPr>
              <w:t>Continued</w:t>
            </w:r>
          </w:p>
        </w:tc>
      </w:tr>
      <w:tr w:rsidR="00B158D9" w:rsidRPr="000A134A" w14:paraId="3D20300B" w14:textId="77777777" w:rsidTr="00E12DFB">
        <w:trPr>
          <w:trHeight w:val="397"/>
        </w:trPr>
        <w:tc>
          <w:tcPr>
            <w:tcW w:w="1812" w:type="dxa"/>
          </w:tcPr>
          <w:p w14:paraId="4EE05F54" w14:textId="1AA7ECC3" w:rsidR="00B158D9" w:rsidRPr="00530319" w:rsidRDefault="00B158D9" w:rsidP="00B158D9">
            <w:pPr>
              <w:widowControl/>
              <w:autoSpaceDE/>
              <w:autoSpaceDN/>
              <w:adjustRightInd/>
              <w:rPr>
                <w:iCs/>
                <w:sz w:val="22"/>
                <w:szCs w:val="22"/>
              </w:rPr>
            </w:pPr>
            <w:r w:rsidRPr="00530319">
              <w:rPr>
                <w:iCs/>
                <w:sz w:val="22"/>
                <w:szCs w:val="22"/>
              </w:rPr>
              <w:t>FY 2023-OB-02</w:t>
            </w:r>
          </w:p>
        </w:tc>
        <w:tc>
          <w:tcPr>
            <w:tcW w:w="1873" w:type="dxa"/>
          </w:tcPr>
          <w:p w14:paraId="10B600C5" w14:textId="23554462" w:rsidR="00B158D9" w:rsidRPr="00530319" w:rsidRDefault="00B158D9" w:rsidP="00DE6E65">
            <w:pPr>
              <w:widowControl/>
              <w:autoSpaceDE/>
              <w:autoSpaceDN/>
              <w:adjustRightInd/>
              <w:rPr>
                <w:iCs/>
                <w:sz w:val="22"/>
                <w:szCs w:val="22"/>
              </w:rPr>
            </w:pPr>
            <w:r w:rsidRPr="00530319">
              <w:rPr>
                <w:iCs/>
                <w:sz w:val="22"/>
                <w:szCs w:val="22"/>
              </w:rPr>
              <w:t xml:space="preserve">FY 2023-OB-07 </w:t>
            </w:r>
          </w:p>
        </w:tc>
        <w:tc>
          <w:tcPr>
            <w:tcW w:w="4612" w:type="dxa"/>
          </w:tcPr>
          <w:p w14:paraId="735DEA8F" w14:textId="77777777" w:rsidR="00B158D9" w:rsidRPr="00530319" w:rsidRDefault="00B158D9" w:rsidP="00B158D9">
            <w:pPr>
              <w:widowControl/>
              <w:autoSpaceDE/>
              <w:autoSpaceDN/>
              <w:adjustRightInd/>
              <w:rPr>
                <w:i/>
                <w:sz w:val="22"/>
                <w:szCs w:val="22"/>
              </w:rPr>
            </w:pPr>
            <w:r w:rsidRPr="00530319">
              <w:rPr>
                <w:i/>
                <w:sz w:val="22"/>
                <w:szCs w:val="22"/>
              </w:rPr>
              <w:t>OIS Open Inspection Report-Pending Abatement</w:t>
            </w:r>
          </w:p>
          <w:p w14:paraId="31484495" w14:textId="271E6CF7" w:rsidR="00B158D9" w:rsidRPr="00530319" w:rsidRDefault="00B158D9" w:rsidP="00B158D9">
            <w:pPr>
              <w:widowControl/>
              <w:autoSpaceDE/>
              <w:autoSpaceDN/>
              <w:adjustRightInd/>
              <w:rPr>
                <w:iCs/>
                <w:sz w:val="22"/>
                <w:szCs w:val="22"/>
              </w:rPr>
            </w:pPr>
            <w:r w:rsidRPr="00530319">
              <w:rPr>
                <w:iCs/>
                <w:sz w:val="22"/>
                <w:szCs w:val="22"/>
              </w:rPr>
              <w:t>The OIS Open Inspection Report</w:t>
            </w:r>
            <w:r w:rsidR="0041281B">
              <w:rPr>
                <w:iCs/>
                <w:sz w:val="22"/>
                <w:szCs w:val="22"/>
              </w:rPr>
              <w:t>,</w:t>
            </w:r>
            <w:r w:rsidRPr="00530319">
              <w:rPr>
                <w:iCs/>
                <w:sz w:val="22"/>
                <w:szCs w:val="22"/>
              </w:rPr>
              <w:t xml:space="preserve"> run on February 5, 2024, showed 15 inspections with overdue abatement.  The number of days overdue for these inspections ranged from 10</w:t>
            </w:r>
            <w:r w:rsidR="00A0249A">
              <w:rPr>
                <w:iCs/>
                <w:sz w:val="22"/>
                <w:szCs w:val="22"/>
              </w:rPr>
              <w:t xml:space="preserve"> to 3,</w:t>
            </w:r>
            <w:r w:rsidRPr="00530319">
              <w:rPr>
                <w:iCs/>
                <w:sz w:val="22"/>
                <w:szCs w:val="22"/>
              </w:rPr>
              <w:t>423 days</w:t>
            </w:r>
            <w:r w:rsidR="00A0249A">
              <w:rPr>
                <w:iCs/>
                <w:sz w:val="22"/>
                <w:szCs w:val="22"/>
              </w:rPr>
              <w:t>.</w:t>
            </w:r>
          </w:p>
        </w:tc>
        <w:tc>
          <w:tcPr>
            <w:tcW w:w="4538" w:type="dxa"/>
          </w:tcPr>
          <w:p w14:paraId="22B2410A" w14:textId="77777777" w:rsidR="00B158D9" w:rsidRPr="00530319" w:rsidRDefault="00B158D9" w:rsidP="00B158D9">
            <w:pPr>
              <w:rPr>
                <w:iCs/>
                <w:sz w:val="22"/>
                <w:szCs w:val="22"/>
              </w:rPr>
            </w:pPr>
            <w:r w:rsidRPr="00530319">
              <w:rPr>
                <w:iCs/>
                <w:sz w:val="22"/>
                <w:szCs w:val="22"/>
              </w:rPr>
              <w:t>OSHA will continue to review the OIS Open Inspection Report quarterly to monitor the State Plan’s progress in obtaining abatement and updating OIS.</w:t>
            </w:r>
          </w:p>
          <w:p w14:paraId="3C7BD8C1" w14:textId="77777777" w:rsidR="00B158D9" w:rsidRPr="00530319" w:rsidRDefault="00B158D9" w:rsidP="00B158D9">
            <w:pPr>
              <w:rPr>
                <w:iCs/>
                <w:sz w:val="22"/>
                <w:szCs w:val="22"/>
              </w:rPr>
            </w:pPr>
          </w:p>
        </w:tc>
        <w:tc>
          <w:tcPr>
            <w:tcW w:w="1133" w:type="dxa"/>
          </w:tcPr>
          <w:p w14:paraId="763728AB" w14:textId="3818B85B" w:rsidR="00B158D9" w:rsidRPr="00530319" w:rsidRDefault="00B158D9" w:rsidP="005A414C">
            <w:pPr>
              <w:widowControl/>
              <w:autoSpaceDE/>
              <w:autoSpaceDN/>
              <w:adjustRightInd/>
              <w:rPr>
                <w:iCs/>
                <w:sz w:val="22"/>
                <w:szCs w:val="22"/>
              </w:rPr>
            </w:pPr>
            <w:r w:rsidRPr="00530319">
              <w:rPr>
                <w:iCs/>
                <w:sz w:val="22"/>
                <w:szCs w:val="22"/>
              </w:rPr>
              <w:t>Continued</w:t>
            </w:r>
          </w:p>
        </w:tc>
      </w:tr>
      <w:tr w:rsidR="00B158D9" w:rsidRPr="000A134A" w14:paraId="29232E72" w14:textId="77777777" w:rsidTr="00E12DFB">
        <w:trPr>
          <w:trHeight w:val="397"/>
        </w:trPr>
        <w:tc>
          <w:tcPr>
            <w:tcW w:w="1812" w:type="dxa"/>
          </w:tcPr>
          <w:p w14:paraId="5547690E" w14:textId="36BCF7F1" w:rsidR="00B158D9" w:rsidRPr="00530319" w:rsidRDefault="00B158D9" w:rsidP="00B158D9">
            <w:pPr>
              <w:widowControl/>
              <w:autoSpaceDE/>
              <w:autoSpaceDN/>
              <w:adjustRightInd/>
              <w:rPr>
                <w:iCs/>
                <w:sz w:val="22"/>
                <w:szCs w:val="22"/>
              </w:rPr>
            </w:pPr>
            <w:r w:rsidRPr="00530319">
              <w:rPr>
                <w:iCs/>
                <w:sz w:val="22"/>
                <w:szCs w:val="22"/>
              </w:rPr>
              <w:t>FY 2023-OB-03</w:t>
            </w:r>
          </w:p>
        </w:tc>
        <w:tc>
          <w:tcPr>
            <w:tcW w:w="1873" w:type="dxa"/>
          </w:tcPr>
          <w:p w14:paraId="2F961E12" w14:textId="77777777" w:rsidR="00B158D9" w:rsidRPr="00530319" w:rsidRDefault="00B158D9" w:rsidP="00DE6E65">
            <w:pPr>
              <w:widowControl/>
              <w:autoSpaceDE/>
              <w:autoSpaceDN/>
              <w:adjustRightInd/>
              <w:rPr>
                <w:iCs/>
                <w:sz w:val="22"/>
                <w:szCs w:val="22"/>
              </w:rPr>
            </w:pPr>
          </w:p>
        </w:tc>
        <w:tc>
          <w:tcPr>
            <w:tcW w:w="4612" w:type="dxa"/>
          </w:tcPr>
          <w:p w14:paraId="5EE5A263" w14:textId="77777777" w:rsidR="00B158D9" w:rsidRPr="00530319" w:rsidRDefault="00B158D9" w:rsidP="00B158D9">
            <w:pPr>
              <w:widowControl/>
              <w:autoSpaceDE/>
              <w:autoSpaceDN/>
              <w:adjustRightInd/>
              <w:rPr>
                <w:i/>
                <w:sz w:val="22"/>
                <w:szCs w:val="22"/>
              </w:rPr>
            </w:pPr>
            <w:r w:rsidRPr="00530319">
              <w:rPr>
                <w:i/>
                <w:sz w:val="22"/>
                <w:szCs w:val="22"/>
              </w:rPr>
              <w:t>OIS Open Inspection Report-Citations Not Received</w:t>
            </w:r>
          </w:p>
          <w:p w14:paraId="2D0C662B" w14:textId="2A939F16" w:rsidR="00B158D9" w:rsidRPr="00530319" w:rsidRDefault="00B158D9" w:rsidP="00B158D9">
            <w:pPr>
              <w:widowControl/>
              <w:autoSpaceDE/>
              <w:autoSpaceDN/>
              <w:adjustRightInd/>
              <w:rPr>
                <w:iCs/>
                <w:sz w:val="22"/>
                <w:szCs w:val="22"/>
              </w:rPr>
            </w:pPr>
            <w:r w:rsidRPr="00530319">
              <w:rPr>
                <w:iCs/>
                <w:sz w:val="22"/>
                <w:szCs w:val="22"/>
              </w:rPr>
              <w:t>The OIS Open Inspection Report run on February 5, 2024, showed 60 inspection files listed that had not been updated in OIS to reflect the receipt of citations.  OIS needs to be updated when the State Plan has confirmation that citations have been received so that the system can properly track abatement and the files closed.</w:t>
            </w:r>
          </w:p>
        </w:tc>
        <w:tc>
          <w:tcPr>
            <w:tcW w:w="4538" w:type="dxa"/>
          </w:tcPr>
          <w:p w14:paraId="4FB839FD" w14:textId="4239977E" w:rsidR="00B158D9" w:rsidRPr="00530319" w:rsidRDefault="00B158D9" w:rsidP="00B158D9">
            <w:pPr>
              <w:rPr>
                <w:iCs/>
                <w:sz w:val="22"/>
                <w:szCs w:val="22"/>
              </w:rPr>
            </w:pPr>
            <w:r w:rsidRPr="00530319">
              <w:rPr>
                <w:iCs/>
                <w:sz w:val="22"/>
                <w:szCs w:val="22"/>
              </w:rPr>
              <w:t>OSHA will continue to review the OIS Open Inspection Report quarterly to monitor the State Plan’s progress in obtaining abatement and updating OIS.</w:t>
            </w:r>
          </w:p>
        </w:tc>
        <w:tc>
          <w:tcPr>
            <w:tcW w:w="1133" w:type="dxa"/>
          </w:tcPr>
          <w:p w14:paraId="69958BDB" w14:textId="542AD649" w:rsidR="00B158D9" w:rsidRPr="00530319" w:rsidRDefault="00B158D9" w:rsidP="005A414C">
            <w:pPr>
              <w:widowControl/>
              <w:autoSpaceDE/>
              <w:autoSpaceDN/>
              <w:adjustRightInd/>
              <w:rPr>
                <w:iCs/>
                <w:sz w:val="22"/>
                <w:szCs w:val="22"/>
              </w:rPr>
            </w:pPr>
            <w:r w:rsidRPr="00530319">
              <w:rPr>
                <w:iCs/>
                <w:sz w:val="22"/>
                <w:szCs w:val="22"/>
              </w:rPr>
              <w:t>New</w:t>
            </w:r>
          </w:p>
        </w:tc>
      </w:tr>
      <w:tr w:rsidR="00B158D9" w:rsidRPr="00530319" w14:paraId="21ACD081" w14:textId="77777777" w:rsidTr="00E12DFB">
        <w:trPr>
          <w:trHeight w:val="397"/>
        </w:trPr>
        <w:tc>
          <w:tcPr>
            <w:tcW w:w="1812" w:type="dxa"/>
          </w:tcPr>
          <w:p w14:paraId="049B1370" w14:textId="6FAF0B14" w:rsidR="00B158D9" w:rsidRPr="00530319" w:rsidRDefault="00B158D9" w:rsidP="00B158D9">
            <w:pPr>
              <w:widowControl/>
              <w:autoSpaceDE/>
              <w:autoSpaceDN/>
              <w:adjustRightInd/>
              <w:rPr>
                <w:iCs/>
                <w:sz w:val="22"/>
                <w:szCs w:val="22"/>
              </w:rPr>
            </w:pPr>
            <w:r w:rsidRPr="00530319">
              <w:rPr>
                <w:iCs/>
                <w:sz w:val="22"/>
                <w:szCs w:val="22"/>
              </w:rPr>
              <w:t>FY 2023-OB-04</w:t>
            </w:r>
          </w:p>
        </w:tc>
        <w:tc>
          <w:tcPr>
            <w:tcW w:w="1873" w:type="dxa"/>
          </w:tcPr>
          <w:p w14:paraId="4DE1CDCC" w14:textId="77777777" w:rsidR="00B158D9" w:rsidRPr="00530319" w:rsidRDefault="00B158D9" w:rsidP="00DE6E65">
            <w:pPr>
              <w:widowControl/>
              <w:autoSpaceDE/>
              <w:autoSpaceDN/>
              <w:adjustRightInd/>
              <w:rPr>
                <w:iCs/>
                <w:sz w:val="22"/>
                <w:szCs w:val="22"/>
              </w:rPr>
            </w:pPr>
            <w:r w:rsidRPr="00530319">
              <w:rPr>
                <w:iCs/>
                <w:sz w:val="22"/>
                <w:szCs w:val="22"/>
              </w:rPr>
              <w:t>FY 2022-01</w:t>
            </w:r>
          </w:p>
          <w:p w14:paraId="4C456171" w14:textId="5D0455E2" w:rsidR="00B158D9" w:rsidRPr="00530319" w:rsidRDefault="00B158D9" w:rsidP="00DE6E65">
            <w:pPr>
              <w:widowControl/>
              <w:autoSpaceDE/>
              <w:autoSpaceDN/>
              <w:adjustRightInd/>
              <w:rPr>
                <w:iCs/>
                <w:sz w:val="22"/>
                <w:szCs w:val="22"/>
              </w:rPr>
            </w:pPr>
            <w:r w:rsidRPr="00530319">
              <w:rPr>
                <w:iCs/>
                <w:sz w:val="22"/>
                <w:szCs w:val="22"/>
              </w:rPr>
              <w:t>FY 2021-01</w:t>
            </w:r>
          </w:p>
        </w:tc>
        <w:tc>
          <w:tcPr>
            <w:tcW w:w="4612" w:type="dxa"/>
          </w:tcPr>
          <w:p w14:paraId="0824DDAC" w14:textId="77777777" w:rsidR="00B158D9" w:rsidRPr="00530319" w:rsidRDefault="00B158D9" w:rsidP="00B158D9">
            <w:pPr>
              <w:widowControl/>
              <w:autoSpaceDE/>
              <w:autoSpaceDN/>
              <w:adjustRightInd/>
              <w:rPr>
                <w:i/>
                <w:sz w:val="22"/>
                <w:szCs w:val="22"/>
              </w:rPr>
            </w:pPr>
            <w:r w:rsidRPr="00530319">
              <w:rPr>
                <w:i/>
                <w:sz w:val="22"/>
                <w:szCs w:val="22"/>
              </w:rPr>
              <w:t>Complaint Investigation Processing</w:t>
            </w:r>
          </w:p>
          <w:p w14:paraId="1CB7F6E8" w14:textId="42B5741B" w:rsidR="00B158D9" w:rsidRPr="00530319" w:rsidRDefault="00A0249A" w:rsidP="00B158D9">
            <w:pPr>
              <w:widowControl/>
              <w:autoSpaceDE/>
              <w:autoSpaceDN/>
              <w:adjustRightInd/>
              <w:rPr>
                <w:iCs/>
                <w:sz w:val="22"/>
                <w:szCs w:val="22"/>
              </w:rPr>
            </w:pPr>
            <w:r>
              <w:rPr>
                <w:iCs/>
                <w:sz w:val="22"/>
                <w:szCs w:val="22"/>
              </w:rPr>
              <w:t xml:space="preserve">Ten </w:t>
            </w:r>
            <w:r w:rsidR="00B158D9" w:rsidRPr="00530319">
              <w:rPr>
                <w:iCs/>
                <w:sz w:val="22"/>
                <w:szCs w:val="22"/>
              </w:rPr>
              <w:t xml:space="preserve">health complaint investigations were reviewed. </w:t>
            </w:r>
            <w:r>
              <w:rPr>
                <w:iCs/>
                <w:sz w:val="22"/>
                <w:szCs w:val="22"/>
              </w:rPr>
              <w:t>(</w:t>
            </w:r>
            <w:r w:rsidR="00B158D9" w:rsidRPr="00530319">
              <w:rPr>
                <w:iCs/>
                <w:sz w:val="22"/>
                <w:szCs w:val="22"/>
              </w:rPr>
              <w:t>Safety complaints are addressed with inspections only.</w:t>
            </w:r>
            <w:r>
              <w:rPr>
                <w:iCs/>
                <w:sz w:val="22"/>
                <w:szCs w:val="22"/>
              </w:rPr>
              <w:t>)</w:t>
            </w:r>
            <w:r w:rsidR="00B158D9" w:rsidRPr="00530319">
              <w:rPr>
                <w:iCs/>
                <w:sz w:val="22"/>
                <w:szCs w:val="22"/>
              </w:rPr>
              <w:t xml:space="preserve"> Four of these </w:t>
            </w:r>
            <w:r>
              <w:rPr>
                <w:iCs/>
                <w:sz w:val="22"/>
                <w:szCs w:val="22"/>
              </w:rPr>
              <w:t>10</w:t>
            </w:r>
            <w:r w:rsidR="00B158D9" w:rsidRPr="00530319">
              <w:rPr>
                <w:iCs/>
                <w:sz w:val="22"/>
                <w:szCs w:val="22"/>
              </w:rPr>
              <w:t xml:space="preserve"> health investigations (40%) were missing evidence that the certification of posting was returned signed by the employer before the investigation was closed.  The certification of posting was emailed </w:t>
            </w:r>
            <w:r w:rsidR="00B158D9" w:rsidRPr="00530319">
              <w:rPr>
                <w:iCs/>
                <w:sz w:val="22"/>
                <w:szCs w:val="22"/>
              </w:rPr>
              <w:lastRenderedPageBreak/>
              <w:t>to the employer with the complaint but not tracked to ensure that it was returned signed by the employer.  The PEOSH Field Operations Manual (FOM) requires a certification of posting be received for all complaint investigations.</w:t>
            </w:r>
          </w:p>
        </w:tc>
        <w:tc>
          <w:tcPr>
            <w:tcW w:w="4538" w:type="dxa"/>
          </w:tcPr>
          <w:p w14:paraId="5887E75D" w14:textId="3E9199C3" w:rsidR="00B158D9" w:rsidRPr="00530319" w:rsidRDefault="0054086A" w:rsidP="00B158D9">
            <w:pPr>
              <w:rPr>
                <w:iCs/>
                <w:sz w:val="22"/>
                <w:szCs w:val="22"/>
              </w:rPr>
            </w:pPr>
            <w:r w:rsidRPr="00530319">
              <w:rPr>
                <w:iCs/>
                <w:sz w:val="22"/>
                <w:szCs w:val="22"/>
              </w:rPr>
              <w:lastRenderedPageBreak/>
              <w:t>During the next comprehensive FAME review, a limited number of investigations will be selected randomly to determine if these are isolated instances or if this represents a trend that requires further evaluation.</w:t>
            </w:r>
          </w:p>
        </w:tc>
        <w:tc>
          <w:tcPr>
            <w:tcW w:w="1133" w:type="dxa"/>
          </w:tcPr>
          <w:p w14:paraId="70C3C6C1" w14:textId="25A494D9" w:rsidR="00B158D9" w:rsidRPr="00530319" w:rsidRDefault="0054086A" w:rsidP="005A414C">
            <w:pPr>
              <w:widowControl/>
              <w:autoSpaceDE/>
              <w:autoSpaceDN/>
              <w:adjustRightInd/>
              <w:rPr>
                <w:iCs/>
                <w:sz w:val="22"/>
                <w:szCs w:val="22"/>
              </w:rPr>
            </w:pPr>
            <w:r w:rsidRPr="00530319">
              <w:rPr>
                <w:iCs/>
                <w:sz w:val="22"/>
                <w:szCs w:val="22"/>
              </w:rPr>
              <w:t>Converted from Finding</w:t>
            </w:r>
          </w:p>
        </w:tc>
      </w:tr>
      <w:tr w:rsidR="00971BFB" w:rsidRPr="00530319" w14:paraId="6AD63298" w14:textId="77777777" w:rsidTr="00E12DFB">
        <w:trPr>
          <w:trHeight w:val="397"/>
        </w:trPr>
        <w:tc>
          <w:tcPr>
            <w:tcW w:w="1812" w:type="dxa"/>
          </w:tcPr>
          <w:p w14:paraId="2D24EC16" w14:textId="2BD649B3" w:rsidR="00971BFB" w:rsidRPr="00530319" w:rsidRDefault="00971BFB" w:rsidP="00B158D9">
            <w:pPr>
              <w:widowControl/>
              <w:autoSpaceDE/>
              <w:autoSpaceDN/>
              <w:adjustRightInd/>
              <w:rPr>
                <w:iCs/>
                <w:sz w:val="22"/>
                <w:szCs w:val="22"/>
              </w:rPr>
            </w:pPr>
            <w:r w:rsidRPr="00530319">
              <w:rPr>
                <w:iCs/>
                <w:sz w:val="22"/>
                <w:szCs w:val="22"/>
              </w:rPr>
              <w:t>FY 2023-OB-05</w:t>
            </w:r>
          </w:p>
        </w:tc>
        <w:tc>
          <w:tcPr>
            <w:tcW w:w="1873" w:type="dxa"/>
          </w:tcPr>
          <w:p w14:paraId="7C81C189" w14:textId="24382C75" w:rsidR="00971BFB" w:rsidRPr="00530319" w:rsidRDefault="00971BFB" w:rsidP="00DE6E65">
            <w:pPr>
              <w:widowControl/>
              <w:autoSpaceDE/>
              <w:autoSpaceDN/>
              <w:adjustRightInd/>
              <w:rPr>
                <w:iCs/>
                <w:sz w:val="22"/>
                <w:szCs w:val="22"/>
              </w:rPr>
            </w:pPr>
            <w:r w:rsidRPr="00530319">
              <w:rPr>
                <w:iCs/>
                <w:sz w:val="22"/>
                <w:szCs w:val="22"/>
              </w:rPr>
              <w:t>FY 2022-OB-03, FY 2021-OB-04</w:t>
            </w:r>
          </w:p>
        </w:tc>
        <w:tc>
          <w:tcPr>
            <w:tcW w:w="4612" w:type="dxa"/>
          </w:tcPr>
          <w:p w14:paraId="0F35FAEA" w14:textId="77777777" w:rsidR="00971BFB" w:rsidRPr="00530319" w:rsidRDefault="00971BFB" w:rsidP="00971BFB">
            <w:pPr>
              <w:widowControl/>
              <w:autoSpaceDE/>
              <w:autoSpaceDN/>
              <w:adjustRightInd/>
              <w:rPr>
                <w:i/>
                <w:sz w:val="22"/>
                <w:szCs w:val="22"/>
              </w:rPr>
            </w:pPr>
            <w:r w:rsidRPr="00530319">
              <w:rPr>
                <w:i/>
                <w:sz w:val="22"/>
                <w:szCs w:val="22"/>
              </w:rPr>
              <w:t xml:space="preserve">Failure to Issue Order to Comply (OTC) to Employer for Not Reporting Within Eight Hours of a Fatality </w:t>
            </w:r>
          </w:p>
          <w:p w14:paraId="18EA91CB" w14:textId="3C917320" w:rsidR="00971BFB" w:rsidRPr="00530319" w:rsidRDefault="00971BFB" w:rsidP="00971BFB">
            <w:pPr>
              <w:widowControl/>
              <w:autoSpaceDE/>
              <w:autoSpaceDN/>
              <w:adjustRightInd/>
              <w:rPr>
                <w:iCs/>
                <w:sz w:val="22"/>
                <w:szCs w:val="22"/>
              </w:rPr>
            </w:pPr>
            <w:r w:rsidRPr="00530319">
              <w:rPr>
                <w:iCs/>
                <w:sz w:val="22"/>
                <w:szCs w:val="22"/>
              </w:rPr>
              <w:t xml:space="preserve">The State Plan did not document in one of three closed fatality inspections (33%) why an OTC was not proposed for the employer not reporting to PEOSH the fatality within eight hours of being notified of the death.  Additionally, PEOSH received notification of three fatalities in FY 2023 that were not investigated </w:t>
            </w:r>
            <w:r w:rsidR="00424A0D">
              <w:rPr>
                <w:iCs/>
                <w:sz w:val="22"/>
                <w:szCs w:val="22"/>
              </w:rPr>
              <w:t xml:space="preserve">and </w:t>
            </w:r>
            <w:r w:rsidRPr="00530319">
              <w:rPr>
                <w:iCs/>
                <w:sz w:val="22"/>
                <w:szCs w:val="22"/>
              </w:rPr>
              <w:t xml:space="preserve">reported timely.   </w:t>
            </w:r>
          </w:p>
        </w:tc>
        <w:tc>
          <w:tcPr>
            <w:tcW w:w="4538" w:type="dxa"/>
          </w:tcPr>
          <w:p w14:paraId="79E7D74F" w14:textId="4CCCBE52" w:rsidR="00971BFB" w:rsidRPr="00530319" w:rsidRDefault="00971BFB" w:rsidP="00B158D9">
            <w:pPr>
              <w:rPr>
                <w:iCs/>
                <w:sz w:val="22"/>
                <w:szCs w:val="22"/>
              </w:rPr>
            </w:pPr>
            <w:r w:rsidRPr="00530319">
              <w:rPr>
                <w:iCs/>
                <w:sz w:val="22"/>
                <w:szCs w:val="22"/>
              </w:rPr>
              <w:t>During the next comprehensive FAME review, a limited number of case files will be selected randomly and reviewed to determine if these are isolated instances or if this represents a trend that requires further evaluation.</w:t>
            </w:r>
          </w:p>
        </w:tc>
        <w:tc>
          <w:tcPr>
            <w:tcW w:w="1133" w:type="dxa"/>
          </w:tcPr>
          <w:p w14:paraId="4E3BE53D" w14:textId="649C6952" w:rsidR="00971BFB" w:rsidRPr="00530319" w:rsidRDefault="00971BFB" w:rsidP="005A414C">
            <w:pPr>
              <w:widowControl/>
              <w:autoSpaceDE/>
              <w:autoSpaceDN/>
              <w:adjustRightInd/>
              <w:rPr>
                <w:iCs/>
                <w:sz w:val="22"/>
                <w:szCs w:val="22"/>
              </w:rPr>
            </w:pPr>
            <w:r w:rsidRPr="00530319">
              <w:rPr>
                <w:iCs/>
                <w:sz w:val="22"/>
                <w:szCs w:val="22"/>
              </w:rPr>
              <w:t>Continued</w:t>
            </w:r>
          </w:p>
        </w:tc>
      </w:tr>
      <w:tr w:rsidR="00971BFB" w:rsidRPr="00530319" w14:paraId="4DDD03E9" w14:textId="77777777" w:rsidTr="00E12DFB">
        <w:trPr>
          <w:trHeight w:val="397"/>
        </w:trPr>
        <w:tc>
          <w:tcPr>
            <w:tcW w:w="1812" w:type="dxa"/>
          </w:tcPr>
          <w:p w14:paraId="73F1362F" w14:textId="643009E6" w:rsidR="00971BFB" w:rsidRPr="00530319" w:rsidRDefault="00971BFB" w:rsidP="00B158D9">
            <w:pPr>
              <w:widowControl/>
              <w:autoSpaceDE/>
              <w:autoSpaceDN/>
              <w:adjustRightInd/>
              <w:rPr>
                <w:iCs/>
                <w:sz w:val="22"/>
                <w:szCs w:val="22"/>
              </w:rPr>
            </w:pPr>
            <w:r w:rsidRPr="00530319">
              <w:rPr>
                <w:iCs/>
                <w:sz w:val="22"/>
                <w:szCs w:val="22"/>
              </w:rPr>
              <w:t>FY 2023-OB-06</w:t>
            </w:r>
          </w:p>
        </w:tc>
        <w:tc>
          <w:tcPr>
            <w:tcW w:w="1873" w:type="dxa"/>
          </w:tcPr>
          <w:p w14:paraId="07B88CA8" w14:textId="77777777" w:rsidR="00971BFB" w:rsidRPr="00530319" w:rsidRDefault="00971BFB" w:rsidP="00DE6E65">
            <w:pPr>
              <w:widowControl/>
              <w:autoSpaceDE/>
              <w:autoSpaceDN/>
              <w:adjustRightInd/>
              <w:rPr>
                <w:iCs/>
                <w:sz w:val="22"/>
                <w:szCs w:val="22"/>
              </w:rPr>
            </w:pPr>
          </w:p>
        </w:tc>
        <w:tc>
          <w:tcPr>
            <w:tcW w:w="4612" w:type="dxa"/>
          </w:tcPr>
          <w:p w14:paraId="678D1CCF" w14:textId="77777777" w:rsidR="00971BFB" w:rsidRPr="00530319" w:rsidRDefault="00971BFB" w:rsidP="00971BFB">
            <w:pPr>
              <w:widowControl/>
              <w:autoSpaceDE/>
              <w:autoSpaceDN/>
              <w:adjustRightInd/>
              <w:rPr>
                <w:i/>
                <w:sz w:val="22"/>
                <w:szCs w:val="22"/>
              </w:rPr>
            </w:pPr>
            <w:r w:rsidRPr="00530319">
              <w:rPr>
                <w:i/>
                <w:sz w:val="22"/>
                <w:szCs w:val="22"/>
              </w:rPr>
              <w:t>Issuing OTCs for 1910.38 and 1910.39</w:t>
            </w:r>
          </w:p>
          <w:p w14:paraId="4DF8CBF1" w14:textId="2B4A0201" w:rsidR="00971BFB" w:rsidRPr="00DC7E4E" w:rsidRDefault="00971BFB" w:rsidP="00971BFB">
            <w:pPr>
              <w:widowControl/>
              <w:autoSpaceDE/>
              <w:autoSpaceDN/>
              <w:adjustRightInd/>
              <w:rPr>
                <w:iCs/>
                <w:sz w:val="22"/>
                <w:szCs w:val="22"/>
              </w:rPr>
            </w:pPr>
            <w:r w:rsidRPr="00530319">
              <w:rPr>
                <w:iCs/>
                <w:sz w:val="22"/>
                <w:szCs w:val="22"/>
              </w:rPr>
              <w:t xml:space="preserve">Four of 23 (17%) of closed safety files with OTCs that had issued an OTC for either OSHA standard 1910.38 or 1910.39 lacked evidence to support the orders and incorrectly cited 1910.38 or 1910.39.  OSHA standard 1910.38, Emergency Action Plans (EAP) and 1910.39, Fire Prevention Plans (FPP), requires these plans be developed when required by another OSHA standard.  Per CPL 2-1.037, Compliance Policy for Emergency Action Plans and Fire Prevention Plans, 1910.38 and 1910.39 are not to be cited directly but included as a reference to the specific standard that requires these plans. There was no documentation in these cases noting which OSHA standard required an EAP and/or a FPP be developed to support the OTCs. </w:t>
            </w:r>
          </w:p>
        </w:tc>
        <w:tc>
          <w:tcPr>
            <w:tcW w:w="4538" w:type="dxa"/>
          </w:tcPr>
          <w:p w14:paraId="6FB53AB8" w14:textId="77777777" w:rsidR="00971BFB" w:rsidRPr="00530319" w:rsidRDefault="00971BFB" w:rsidP="00971BFB">
            <w:pPr>
              <w:rPr>
                <w:iCs/>
                <w:sz w:val="22"/>
                <w:szCs w:val="22"/>
              </w:rPr>
            </w:pPr>
            <w:r w:rsidRPr="00530319">
              <w:rPr>
                <w:iCs/>
                <w:sz w:val="22"/>
                <w:szCs w:val="22"/>
              </w:rPr>
              <w:t>During the next comprehensive FAME review, a limited number of case files will be selected randomly and reviewed to determine if these are isolated instances or if this represents a trend that requires further evaluation.</w:t>
            </w:r>
          </w:p>
          <w:p w14:paraId="5CB4BE41" w14:textId="77777777" w:rsidR="00971BFB" w:rsidRPr="00530319" w:rsidRDefault="00971BFB" w:rsidP="00B158D9">
            <w:pPr>
              <w:rPr>
                <w:iCs/>
                <w:sz w:val="22"/>
                <w:szCs w:val="22"/>
              </w:rPr>
            </w:pPr>
          </w:p>
        </w:tc>
        <w:tc>
          <w:tcPr>
            <w:tcW w:w="1133" w:type="dxa"/>
          </w:tcPr>
          <w:p w14:paraId="1CF3BE6C" w14:textId="35048183" w:rsidR="00971BFB" w:rsidRPr="00530319" w:rsidRDefault="00971BFB" w:rsidP="005A414C">
            <w:pPr>
              <w:widowControl/>
              <w:autoSpaceDE/>
              <w:autoSpaceDN/>
              <w:adjustRightInd/>
              <w:rPr>
                <w:iCs/>
                <w:sz w:val="22"/>
                <w:szCs w:val="22"/>
              </w:rPr>
            </w:pPr>
            <w:r w:rsidRPr="00530319">
              <w:rPr>
                <w:iCs/>
                <w:sz w:val="22"/>
                <w:szCs w:val="22"/>
              </w:rPr>
              <w:t>New</w:t>
            </w:r>
          </w:p>
        </w:tc>
      </w:tr>
      <w:tr w:rsidR="00530319" w:rsidRPr="00530319" w14:paraId="760BDF3B" w14:textId="77777777" w:rsidTr="00E12DFB">
        <w:trPr>
          <w:trHeight w:val="397"/>
        </w:trPr>
        <w:tc>
          <w:tcPr>
            <w:tcW w:w="1812" w:type="dxa"/>
          </w:tcPr>
          <w:p w14:paraId="0DF5D8DD" w14:textId="7061B8E9" w:rsidR="00530319" w:rsidRPr="00530319" w:rsidRDefault="00530319" w:rsidP="00B158D9">
            <w:pPr>
              <w:widowControl/>
              <w:autoSpaceDE/>
              <w:autoSpaceDN/>
              <w:adjustRightInd/>
              <w:rPr>
                <w:iCs/>
                <w:sz w:val="22"/>
                <w:szCs w:val="22"/>
              </w:rPr>
            </w:pPr>
            <w:r w:rsidRPr="00530319">
              <w:rPr>
                <w:iCs/>
                <w:sz w:val="22"/>
                <w:szCs w:val="22"/>
              </w:rPr>
              <w:lastRenderedPageBreak/>
              <w:t>FY 2023-OB-07</w:t>
            </w:r>
          </w:p>
        </w:tc>
        <w:tc>
          <w:tcPr>
            <w:tcW w:w="1873" w:type="dxa"/>
          </w:tcPr>
          <w:p w14:paraId="4CC33E9F" w14:textId="77777777" w:rsidR="00530319" w:rsidRPr="00530319" w:rsidRDefault="00530319" w:rsidP="00DE6E65">
            <w:pPr>
              <w:widowControl/>
              <w:autoSpaceDE/>
              <w:autoSpaceDN/>
              <w:adjustRightInd/>
              <w:rPr>
                <w:iCs/>
                <w:sz w:val="22"/>
                <w:szCs w:val="22"/>
              </w:rPr>
            </w:pPr>
            <w:r w:rsidRPr="00530319">
              <w:rPr>
                <w:iCs/>
                <w:sz w:val="22"/>
                <w:szCs w:val="22"/>
              </w:rPr>
              <w:t>FY 2022-OB-04</w:t>
            </w:r>
          </w:p>
          <w:p w14:paraId="2B8D4591" w14:textId="677E1AF3" w:rsidR="00530319" w:rsidRPr="00530319" w:rsidRDefault="00530319" w:rsidP="00DE6E65">
            <w:pPr>
              <w:widowControl/>
              <w:autoSpaceDE/>
              <w:autoSpaceDN/>
              <w:adjustRightInd/>
              <w:rPr>
                <w:iCs/>
                <w:sz w:val="22"/>
                <w:szCs w:val="22"/>
              </w:rPr>
            </w:pPr>
            <w:r w:rsidRPr="00530319">
              <w:rPr>
                <w:iCs/>
                <w:sz w:val="22"/>
                <w:szCs w:val="22"/>
              </w:rPr>
              <w:t>FY 2021-OB-06</w:t>
            </w:r>
          </w:p>
        </w:tc>
        <w:tc>
          <w:tcPr>
            <w:tcW w:w="4612" w:type="dxa"/>
          </w:tcPr>
          <w:p w14:paraId="069FB851" w14:textId="77777777" w:rsidR="00530319" w:rsidRPr="00530319" w:rsidRDefault="00530319" w:rsidP="00530319">
            <w:pPr>
              <w:rPr>
                <w:i/>
                <w:sz w:val="22"/>
                <w:szCs w:val="22"/>
              </w:rPr>
            </w:pPr>
            <w:r w:rsidRPr="00530319">
              <w:rPr>
                <w:i/>
                <w:sz w:val="22"/>
                <w:szCs w:val="22"/>
              </w:rPr>
              <w:t xml:space="preserve">Case File Documentation </w:t>
            </w:r>
          </w:p>
          <w:p w14:paraId="49AB83F4" w14:textId="63CC996D" w:rsidR="00530319" w:rsidRPr="00530319" w:rsidRDefault="00530319" w:rsidP="00530319">
            <w:pPr>
              <w:rPr>
                <w:iCs/>
                <w:sz w:val="22"/>
                <w:szCs w:val="22"/>
              </w:rPr>
            </w:pPr>
            <w:r w:rsidRPr="00530319">
              <w:rPr>
                <w:iCs/>
                <w:sz w:val="22"/>
                <w:szCs w:val="22"/>
              </w:rPr>
              <w:t xml:space="preserve">In 18 of the 48 (38%) safety inspection case files reviewed, diary sheets were incomplete. </w:t>
            </w:r>
          </w:p>
          <w:p w14:paraId="65B296C1" w14:textId="77777777" w:rsidR="00530319" w:rsidRPr="00530319" w:rsidRDefault="00530319" w:rsidP="00971BFB">
            <w:pPr>
              <w:widowControl/>
              <w:autoSpaceDE/>
              <w:autoSpaceDN/>
              <w:adjustRightInd/>
              <w:rPr>
                <w:i/>
                <w:sz w:val="22"/>
                <w:szCs w:val="22"/>
              </w:rPr>
            </w:pPr>
          </w:p>
        </w:tc>
        <w:tc>
          <w:tcPr>
            <w:tcW w:w="4538" w:type="dxa"/>
          </w:tcPr>
          <w:p w14:paraId="0F4E441B" w14:textId="45AB24F6" w:rsidR="00530319" w:rsidRPr="00530319" w:rsidRDefault="00530319" w:rsidP="00971BFB">
            <w:pPr>
              <w:rPr>
                <w:iCs/>
                <w:sz w:val="22"/>
                <w:szCs w:val="22"/>
              </w:rPr>
            </w:pPr>
            <w:r w:rsidRPr="00530319">
              <w:rPr>
                <w:iCs/>
                <w:sz w:val="22"/>
                <w:szCs w:val="22"/>
              </w:rPr>
              <w:t>During the next comprehensive FAME review, a limited number of case files will be selected randomly and reviewed to determine if these are isolated instances or if this represents a trend that requires further evaluation.</w:t>
            </w:r>
          </w:p>
        </w:tc>
        <w:tc>
          <w:tcPr>
            <w:tcW w:w="1133" w:type="dxa"/>
          </w:tcPr>
          <w:p w14:paraId="4897790E" w14:textId="4FC90E0B" w:rsidR="00530319" w:rsidRPr="00530319" w:rsidRDefault="00530319" w:rsidP="005A414C">
            <w:pPr>
              <w:widowControl/>
              <w:autoSpaceDE/>
              <w:autoSpaceDN/>
              <w:adjustRightInd/>
              <w:rPr>
                <w:iCs/>
                <w:sz w:val="22"/>
                <w:szCs w:val="22"/>
              </w:rPr>
            </w:pPr>
            <w:r w:rsidRPr="00530319">
              <w:rPr>
                <w:iCs/>
                <w:sz w:val="22"/>
                <w:szCs w:val="22"/>
              </w:rPr>
              <w:t>Continued</w:t>
            </w:r>
          </w:p>
        </w:tc>
      </w:tr>
      <w:tr w:rsidR="00530319" w:rsidRPr="00530319" w14:paraId="71D11031" w14:textId="77777777" w:rsidTr="00E12DFB">
        <w:trPr>
          <w:trHeight w:val="397"/>
        </w:trPr>
        <w:tc>
          <w:tcPr>
            <w:tcW w:w="1812" w:type="dxa"/>
          </w:tcPr>
          <w:p w14:paraId="274266A0" w14:textId="00575523" w:rsidR="00530319" w:rsidRPr="00530319" w:rsidRDefault="00530319" w:rsidP="00B158D9">
            <w:pPr>
              <w:widowControl/>
              <w:autoSpaceDE/>
              <w:autoSpaceDN/>
              <w:adjustRightInd/>
              <w:rPr>
                <w:iCs/>
                <w:sz w:val="22"/>
                <w:szCs w:val="22"/>
              </w:rPr>
            </w:pPr>
            <w:r w:rsidRPr="00530319">
              <w:rPr>
                <w:iCs/>
                <w:sz w:val="22"/>
                <w:szCs w:val="22"/>
              </w:rPr>
              <w:t>FY 2023-OB-08</w:t>
            </w:r>
          </w:p>
        </w:tc>
        <w:tc>
          <w:tcPr>
            <w:tcW w:w="1873" w:type="dxa"/>
          </w:tcPr>
          <w:p w14:paraId="3967C006" w14:textId="77777777" w:rsidR="00530319" w:rsidRPr="00530319" w:rsidRDefault="00530319" w:rsidP="00DE6E65">
            <w:pPr>
              <w:widowControl/>
              <w:autoSpaceDE/>
              <w:autoSpaceDN/>
              <w:adjustRightInd/>
              <w:rPr>
                <w:iCs/>
                <w:sz w:val="22"/>
                <w:szCs w:val="22"/>
              </w:rPr>
            </w:pPr>
          </w:p>
        </w:tc>
        <w:tc>
          <w:tcPr>
            <w:tcW w:w="4612" w:type="dxa"/>
          </w:tcPr>
          <w:p w14:paraId="646A1A12" w14:textId="77777777" w:rsidR="00530319" w:rsidRPr="00530319" w:rsidRDefault="00530319" w:rsidP="00530319">
            <w:pPr>
              <w:rPr>
                <w:i/>
                <w:sz w:val="22"/>
                <w:szCs w:val="22"/>
              </w:rPr>
            </w:pPr>
            <w:r w:rsidRPr="00530319">
              <w:rPr>
                <w:i/>
                <w:sz w:val="22"/>
                <w:szCs w:val="22"/>
              </w:rPr>
              <w:t>Pending Requests</w:t>
            </w:r>
          </w:p>
          <w:p w14:paraId="5C3E6CFC" w14:textId="796AA4F7" w:rsidR="00530319" w:rsidRPr="00530319" w:rsidRDefault="00530319" w:rsidP="00530319">
            <w:pPr>
              <w:rPr>
                <w:iCs/>
                <w:sz w:val="22"/>
                <w:szCs w:val="22"/>
              </w:rPr>
            </w:pPr>
            <w:r w:rsidRPr="00530319">
              <w:rPr>
                <w:iCs/>
                <w:sz w:val="22"/>
                <w:szCs w:val="22"/>
              </w:rPr>
              <w:t>There are 120 requests for consultation visits pending per OIS reports</w:t>
            </w:r>
            <w:r w:rsidR="004F19A1">
              <w:rPr>
                <w:iCs/>
                <w:sz w:val="22"/>
                <w:szCs w:val="22"/>
              </w:rPr>
              <w:t>.</w:t>
            </w:r>
          </w:p>
        </w:tc>
        <w:tc>
          <w:tcPr>
            <w:tcW w:w="4538" w:type="dxa"/>
          </w:tcPr>
          <w:p w14:paraId="61E7F256" w14:textId="47D8B7DC" w:rsidR="00530319" w:rsidRPr="00530319" w:rsidRDefault="00530319" w:rsidP="00971BFB">
            <w:pPr>
              <w:rPr>
                <w:iCs/>
                <w:sz w:val="22"/>
                <w:szCs w:val="22"/>
              </w:rPr>
            </w:pPr>
            <w:r w:rsidRPr="00530319">
              <w:rPr>
                <w:iCs/>
                <w:sz w:val="22"/>
                <w:szCs w:val="22"/>
              </w:rPr>
              <w:t>OSHA will monitor this report quarterly and discuss at quarterly meetings.</w:t>
            </w:r>
          </w:p>
        </w:tc>
        <w:tc>
          <w:tcPr>
            <w:tcW w:w="1133" w:type="dxa"/>
          </w:tcPr>
          <w:p w14:paraId="1A48B193" w14:textId="28CCB35C" w:rsidR="00530319" w:rsidRPr="00530319" w:rsidRDefault="00530319" w:rsidP="005A414C">
            <w:pPr>
              <w:widowControl/>
              <w:autoSpaceDE/>
              <w:autoSpaceDN/>
              <w:adjustRightInd/>
              <w:rPr>
                <w:iCs/>
                <w:sz w:val="22"/>
                <w:szCs w:val="22"/>
              </w:rPr>
            </w:pPr>
            <w:r w:rsidRPr="00530319">
              <w:rPr>
                <w:iCs/>
                <w:sz w:val="22"/>
                <w:szCs w:val="22"/>
              </w:rPr>
              <w:t>New</w:t>
            </w:r>
          </w:p>
        </w:tc>
      </w:tr>
      <w:tr w:rsidR="009D4B67" w:rsidRPr="00530319" w14:paraId="260D936D" w14:textId="77777777" w:rsidTr="00E12DFB">
        <w:trPr>
          <w:trHeight w:val="397"/>
        </w:trPr>
        <w:tc>
          <w:tcPr>
            <w:tcW w:w="1812" w:type="dxa"/>
          </w:tcPr>
          <w:p w14:paraId="474B5840" w14:textId="4F529728" w:rsidR="009D4B67" w:rsidRPr="00530319" w:rsidRDefault="009D4B67" w:rsidP="00B158D9">
            <w:pPr>
              <w:widowControl/>
              <w:autoSpaceDE/>
              <w:autoSpaceDN/>
              <w:adjustRightInd/>
              <w:rPr>
                <w:iCs/>
                <w:sz w:val="22"/>
                <w:szCs w:val="22"/>
              </w:rPr>
            </w:pPr>
            <w:r w:rsidRPr="00530319">
              <w:rPr>
                <w:iCs/>
                <w:sz w:val="22"/>
                <w:szCs w:val="22"/>
              </w:rPr>
              <w:t>FY 2023-OB-</w:t>
            </w:r>
            <w:r w:rsidR="00530319" w:rsidRPr="00530319">
              <w:rPr>
                <w:iCs/>
                <w:sz w:val="22"/>
                <w:szCs w:val="22"/>
              </w:rPr>
              <w:t>09</w:t>
            </w:r>
          </w:p>
          <w:p w14:paraId="2830DF3A" w14:textId="77DB6142" w:rsidR="009D4B67" w:rsidRPr="00530319" w:rsidRDefault="009D4B67" w:rsidP="008D2CFC">
            <w:pPr>
              <w:widowControl/>
              <w:autoSpaceDE/>
              <w:autoSpaceDN/>
              <w:adjustRightInd/>
              <w:jc w:val="center"/>
              <w:rPr>
                <w:iCs/>
                <w:sz w:val="22"/>
                <w:szCs w:val="22"/>
              </w:rPr>
            </w:pPr>
          </w:p>
        </w:tc>
        <w:tc>
          <w:tcPr>
            <w:tcW w:w="1873" w:type="dxa"/>
          </w:tcPr>
          <w:p w14:paraId="77A34EC8" w14:textId="77777777" w:rsidR="009D4B67" w:rsidRPr="00530319" w:rsidRDefault="005A414C" w:rsidP="00DE6E65">
            <w:pPr>
              <w:widowControl/>
              <w:autoSpaceDE/>
              <w:autoSpaceDN/>
              <w:adjustRightInd/>
              <w:rPr>
                <w:iCs/>
                <w:sz w:val="22"/>
                <w:szCs w:val="22"/>
              </w:rPr>
            </w:pPr>
            <w:r w:rsidRPr="00530319">
              <w:rPr>
                <w:iCs/>
                <w:sz w:val="22"/>
                <w:szCs w:val="22"/>
              </w:rPr>
              <w:t>FY 2022-OB-01</w:t>
            </w:r>
          </w:p>
          <w:p w14:paraId="75F08AC2" w14:textId="082DC3DA" w:rsidR="005A414C" w:rsidRPr="00530319" w:rsidRDefault="005A414C" w:rsidP="00DE6E65">
            <w:pPr>
              <w:widowControl/>
              <w:autoSpaceDE/>
              <w:autoSpaceDN/>
              <w:adjustRightInd/>
              <w:rPr>
                <w:iCs/>
                <w:sz w:val="22"/>
                <w:szCs w:val="22"/>
              </w:rPr>
            </w:pPr>
            <w:r w:rsidRPr="00530319">
              <w:rPr>
                <w:iCs/>
                <w:sz w:val="22"/>
                <w:szCs w:val="22"/>
              </w:rPr>
              <w:t>FY 2021-OB-02</w:t>
            </w:r>
          </w:p>
        </w:tc>
        <w:tc>
          <w:tcPr>
            <w:tcW w:w="4612" w:type="dxa"/>
          </w:tcPr>
          <w:p w14:paraId="2BB14F83" w14:textId="77777777" w:rsidR="00530319" w:rsidRPr="00530319" w:rsidRDefault="00530319" w:rsidP="00530319">
            <w:pPr>
              <w:widowControl/>
              <w:autoSpaceDE/>
              <w:autoSpaceDN/>
              <w:adjustRightInd/>
              <w:rPr>
                <w:i/>
                <w:sz w:val="22"/>
                <w:szCs w:val="22"/>
              </w:rPr>
            </w:pPr>
            <w:r w:rsidRPr="00530319">
              <w:rPr>
                <w:i/>
                <w:sz w:val="22"/>
                <w:szCs w:val="22"/>
              </w:rPr>
              <w:t>OIS Uncorrected Hazards Report</w:t>
            </w:r>
          </w:p>
          <w:p w14:paraId="28083AC0" w14:textId="3767B269" w:rsidR="00B03FB4" w:rsidRPr="00530319" w:rsidRDefault="00530319" w:rsidP="00530319">
            <w:pPr>
              <w:widowControl/>
              <w:autoSpaceDE/>
              <w:autoSpaceDN/>
              <w:adjustRightInd/>
              <w:rPr>
                <w:iCs/>
                <w:sz w:val="22"/>
                <w:szCs w:val="22"/>
              </w:rPr>
            </w:pPr>
            <w:r w:rsidRPr="00530319">
              <w:rPr>
                <w:iCs/>
                <w:sz w:val="22"/>
                <w:szCs w:val="22"/>
              </w:rPr>
              <w:t>The OIS Uncorrected Hazards Report</w:t>
            </w:r>
            <w:r w:rsidR="00886981">
              <w:rPr>
                <w:iCs/>
                <w:sz w:val="22"/>
                <w:szCs w:val="22"/>
              </w:rPr>
              <w:t>,</w:t>
            </w:r>
            <w:r w:rsidRPr="00530319">
              <w:rPr>
                <w:iCs/>
                <w:sz w:val="22"/>
                <w:szCs w:val="22"/>
              </w:rPr>
              <w:t xml:space="preserve"> run on February 5, 2024</w:t>
            </w:r>
            <w:r w:rsidR="00886981">
              <w:rPr>
                <w:iCs/>
                <w:sz w:val="22"/>
                <w:szCs w:val="22"/>
              </w:rPr>
              <w:t>,</w:t>
            </w:r>
            <w:r w:rsidRPr="00530319">
              <w:rPr>
                <w:iCs/>
                <w:sz w:val="22"/>
                <w:szCs w:val="22"/>
              </w:rPr>
              <w:t xml:space="preserve"> showed 34 serious hazards that were overdue by more than calendar 14 days</w:t>
            </w:r>
            <w:r w:rsidR="00DF5739">
              <w:rPr>
                <w:iCs/>
                <w:sz w:val="22"/>
                <w:szCs w:val="22"/>
              </w:rPr>
              <w:t xml:space="preserve"> for consultation visits</w:t>
            </w:r>
            <w:r w:rsidRPr="00530319">
              <w:rPr>
                <w:iCs/>
                <w:sz w:val="22"/>
                <w:szCs w:val="22"/>
              </w:rPr>
              <w:t>.  The overdue hazards ranged from 17-70 calendar days overdue.</w:t>
            </w:r>
          </w:p>
        </w:tc>
        <w:tc>
          <w:tcPr>
            <w:tcW w:w="4538" w:type="dxa"/>
          </w:tcPr>
          <w:p w14:paraId="5EC29E68" w14:textId="6834026F" w:rsidR="009D4B67" w:rsidRPr="00530319" w:rsidRDefault="00B03FB4" w:rsidP="00DE6E65">
            <w:pPr>
              <w:widowControl/>
              <w:autoSpaceDE/>
              <w:autoSpaceDN/>
              <w:adjustRightInd/>
              <w:rPr>
                <w:iCs/>
                <w:sz w:val="22"/>
                <w:szCs w:val="22"/>
              </w:rPr>
            </w:pPr>
            <w:r w:rsidRPr="00530319">
              <w:rPr>
                <w:iCs/>
                <w:sz w:val="22"/>
                <w:szCs w:val="22"/>
              </w:rPr>
              <w:t>OSHA will monitor this report quarterly and discuss at quarterly meetings.</w:t>
            </w:r>
          </w:p>
        </w:tc>
        <w:tc>
          <w:tcPr>
            <w:tcW w:w="1133" w:type="dxa"/>
          </w:tcPr>
          <w:p w14:paraId="6B43E0A2" w14:textId="32C82C84" w:rsidR="009D4B67" w:rsidRPr="00530319" w:rsidRDefault="005A414C" w:rsidP="005A414C">
            <w:pPr>
              <w:widowControl/>
              <w:autoSpaceDE/>
              <w:autoSpaceDN/>
              <w:adjustRightInd/>
              <w:rPr>
                <w:iCs/>
                <w:sz w:val="22"/>
                <w:szCs w:val="22"/>
              </w:rPr>
            </w:pPr>
            <w:r w:rsidRPr="00530319">
              <w:rPr>
                <w:iCs/>
                <w:sz w:val="22"/>
                <w:szCs w:val="22"/>
              </w:rPr>
              <w:t>Continued</w:t>
            </w:r>
          </w:p>
        </w:tc>
      </w:tr>
      <w:bookmarkEnd w:id="17"/>
      <w:tr w:rsidR="008D2CFC" w:rsidRPr="00530319" w14:paraId="6CF70DE1" w14:textId="77777777" w:rsidTr="00E12DFB">
        <w:trPr>
          <w:trHeight w:val="397"/>
        </w:trPr>
        <w:tc>
          <w:tcPr>
            <w:tcW w:w="1812" w:type="dxa"/>
          </w:tcPr>
          <w:p w14:paraId="3143E403" w14:textId="77777777" w:rsidR="008D2CFC" w:rsidRPr="00530319" w:rsidRDefault="008D2CFC" w:rsidP="008D2CFC">
            <w:pPr>
              <w:widowControl/>
              <w:autoSpaceDE/>
              <w:autoSpaceDN/>
              <w:adjustRightInd/>
              <w:jc w:val="center"/>
              <w:rPr>
                <w:i/>
                <w:sz w:val="22"/>
                <w:szCs w:val="22"/>
              </w:rPr>
            </w:pPr>
          </w:p>
        </w:tc>
        <w:tc>
          <w:tcPr>
            <w:tcW w:w="1873" w:type="dxa"/>
          </w:tcPr>
          <w:p w14:paraId="225339C6" w14:textId="77777777" w:rsidR="008D2CFC" w:rsidRPr="00530319" w:rsidRDefault="00DE6E65" w:rsidP="00DE6E65">
            <w:pPr>
              <w:widowControl/>
              <w:autoSpaceDE/>
              <w:autoSpaceDN/>
              <w:adjustRightInd/>
              <w:rPr>
                <w:iCs/>
                <w:sz w:val="22"/>
                <w:szCs w:val="22"/>
              </w:rPr>
            </w:pPr>
            <w:r w:rsidRPr="00530319">
              <w:rPr>
                <w:iCs/>
                <w:sz w:val="22"/>
                <w:szCs w:val="22"/>
              </w:rPr>
              <w:t>FY 2022-OB-02</w:t>
            </w:r>
          </w:p>
          <w:p w14:paraId="50A76AE0" w14:textId="1F0AD526" w:rsidR="00DE6E65" w:rsidRPr="00530319" w:rsidRDefault="00DE6E65" w:rsidP="00DE6E65">
            <w:pPr>
              <w:widowControl/>
              <w:autoSpaceDE/>
              <w:autoSpaceDN/>
              <w:adjustRightInd/>
              <w:rPr>
                <w:iCs/>
                <w:sz w:val="22"/>
                <w:szCs w:val="22"/>
              </w:rPr>
            </w:pPr>
            <w:r w:rsidRPr="00530319">
              <w:rPr>
                <w:iCs/>
                <w:sz w:val="22"/>
                <w:szCs w:val="22"/>
              </w:rPr>
              <w:t>FY 2021-OB-03</w:t>
            </w:r>
          </w:p>
        </w:tc>
        <w:tc>
          <w:tcPr>
            <w:tcW w:w="4612" w:type="dxa"/>
          </w:tcPr>
          <w:p w14:paraId="58047E29" w14:textId="66A6EA13" w:rsidR="00DE6E65" w:rsidRPr="00530319" w:rsidRDefault="00DE6E65" w:rsidP="00DE6E65">
            <w:pPr>
              <w:widowControl/>
              <w:autoSpaceDE/>
              <w:autoSpaceDN/>
              <w:adjustRightInd/>
              <w:rPr>
                <w:i/>
                <w:sz w:val="22"/>
                <w:szCs w:val="22"/>
              </w:rPr>
            </w:pPr>
            <w:r w:rsidRPr="00530319">
              <w:rPr>
                <w:i/>
                <w:sz w:val="22"/>
                <w:szCs w:val="22"/>
              </w:rPr>
              <w:t xml:space="preserve">Responding to Fatalities  </w:t>
            </w:r>
          </w:p>
          <w:p w14:paraId="41BBF635" w14:textId="3F68C662" w:rsidR="008D2CFC" w:rsidRPr="00530319" w:rsidRDefault="00DE6E65" w:rsidP="00DE6E65">
            <w:pPr>
              <w:widowControl/>
              <w:autoSpaceDE/>
              <w:autoSpaceDN/>
              <w:adjustRightInd/>
              <w:rPr>
                <w:iCs/>
                <w:sz w:val="22"/>
                <w:szCs w:val="22"/>
              </w:rPr>
            </w:pPr>
            <w:r w:rsidRPr="00530319">
              <w:rPr>
                <w:iCs/>
                <w:sz w:val="22"/>
                <w:szCs w:val="22"/>
              </w:rPr>
              <w:t>SAMM measure #10 showed that PEOSH responded approximately 55% of the time within one workday of a fatality notification. The SAMM showed that PEOSH responded to six of the 11 reported fatalities within one day. The FRL is 100%.</w:t>
            </w:r>
          </w:p>
        </w:tc>
        <w:tc>
          <w:tcPr>
            <w:tcW w:w="4538" w:type="dxa"/>
          </w:tcPr>
          <w:p w14:paraId="708E0AEF" w14:textId="77777777" w:rsidR="008D2CFC" w:rsidRPr="00530319" w:rsidRDefault="008D2CFC" w:rsidP="00DE6E65">
            <w:pPr>
              <w:widowControl/>
              <w:autoSpaceDE/>
              <w:autoSpaceDN/>
              <w:adjustRightInd/>
              <w:rPr>
                <w:i/>
                <w:sz w:val="22"/>
                <w:szCs w:val="22"/>
              </w:rPr>
            </w:pPr>
          </w:p>
        </w:tc>
        <w:tc>
          <w:tcPr>
            <w:tcW w:w="1133" w:type="dxa"/>
          </w:tcPr>
          <w:p w14:paraId="14466E02" w14:textId="7E9D0B39" w:rsidR="008D2CFC" w:rsidRPr="00530319" w:rsidRDefault="00DE6E65" w:rsidP="009D4B67">
            <w:pPr>
              <w:widowControl/>
              <w:autoSpaceDE/>
              <w:autoSpaceDN/>
              <w:adjustRightInd/>
              <w:rPr>
                <w:iCs/>
                <w:sz w:val="22"/>
                <w:szCs w:val="22"/>
              </w:rPr>
            </w:pPr>
            <w:r w:rsidRPr="00530319">
              <w:rPr>
                <w:iCs/>
                <w:sz w:val="22"/>
                <w:szCs w:val="22"/>
              </w:rPr>
              <w:t>Closed</w:t>
            </w:r>
          </w:p>
        </w:tc>
      </w:tr>
      <w:tr w:rsidR="00B14163" w:rsidRPr="00530319" w14:paraId="1FF6052D" w14:textId="77777777" w:rsidTr="00E12DFB">
        <w:trPr>
          <w:trHeight w:val="397"/>
        </w:trPr>
        <w:tc>
          <w:tcPr>
            <w:tcW w:w="1812" w:type="dxa"/>
          </w:tcPr>
          <w:p w14:paraId="73C2A960" w14:textId="77777777" w:rsidR="00B14163" w:rsidRPr="00530319" w:rsidRDefault="00B14163" w:rsidP="008D2CFC">
            <w:pPr>
              <w:widowControl/>
              <w:autoSpaceDE/>
              <w:autoSpaceDN/>
              <w:adjustRightInd/>
              <w:rPr>
                <w:i/>
                <w:sz w:val="22"/>
                <w:szCs w:val="22"/>
              </w:rPr>
            </w:pPr>
          </w:p>
        </w:tc>
        <w:tc>
          <w:tcPr>
            <w:tcW w:w="1873" w:type="dxa"/>
          </w:tcPr>
          <w:p w14:paraId="79811F56" w14:textId="77777777" w:rsidR="00B14163" w:rsidRPr="00530319" w:rsidRDefault="00B14163" w:rsidP="009D4B67">
            <w:pPr>
              <w:widowControl/>
              <w:autoSpaceDE/>
              <w:autoSpaceDN/>
              <w:adjustRightInd/>
              <w:rPr>
                <w:iCs/>
                <w:sz w:val="22"/>
                <w:szCs w:val="22"/>
              </w:rPr>
            </w:pPr>
            <w:r w:rsidRPr="00530319">
              <w:rPr>
                <w:iCs/>
                <w:sz w:val="22"/>
                <w:szCs w:val="22"/>
              </w:rPr>
              <w:t>FY 2022-OB-05</w:t>
            </w:r>
          </w:p>
          <w:p w14:paraId="215881D4" w14:textId="77777777" w:rsidR="00B14163" w:rsidRPr="00530319" w:rsidRDefault="00B14163" w:rsidP="009D4B67">
            <w:pPr>
              <w:widowControl/>
              <w:autoSpaceDE/>
              <w:autoSpaceDN/>
              <w:adjustRightInd/>
              <w:rPr>
                <w:iCs/>
                <w:sz w:val="22"/>
                <w:szCs w:val="22"/>
              </w:rPr>
            </w:pPr>
            <w:r w:rsidRPr="00530319">
              <w:rPr>
                <w:iCs/>
                <w:sz w:val="22"/>
                <w:szCs w:val="22"/>
              </w:rPr>
              <w:t>FY 2021-OB-07</w:t>
            </w:r>
          </w:p>
          <w:p w14:paraId="69A67FA0" w14:textId="77777777" w:rsidR="00B14163" w:rsidRPr="00530319" w:rsidRDefault="00B14163" w:rsidP="009D4B67">
            <w:pPr>
              <w:widowControl/>
              <w:autoSpaceDE/>
              <w:autoSpaceDN/>
              <w:adjustRightInd/>
              <w:rPr>
                <w:iCs/>
                <w:sz w:val="22"/>
                <w:szCs w:val="22"/>
              </w:rPr>
            </w:pPr>
            <w:r w:rsidRPr="00530319">
              <w:rPr>
                <w:iCs/>
                <w:sz w:val="22"/>
                <w:szCs w:val="22"/>
              </w:rPr>
              <w:t>FY 2020-OB-03</w:t>
            </w:r>
          </w:p>
          <w:p w14:paraId="487277EA" w14:textId="77777777" w:rsidR="00B14163" w:rsidRPr="00530319" w:rsidRDefault="00B14163" w:rsidP="009D4B67">
            <w:pPr>
              <w:widowControl/>
              <w:autoSpaceDE/>
              <w:autoSpaceDN/>
              <w:adjustRightInd/>
              <w:rPr>
                <w:iCs/>
                <w:sz w:val="22"/>
                <w:szCs w:val="22"/>
              </w:rPr>
            </w:pPr>
            <w:r w:rsidRPr="00530319">
              <w:rPr>
                <w:iCs/>
                <w:sz w:val="22"/>
                <w:szCs w:val="22"/>
              </w:rPr>
              <w:t>FY 2019-OB-04</w:t>
            </w:r>
          </w:p>
          <w:p w14:paraId="0DE8B3ED" w14:textId="6736A381" w:rsidR="00B14163" w:rsidRPr="00530319" w:rsidRDefault="00B14163" w:rsidP="009D4B67">
            <w:pPr>
              <w:widowControl/>
              <w:autoSpaceDE/>
              <w:autoSpaceDN/>
              <w:adjustRightInd/>
              <w:rPr>
                <w:iCs/>
                <w:sz w:val="22"/>
                <w:szCs w:val="22"/>
              </w:rPr>
            </w:pPr>
            <w:r w:rsidRPr="00530319">
              <w:rPr>
                <w:iCs/>
                <w:sz w:val="22"/>
                <w:szCs w:val="22"/>
              </w:rPr>
              <w:t>FY 2018-OB-05</w:t>
            </w:r>
          </w:p>
        </w:tc>
        <w:tc>
          <w:tcPr>
            <w:tcW w:w="4612" w:type="dxa"/>
          </w:tcPr>
          <w:p w14:paraId="09BFA6D7" w14:textId="77777777" w:rsidR="00AB3369" w:rsidRPr="00530319" w:rsidRDefault="00AB3369" w:rsidP="00AB3369">
            <w:pPr>
              <w:widowControl/>
              <w:autoSpaceDE/>
              <w:autoSpaceDN/>
              <w:adjustRightInd/>
              <w:rPr>
                <w:i/>
                <w:sz w:val="22"/>
                <w:szCs w:val="22"/>
              </w:rPr>
            </w:pPr>
            <w:r w:rsidRPr="00530319">
              <w:rPr>
                <w:i/>
                <w:sz w:val="22"/>
                <w:szCs w:val="22"/>
              </w:rPr>
              <w:t>Consultation Reports</w:t>
            </w:r>
          </w:p>
          <w:p w14:paraId="334B3BE1" w14:textId="2A0551EA" w:rsidR="00B14163" w:rsidRPr="00530319" w:rsidRDefault="00AB3369" w:rsidP="00AB3369">
            <w:pPr>
              <w:widowControl/>
              <w:autoSpaceDE/>
              <w:autoSpaceDN/>
              <w:adjustRightInd/>
              <w:rPr>
                <w:i/>
                <w:sz w:val="22"/>
                <w:szCs w:val="22"/>
              </w:rPr>
            </w:pPr>
            <w:r w:rsidRPr="00530319">
              <w:rPr>
                <w:iCs/>
                <w:sz w:val="22"/>
                <w:szCs w:val="22"/>
              </w:rPr>
              <w:t xml:space="preserve">There were delays in issuing consultation reports. In three of the </w:t>
            </w:r>
            <w:r w:rsidR="0041281B">
              <w:rPr>
                <w:iCs/>
                <w:sz w:val="22"/>
                <w:szCs w:val="22"/>
              </w:rPr>
              <w:t>10</w:t>
            </w:r>
            <w:r w:rsidRPr="00530319">
              <w:rPr>
                <w:iCs/>
                <w:sz w:val="22"/>
                <w:szCs w:val="22"/>
              </w:rPr>
              <w:t xml:space="preserve"> (30%) consultation files reviewed, reports were not issued to the employer within 20 working days of the closing conference. Additionally, there were several versions of the cover letter that accompanied the employer’s report that were being used. One of these versions stated that the following, “the letter needs to be posted until all hazards are abated.” The letter needs to be revised to state that the letter needs to be posted for at least three </w:t>
            </w:r>
            <w:r w:rsidRPr="00530319">
              <w:rPr>
                <w:iCs/>
                <w:sz w:val="22"/>
                <w:szCs w:val="22"/>
              </w:rPr>
              <w:lastRenderedPageBreak/>
              <w:t>days or until all the hazards are corrected, whichever is longer.</w:t>
            </w:r>
          </w:p>
        </w:tc>
        <w:tc>
          <w:tcPr>
            <w:tcW w:w="4538" w:type="dxa"/>
          </w:tcPr>
          <w:p w14:paraId="6844E3BA" w14:textId="77777777" w:rsidR="00B14163" w:rsidRPr="00530319" w:rsidRDefault="00B14163" w:rsidP="008D2CFC">
            <w:pPr>
              <w:widowControl/>
              <w:autoSpaceDE/>
              <w:autoSpaceDN/>
              <w:adjustRightInd/>
              <w:rPr>
                <w:i/>
                <w:sz w:val="22"/>
                <w:szCs w:val="22"/>
              </w:rPr>
            </w:pPr>
          </w:p>
        </w:tc>
        <w:tc>
          <w:tcPr>
            <w:tcW w:w="1133" w:type="dxa"/>
          </w:tcPr>
          <w:p w14:paraId="35E1513B" w14:textId="66B23CC5" w:rsidR="00B14163" w:rsidRPr="00530319" w:rsidRDefault="00B14163" w:rsidP="009D4B67">
            <w:pPr>
              <w:widowControl/>
              <w:autoSpaceDE/>
              <w:autoSpaceDN/>
              <w:adjustRightInd/>
              <w:rPr>
                <w:iCs/>
                <w:sz w:val="22"/>
                <w:szCs w:val="22"/>
              </w:rPr>
            </w:pPr>
            <w:r w:rsidRPr="00530319">
              <w:rPr>
                <w:iCs/>
                <w:sz w:val="22"/>
                <w:szCs w:val="22"/>
              </w:rPr>
              <w:t>Closed</w:t>
            </w:r>
          </w:p>
        </w:tc>
      </w:tr>
      <w:tr w:rsidR="00BE21A1" w:rsidRPr="00530319" w14:paraId="618D051D" w14:textId="77777777" w:rsidTr="00E12DFB">
        <w:trPr>
          <w:trHeight w:val="397"/>
        </w:trPr>
        <w:tc>
          <w:tcPr>
            <w:tcW w:w="1812" w:type="dxa"/>
          </w:tcPr>
          <w:p w14:paraId="0CBCD0DB" w14:textId="77777777" w:rsidR="00BE21A1" w:rsidRPr="00530319" w:rsidRDefault="00BE21A1" w:rsidP="008D2CFC">
            <w:pPr>
              <w:widowControl/>
              <w:autoSpaceDE/>
              <w:autoSpaceDN/>
              <w:adjustRightInd/>
              <w:rPr>
                <w:i/>
                <w:sz w:val="22"/>
                <w:szCs w:val="22"/>
              </w:rPr>
            </w:pPr>
          </w:p>
        </w:tc>
        <w:tc>
          <w:tcPr>
            <w:tcW w:w="1873" w:type="dxa"/>
          </w:tcPr>
          <w:p w14:paraId="42A50945" w14:textId="27B95290" w:rsidR="00BE21A1" w:rsidRPr="00530319" w:rsidRDefault="00BE21A1" w:rsidP="009D4B67">
            <w:pPr>
              <w:widowControl/>
              <w:autoSpaceDE/>
              <w:autoSpaceDN/>
              <w:adjustRightInd/>
              <w:rPr>
                <w:iCs/>
                <w:sz w:val="22"/>
                <w:szCs w:val="22"/>
              </w:rPr>
            </w:pPr>
            <w:r w:rsidRPr="00530319">
              <w:rPr>
                <w:iCs/>
                <w:sz w:val="22"/>
                <w:szCs w:val="22"/>
              </w:rPr>
              <w:t>FY 2022-OB-06</w:t>
            </w:r>
          </w:p>
        </w:tc>
        <w:tc>
          <w:tcPr>
            <w:tcW w:w="4612" w:type="dxa"/>
          </w:tcPr>
          <w:p w14:paraId="11B2677C" w14:textId="2848E799" w:rsidR="00BE21A1" w:rsidRPr="00530319" w:rsidRDefault="00BE21A1" w:rsidP="00BE21A1">
            <w:pPr>
              <w:widowControl/>
              <w:autoSpaceDE/>
              <w:autoSpaceDN/>
              <w:adjustRightInd/>
              <w:rPr>
                <w:iCs/>
                <w:sz w:val="22"/>
                <w:szCs w:val="22"/>
              </w:rPr>
            </w:pPr>
            <w:r w:rsidRPr="00530319">
              <w:rPr>
                <w:i/>
                <w:sz w:val="22"/>
                <w:szCs w:val="22"/>
              </w:rPr>
              <w:t xml:space="preserve">Percent of Initial Inspections with Worker Walkaround Representation or Worker Interview </w:t>
            </w:r>
          </w:p>
          <w:p w14:paraId="5061803F" w14:textId="10412F82" w:rsidR="00BE21A1" w:rsidRPr="00530319" w:rsidRDefault="00BE21A1" w:rsidP="00BE21A1">
            <w:pPr>
              <w:widowControl/>
              <w:autoSpaceDE/>
              <w:autoSpaceDN/>
              <w:adjustRightInd/>
              <w:rPr>
                <w:iCs/>
                <w:sz w:val="22"/>
                <w:szCs w:val="22"/>
              </w:rPr>
            </w:pPr>
            <w:r w:rsidRPr="00530319">
              <w:rPr>
                <w:iCs/>
                <w:sz w:val="22"/>
                <w:szCs w:val="22"/>
              </w:rPr>
              <w:t>In 2022, the percent of initial inspections with worker participation (SAMM #13) was calculated at 98.42% which was below the FRL of 100%.</w:t>
            </w:r>
          </w:p>
        </w:tc>
        <w:tc>
          <w:tcPr>
            <w:tcW w:w="4538" w:type="dxa"/>
          </w:tcPr>
          <w:p w14:paraId="4781C51B" w14:textId="77777777" w:rsidR="00BE21A1" w:rsidRPr="00530319" w:rsidRDefault="00BE21A1" w:rsidP="008D2CFC">
            <w:pPr>
              <w:widowControl/>
              <w:autoSpaceDE/>
              <w:autoSpaceDN/>
              <w:adjustRightInd/>
              <w:rPr>
                <w:i/>
                <w:sz w:val="22"/>
                <w:szCs w:val="22"/>
              </w:rPr>
            </w:pPr>
          </w:p>
        </w:tc>
        <w:tc>
          <w:tcPr>
            <w:tcW w:w="1133" w:type="dxa"/>
          </w:tcPr>
          <w:p w14:paraId="58737CF1" w14:textId="4DD9DAE6" w:rsidR="00BE21A1" w:rsidRPr="00530319" w:rsidRDefault="00BE21A1" w:rsidP="009D4B67">
            <w:pPr>
              <w:widowControl/>
              <w:autoSpaceDE/>
              <w:autoSpaceDN/>
              <w:adjustRightInd/>
              <w:rPr>
                <w:iCs/>
                <w:sz w:val="22"/>
                <w:szCs w:val="22"/>
              </w:rPr>
            </w:pPr>
            <w:r w:rsidRPr="00530319">
              <w:rPr>
                <w:iCs/>
                <w:sz w:val="22"/>
                <w:szCs w:val="22"/>
              </w:rPr>
              <w:t>Closed</w:t>
            </w:r>
          </w:p>
        </w:tc>
      </w:tr>
    </w:tbl>
    <w:p w14:paraId="2D8F2C25" w14:textId="77777777" w:rsidR="0052265F" w:rsidRPr="00530319" w:rsidRDefault="0052265F" w:rsidP="007A71AC">
      <w:pPr>
        <w:widowControl/>
        <w:autoSpaceDE/>
        <w:autoSpaceDN/>
        <w:adjustRightInd/>
        <w:rPr>
          <w:i/>
          <w:sz w:val="22"/>
          <w:szCs w:val="22"/>
        </w:rPr>
      </w:pPr>
      <w:bookmarkStart w:id="18" w:name="_Appendix_C_-"/>
      <w:bookmarkEnd w:id="18"/>
    </w:p>
    <w:p w14:paraId="22AE525A" w14:textId="77777777" w:rsidR="00C24FD5" w:rsidRDefault="00C24FD5"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sectPr w:rsidR="00C24FD5" w:rsidSect="003441A2">
          <w:headerReference w:type="default" r:id="rId17"/>
          <w:footerReference w:type="default" r:id="rId18"/>
          <w:headerReference w:type="first" r:id="rId19"/>
          <w:footerReference w:type="first" r:id="rId20"/>
          <w:pgSz w:w="15840" w:h="12240" w:orient="landscape"/>
          <w:pgMar w:top="1440" w:right="1440" w:bottom="1440" w:left="1440" w:header="720" w:footer="720" w:gutter="0"/>
          <w:pgNumType w:start="1"/>
          <w:cols w:space="720"/>
          <w:rtlGutter/>
          <w:docGrid w:linePitch="360"/>
        </w:sectPr>
      </w:pPr>
    </w:p>
    <w:p w14:paraId="569BFD0F" w14:textId="77777777" w:rsidR="008B4A36" w:rsidRDefault="008B4A36"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p>
    <w:tbl>
      <w:tblPr>
        <w:tblStyle w:val="TableGrid"/>
        <w:tblpPr w:leftFromText="180" w:rightFromText="180" w:vertAnchor="page" w:horzAnchor="margin" w:tblpXSpec="center" w:tblpY="1911"/>
        <w:tblW w:w="14058" w:type="dxa"/>
        <w:tblLayout w:type="fixed"/>
        <w:tblLook w:val="00A0" w:firstRow="1" w:lastRow="0" w:firstColumn="1" w:lastColumn="0" w:noHBand="0" w:noVBand="0"/>
        <w:tblCaption w:val="Status of FY 20XX Findings and Recommendations"/>
        <w:tblDescription w:val="Appendix C"/>
      </w:tblPr>
      <w:tblGrid>
        <w:gridCol w:w="1705"/>
        <w:gridCol w:w="1980"/>
        <w:gridCol w:w="2520"/>
        <w:gridCol w:w="3605"/>
        <w:gridCol w:w="1548"/>
        <w:gridCol w:w="2700"/>
      </w:tblGrid>
      <w:tr w:rsidR="00156BBB" w:rsidRPr="00156BBB" w14:paraId="4F5AFB7A" w14:textId="77777777" w:rsidTr="008D7842">
        <w:trPr>
          <w:trHeight w:val="412"/>
          <w:tblHeader/>
        </w:trPr>
        <w:tc>
          <w:tcPr>
            <w:tcW w:w="1705" w:type="dxa"/>
            <w:shd w:val="clear" w:color="auto" w:fill="1F497D" w:themeFill="text2"/>
          </w:tcPr>
          <w:p w14:paraId="3947F9E6" w14:textId="4C2CF82A" w:rsidR="008D2CFC" w:rsidRPr="00156BBB" w:rsidRDefault="008D2CFC" w:rsidP="008D2CFC">
            <w:pPr>
              <w:jc w:val="center"/>
              <w:rPr>
                <w:b/>
                <w:color w:val="FFFFFF" w:themeColor="background1"/>
                <w:sz w:val="22"/>
                <w:szCs w:val="22"/>
              </w:rPr>
            </w:pPr>
            <w:r w:rsidRPr="00156BBB">
              <w:rPr>
                <w:b/>
                <w:color w:val="FFFFFF" w:themeColor="background1"/>
                <w:sz w:val="22"/>
                <w:szCs w:val="22"/>
              </w:rPr>
              <w:t>FY 20</w:t>
            </w:r>
            <w:r w:rsidR="00667DB2">
              <w:rPr>
                <w:b/>
                <w:color w:val="FFFFFF" w:themeColor="background1"/>
                <w:sz w:val="22"/>
                <w:szCs w:val="22"/>
              </w:rPr>
              <w:t>22</w:t>
            </w:r>
            <w:r w:rsidRPr="00156BBB">
              <w:rPr>
                <w:b/>
                <w:color w:val="FFFFFF" w:themeColor="background1"/>
                <w:sz w:val="22"/>
                <w:szCs w:val="22"/>
              </w:rPr>
              <w:t>-#</w:t>
            </w:r>
          </w:p>
        </w:tc>
        <w:tc>
          <w:tcPr>
            <w:tcW w:w="1980" w:type="dxa"/>
            <w:shd w:val="clear" w:color="auto" w:fill="1F497D" w:themeFill="text2"/>
          </w:tcPr>
          <w:p w14:paraId="194AB10B" w14:textId="77777777" w:rsidR="008D2CFC" w:rsidRPr="00156BBB" w:rsidRDefault="008D2CFC" w:rsidP="008D2CFC">
            <w:pPr>
              <w:jc w:val="center"/>
              <w:rPr>
                <w:b/>
                <w:color w:val="FFFFFF" w:themeColor="background1"/>
                <w:sz w:val="22"/>
                <w:szCs w:val="22"/>
              </w:rPr>
            </w:pPr>
            <w:r w:rsidRPr="00156BBB">
              <w:rPr>
                <w:b/>
                <w:color w:val="FFFFFF" w:themeColor="background1"/>
                <w:sz w:val="22"/>
                <w:szCs w:val="22"/>
              </w:rPr>
              <w:t>Finding</w:t>
            </w:r>
          </w:p>
        </w:tc>
        <w:tc>
          <w:tcPr>
            <w:tcW w:w="2520" w:type="dxa"/>
            <w:shd w:val="clear" w:color="auto" w:fill="1F497D" w:themeFill="text2"/>
          </w:tcPr>
          <w:p w14:paraId="6176A738" w14:textId="77777777" w:rsidR="008D2CFC" w:rsidRPr="00156BBB" w:rsidRDefault="008D2CFC" w:rsidP="008D2CFC">
            <w:pPr>
              <w:jc w:val="center"/>
              <w:rPr>
                <w:b/>
                <w:color w:val="FFFFFF" w:themeColor="background1"/>
                <w:sz w:val="22"/>
                <w:szCs w:val="22"/>
              </w:rPr>
            </w:pPr>
            <w:r w:rsidRPr="00156BBB">
              <w:rPr>
                <w:b/>
                <w:color w:val="FFFFFF" w:themeColor="background1"/>
                <w:sz w:val="22"/>
                <w:szCs w:val="22"/>
              </w:rPr>
              <w:t>Recommendation</w:t>
            </w:r>
          </w:p>
        </w:tc>
        <w:tc>
          <w:tcPr>
            <w:tcW w:w="3605" w:type="dxa"/>
            <w:shd w:val="clear" w:color="auto" w:fill="1F497D" w:themeFill="text2"/>
          </w:tcPr>
          <w:p w14:paraId="1FFA0057" w14:textId="77777777" w:rsidR="008D2CFC" w:rsidRPr="00156BBB" w:rsidRDefault="008D2CFC" w:rsidP="00166CCD">
            <w:pPr>
              <w:jc w:val="center"/>
              <w:rPr>
                <w:b/>
                <w:color w:val="FFFFFF" w:themeColor="background1"/>
                <w:sz w:val="22"/>
                <w:szCs w:val="22"/>
              </w:rPr>
            </w:pPr>
            <w:r w:rsidRPr="00156BBB">
              <w:rPr>
                <w:b/>
                <w:color w:val="FFFFFF" w:themeColor="background1"/>
                <w:sz w:val="22"/>
                <w:szCs w:val="22"/>
              </w:rPr>
              <w:t>State Plan Corrective Action</w:t>
            </w:r>
          </w:p>
        </w:tc>
        <w:tc>
          <w:tcPr>
            <w:tcW w:w="1548" w:type="dxa"/>
            <w:shd w:val="clear" w:color="auto" w:fill="1F497D" w:themeFill="text2"/>
          </w:tcPr>
          <w:p w14:paraId="54EBB9C9" w14:textId="77777777" w:rsidR="008D2CFC" w:rsidRPr="00156BBB" w:rsidRDefault="008D2CFC" w:rsidP="008D2CFC">
            <w:pPr>
              <w:jc w:val="center"/>
              <w:rPr>
                <w:b/>
                <w:color w:val="FFFFFF" w:themeColor="background1"/>
                <w:sz w:val="22"/>
                <w:szCs w:val="22"/>
              </w:rPr>
            </w:pPr>
            <w:r w:rsidRPr="00156BBB">
              <w:rPr>
                <w:b/>
                <w:color w:val="FFFFFF" w:themeColor="background1"/>
                <w:sz w:val="22"/>
                <w:szCs w:val="22"/>
              </w:rPr>
              <w:t>Completion Date</w:t>
            </w:r>
            <w:r w:rsidR="00D85D0B" w:rsidRPr="00156BBB">
              <w:rPr>
                <w:b/>
                <w:color w:val="FFFFFF" w:themeColor="background1"/>
                <w:sz w:val="22"/>
                <w:szCs w:val="22"/>
              </w:rPr>
              <w:t xml:space="preserve"> (if Applicable)</w:t>
            </w:r>
          </w:p>
        </w:tc>
        <w:tc>
          <w:tcPr>
            <w:tcW w:w="2700" w:type="dxa"/>
            <w:shd w:val="clear" w:color="auto" w:fill="1F497D" w:themeFill="text2"/>
          </w:tcPr>
          <w:p w14:paraId="724325FD" w14:textId="77777777" w:rsidR="008D2CFC" w:rsidRPr="00156BBB" w:rsidRDefault="008D2CFC" w:rsidP="008D2CFC">
            <w:pPr>
              <w:jc w:val="center"/>
              <w:rPr>
                <w:b/>
                <w:color w:val="FFFFFF" w:themeColor="background1"/>
                <w:sz w:val="22"/>
                <w:szCs w:val="22"/>
              </w:rPr>
            </w:pPr>
            <w:r w:rsidRPr="00156BBB">
              <w:rPr>
                <w:b/>
                <w:color w:val="FFFFFF" w:themeColor="background1"/>
                <w:sz w:val="22"/>
                <w:szCs w:val="22"/>
              </w:rPr>
              <w:t xml:space="preserve">Current Status </w:t>
            </w:r>
          </w:p>
          <w:p w14:paraId="1515502D" w14:textId="77777777" w:rsidR="0043036A" w:rsidRPr="00156BBB" w:rsidRDefault="0043036A" w:rsidP="008D2CFC">
            <w:pPr>
              <w:jc w:val="center"/>
              <w:rPr>
                <w:b/>
                <w:color w:val="FFFFFF" w:themeColor="background1"/>
                <w:sz w:val="22"/>
                <w:szCs w:val="22"/>
              </w:rPr>
            </w:pPr>
            <w:r w:rsidRPr="00156BBB">
              <w:rPr>
                <w:b/>
                <w:color w:val="FFFFFF" w:themeColor="background1"/>
                <w:sz w:val="22"/>
                <w:szCs w:val="22"/>
              </w:rPr>
              <w:t>(</w:t>
            </w:r>
            <w:r w:rsidR="008D2CFC" w:rsidRPr="00156BBB">
              <w:rPr>
                <w:b/>
                <w:color w:val="FFFFFF" w:themeColor="background1"/>
                <w:sz w:val="22"/>
                <w:szCs w:val="22"/>
              </w:rPr>
              <w:t>and Date</w:t>
            </w:r>
            <w:r w:rsidRPr="00156BBB">
              <w:rPr>
                <w:b/>
                <w:color w:val="FFFFFF" w:themeColor="background1"/>
                <w:sz w:val="22"/>
                <w:szCs w:val="22"/>
              </w:rPr>
              <w:t xml:space="preserve"> if Item is </w:t>
            </w:r>
          </w:p>
          <w:p w14:paraId="6DB18C29" w14:textId="77777777" w:rsidR="008D2CFC" w:rsidRPr="00156BBB" w:rsidRDefault="0043036A" w:rsidP="008D2CFC">
            <w:pPr>
              <w:jc w:val="center"/>
              <w:rPr>
                <w:b/>
                <w:color w:val="FFFFFF" w:themeColor="background1"/>
                <w:sz w:val="22"/>
                <w:szCs w:val="22"/>
              </w:rPr>
            </w:pPr>
            <w:r w:rsidRPr="00156BBB">
              <w:rPr>
                <w:b/>
                <w:color w:val="FFFFFF" w:themeColor="background1"/>
                <w:sz w:val="22"/>
                <w:szCs w:val="22"/>
              </w:rPr>
              <w:t>Not Completed)</w:t>
            </w:r>
          </w:p>
        </w:tc>
      </w:tr>
      <w:tr w:rsidR="008D2CFC" w:rsidRPr="00345884" w14:paraId="0EE800F7" w14:textId="77777777" w:rsidTr="008D7842">
        <w:trPr>
          <w:trHeight w:val="412"/>
        </w:trPr>
        <w:tc>
          <w:tcPr>
            <w:tcW w:w="1705" w:type="dxa"/>
          </w:tcPr>
          <w:p w14:paraId="706E5773" w14:textId="4ECBA00B" w:rsidR="008D2CFC" w:rsidRPr="00345884" w:rsidRDefault="00D303A6" w:rsidP="00D303A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bCs/>
                <w:sz w:val="22"/>
                <w:szCs w:val="22"/>
              </w:rPr>
            </w:pPr>
            <w:r w:rsidRPr="00345884">
              <w:rPr>
                <w:rFonts w:eastAsia="PMingLiU"/>
                <w:sz w:val="22"/>
                <w:szCs w:val="22"/>
              </w:rPr>
              <w:t>FY 2022-01</w:t>
            </w:r>
            <w:r w:rsidRPr="00345884">
              <w:rPr>
                <w:rFonts w:eastAsia="PMingLiU"/>
                <w:b/>
                <w:bCs/>
                <w:sz w:val="22"/>
                <w:szCs w:val="22"/>
              </w:rPr>
              <w:t xml:space="preserve"> </w:t>
            </w:r>
            <w:r w:rsidR="008D2CFC" w:rsidRPr="00345884">
              <w:rPr>
                <w:rFonts w:eastAsia="PMingLiU"/>
                <w:b/>
                <w:bCs/>
                <w:sz w:val="22"/>
                <w:szCs w:val="22"/>
              </w:rPr>
              <w:t> </w:t>
            </w:r>
          </w:p>
        </w:tc>
        <w:tc>
          <w:tcPr>
            <w:tcW w:w="1980" w:type="dxa"/>
          </w:tcPr>
          <w:p w14:paraId="0F369309" w14:textId="77777777" w:rsidR="008D7842" w:rsidRPr="00345884" w:rsidRDefault="008D7842" w:rsidP="008D78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i/>
                <w:iCs/>
                <w:sz w:val="22"/>
                <w:szCs w:val="22"/>
              </w:rPr>
            </w:pPr>
            <w:r w:rsidRPr="00345884">
              <w:rPr>
                <w:rFonts w:eastAsia="PMingLiU"/>
                <w:bCs/>
                <w:i/>
                <w:iCs/>
                <w:sz w:val="22"/>
                <w:szCs w:val="22"/>
              </w:rPr>
              <w:t>Complaint Investigation Processing</w:t>
            </w:r>
          </w:p>
          <w:p w14:paraId="3BB372D9" w14:textId="77777777" w:rsidR="008D7842" w:rsidRPr="00345884" w:rsidRDefault="008D7842" w:rsidP="008D78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345884">
              <w:rPr>
                <w:rFonts w:eastAsia="PMingLiU"/>
                <w:bCs/>
                <w:sz w:val="22"/>
                <w:szCs w:val="22"/>
              </w:rPr>
              <w:t xml:space="preserve">During the case file review, seven complaint investigations were reviewed. Four of these investigations were classified as non-indoor air quality and sanitation complaints while classified as non-indoor air quality and sanitation complaints while the other three were identified as indoor air quality and/or sanitation complaints. In all four (100%) of the complaints that were non- indoor air quality complaints, OIS letters were not sent. The certification of posting was also </w:t>
            </w:r>
            <w:r w:rsidRPr="00345884">
              <w:rPr>
                <w:rFonts w:eastAsia="PMingLiU"/>
                <w:bCs/>
                <w:sz w:val="22"/>
                <w:szCs w:val="22"/>
              </w:rPr>
              <w:lastRenderedPageBreak/>
              <w:t>not provided and returned. The PEOSH Field Operations Manual (FOM) requires a certification of posting be received for all complaint investigations.</w:t>
            </w:r>
          </w:p>
          <w:p w14:paraId="6E49B99C" w14:textId="77777777" w:rsidR="008D7842" w:rsidRPr="00345884" w:rsidRDefault="008D7842" w:rsidP="008D78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p>
          <w:p w14:paraId="1D627A27" w14:textId="0F304040" w:rsidR="008D7842" w:rsidRPr="00345884" w:rsidRDefault="008D7842" w:rsidP="008D78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345884">
              <w:rPr>
                <w:rFonts w:eastAsia="PMingLiU"/>
                <w:bCs/>
                <w:sz w:val="22"/>
                <w:szCs w:val="22"/>
              </w:rPr>
              <w:t>In four of the seven</w:t>
            </w:r>
            <w:r w:rsidR="00940A91">
              <w:rPr>
                <w:rFonts w:eastAsia="PMingLiU"/>
                <w:bCs/>
                <w:sz w:val="22"/>
                <w:szCs w:val="22"/>
              </w:rPr>
              <w:t xml:space="preserve"> </w:t>
            </w:r>
            <w:r w:rsidR="00940A91" w:rsidRPr="00345884">
              <w:rPr>
                <w:rFonts w:eastAsia="PMingLiU"/>
                <w:bCs/>
                <w:sz w:val="22"/>
                <w:szCs w:val="22"/>
              </w:rPr>
              <w:t xml:space="preserve">(57%) </w:t>
            </w:r>
            <w:r w:rsidRPr="00345884">
              <w:rPr>
                <w:rFonts w:eastAsia="PMingLiU"/>
                <w:bCs/>
                <w:sz w:val="22"/>
                <w:szCs w:val="22"/>
              </w:rPr>
              <w:t xml:space="preserve"> complaints reviewed, there were OIS data entry errors or missing information. These include not entering codes for strategic initiatives for fire services,</w:t>
            </w:r>
          </w:p>
          <w:p w14:paraId="541DD8B4" w14:textId="75172EE0" w:rsidR="008D2CFC" w:rsidRPr="00345884" w:rsidRDefault="008D7842" w:rsidP="008D78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345884">
              <w:rPr>
                <w:rFonts w:eastAsia="PMingLiU"/>
                <w:bCs/>
                <w:sz w:val="22"/>
                <w:szCs w:val="22"/>
              </w:rPr>
              <w:t>marking complaints being</w:t>
            </w:r>
            <w:r w:rsidRPr="00345884">
              <w:rPr>
                <w:sz w:val="22"/>
                <w:szCs w:val="22"/>
              </w:rPr>
              <w:t xml:space="preserve"> </w:t>
            </w:r>
            <w:r w:rsidRPr="00345884">
              <w:rPr>
                <w:rFonts w:eastAsia="PMingLiU"/>
                <w:bCs/>
                <w:sz w:val="22"/>
                <w:szCs w:val="22"/>
              </w:rPr>
              <w:t>investigated as not valid, not marking whether an inspection will be conducted and the responses from the employer.</w:t>
            </w:r>
          </w:p>
        </w:tc>
        <w:tc>
          <w:tcPr>
            <w:tcW w:w="2520" w:type="dxa"/>
          </w:tcPr>
          <w:p w14:paraId="180F4A09" w14:textId="16FE3B18" w:rsidR="008D2CFC" w:rsidRPr="00345884" w:rsidRDefault="00D303A6" w:rsidP="00D303A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2"/>
                <w:szCs w:val="22"/>
              </w:rPr>
            </w:pPr>
            <w:r w:rsidRPr="00345884">
              <w:rPr>
                <w:sz w:val="22"/>
                <w:szCs w:val="22"/>
              </w:rPr>
              <w:lastRenderedPageBreak/>
              <w:t>NJ PEOSH needs to utilize the letters provided in OIS to process all complaint investigations</w:t>
            </w:r>
            <w:r w:rsidRPr="00345884">
              <w:rPr>
                <w:spacing w:val="-14"/>
                <w:sz w:val="22"/>
                <w:szCs w:val="22"/>
              </w:rPr>
              <w:t xml:space="preserve"> </w:t>
            </w:r>
            <w:r w:rsidRPr="00345884">
              <w:rPr>
                <w:sz w:val="22"/>
                <w:szCs w:val="22"/>
              </w:rPr>
              <w:t>and</w:t>
            </w:r>
            <w:r w:rsidRPr="00345884">
              <w:rPr>
                <w:spacing w:val="-14"/>
                <w:sz w:val="22"/>
                <w:szCs w:val="22"/>
              </w:rPr>
              <w:t xml:space="preserve"> </w:t>
            </w:r>
            <w:r w:rsidRPr="00345884">
              <w:rPr>
                <w:sz w:val="22"/>
                <w:szCs w:val="22"/>
              </w:rPr>
              <w:t xml:space="preserve">enter data correctly into the system. The processing of all complaints needs to follow the guidelines in Chapter 9 of the FOM. </w:t>
            </w:r>
          </w:p>
        </w:tc>
        <w:tc>
          <w:tcPr>
            <w:tcW w:w="3605" w:type="dxa"/>
          </w:tcPr>
          <w:p w14:paraId="6CB910FF" w14:textId="61A5EE98" w:rsidR="008D7842" w:rsidRPr="00345884" w:rsidRDefault="008D7842" w:rsidP="008D78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345884">
              <w:rPr>
                <w:rFonts w:eastAsia="PMingLiU"/>
                <w:bCs/>
                <w:sz w:val="22"/>
                <w:szCs w:val="22"/>
              </w:rPr>
              <w:t>DOH PEOSH is following the required procedures per Chapter 9 of the FOM and utilizing letters provided in OIS to process all complaint investigations, specifically for indoor air quality complaints. Codes for strategic initiatives are being entered in OIS.</w:t>
            </w:r>
          </w:p>
          <w:p w14:paraId="12CDE978" w14:textId="77777777" w:rsidR="008D7842" w:rsidRPr="00345884" w:rsidRDefault="008D7842" w:rsidP="008D78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p>
          <w:p w14:paraId="00826A8D" w14:textId="77777777" w:rsidR="008D7842" w:rsidRPr="00345884" w:rsidRDefault="008D7842" w:rsidP="008D78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345884">
              <w:rPr>
                <w:rFonts w:eastAsia="PMingLiU"/>
                <w:bCs/>
                <w:sz w:val="22"/>
                <w:szCs w:val="22"/>
              </w:rPr>
              <w:t>DOH PEOSH has</w:t>
            </w:r>
          </w:p>
          <w:p w14:paraId="263E616A" w14:textId="77777777" w:rsidR="008D7842" w:rsidRPr="00345884" w:rsidRDefault="008D7842" w:rsidP="008D78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345884">
              <w:rPr>
                <w:rFonts w:eastAsia="PMingLiU"/>
                <w:bCs/>
                <w:sz w:val="22"/>
                <w:szCs w:val="22"/>
              </w:rPr>
              <w:t>modified its complaint processing regarding entering valid vs invalid complaints based on guidance provided from OSHA and following guidelines in Chapter 9 of the FOM.</w:t>
            </w:r>
          </w:p>
          <w:p w14:paraId="422BF035" w14:textId="77777777" w:rsidR="008D7842" w:rsidRPr="00345884" w:rsidRDefault="008D7842" w:rsidP="008D78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p>
          <w:p w14:paraId="03807FA2" w14:textId="7E8515C5" w:rsidR="008D7842" w:rsidRPr="00345884" w:rsidRDefault="008D7842" w:rsidP="008D78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345884">
              <w:rPr>
                <w:rFonts w:eastAsia="PMingLiU"/>
                <w:bCs/>
                <w:sz w:val="22"/>
                <w:szCs w:val="22"/>
              </w:rPr>
              <w:t>DOL PEOSH will ensure through</w:t>
            </w:r>
            <w:r w:rsidRPr="00345884">
              <w:rPr>
                <w:sz w:val="22"/>
                <w:szCs w:val="22"/>
              </w:rPr>
              <w:t xml:space="preserve"> </w:t>
            </w:r>
            <w:r w:rsidRPr="00345884">
              <w:rPr>
                <w:rFonts w:eastAsia="PMingLiU"/>
                <w:bCs/>
                <w:sz w:val="22"/>
                <w:szCs w:val="22"/>
              </w:rPr>
              <w:t>supervisory review that all applicable strategic initiatives, NEPs, and LEPs will be recorded in OIS</w:t>
            </w:r>
            <w:r w:rsidR="00345884" w:rsidRPr="00345884">
              <w:rPr>
                <w:rFonts w:eastAsia="PMingLiU"/>
                <w:bCs/>
                <w:sz w:val="22"/>
                <w:szCs w:val="22"/>
              </w:rPr>
              <w:t xml:space="preserve"> when </w:t>
            </w:r>
          </w:p>
          <w:p w14:paraId="1D97EA2D" w14:textId="7274A128" w:rsidR="008D2CFC" w:rsidRPr="00345884" w:rsidRDefault="008D7842" w:rsidP="008D78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2"/>
                <w:szCs w:val="22"/>
              </w:rPr>
            </w:pPr>
            <w:r w:rsidRPr="00345884">
              <w:rPr>
                <w:rFonts w:eastAsia="PMingLiU"/>
                <w:bCs/>
                <w:sz w:val="22"/>
                <w:szCs w:val="22"/>
              </w:rPr>
              <w:t>appropriate.</w:t>
            </w:r>
          </w:p>
        </w:tc>
        <w:tc>
          <w:tcPr>
            <w:tcW w:w="1548" w:type="dxa"/>
          </w:tcPr>
          <w:p w14:paraId="67FF8EF2" w14:textId="52DD6AA7" w:rsidR="008D2CFC" w:rsidRPr="0041281B" w:rsidRDefault="0041281B" w:rsidP="008D2CF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Cs/>
                <w:sz w:val="22"/>
                <w:szCs w:val="22"/>
              </w:rPr>
            </w:pPr>
            <w:r w:rsidRPr="0041281B">
              <w:rPr>
                <w:rFonts w:eastAsia="PMingLiU"/>
                <w:bCs/>
                <w:sz w:val="22"/>
                <w:szCs w:val="22"/>
              </w:rPr>
              <w:t>Not Applicable</w:t>
            </w:r>
            <w:r w:rsidR="008D2CFC" w:rsidRPr="0041281B">
              <w:rPr>
                <w:rFonts w:eastAsia="PMingLiU"/>
                <w:bCs/>
                <w:sz w:val="22"/>
                <w:szCs w:val="22"/>
              </w:rPr>
              <w:t> </w:t>
            </w:r>
          </w:p>
        </w:tc>
        <w:tc>
          <w:tcPr>
            <w:tcW w:w="2700" w:type="dxa"/>
          </w:tcPr>
          <w:p w14:paraId="1D3D23C3" w14:textId="77777777" w:rsidR="008D2CFC" w:rsidRDefault="00B158D9" w:rsidP="00D5071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2"/>
                <w:szCs w:val="22"/>
              </w:rPr>
            </w:pPr>
            <w:r>
              <w:rPr>
                <w:rFonts w:eastAsia="PMingLiU"/>
                <w:bCs/>
                <w:sz w:val="22"/>
                <w:szCs w:val="22"/>
              </w:rPr>
              <w:t>Converted to Observation</w:t>
            </w:r>
            <w:r w:rsidR="008D2CFC" w:rsidRPr="00345884">
              <w:rPr>
                <w:rFonts w:eastAsia="PMingLiU"/>
                <w:b/>
                <w:sz w:val="22"/>
                <w:szCs w:val="22"/>
              </w:rPr>
              <w:t> </w:t>
            </w:r>
          </w:p>
          <w:p w14:paraId="521BC882" w14:textId="62A2F7BD" w:rsidR="0041281B" w:rsidRPr="0041281B" w:rsidRDefault="0041281B" w:rsidP="00D5071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41281B">
              <w:rPr>
                <w:rFonts w:eastAsia="PMingLiU"/>
                <w:bCs/>
                <w:sz w:val="22"/>
                <w:szCs w:val="22"/>
              </w:rPr>
              <w:t>(As of September 30, 2023)?</w:t>
            </w:r>
          </w:p>
        </w:tc>
      </w:tr>
      <w:tr w:rsidR="008D2CFC" w:rsidRPr="00345884" w14:paraId="31602652" w14:textId="77777777" w:rsidTr="008D7842">
        <w:trPr>
          <w:trHeight w:val="385"/>
        </w:trPr>
        <w:tc>
          <w:tcPr>
            <w:tcW w:w="1705" w:type="dxa"/>
          </w:tcPr>
          <w:p w14:paraId="7579C01F" w14:textId="08B2CD98" w:rsidR="008D2CFC" w:rsidRPr="00345884" w:rsidRDefault="008D7842" w:rsidP="008D78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bCs/>
                <w:sz w:val="22"/>
                <w:szCs w:val="22"/>
              </w:rPr>
            </w:pPr>
            <w:r w:rsidRPr="00345884">
              <w:rPr>
                <w:rFonts w:eastAsia="PMingLiU"/>
                <w:sz w:val="22"/>
                <w:szCs w:val="22"/>
              </w:rPr>
              <w:t>FY 2022-02</w:t>
            </w:r>
            <w:r w:rsidRPr="00345884">
              <w:rPr>
                <w:rFonts w:eastAsia="PMingLiU"/>
                <w:b/>
                <w:bCs/>
                <w:sz w:val="22"/>
                <w:szCs w:val="22"/>
              </w:rPr>
              <w:t xml:space="preserve"> </w:t>
            </w:r>
            <w:r w:rsidR="008D2CFC" w:rsidRPr="00345884">
              <w:rPr>
                <w:rFonts w:eastAsia="PMingLiU"/>
                <w:b/>
                <w:bCs/>
                <w:sz w:val="22"/>
                <w:szCs w:val="22"/>
              </w:rPr>
              <w:t> </w:t>
            </w:r>
          </w:p>
        </w:tc>
        <w:tc>
          <w:tcPr>
            <w:tcW w:w="1980" w:type="dxa"/>
          </w:tcPr>
          <w:p w14:paraId="135EDCF8" w14:textId="1F38E8D6" w:rsidR="008D7842" w:rsidRPr="00345884" w:rsidRDefault="008D7842" w:rsidP="008D78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i/>
                <w:iCs/>
                <w:sz w:val="22"/>
                <w:szCs w:val="22"/>
              </w:rPr>
            </w:pPr>
            <w:r w:rsidRPr="00345884">
              <w:rPr>
                <w:rFonts w:eastAsia="PMingLiU"/>
                <w:bCs/>
                <w:i/>
                <w:iCs/>
                <w:sz w:val="22"/>
                <w:szCs w:val="22"/>
              </w:rPr>
              <w:t>Complainant Notification</w:t>
            </w:r>
          </w:p>
          <w:p w14:paraId="5ACC4E89" w14:textId="394FCE84" w:rsidR="008D2CFC" w:rsidRPr="00345884" w:rsidRDefault="008D7842" w:rsidP="008D78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345884">
              <w:rPr>
                <w:rFonts w:eastAsia="PMingLiU"/>
                <w:bCs/>
                <w:sz w:val="22"/>
                <w:szCs w:val="22"/>
              </w:rPr>
              <w:t xml:space="preserve">In three of the six (50%) safety </w:t>
            </w:r>
            <w:r w:rsidRPr="00345884">
              <w:rPr>
                <w:rFonts w:eastAsia="PMingLiU"/>
                <w:bCs/>
                <w:sz w:val="22"/>
                <w:szCs w:val="22"/>
              </w:rPr>
              <w:lastRenderedPageBreak/>
              <w:t>complaint files reviewed, the letter sent to the complainant did not either address the allegations, or lacked evidence that a letter was sent to the complainant.</w:t>
            </w:r>
          </w:p>
        </w:tc>
        <w:tc>
          <w:tcPr>
            <w:tcW w:w="2520" w:type="dxa"/>
          </w:tcPr>
          <w:p w14:paraId="48F19608" w14:textId="30137B5C" w:rsidR="008D7842" w:rsidRPr="00345884" w:rsidRDefault="008D2CFC" w:rsidP="008D78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345884">
              <w:rPr>
                <w:rFonts w:eastAsia="PMingLiU"/>
                <w:bCs/>
                <w:sz w:val="22"/>
                <w:szCs w:val="22"/>
              </w:rPr>
              <w:lastRenderedPageBreak/>
              <w:t> </w:t>
            </w:r>
            <w:r w:rsidR="008D7842" w:rsidRPr="00345884">
              <w:rPr>
                <w:rFonts w:eastAsia="PMingLiU"/>
                <w:bCs/>
                <w:sz w:val="22"/>
                <w:szCs w:val="22"/>
              </w:rPr>
              <w:t xml:space="preserve">NJ PEOSH needs to ensure that the letter sent to the complainant provides an evaluation of </w:t>
            </w:r>
            <w:r w:rsidR="008D7842" w:rsidRPr="00345884">
              <w:rPr>
                <w:rFonts w:eastAsia="PMingLiU"/>
                <w:bCs/>
                <w:sz w:val="22"/>
                <w:szCs w:val="22"/>
              </w:rPr>
              <w:lastRenderedPageBreak/>
              <w:t>all alleged hazards.</w:t>
            </w:r>
          </w:p>
          <w:p w14:paraId="6AEDBF8C" w14:textId="7D17D974" w:rsidR="008D2CFC" w:rsidRPr="00345884" w:rsidRDefault="008D2CFC" w:rsidP="008D78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p>
        </w:tc>
        <w:tc>
          <w:tcPr>
            <w:tcW w:w="3605" w:type="dxa"/>
          </w:tcPr>
          <w:p w14:paraId="21AC0444" w14:textId="491D882E" w:rsidR="008D7842" w:rsidRPr="00345884" w:rsidRDefault="008D7842" w:rsidP="008D78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345884">
              <w:rPr>
                <w:rFonts w:eastAsia="PMingLiU"/>
                <w:bCs/>
                <w:sz w:val="22"/>
                <w:szCs w:val="22"/>
              </w:rPr>
              <w:lastRenderedPageBreak/>
              <w:t xml:space="preserve">DOL PEOSH copies complaint results to </w:t>
            </w:r>
            <w:r w:rsidR="001C0F12">
              <w:rPr>
                <w:rFonts w:eastAsia="PMingLiU"/>
                <w:bCs/>
                <w:sz w:val="22"/>
                <w:szCs w:val="22"/>
              </w:rPr>
              <w:t>c</w:t>
            </w:r>
            <w:r w:rsidRPr="00345884">
              <w:rPr>
                <w:rFonts w:eastAsia="PMingLiU"/>
                <w:bCs/>
                <w:sz w:val="22"/>
                <w:szCs w:val="22"/>
              </w:rPr>
              <w:t>omplainants in the form of Orders to Comply, Hazard Awareness letters</w:t>
            </w:r>
            <w:r w:rsidR="001C0F12">
              <w:rPr>
                <w:rFonts w:eastAsia="PMingLiU"/>
                <w:bCs/>
                <w:sz w:val="22"/>
                <w:szCs w:val="22"/>
              </w:rPr>
              <w:t>,</w:t>
            </w:r>
            <w:r w:rsidRPr="00345884">
              <w:rPr>
                <w:rFonts w:eastAsia="PMingLiU"/>
                <w:bCs/>
                <w:sz w:val="22"/>
                <w:szCs w:val="22"/>
              </w:rPr>
              <w:t xml:space="preserve"> or No Hazard letters. Any alleged </w:t>
            </w:r>
            <w:r w:rsidRPr="00345884">
              <w:rPr>
                <w:rFonts w:eastAsia="PMingLiU"/>
                <w:bCs/>
                <w:sz w:val="22"/>
                <w:szCs w:val="22"/>
              </w:rPr>
              <w:lastRenderedPageBreak/>
              <w:t xml:space="preserve">hazard in a complaint not identified in the above documents is communicated to the complainant verbally or other communication form and is noted in the Case File Diary. Also, field staff contact complainants prior to the issuance of the above correspondence to inform them of the </w:t>
            </w:r>
          </w:p>
          <w:p w14:paraId="3DDA5FA3" w14:textId="7CC73BFE" w:rsidR="008D2CFC" w:rsidRPr="00345884" w:rsidRDefault="008D7842" w:rsidP="008D78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2"/>
                <w:szCs w:val="22"/>
              </w:rPr>
            </w:pPr>
            <w:r w:rsidRPr="00345884">
              <w:rPr>
                <w:rFonts w:eastAsia="PMingLiU"/>
                <w:bCs/>
                <w:sz w:val="22"/>
                <w:szCs w:val="22"/>
              </w:rPr>
              <w:t xml:space="preserve">complaint inspection results. PEOSH reviewed with field staff to ensure that communication of complaint inspection results will be included in the case file diary with an </w:t>
            </w:r>
            <w:r w:rsidR="00345884" w:rsidRPr="00345884">
              <w:rPr>
                <w:rFonts w:eastAsia="PMingLiU"/>
                <w:bCs/>
                <w:sz w:val="22"/>
                <w:szCs w:val="22"/>
              </w:rPr>
              <w:t>e</w:t>
            </w:r>
            <w:r w:rsidRPr="00345884">
              <w:rPr>
                <w:rFonts w:eastAsia="PMingLiU"/>
                <w:bCs/>
                <w:sz w:val="22"/>
                <w:szCs w:val="22"/>
              </w:rPr>
              <w:t>xplanation.</w:t>
            </w:r>
          </w:p>
        </w:tc>
        <w:tc>
          <w:tcPr>
            <w:tcW w:w="1548" w:type="dxa"/>
          </w:tcPr>
          <w:p w14:paraId="7D93BAC4" w14:textId="0A984E59" w:rsidR="008D2CFC" w:rsidRPr="001C0F12" w:rsidRDefault="001C0F12" w:rsidP="008D2CF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Cs/>
                <w:sz w:val="22"/>
                <w:szCs w:val="22"/>
              </w:rPr>
            </w:pPr>
            <w:r w:rsidRPr="001C0F12">
              <w:rPr>
                <w:rFonts w:eastAsia="PMingLiU"/>
                <w:bCs/>
                <w:sz w:val="22"/>
                <w:szCs w:val="22"/>
              </w:rPr>
              <w:lastRenderedPageBreak/>
              <w:t>Not Applicable</w:t>
            </w:r>
            <w:r w:rsidR="008D2CFC" w:rsidRPr="001C0F12">
              <w:rPr>
                <w:rFonts w:eastAsia="PMingLiU"/>
                <w:bCs/>
                <w:sz w:val="22"/>
                <w:szCs w:val="22"/>
              </w:rPr>
              <w:t> </w:t>
            </w:r>
          </w:p>
        </w:tc>
        <w:tc>
          <w:tcPr>
            <w:tcW w:w="2700" w:type="dxa"/>
          </w:tcPr>
          <w:p w14:paraId="26A9BE00" w14:textId="56D7710C" w:rsidR="008D2CFC" w:rsidRDefault="001C0F12" w:rsidP="002307E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Pr>
                <w:rFonts w:eastAsia="PMingLiU"/>
                <w:bCs/>
                <w:sz w:val="22"/>
                <w:szCs w:val="22"/>
              </w:rPr>
              <w:t xml:space="preserve"> Open</w:t>
            </w:r>
          </w:p>
          <w:p w14:paraId="2770E724" w14:textId="2F4EA174" w:rsidR="001C0F12" w:rsidRPr="00CB7F77" w:rsidRDefault="001C0F12" w:rsidP="002307E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Pr>
                <w:rFonts w:eastAsia="PMingLiU"/>
                <w:bCs/>
                <w:sz w:val="22"/>
                <w:szCs w:val="22"/>
              </w:rPr>
              <w:t>(As of September 30, 2023)</w:t>
            </w:r>
          </w:p>
        </w:tc>
      </w:tr>
      <w:tr w:rsidR="00345884" w:rsidRPr="00345884" w14:paraId="5FA3FF31" w14:textId="77777777" w:rsidTr="008D7842">
        <w:trPr>
          <w:trHeight w:val="385"/>
        </w:trPr>
        <w:tc>
          <w:tcPr>
            <w:tcW w:w="1705" w:type="dxa"/>
          </w:tcPr>
          <w:p w14:paraId="51865631" w14:textId="12D088C2" w:rsidR="00345884" w:rsidRPr="00345884" w:rsidRDefault="00345884" w:rsidP="008D78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Pr>
                <w:rFonts w:eastAsia="PMingLiU"/>
                <w:sz w:val="22"/>
                <w:szCs w:val="22"/>
              </w:rPr>
              <w:t>FY 2022-03</w:t>
            </w:r>
          </w:p>
        </w:tc>
        <w:tc>
          <w:tcPr>
            <w:tcW w:w="1980" w:type="dxa"/>
          </w:tcPr>
          <w:p w14:paraId="3A31027C" w14:textId="77777777" w:rsidR="00345884" w:rsidRPr="00345884" w:rsidRDefault="00345884" w:rsidP="003458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i/>
                <w:iCs/>
                <w:sz w:val="22"/>
                <w:szCs w:val="22"/>
              </w:rPr>
            </w:pPr>
            <w:r w:rsidRPr="00345884">
              <w:rPr>
                <w:rFonts w:eastAsia="PMingLiU"/>
                <w:bCs/>
                <w:i/>
                <w:iCs/>
                <w:sz w:val="22"/>
                <w:szCs w:val="22"/>
              </w:rPr>
              <w:t>Next-of-Kin Letters (NOK)</w:t>
            </w:r>
          </w:p>
          <w:p w14:paraId="053910D6" w14:textId="77777777" w:rsidR="00345884" w:rsidRPr="00345884" w:rsidRDefault="00345884" w:rsidP="003458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345884">
              <w:rPr>
                <w:rFonts w:eastAsia="PMingLiU"/>
                <w:bCs/>
                <w:sz w:val="22"/>
                <w:szCs w:val="22"/>
              </w:rPr>
              <w:t>In three of the four (75%) fatality inspections, both the initial and final next-of-kin letters were not sent to the families of the victims. The practice of sending NOK letters was stopped at the beginning of the COVID-19 pandemic for those fatalities related to</w:t>
            </w:r>
          </w:p>
          <w:p w14:paraId="29A581C6" w14:textId="2F268E3C" w:rsidR="00345884" w:rsidRPr="00345884" w:rsidRDefault="00345884" w:rsidP="003458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i/>
                <w:iCs/>
                <w:sz w:val="22"/>
                <w:szCs w:val="22"/>
              </w:rPr>
            </w:pPr>
            <w:r w:rsidRPr="00345884">
              <w:rPr>
                <w:rFonts w:eastAsia="PMingLiU"/>
                <w:bCs/>
                <w:sz w:val="22"/>
                <w:szCs w:val="22"/>
              </w:rPr>
              <w:t xml:space="preserve">COVID-19 only. Due to the novel </w:t>
            </w:r>
            <w:r w:rsidRPr="00345884">
              <w:rPr>
                <w:rFonts w:eastAsia="PMingLiU"/>
                <w:bCs/>
                <w:sz w:val="22"/>
                <w:szCs w:val="22"/>
              </w:rPr>
              <w:lastRenderedPageBreak/>
              <w:t>nature of these fatalities, there was confusion by NJ PEOSH as to whether these letters should be sent since it was often unclear if the victim was exposed to the virus at work or</w:t>
            </w:r>
            <w:r>
              <w:rPr>
                <w:rFonts w:eastAsia="PMingLiU"/>
                <w:bCs/>
                <w:sz w:val="22"/>
                <w:szCs w:val="22"/>
              </w:rPr>
              <w:t xml:space="preserve"> through </w:t>
            </w:r>
            <w:r w:rsidRPr="00345884">
              <w:rPr>
                <w:rFonts w:eastAsia="PMingLiU"/>
                <w:bCs/>
                <w:sz w:val="22"/>
                <w:szCs w:val="22"/>
              </w:rPr>
              <w:t>community spread.</w:t>
            </w:r>
          </w:p>
        </w:tc>
        <w:tc>
          <w:tcPr>
            <w:tcW w:w="2520" w:type="dxa"/>
          </w:tcPr>
          <w:p w14:paraId="4D7058F4" w14:textId="0E1CACA4" w:rsidR="00345884" w:rsidRPr="00345884" w:rsidRDefault="00345884" w:rsidP="008D78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345884">
              <w:rPr>
                <w:rFonts w:eastAsia="PMingLiU"/>
                <w:bCs/>
                <w:sz w:val="22"/>
                <w:szCs w:val="22"/>
              </w:rPr>
              <w:lastRenderedPageBreak/>
              <w:t xml:space="preserve">NJ PEOSH needs to issue NOK letters as required by the FOM. </w:t>
            </w:r>
          </w:p>
        </w:tc>
        <w:tc>
          <w:tcPr>
            <w:tcW w:w="3605" w:type="dxa"/>
          </w:tcPr>
          <w:p w14:paraId="6A11622D" w14:textId="1CF96E98" w:rsidR="00345884" w:rsidRPr="00345884" w:rsidRDefault="00345884" w:rsidP="003458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345884">
              <w:rPr>
                <w:rFonts w:eastAsia="PMingLiU"/>
                <w:bCs/>
                <w:sz w:val="22"/>
                <w:szCs w:val="22"/>
              </w:rPr>
              <w:t>DOH PEOSH issued next-of-kin letters for the three inspection cases cited during the FAME audit on 5/25/2022. The protocol for issuance of next-of- kin letters during the COVID-19</w:t>
            </w:r>
            <w:r>
              <w:rPr>
                <w:rFonts w:eastAsia="PMingLiU"/>
                <w:bCs/>
                <w:sz w:val="22"/>
                <w:szCs w:val="22"/>
              </w:rPr>
              <w:t xml:space="preserve"> </w:t>
            </w:r>
            <w:r w:rsidRPr="00345884">
              <w:rPr>
                <w:rFonts w:eastAsia="PMingLiU"/>
                <w:bCs/>
                <w:sz w:val="22"/>
                <w:szCs w:val="22"/>
              </w:rPr>
              <w:t>pandemic was unclear. PEOSH will continue to follow the FOM regarding issuance of next-of- kin letters.</w:t>
            </w:r>
          </w:p>
        </w:tc>
        <w:tc>
          <w:tcPr>
            <w:tcW w:w="1548" w:type="dxa"/>
          </w:tcPr>
          <w:p w14:paraId="37F05AE0" w14:textId="43D239B5" w:rsidR="00345884" w:rsidRPr="00345884" w:rsidRDefault="001C0F12" w:rsidP="008D2CF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r w:rsidRPr="001C0F12">
              <w:rPr>
                <w:rFonts w:eastAsia="PMingLiU"/>
                <w:bCs/>
                <w:sz w:val="22"/>
                <w:szCs w:val="22"/>
              </w:rPr>
              <w:t>Not Applicable </w:t>
            </w:r>
          </w:p>
        </w:tc>
        <w:tc>
          <w:tcPr>
            <w:tcW w:w="2700" w:type="dxa"/>
          </w:tcPr>
          <w:p w14:paraId="3EFD0A6D" w14:textId="1C6FB1E0" w:rsidR="00345884" w:rsidRDefault="001C0F12" w:rsidP="003C291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Pr>
                <w:rFonts w:eastAsia="PMingLiU"/>
                <w:bCs/>
                <w:sz w:val="22"/>
                <w:szCs w:val="22"/>
              </w:rPr>
              <w:t xml:space="preserve"> Open</w:t>
            </w:r>
          </w:p>
          <w:p w14:paraId="1ADB06E3" w14:textId="6CFF09BF" w:rsidR="001C0F12" w:rsidRPr="003C2918" w:rsidRDefault="001C0F12" w:rsidP="003C291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Pr>
                <w:rFonts w:eastAsia="PMingLiU"/>
                <w:bCs/>
                <w:sz w:val="22"/>
                <w:szCs w:val="22"/>
              </w:rPr>
              <w:t>(As of September 30, 2023)</w:t>
            </w:r>
          </w:p>
        </w:tc>
      </w:tr>
      <w:tr w:rsidR="00345884" w:rsidRPr="00345884" w14:paraId="230EEED9" w14:textId="77777777" w:rsidTr="008D7842">
        <w:trPr>
          <w:trHeight w:val="385"/>
        </w:trPr>
        <w:tc>
          <w:tcPr>
            <w:tcW w:w="1705" w:type="dxa"/>
          </w:tcPr>
          <w:p w14:paraId="511AAFCE" w14:textId="277F365A" w:rsidR="00345884" w:rsidRDefault="00345884" w:rsidP="008D78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Pr>
                <w:rFonts w:eastAsia="PMingLiU"/>
                <w:sz w:val="22"/>
                <w:szCs w:val="22"/>
              </w:rPr>
              <w:t>FY 2022-04</w:t>
            </w:r>
          </w:p>
        </w:tc>
        <w:tc>
          <w:tcPr>
            <w:tcW w:w="1980" w:type="dxa"/>
          </w:tcPr>
          <w:p w14:paraId="0EF94DEA" w14:textId="77777777" w:rsidR="00345884" w:rsidRDefault="00345884" w:rsidP="003458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i/>
                <w:iCs/>
                <w:sz w:val="22"/>
                <w:szCs w:val="22"/>
              </w:rPr>
            </w:pPr>
            <w:r>
              <w:rPr>
                <w:rFonts w:eastAsia="PMingLiU"/>
                <w:bCs/>
                <w:i/>
                <w:iCs/>
                <w:sz w:val="22"/>
                <w:szCs w:val="22"/>
              </w:rPr>
              <w:t>Advanced Notice of Inspections</w:t>
            </w:r>
          </w:p>
          <w:p w14:paraId="715E7A1B" w14:textId="508EBD19" w:rsidR="00345884" w:rsidRPr="00345884" w:rsidRDefault="00345884" w:rsidP="003458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345884">
              <w:rPr>
                <w:rFonts w:eastAsia="PMingLiU"/>
                <w:bCs/>
                <w:sz w:val="22"/>
                <w:szCs w:val="22"/>
              </w:rPr>
              <w:t xml:space="preserve">After NJ PEOSH received a health complaint and identified that the facility was part of a local targeting program, and the employer was emailed a form letter. The form letter stated that a programmed inspection would be scheduled in the future. The letter requested the employer forward health and safety programs to the </w:t>
            </w:r>
            <w:r w:rsidRPr="00345884">
              <w:rPr>
                <w:rFonts w:eastAsia="PMingLiU"/>
                <w:bCs/>
                <w:sz w:val="22"/>
                <w:szCs w:val="22"/>
              </w:rPr>
              <w:lastRenderedPageBreak/>
              <w:t>New Jersey State Plan. After receipt of the programs, the letter stated an inspection would be scheduled. An inspection was scheduled approximately a month and a half later. This letter is commonly used by NJ PEOSH when conducting some programmed inspections. NJ PEOSH’s FOM Chapter 3, Section II, D. permits advance notification in some advance notification in some circumstances, but this situation does not fall under those</w:t>
            </w:r>
          </w:p>
          <w:p w14:paraId="07D75EEF" w14:textId="507F485B" w:rsidR="00345884" w:rsidRPr="00345884" w:rsidRDefault="00345884" w:rsidP="003458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345884">
              <w:rPr>
                <w:rFonts w:eastAsia="PMingLiU"/>
                <w:bCs/>
                <w:sz w:val="22"/>
                <w:szCs w:val="22"/>
              </w:rPr>
              <w:t>exemptions.</w:t>
            </w:r>
          </w:p>
        </w:tc>
        <w:tc>
          <w:tcPr>
            <w:tcW w:w="2520" w:type="dxa"/>
          </w:tcPr>
          <w:p w14:paraId="6C61BC48" w14:textId="5426786A" w:rsidR="00345884" w:rsidRPr="00345884" w:rsidRDefault="005F6B67" w:rsidP="008D78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5F6B67">
              <w:rPr>
                <w:rFonts w:eastAsia="PMingLiU"/>
                <w:bCs/>
                <w:sz w:val="22"/>
                <w:szCs w:val="22"/>
              </w:rPr>
              <w:lastRenderedPageBreak/>
              <w:t>NJ PEOSH needs to discon</w:t>
            </w:r>
            <w:r>
              <w:rPr>
                <w:rFonts w:eastAsia="PMingLiU"/>
                <w:bCs/>
                <w:sz w:val="22"/>
                <w:szCs w:val="22"/>
              </w:rPr>
              <w:t>tinue</w:t>
            </w:r>
            <w:r>
              <w:t xml:space="preserve"> the practice of </w:t>
            </w:r>
            <w:r w:rsidRPr="005F6B67">
              <w:rPr>
                <w:rFonts w:eastAsia="PMingLiU"/>
                <w:bCs/>
                <w:sz w:val="22"/>
                <w:szCs w:val="22"/>
              </w:rPr>
              <w:t xml:space="preserve">issuing this letter. </w:t>
            </w:r>
          </w:p>
        </w:tc>
        <w:tc>
          <w:tcPr>
            <w:tcW w:w="3605" w:type="dxa"/>
          </w:tcPr>
          <w:p w14:paraId="354FF788" w14:textId="77777777" w:rsidR="00345884" w:rsidRPr="00345884" w:rsidRDefault="00345884" w:rsidP="003458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345884">
              <w:rPr>
                <w:rFonts w:eastAsia="PMingLiU"/>
                <w:bCs/>
                <w:sz w:val="22"/>
                <w:szCs w:val="22"/>
              </w:rPr>
              <w:t>DOH PEOSH has</w:t>
            </w:r>
          </w:p>
          <w:p w14:paraId="35D80703" w14:textId="05745E15" w:rsidR="00345884" w:rsidRPr="00345884" w:rsidRDefault="00345884" w:rsidP="003458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345884">
              <w:rPr>
                <w:rFonts w:eastAsia="PMingLiU"/>
                <w:bCs/>
                <w:sz w:val="22"/>
                <w:szCs w:val="22"/>
              </w:rPr>
              <w:t>reviewed FOM and</w:t>
            </w:r>
          </w:p>
          <w:p w14:paraId="3B91D994" w14:textId="77777777" w:rsidR="00345884" w:rsidRPr="00345884" w:rsidRDefault="00345884" w:rsidP="003458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345884">
              <w:rPr>
                <w:rFonts w:eastAsia="PMingLiU"/>
                <w:bCs/>
                <w:sz w:val="22"/>
                <w:szCs w:val="22"/>
              </w:rPr>
              <w:t>will ensure not to send advanced notification to employers identified for routine targeted (programmed) inspections.</w:t>
            </w:r>
          </w:p>
          <w:p w14:paraId="6554DFC0" w14:textId="77777777" w:rsidR="00345884" w:rsidRPr="00345884" w:rsidRDefault="00345884" w:rsidP="003458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p>
          <w:p w14:paraId="7C80FE9A" w14:textId="1E0BBDA3" w:rsidR="00345884" w:rsidRPr="00345884" w:rsidRDefault="00345884" w:rsidP="003458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345884">
              <w:rPr>
                <w:rFonts w:eastAsia="PMingLiU"/>
                <w:bCs/>
                <w:sz w:val="22"/>
                <w:szCs w:val="22"/>
              </w:rPr>
              <w:t>DOL PEOSH</w:t>
            </w:r>
            <w:r>
              <w:rPr>
                <w:rFonts w:eastAsia="PMingLiU"/>
                <w:bCs/>
                <w:sz w:val="22"/>
                <w:szCs w:val="22"/>
              </w:rPr>
              <w:t xml:space="preserve"> </w:t>
            </w:r>
            <w:r w:rsidRPr="00345884">
              <w:rPr>
                <w:rFonts w:eastAsia="PMingLiU"/>
                <w:bCs/>
                <w:sz w:val="22"/>
                <w:szCs w:val="22"/>
              </w:rPr>
              <w:t>provides advance inspection notice for correctional institutions as required per their safety and security protocols and for volunteer fire departments who must arrange to have proper representation available on the day of inspection.</w:t>
            </w:r>
          </w:p>
        </w:tc>
        <w:tc>
          <w:tcPr>
            <w:tcW w:w="1548" w:type="dxa"/>
          </w:tcPr>
          <w:p w14:paraId="7BB4623D" w14:textId="6AE4E04E" w:rsidR="00345884" w:rsidRPr="00345884" w:rsidRDefault="001C0F12" w:rsidP="008D2CF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r w:rsidRPr="001C0F12">
              <w:rPr>
                <w:rFonts w:eastAsia="PMingLiU"/>
                <w:bCs/>
                <w:sz w:val="22"/>
                <w:szCs w:val="22"/>
              </w:rPr>
              <w:t>Not Applicable </w:t>
            </w:r>
          </w:p>
        </w:tc>
        <w:tc>
          <w:tcPr>
            <w:tcW w:w="2700" w:type="dxa"/>
          </w:tcPr>
          <w:p w14:paraId="47E51A1D" w14:textId="77777777" w:rsidR="00345884" w:rsidRDefault="000121EC" w:rsidP="003C291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Pr>
                <w:rFonts w:eastAsia="PMingLiU"/>
                <w:bCs/>
                <w:sz w:val="22"/>
                <w:szCs w:val="22"/>
              </w:rPr>
              <w:t>Continued</w:t>
            </w:r>
          </w:p>
          <w:p w14:paraId="5229A795" w14:textId="70F508D7" w:rsidR="001C0F12" w:rsidRPr="00D50711" w:rsidRDefault="001C0F12" w:rsidP="003C291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Pr>
                <w:rFonts w:eastAsia="PMingLiU"/>
                <w:bCs/>
                <w:sz w:val="22"/>
                <w:szCs w:val="22"/>
              </w:rPr>
              <w:t>(As of September 30, 2023)</w:t>
            </w:r>
          </w:p>
        </w:tc>
      </w:tr>
      <w:tr w:rsidR="00345884" w:rsidRPr="00345884" w14:paraId="1C69BA6D" w14:textId="77777777" w:rsidTr="008D7842">
        <w:trPr>
          <w:trHeight w:val="385"/>
        </w:trPr>
        <w:tc>
          <w:tcPr>
            <w:tcW w:w="1705" w:type="dxa"/>
          </w:tcPr>
          <w:p w14:paraId="2239083B" w14:textId="29D4FC71" w:rsidR="00345884" w:rsidRDefault="00345884" w:rsidP="008D78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Pr>
                <w:rFonts w:eastAsia="PMingLiU"/>
                <w:sz w:val="22"/>
                <w:szCs w:val="22"/>
              </w:rPr>
              <w:t>FY 2022-05</w:t>
            </w:r>
          </w:p>
        </w:tc>
        <w:tc>
          <w:tcPr>
            <w:tcW w:w="1980" w:type="dxa"/>
          </w:tcPr>
          <w:p w14:paraId="6A91EAFF" w14:textId="77777777" w:rsidR="00345884" w:rsidRPr="005F6B67" w:rsidRDefault="00345884" w:rsidP="003458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i/>
                <w:iCs/>
                <w:sz w:val="22"/>
                <w:szCs w:val="22"/>
              </w:rPr>
            </w:pPr>
            <w:r w:rsidRPr="005F6B67">
              <w:rPr>
                <w:rFonts w:eastAsia="PMingLiU"/>
                <w:bCs/>
                <w:i/>
                <w:iCs/>
                <w:sz w:val="22"/>
                <w:szCs w:val="22"/>
              </w:rPr>
              <w:t>Worker Involvement</w:t>
            </w:r>
          </w:p>
          <w:p w14:paraId="7AF125F4" w14:textId="269379AB" w:rsidR="00345884" w:rsidRPr="00345884" w:rsidRDefault="00345884" w:rsidP="003458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345884">
              <w:rPr>
                <w:rFonts w:eastAsia="PMingLiU"/>
                <w:bCs/>
                <w:sz w:val="22"/>
                <w:szCs w:val="22"/>
              </w:rPr>
              <w:t xml:space="preserve">Twelve of the 23 (52%) safety case files reviewed lacked </w:t>
            </w:r>
            <w:r w:rsidRPr="00345884">
              <w:rPr>
                <w:rFonts w:eastAsia="PMingLiU"/>
                <w:bCs/>
                <w:sz w:val="22"/>
                <w:szCs w:val="22"/>
              </w:rPr>
              <w:lastRenderedPageBreak/>
              <w:t>documentation of worker interviews in OIS and/or in the field notes. Additionally, documentation was lacking that</w:t>
            </w:r>
          </w:p>
          <w:p w14:paraId="027D241F" w14:textId="1836BA89" w:rsidR="00345884" w:rsidRPr="00345884" w:rsidRDefault="00345884" w:rsidP="003458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345884">
              <w:rPr>
                <w:rFonts w:eastAsia="PMingLiU"/>
                <w:bCs/>
                <w:sz w:val="22"/>
                <w:szCs w:val="22"/>
              </w:rPr>
              <w:t>a representative number of</w:t>
            </w:r>
            <w:r w:rsidR="005F6B67">
              <w:rPr>
                <w:rFonts w:eastAsia="PMingLiU"/>
                <w:bCs/>
                <w:sz w:val="22"/>
                <w:szCs w:val="22"/>
              </w:rPr>
              <w:t xml:space="preserve"> </w:t>
            </w:r>
            <w:r w:rsidRPr="00345884">
              <w:rPr>
                <w:rFonts w:eastAsia="PMingLiU"/>
                <w:bCs/>
                <w:sz w:val="22"/>
                <w:szCs w:val="22"/>
              </w:rPr>
              <w:t xml:space="preserve">interviews were conducted to evaluate the working conditions. For example, in seven of the eight (88%) comprehensive inspections reviewed, there was no documentation that a </w:t>
            </w:r>
            <w:r w:rsidR="005F6B67">
              <w:rPr>
                <w:rFonts w:eastAsia="PMingLiU"/>
                <w:bCs/>
                <w:sz w:val="22"/>
                <w:szCs w:val="22"/>
              </w:rPr>
              <w:t>r</w:t>
            </w:r>
            <w:r w:rsidRPr="00345884">
              <w:rPr>
                <w:rFonts w:eastAsia="PMingLiU"/>
                <w:bCs/>
                <w:sz w:val="22"/>
                <w:szCs w:val="22"/>
              </w:rPr>
              <w:t>epresentative number of workers were interviewed, or there was only one worker interviewed in each case. In two of the six (33%) of the safety accidents investigated, the injured worker was not interviewed.</w:t>
            </w:r>
          </w:p>
          <w:p w14:paraId="35CBD250" w14:textId="77777777" w:rsidR="00345884" w:rsidRPr="00345884" w:rsidRDefault="00345884" w:rsidP="003458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345884">
              <w:rPr>
                <w:rFonts w:eastAsia="PMingLiU"/>
                <w:bCs/>
                <w:sz w:val="22"/>
                <w:szCs w:val="22"/>
              </w:rPr>
              <w:lastRenderedPageBreak/>
              <w:t>Sixteen out of 22 (73%) of the health case files lacked documentation of worker interviews in OIS and/or in the field notes. Additionally, documentation was lacking that a representative number of worker interviews were conducted to evaluate the working conditions. For example, in three out of the four (75%) health fatality inspections reviewed, only management representatives were interviewed. Other examples include in the other 13 health inspections, there</w:t>
            </w:r>
          </w:p>
          <w:p w14:paraId="00FD8831" w14:textId="393D0296" w:rsidR="00345884" w:rsidRPr="00345884" w:rsidRDefault="00345884" w:rsidP="003458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345884">
              <w:rPr>
                <w:rFonts w:eastAsia="PMingLiU"/>
                <w:bCs/>
                <w:sz w:val="22"/>
                <w:szCs w:val="22"/>
              </w:rPr>
              <w:t>were either no non- management employees</w:t>
            </w:r>
            <w:r>
              <w:t xml:space="preserve"> </w:t>
            </w:r>
            <w:r w:rsidRPr="00345884">
              <w:rPr>
                <w:rFonts w:eastAsia="PMingLiU"/>
                <w:bCs/>
                <w:sz w:val="22"/>
                <w:szCs w:val="22"/>
              </w:rPr>
              <w:t xml:space="preserve">interviewed, or only the union </w:t>
            </w:r>
            <w:r w:rsidRPr="00345884">
              <w:rPr>
                <w:rFonts w:eastAsia="PMingLiU"/>
                <w:bCs/>
                <w:sz w:val="22"/>
                <w:szCs w:val="22"/>
              </w:rPr>
              <w:lastRenderedPageBreak/>
              <w:t>representative and/or the complainant. One health complaint alleged hazards on the second shift for direct care patient staff, the union representative was interviewed, but it was unknown, if this person worked on the second shift, or was directly involved with patient care.</w:t>
            </w:r>
          </w:p>
        </w:tc>
        <w:tc>
          <w:tcPr>
            <w:tcW w:w="2520" w:type="dxa"/>
          </w:tcPr>
          <w:p w14:paraId="1E7D31B1" w14:textId="77777777" w:rsidR="005F6B67" w:rsidRPr="005F6B67" w:rsidRDefault="005F6B67" w:rsidP="005F6B6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5F6B67">
              <w:rPr>
                <w:rFonts w:eastAsia="PMingLiU"/>
                <w:bCs/>
                <w:sz w:val="22"/>
                <w:szCs w:val="22"/>
              </w:rPr>
              <w:lastRenderedPageBreak/>
              <w:t>PEOSH will follow the NJ PEOSH FOM to conduct and document employee interviews during inspections.</w:t>
            </w:r>
          </w:p>
          <w:p w14:paraId="195E8197" w14:textId="3B42D61B" w:rsidR="00345884" w:rsidRPr="00345884" w:rsidRDefault="00345884" w:rsidP="005F6B6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p>
        </w:tc>
        <w:tc>
          <w:tcPr>
            <w:tcW w:w="3605" w:type="dxa"/>
          </w:tcPr>
          <w:p w14:paraId="0250D546" w14:textId="77777777" w:rsidR="00345884" w:rsidRPr="00345884" w:rsidRDefault="00345884" w:rsidP="003458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345884">
              <w:rPr>
                <w:rFonts w:eastAsia="PMingLiU"/>
                <w:bCs/>
                <w:sz w:val="22"/>
                <w:szCs w:val="22"/>
              </w:rPr>
              <w:t>DOH PEOSH field staff have been advised that the off-site interviews conducted during the COVID-19</w:t>
            </w:r>
          </w:p>
          <w:p w14:paraId="0F839634" w14:textId="48C722BC" w:rsidR="005F6B67" w:rsidRPr="005F6B67" w:rsidRDefault="00345884" w:rsidP="005F6B6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345884">
              <w:rPr>
                <w:rFonts w:eastAsia="PMingLiU"/>
                <w:bCs/>
                <w:sz w:val="22"/>
                <w:szCs w:val="22"/>
              </w:rPr>
              <w:t>pandemic required</w:t>
            </w:r>
            <w:r w:rsidR="005F6B67">
              <w:rPr>
                <w:rFonts w:eastAsia="PMingLiU"/>
                <w:bCs/>
                <w:sz w:val="22"/>
                <w:szCs w:val="22"/>
              </w:rPr>
              <w:t xml:space="preserve"> </w:t>
            </w:r>
            <w:r w:rsidRPr="00345884">
              <w:rPr>
                <w:rFonts w:eastAsia="PMingLiU"/>
                <w:bCs/>
                <w:sz w:val="22"/>
                <w:szCs w:val="22"/>
              </w:rPr>
              <w:t>adequate follow</w:t>
            </w:r>
            <w:r w:rsidR="005F6B67">
              <w:rPr>
                <w:rFonts w:eastAsia="PMingLiU"/>
                <w:bCs/>
                <w:sz w:val="22"/>
                <w:szCs w:val="22"/>
              </w:rPr>
              <w:t xml:space="preserve"> </w:t>
            </w:r>
            <w:r w:rsidR="005F6B67" w:rsidRPr="005F6B67">
              <w:rPr>
                <w:rFonts w:eastAsia="PMingLiU"/>
                <w:bCs/>
                <w:sz w:val="22"/>
                <w:szCs w:val="22"/>
              </w:rPr>
              <w:t xml:space="preserve">through to ensure workers interviews were completed as best possible. Off- </w:t>
            </w:r>
            <w:r w:rsidR="005F6B67" w:rsidRPr="005F6B67">
              <w:rPr>
                <w:rFonts w:eastAsia="PMingLiU"/>
                <w:bCs/>
                <w:sz w:val="22"/>
                <w:szCs w:val="22"/>
              </w:rPr>
              <w:lastRenderedPageBreak/>
              <w:t>site investigation presented new challenges for enforcement staff and attempts were made but was not always followed through in terms of repeating attempts to contact workers for interviews.</w:t>
            </w:r>
          </w:p>
          <w:p w14:paraId="4626007D" w14:textId="77777777" w:rsidR="005F6B67" w:rsidRPr="005F6B67" w:rsidRDefault="005F6B67" w:rsidP="005F6B6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5F6B67">
              <w:rPr>
                <w:rFonts w:eastAsia="PMingLiU"/>
                <w:bCs/>
                <w:sz w:val="22"/>
                <w:szCs w:val="22"/>
              </w:rPr>
              <w:t>Staff have been advised that worker interviews are required to ensure all information is documented to the OIS and case file notes.</w:t>
            </w:r>
          </w:p>
          <w:p w14:paraId="3AED8CB5" w14:textId="77777777" w:rsidR="005F6B67" w:rsidRPr="005F6B67" w:rsidRDefault="005F6B67" w:rsidP="005F6B6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p>
          <w:p w14:paraId="1A9C2227" w14:textId="2C52EE42" w:rsidR="005F6B67" w:rsidRPr="005F6B67" w:rsidRDefault="005F6B67" w:rsidP="005F6B6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5F6B67">
              <w:rPr>
                <w:rFonts w:eastAsia="PMingLiU"/>
                <w:bCs/>
                <w:sz w:val="22"/>
                <w:szCs w:val="22"/>
              </w:rPr>
              <w:t>DOL PEOSH will ensure that employee interviews are conducted and documented accordingly. In cases where interviews could not be conducted</w:t>
            </w:r>
            <w:r>
              <w:rPr>
                <w:rFonts w:eastAsia="PMingLiU"/>
                <w:bCs/>
                <w:sz w:val="22"/>
                <w:szCs w:val="22"/>
              </w:rPr>
              <w:t xml:space="preserve"> </w:t>
            </w:r>
            <w:r w:rsidRPr="005F6B67">
              <w:rPr>
                <w:rFonts w:eastAsia="PMingLiU"/>
                <w:bCs/>
                <w:sz w:val="22"/>
                <w:szCs w:val="22"/>
              </w:rPr>
              <w:t>due to</w:t>
            </w:r>
            <w:r>
              <w:t xml:space="preserve"> </w:t>
            </w:r>
            <w:r w:rsidRPr="005F6B67">
              <w:rPr>
                <w:rFonts w:eastAsia="PMingLiU"/>
                <w:bCs/>
                <w:sz w:val="22"/>
                <w:szCs w:val="22"/>
              </w:rPr>
              <w:t>unavailability of employees or reluctance to be interviewed, the CSHO will also record accordingly.</w:t>
            </w:r>
          </w:p>
          <w:p w14:paraId="72D6FE11" w14:textId="77777777" w:rsidR="005F6B67" w:rsidRPr="005F6B67" w:rsidRDefault="005F6B67" w:rsidP="005F6B6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p>
          <w:p w14:paraId="3CDDD274" w14:textId="77777777" w:rsidR="005F6B67" w:rsidRPr="005F6B67" w:rsidRDefault="005F6B67" w:rsidP="005F6B6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5F6B67">
              <w:rPr>
                <w:rFonts w:eastAsia="PMingLiU"/>
                <w:bCs/>
                <w:sz w:val="22"/>
                <w:szCs w:val="22"/>
              </w:rPr>
              <w:t>DOL PEOSH makes every attempt to interview an injured worker and will properly document the circumstances when this cannot</w:t>
            </w:r>
          </w:p>
          <w:p w14:paraId="599E43C3" w14:textId="24DF84C8" w:rsidR="00345884" w:rsidRPr="00345884" w:rsidRDefault="005F6B67" w:rsidP="005F6B6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5F6B67">
              <w:rPr>
                <w:rFonts w:eastAsia="PMingLiU"/>
                <w:bCs/>
                <w:sz w:val="22"/>
                <w:szCs w:val="22"/>
              </w:rPr>
              <w:t>be achieved.</w:t>
            </w:r>
          </w:p>
        </w:tc>
        <w:tc>
          <w:tcPr>
            <w:tcW w:w="1548" w:type="dxa"/>
          </w:tcPr>
          <w:p w14:paraId="279A873D" w14:textId="315DEF32" w:rsidR="00345884" w:rsidRPr="00345884" w:rsidRDefault="001C0F12" w:rsidP="008D2CF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r w:rsidRPr="001C0F12">
              <w:rPr>
                <w:rFonts w:eastAsia="PMingLiU"/>
                <w:bCs/>
                <w:sz w:val="22"/>
                <w:szCs w:val="22"/>
              </w:rPr>
              <w:lastRenderedPageBreak/>
              <w:t>Not Applicable </w:t>
            </w:r>
          </w:p>
        </w:tc>
        <w:tc>
          <w:tcPr>
            <w:tcW w:w="2700" w:type="dxa"/>
          </w:tcPr>
          <w:p w14:paraId="46F14C15" w14:textId="16D90488" w:rsidR="00345884" w:rsidRDefault="00345884" w:rsidP="00D5071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p>
          <w:p w14:paraId="6E4306D3" w14:textId="2E5D45DA" w:rsidR="001C0F12" w:rsidRPr="000121EC" w:rsidRDefault="001C0F12" w:rsidP="00D5071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Pr>
                <w:rFonts w:eastAsia="PMingLiU"/>
                <w:bCs/>
                <w:sz w:val="22"/>
                <w:szCs w:val="22"/>
              </w:rPr>
              <w:t>(As of September 30, 2023)</w:t>
            </w:r>
          </w:p>
        </w:tc>
      </w:tr>
      <w:tr w:rsidR="005F6B67" w:rsidRPr="00345884" w14:paraId="7222B0BB" w14:textId="77777777" w:rsidTr="008D7842">
        <w:trPr>
          <w:trHeight w:val="385"/>
        </w:trPr>
        <w:tc>
          <w:tcPr>
            <w:tcW w:w="1705" w:type="dxa"/>
          </w:tcPr>
          <w:p w14:paraId="329D3FE4" w14:textId="68B836B7" w:rsidR="005F6B67" w:rsidRDefault="005F6B67" w:rsidP="008D78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Pr>
                <w:rFonts w:eastAsia="PMingLiU"/>
                <w:sz w:val="22"/>
                <w:szCs w:val="22"/>
              </w:rPr>
              <w:lastRenderedPageBreak/>
              <w:t>FY 2022-06</w:t>
            </w:r>
          </w:p>
        </w:tc>
        <w:tc>
          <w:tcPr>
            <w:tcW w:w="1980" w:type="dxa"/>
          </w:tcPr>
          <w:p w14:paraId="55A8E3EB" w14:textId="25F0DA40" w:rsidR="005F6B67" w:rsidRPr="00345884" w:rsidRDefault="005F6B67" w:rsidP="005F6B6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5F6B67">
              <w:rPr>
                <w:rFonts w:eastAsia="PMingLiU"/>
                <w:bCs/>
                <w:i/>
                <w:iCs/>
                <w:sz w:val="22"/>
                <w:szCs w:val="22"/>
              </w:rPr>
              <w:t xml:space="preserve">Consultation Case File Documentation </w:t>
            </w:r>
            <w:r w:rsidRPr="005F6B67">
              <w:rPr>
                <w:rFonts w:eastAsia="PMingLiU"/>
                <w:bCs/>
                <w:sz w:val="22"/>
                <w:szCs w:val="22"/>
              </w:rPr>
              <w:t>Consultation case file</w:t>
            </w:r>
            <w:r>
              <w:rPr>
                <w:rFonts w:eastAsia="PMingLiU"/>
                <w:bCs/>
                <w:sz w:val="22"/>
                <w:szCs w:val="22"/>
              </w:rPr>
              <w:t xml:space="preserve"> </w:t>
            </w:r>
            <w:r w:rsidRPr="005F6B67">
              <w:rPr>
                <w:rFonts w:eastAsia="PMingLiU"/>
                <w:bCs/>
                <w:sz w:val="22"/>
                <w:szCs w:val="22"/>
              </w:rPr>
              <w:t>documentation was lacking in consultation case files.</w:t>
            </w:r>
          </w:p>
        </w:tc>
        <w:tc>
          <w:tcPr>
            <w:tcW w:w="2520" w:type="dxa"/>
          </w:tcPr>
          <w:p w14:paraId="4B3CA342" w14:textId="77777777" w:rsidR="005F6B67" w:rsidRPr="005F6B67" w:rsidRDefault="005F6B67" w:rsidP="005F6B6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p>
        </w:tc>
        <w:tc>
          <w:tcPr>
            <w:tcW w:w="3605" w:type="dxa"/>
          </w:tcPr>
          <w:p w14:paraId="03840C75" w14:textId="583C1F9C" w:rsidR="005F6B67" w:rsidRPr="005F6B67" w:rsidRDefault="005F6B67" w:rsidP="005F6B6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5F6B67">
              <w:rPr>
                <w:rFonts w:eastAsia="PMingLiU"/>
                <w:bCs/>
                <w:sz w:val="22"/>
                <w:szCs w:val="22"/>
              </w:rPr>
              <w:t>NJ PEOSH</w:t>
            </w:r>
            <w:r>
              <w:rPr>
                <w:rFonts w:eastAsia="PMingLiU"/>
                <w:bCs/>
                <w:sz w:val="22"/>
                <w:szCs w:val="22"/>
              </w:rPr>
              <w:t xml:space="preserve"> </w:t>
            </w:r>
            <w:r w:rsidRPr="005F6B67">
              <w:rPr>
                <w:rFonts w:eastAsia="PMingLiU"/>
                <w:bCs/>
                <w:sz w:val="22"/>
                <w:szCs w:val="22"/>
              </w:rPr>
              <w:t>reformatted consultation case file tracking and review forms and modified case file closure processes. The new process is thorough and ensures completeness and accuracy of electronic case files through a three- layered review</w:t>
            </w:r>
          </w:p>
          <w:p w14:paraId="7050029A" w14:textId="7BDEA5EA" w:rsidR="005F6B67" w:rsidRPr="00345884" w:rsidRDefault="005F6B67" w:rsidP="005F6B6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sidRPr="005F6B67">
              <w:rPr>
                <w:rFonts w:eastAsia="PMingLiU"/>
                <w:bCs/>
                <w:sz w:val="22"/>
                <w:szCs w:val="22"/>
              </w:rPr>
              <w:t>process.</w:t>
            </w:r>
          </w:p>
        </w:tc>
        <w:tc>
          <w:tcPr>
            <w:tcW w:w="1548" w:type="dxa"/>
          </w:tcPr>
          <w:p w14:paraId="4880AFCD" w14:textId="051A0F93" w:rsidR="005F6B67" w:rsidRPr="00345884" w:rsidRDefault="001C0F12" w:rsidP="008D2CF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r w:rsidRPr="001C0F12">
              <w:rPr>
                <w:rFonts w:eastAsia="PMingLiU"/>
                <w:bCs/>
                <w:sz w:val="22"/>
                <w:szCs w:val="22"/>
              </w:rPr>
              <w:t>Not Applicable </w:t>
            </w:r>
          </w:p>
        </w:tc>
        <w:tc>
          <w:tcPr>
            <w:tcW w:w="2700" w:type="dxa"/>
          </w:tcPr>
          <w:p w14:paraId="7CECC1A9" w14:textId="2FC275D5" w:rsidR="005F6B67" w:rsidRDefault="001C0F12" w:rsidP="000121E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Pr>
                <w:rFonts w:eastAsia="PMingLiU"/>
                <w:bCs/>
                <w:sz w:val="22"/>
                <w:szCs w:val="22"/>
              </w:rPr>
              <w:t xml:space="preserve"> Open</w:t>
            </w:r>
          </w:p>
          <w:p w14:paraId="0BE52E02" w14:textId="39B09608" w:rsidR="001C0F12" w:rsidRPr="000121EC" w:rsidRDefault="001C0F12" w:rsidP="000121E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2"/>
                <w:szCs w:val="22"/>
              </w:rPr>
            </w:pPr>
            <w:r>
              <w:rPr>
                <w:rFonts w:eastAsia="PMingLiU"/>
                <w:bCs/>
                <w:sz w:val="22"/>
                <w:szCs w:val="22"/>
              </w:rPr>
              <w:t>(As of September 30, 2023)</w:t>
            </w:r>
          </w:p>
        </w:tc>
      </w:tr>
    </w:tbl>
    <w:p w14:paraId="50AAF440" w14:textId="77777777" w:rsidR="008D2CFC" w:rsidRPr="00345884" w:rsidRDefault="008D2CFC"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p>
    <w:p w14:paraId="13F237DE" w14:textId="77777777" w:rsidR="00D1582D" w:rsidRPr="00D1582D" w:rsidRDefault="00D1582D" w:rsidP="00171C6E">
      <w:pPr>
        <w:numPr>
          <w:ilvl w:val="0"/>
          <w:numId w:val="7"/>
        </w:num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i/>
        </w:rPr>
        <w:sectPr w:rsidR="00D1582D" w:rsidRPr="00D1582D" w:rsidSect="003441A2">
          <w:headerReference w:type="default" r:id="rId21"/>
          <w:footerReference w:type="default" r:id="rId22"/>
          <w:pgSz w:w="15840" w:h="12240" w:orient="landscape"/>
          <w:pgMar w:top="1440" w:right="1440" w:bottom="1440" w:left="1440" w:header="720" w:footer="720" w:gutter="0"/>
          <w:pgNumType w:start="1"/>
          <w:cols w:space="720"/>
          <w:rtlGutter/>
          <w:docGrid w:linePitch="360"/>
        </w:sectPr>
      </w:pPr>
    </w:p>
    <w:tbl>
      <w:tblPr>
        <w:tblStyle w:val="GridTable4"/>
        <w:tblW w:w="10795" w:type="dxa"/>
        <w:tblLook w:val="06A0" w:firstRow="1" w:lastRow="0" w:firstColumn="1" w:lastColumn="0" w:noHBand="1" w:noVBand="1"/>
        <w:tblCaption w:val="FY 20XX SAMM Report"/>
        <w:tblDescription w:val="Appendix D"/>
      </w:tblPr>
      <w:tblGrid>
        <w:gridCol w:w="1871"/>
        <w:gridCol w:w="2714"/>
        <w:gridCol w:w="1530"/>
        <w:gridCol w:w="1377"/>
        <w:gridCol w:w="3303"/>
      </w:tblGrid>
      <w:tr w:rsidR="007D14A3" w:rsidRPr="007D14A3" w14:paraId="4598BE58" w14:textId="77777777" w:rsidTr="007D14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71" w:type="dxa"/>
            <w:tcBorders>
              <w:right w:val="single" w:sz="4" w:space="0" w:color="000000" w:themeColor="text1"/>
            </w:tcBorders>
            <w:shd w:val="clear" w:color="auto" w:fill="DBE5F1" w:themeFill="accent1" w:themeFillTint="33"/>
          </w:tcPr>
          <w:p w14:paraId="54CB6EE2" w14:textId="065E4992" w:rsidR="00E77F65" w:rsidRPr="007D14A3"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val="0"/>
                <w:color w:val="000000" w:themeColor="text1"/>
              </w:rPr>
            </w:pPr>
            <w:r w:rsidRPr="007D14A3">
              <w:rPr>
                <w:rFonts w:eastAsia="PMingLiU"/>
                <w:bCs w:val="0"/>
                <w:color w:val="000000" w:themeColor="text1"/>
              </w:rPr>
              <w:lastRenderedPageBreak/>
              <w:t>State Plan: SAMM Number</w:t>
            </w:r>
          </w:p>
        </w:tc>
        <w:tc>
          <w:tcPr>
            <w:tcW w:w="2714" w:type="dxa"/>
            <w:tcBorders>
              <w:left w:val="single" w:sz="4" w:space="0" w:color="000000" w:themeColor="text1"/>
              <w:right w:val="single" w:sz="4" w:space="0" w:color="000000" w:themeColor="text1"/>
            </w:tcBorders>
            <w:shd w:val="clear" w:color="auto" w:fill="DBE5F1" w:themeFill="accent1" w:themeFillTint="33"/>
          </w:tcPr>
          <w:p w14:paraId="1B69C206" w14:textId="62211328" w:rsidR="00E77F65" w:rsidRPr="007D14A3"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bCs w:val="0"/>
                <w:color w:val="000000" w:themeColor="text1"/>
              </w:rPr>
            </w:pPr>
            <w:r w:rsidRPr="007D14A3">
              <w:rPr>
                <w:rFonts w:eastAsia="PMingLiU"/>
                <w:bCs w:val="0"/>
                <w:color w:val="000000" w:themeColor="text1"/>
              </w:rPr>
              <w:t>State Plan: SAMM Name</w:t>
            </w:r>
          </w:p>
        </w:tc>
        <w:tc>
          <w:tcPr>
            <w:tcW w:w="1530" w:type="dxa"/>
            <w:tcBorders>
              <w:left w:val="single" w:sz="4" w:space="0" w:color="000000" w:themeColor="text1"/>
              <w:right w:val="single" w:sz="4" w:space="0" w:color="000000" w:themeColor="text1"/>
            </w:tcBorders>
            <w:shd w:val="clear" w:color="auto" w:fill="DBE5F1" w:themeFill="accent1" w:themeFillTint="33"/>
          </w:tcPr>
          <w:p w14:paraId="43452590" w14:textId="4C54B83E" w:rsidR="00E77F65" w:rsidRPr="007D14A3"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bCs w:val="0"/>
                <w:color w:val="000000" w:themeColor="text1"/>
              </w:rPr>
            </w:pPr>
            <w:r w:rsidRPr="007D14A3">
              <w:rPr>
                <w:rFonts w:eastAsia="PMingLiU"/>
                <w:bCs w:val="0"/>
                <w:color w:val="000000" w:themeColor="text1"/>
              </w:rPr>
              <w:t>State Plan: Data</w:t>
            </w:r>
          </w:p>
        </w:tc>
        <w:tc>
          <w:tcPr>
            <w:tcW w:w="1377" w:type="dxa"/>
            <w:tcBorders>
              <w:left w:val="single" w:sz="4" w:space="0" w:color="000000" w:themeColor="text1"/>
              <w:right w:val="single" w:sz="4" w:space="0" w:color="000000" w:themeColor="text1"/>
            </w:tcBorders>
            <w:shd w:val="clear" w:color="auto" w:fill="DBE5F1" w:themeFill="accent1" w:themeFillTint="33"/>
          </w:tcPr>
          <w:p w14:paraId="4EBEE6CB" w14:textId="22C4582C" w:rsidR="00E77F65" w:rsidRPr="007D14A3"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bCs w:val="0"/>
                <w:color w:val="000000" w:themeColor="text1"/>
              </w:rPr>
            </w:pPr>
            <w:r w:rsidRPr="007D14A3">
              <w:rPr>
                <w:rFonts w:eastAsia="PMingLiU"/>
                <w:bCs w:val="0"/>
                <w:color w:val="000000" w:themeColor="text1"/>
              </w:rPr>
              <w:t>FY 20</w:t>
            </w:r>
            <w:r w:rsidR="00D723F0">
              <w:rPr>
                <w:rFonts w:eastAsia="PMingLiU"/>
                <w:bCs w:val="0"/>
                <w:color w:val="000000" w:themeColor="text1"/>
              </w:rPr>
              <w:t>23</w:t>
            </w:r>
            <w:r w:rsidRPr="007D14A3">
              <w:rPr>
                <w:rFonts w:eastAsia="PMingLiU"/>
                <w:bCs w:val="0"/>
                <w:color w:val="000000" w:themeColor="text1"/>
              </w:rPr>
              <w:br/>
              <w:t>Further Review Level</w:t>
            </w:r>
          </w:p>
        </w:tc>
        <w:tc>
          <w:tcPr>
            <w:tcW w:w="3303" w:type="dxa"/>
            <w:tcBorders>
              <w:left w:val="single" w:sz="4" w:space="0" w:color="000000" w:themeColor="text1"/>
            </w:tcBorders>
            <w:shd w:val="clear" w:color="auto" w:fill="DBE5F1" w:themeFill="accent1" w:themeFillTint="33"/>
          </w:tcPr>
          <w:p w14:paraId="0CA8DFA7" w14:textId="71EA029E" w:rsidR="00E77F65" w:rsidRPr="007D14A3"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bCs w:val="0"/>
                <w:color w:val="000000" w:themeColor="text1"/>
              </w:rPr>
            </w:pPr>
            <w:r w:rsidRPr="007D14A3">
              <w:rPr>
                <w:rFonts w:eastAsia="PMingLiU"/>
                <w:bCs w:val="0"/>
                <w:color w:val="000000" w:themeColor="text1"/>
              </w:rPr>
              <w:t>FY 20</w:t>
            </w:r>
            <w:r w:rsidR="00D723F0">
              <w:rPr>
                <w:rFonts w:eastAsia="PMingLiU"/>
                <w:bCs w:val="0"/>
                <w:color w:val="000000" w:themeColor="text1"/>
              </w:rPr>
              <w:t>23</w:t>
            </w:r>
            <w:r w:rsidRPr="007D14A3">
              <w:rPr>
                <w:rFonts w:eastAsia="PMingLiU"/>
                <w:bCs w:val="0"/>
                <w:color w:val="000000" w:themeColor="text1"/>
              </w:rPr>
              <w:br/>
              <w:t>Notes</w:t>
            </w:r>
          </w:p>
        </w:tc>
      </w:tr>
      <w:tr w:rsidR="00E77F65" w14:paraId="02F0937C"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0FCB040C" w14:textId="365A04F7"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1a</w:t>
            </w:r>
          </w:p>
        </w:tc>
        <w:tc>
          <w:tcPr>
            <w:tcW w:w="2714" w:type="dxa"/>
          </w:tcPr>
          <w:p w14:paraId="7A66FE2C" w14:textId="41E6EC96"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t xml:space="preserve">Average number of </w:t>
            </w:r>
            <w:r w:rsidR="0016478D">
              <w:t>workdays</w:t>
            </w:r>
            <w:r>
              <w:t xml:space="preserve"> to initiate complaint inspections (state formula)</w:t>
            </w:r>
          </w:p>
        </w:tc>
        <w:tc>
          <w:tcPr>
            <w:tcW w:w="1530" w:type="dxa"/>
          </w:tcPr>
          <w:p w14:paraId="5C31D891" w14:textId="52C35671" w:rsidR="00E77F65" w:rsidRPr="00D723F0" w:rsidRDefault="00D723F0"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5.42</w:t>
            </w:r>
          </w:p>
        </w:tc>
        <w:tc>
          <w:tcPr>
            <w:tcW w:w="1377" w:type="dxa"/>
          </w:tcPr>
          <w:p w14:paraId="7F4E12CE" w14:textId="0B346FA8" w:rsidR="00E77F65" w:rsidRPr="008265B6" w:rsidRDefault="00D723F0"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8265B6">
              <w:t>5 days for serious hazards; 120 days for other-than-serious hazards.</w:t>
            </w:r>
          </w:p>
        </w:tc>
        <w:tc>
          <w:tcPr>
            <w:tcW w:w="3303" w:type="dxa"/>
          </w:tcPr>
          <w:p w14:paraId="71346AC2" w14:textId="747B74B2" w:rsidR="00E77F65" w:rsidRPr="008265B6" w:rsidRDefault="00D723F0"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8265B6">
              <w:t>The further review level is negotiated by OSHA and the State Plan.</w:t>
            </w:r>
          </w:p>
        </w:tc>
      </w:tr>
      <w:tr w:rsidR="00E77F65" w14:paraId="60235BEC"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6256AB06" w14:textId="0058E398"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1b</w:t>
            </w:r>
          </w:p>
        </w:tc>
        <w:tc>
          <w:tcPr>
            <w:tcW w:w="2714" w:type="dxa"/>
          </w:tcPr>
          <w:p w14:paraId="31EC011D" w14:textId="041A9CBF"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t xml:space="preserve">Average number of </w:t>
            </w:r>
            <w:r w:rsidR="0016478D">
              <w:t>workdays</w:t>
            </w:r>
            <w:r>
              <w:t xml:space="preserve"> to initiate complaint inspections (federal formula)</w:t>
            </w:r>
          </w:p>
        </w:tc>
        <w:tc>
          <w:tcPr>
            <w:tcW w:w="1530" w:type="dxa"/>
          </w:tcPr>
          <w:p w14:paraId="45F390A6" w14:textId="2C06ECD9" w:rsidR="00E77F65" w:rsidRPr="00D723F0" w:rsidRDefault="00D723F0"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2.08</w:t>
            </w:r>
          </w:p>
        </w:tc>
        <w:tc>
          <w:tcPr>
            <w:tcW w:w="1377" w:type="dxa"/>
          </w:tcPr>
          <w:p w14:paraId="2C01055A" w14:textId="26094FDF" w:rsidR="00E77F65" w:rsidRPr="00D723F0" w:rsidRDefault="00D723F0"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N/A</w:t>
            </w:r>
          </w:p>
        </w:tc>
        <w:tc>
          <w:tcPr>
            <w:tcW w:w="3303" w:type="dxa"/>
          </w:tcPr>
          <w:p w14:paraId="3E370764" w14:textId="7DB0CEE7" w:rsidR="00E77F65" w:rsidRPr="00D723F0" w:rsidRDefault="00D723F0"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D723F0">
              <w:rPr>
                <w:rFonts w:eastAsia="PMingLiU"/>
                <w:bCs/>
              </w:rPr>
              <w:t>This measure is for informational purposes only and is not a mandated measure.</w:t>
            </w:r>
          </w:p>
        </w:tc>
      </w:tr>
      <w:tr w:rsidR="00E77F65" w14:paraId="65E4EAA1"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478A4958" w14:textId="7EBE7D5E"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2a</w:t>
            </w:r>
          </w:p>
        </w:tc>
        <w:tc>
          <w:tcPr>
            <w:tcW w:w="2714" w:type="dxa"/>
          </w:tcPr>
          <w:p w14:paraId="1F2CA24B" w14:textId="5A765819"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t xml:space="preserve">Average number of </w:t>
            </w:r>
            <w:r w:rsidR="0016478D">
              <w:t>workdays</w:t>
            </w:r>
            <w:r>
              <w:t xml:space="preserve"> to initiate complaint investigations (state formula)</w:t>
            </w:r>
          </w:p>
        </w:tc>
        <w:tc>
          <w:tcPr>
            <w:tcW w:w="1530" w:type="dxa"/>
          </w:tcPr>
          <w:p w14:paraId="0E5ACB40" w14:textId="5C3D0D2F" w:rsidR="00E77F65" w:rsidRPr="00D723F0" w:rsidRDefault="00D723F0"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0.54</w:t>
            </w:r>
          </w:p>
        </w:tc>
        <w:tc>
          <w:tcPr>
            <w:tcW w:w="1377" w:type="dxa"/>
          </w:tcPr>
          <w:p w14:paraId="4C340BF9" w14:textId="106AFD37" w:rsidR="00E77F65" w:rsidRPr="00D723F0" w:rsidRDefault="00D723F0"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1</w:t>
            </w:r>
          </w:p>
        </w:tc>
        <w:tc>
          <w:tcPr>
            <w:tcW w:w="3303" w:type="dxa"/>
          </w:tcPr>
          <w:p w14:paraId="03BC325E" w14:textId="4F1F2957" w:rsidR="00E77F65" w:rsidRPr="00D723F0" w:rsidRDefault="00D723F0"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D723F0">
              <w:rPr>
                <w:rFonts w:eastAsia="PMingLiU"/>
                <w:bCs/>
              </w:rPr>
              <w:t>The further review level is negotiated by OSHA and the State Plan.</w:t>
            </w:r>
          </w:p>
        </w:tc>
      </w:tr>
      <w:tr w:rsidR="00E77F65" w14:paraId="0589A036"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1A0A2252" w14:textId="60AFC138"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2b</w:t>
            </w:r>
          </w:p>
        </w:tc>
        <w:tc>
          <w:tcPr>
            <w:tcW w:w="2714" w:type="dxa"/>
          </w:tcPr>
          <w:p w14:paraId="11D3529F" w14:textId="76AA2862"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1D6EBE">
              <w:t xml:space="preserve">Average number of </w:t>
            </w:r>
            <w:r w:rsidR="0016478D" w:rsidRPr="001D6EBE">
              <w:t>workdays</w:t>
            </w:r>
            <w:r w:rsidRPr="001D6EBE">
              <w:t xml:space="preserve"> </w:t>
            </w:r>
            <w:r>
              <w:t>to initiate complaint investigation</w:t>
            </w:r>
            <w:r w:rsidRPr="001D6EBE">
              <w:t>s (federal formula)</w:t>
            </w:r>
          </w:p>
        </w:tc>
        <w:tc>
          <w:tcPr>
            <w:tcW w:w="1530" w:type="dxa"/>
          </w:tcPr>
          <w:p w14:paraId="73156564" w14:textId="2389A5C4" w:rsidR="00E77F65" w:rsidRPr="00D723F0" w:rsidRDefault="00D723F0"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0.29</w:t>
            </w:r>
          </w:p>
        </w:tc>
        <w:tc>
          <w:tcPr>
            <w:tcW w:w="1377" w:type="dxa"/>
          </w:tcPr>
          <w:p w14:paraId="16DFA00C" w14:textId="0D378F32" w:rsidR="00E77F65" w:rsidRPr="00D723F0" w:rsidRDefault="00D723F0"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N/A</w:t>
            </w:r>
          </w:p>
        </w:tc>
        <w:tc>
          <w:tcPr>
            <w:tcW w:w="3303" w:type="dxa"/>
          </w:tcPr>
          <w:p w14:paraId="1C0BA36F" w14:textId="36B54B0D" w:rsidR="00E77F65" w:rsidRPr="00D723F0" w:rsidRDefault="00D723F0"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D723F0">
              <w:rPr>
                <w:rFonts w:eastAsia="PMingLiU"/>
                <w:bCs/>
              </w:rPr>
              <w:t>This measure is for informational purposes only and is not a mandated measure.</w:t>
            </w:r>
          </w:p>
        </w:tc>
      </w:tr>
      <w:tr w:rsidR="00E77F65" w14:paraId="0127C046"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0BD3E4A7" w14:textId="3CFB82EB"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3</w:t>
            </w:r>
          </w:p>
        </w:tc>
        <w:tc>
          <w:tcPr>
            <w:tcW w:w="2714" w:type="dxa"/>
          </w:tcPr>
          <w:p w14:paraId="5AF79483" w14:textId="359AFE4E"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t>Percent of complaints and referrals responded to within one workday (imminent danger)</w:t>
            </w:r>
          </w:p>
        </w:tc>
        <w:tc>
          <w:tcPr>
            <w:tcW w:w="1530" w:type="dxa"/>
          </w:tcPr>
          <w:p w14:paraId="6709481E" w14:textId="735F175A" w:rsidR="00E77F65" w:rsidRPr="00D723F0" w:rsidRDefault="00D723F0"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D723F0">
              <w:rPr>
                <w:rFonts w:eastAsia="PMingLiU"/>
                <w:bCs/>
              </w:rPr>
              <w:t>100%</w:t>
            </w:r>
          </w:p>
        </w:tc>
        <w:tc>
          <w:tcPr>
            <w:tcW w:w="1377" w:type="dxa"/>
          </w:tcPr>
          <w:p w14:paraId="6A20A1A1" w14:textId="1A091EC1" w:rsidR="00E77F65" w:rsidRPr="00D723F0" w:rsidRDefault="00D723F0"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D723F0">
              <w:rPr>
                <w:rFonts w:eastAsia="PMingLiU"/>
                <w:bCs/>
              </w:rPr>
              <w:t>100%</w:t>
            </w:r>
          </w:p>
        </w:tc>
        <w:tc>
          <w:tcPr>
            <w:tcW w:w="3303" w:type="dxa"/>
          </w:tcPr>
          <w:p w14:paraId="00E58B90" w14:textId="16EFC8D7" w:rsidR="00E77F65" w:rsidRPr="00D723F0" w:rsidRDefault="00D723F0"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D723F0">
              <w:rPr>
                <w:rFonts w:eastAsia="PMingLiU"/>
                <w:bCs/>
              </w:rPr>
              <w:t>The further review level is fixed for all State Plans.</w:t>
            </w:r>
          </w:p>
        </w:tc>
      </w:tr>
      <w:tr w:rsidR="00E77F65" w14:paraId="4EFDB1BB"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6D07F04E" w14:textId="17DA534E"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4</w:t>
            </w:r>
          </w:p>
        </w:tc>
        <w:tc>
          <w:tcPr>
            <w:tcW w:w="2714" w:type="dxa"/>
          </w:tcPr>
          <w:p w14:paraId="649AD27C" w14:textId="57D0E33D"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t>Number of denials where entry not obtained</w:t>
            </w:r>
          </w:p>
        </w:tc>
        <w:tc>
          <w:tcPr>
            <w:tcW w:w="1530" w:type="dxa"/>
          </w:tcPr>
          <w:p w14:paraId="2289D12A" w14:textId="48051F9C" w:rsidR="00E77F65" w:rsidRPr="00D723F0" w:rsidRDefault="00D723F0"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0</w:t>
            </w:r>
          </w:p>
        </w:tc>
        <w:tc>
          <w:tcPr>
            <w:tcW w:w="1377" w:type="dxa"/>
          </w:tcPr>
          <w:p w14:paraId="1C2A043D" w14:textId="079A8994" w:rsidR="00E77F65" w:rsidRPr="00D723F0" w:rsidRDefault="00D723F0"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0</w:t>
            </w:r>
          </w:p>
        </w:tc>
        <w:tc>
          <w:tcPr>
            <w:tcW w:w="3303" w:type="dxa"/>
          </w:tcPr>
          <w:p w14:paraId="12F152AF" w14:textId="2536F296" w:rsidR="00E77F65" w:rsidRPr="00D723F0" w:rsidRDefault="00D723F0"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D723F0">
              <w:rPr>
                <w:rFonts w:eastAsia="PMingLiU"/>
                <w:bCs/>
              </w:rPr>
              <w:t>The further review level is fixed for all State Plans.</w:t>
            </w:r>
          </w:p>
        </w:tc>
      </w:tr>
      <w:tr w:rsidR="00E77F65" w14:paraId="60ECCE07"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75982893" w14:textId="44E20B32"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5</w:t>
            </w:r>
            <w:r w:rsidR="00D723F0">
              <w:rPr>
                <w:rFonts w:eastAsia="PMingLiU"/>
                <w:b w:val="0"/>
              </w:rPr>
              <w:t>a</w:t>
            </w:r>
          </w:p>
        </w:tc>
        <w:tc>
          <w:tcPr>
            <w:tcW w:w="2714" w:type="dxa"/>
          </w:tcPr>
          <w:p w14:paraId="695980D7" w14:textId="2C489C22"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t>Average number of violations per inspection with violations by violation type</w:t>
            </w:r>
            <w:r w:rsidR="00D723F0">
              <w:t xml:space="preserve"> (SWRU)</w:t>
            </w:r>
          </w:p>
        </w:tc>
        <w:tc>
          <w:tcPr>
            <w:tcW w:w="1530" w:type="dxa"/>
          </w:tcPr>
          <w:p w14:paraId="29B0B89C" w14:textId="70EC0E10" w:rsidR="00E77F65" w:rsidRPr="00D723F0" w:rsidRDefault="00D723F0"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D723F0">
              <w:rPr>
                <w:rFonts w:eastAsia="PMingLiU"/>
                <w:bCs/>
              </w:rPr>
              <w:t>4.47</w:t>
            </w:r>
          </w:p>
        </w:tc>
        <w:tc>
          <w:tcPr>
            <w:tcW w:w="1377" w:type="dxa"/>
          </w:tcPr>
          <w:p w14:paraId="7BA6FFDA" w14:textId="443B0FC6" w:rsidR="00E77F65" w:rsidRPr="00D723F0" w:rsidRDefault="00D723F0"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D723F0">
              <w:rPr>
                <w:rFonts w:eastAsia="PMingLiU"/>
                <w:bCs/>
              </w:rPr>
              <w:t>+/- 20% of 1.75</w:t>
            </w:r>
          </w:p>
        </w:tc>
        <w:tc>
          <w:tcPr>
            <w:tcW w:w="3303" w:type="dxa"/>
          </w:tcPr>
          <w:p w14:paraId="50B23D77" w14:textId="318E8DC8" w:rsidR="00E77F65" w:rsidRPr="00D723F0" w:rsidRDefault="00D723F0"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D723F0">
              <w:rPr>
                <w:rFonts w:eastAsia="PMingLiU"/>
                <w:bCs/>
              </w:rPr>
              <w:t>The further review level is based on a three-year national average.  The range of acceptable data not requiring further review is from 1.40 to 2.10 for SWRU.</w:t>
            </w:r>
          </w:p>
        </w:tc>
      </w:tr>
      <w:tr w:rsidR="00D723F0" w14:paraId="11616421"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0E4886FD" w14:textId="375C9B63" w:rsidR="00D723F0" w:rsidRPr="00D723F0" w:rsidRDefault="00D723F0"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bCs w:val="0"/>
              </w:rPr>
            </w:pPr>
            <w:r>
              <w:rPr>
                <w:rFonts w:eastAsia="PMingLiU"/>
                <w:b w:val="0"/>
                <w:bCs w:val="0"/>
              </w:rPr>
              <w:t>5b</w:t>
            </w:r>
          </w:p>
        </w:tc>
        <w:tc>
          <w:tcPr>
            <w:tcW w:w="2714" w:type="dxa"/>
          </w:tcPr>
          <w:p w14:paraId="0F6F5056" w14:textId="24126331" w:rsidR="00D723F0" w:rsidRDefault="00D723F0"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D723F0">
              <w:t>Average number of violations per inspection with violations by violation type (other)</w:t>
            </w:r>
          </w:p>
        </w:tc>
        <w:tc>
          <w:tcPr>
            <w:tcW w:w="1530" w:type="dxa"/>
          </w:tcPr>
          <w:p w14:paraId="3C69B51B" w14:textId="50942DA4" w:rsidR="00D723F0" w:rsidRPr="00D723F0" w:rsidRDefault="00D723F0"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2.55</w:t>
            </w:r>
          </w:p>
        </w:tc>
        <w:tc>
          <w:tcPr>
            <w:tcW w:w="1377" w:type="dxa"/>
          </w:tcPr>
          <w:p w14:paraId="3E5599AF" w14:textId="3727C77B" w:rsidR="00D723F0" w:rsidRPr="00D723F0" w:rsidRDefault="00D723F0"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D723F0">
              <w:rPr>
                <w:rFonts w:eastAsia="PMingLiU"/>
                <w:bCs/>
              </w:rPr>
              <w:t>+/- 20% of 0.89</w:t>
            </w:r>
          </w:p>
        </w:tc>
        <w:tc>
          <w:tcPr>
            <w:tcW w:w="3303" w:type="dxa"/>
          </w:tcPr>
          <w:p w14:paraId="74F5B659" w14:textId="31B81692" w:rsidR="00D723F0" w:rsidRPr="00D723F0" w:rsidRDefault="00D723F0"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D723F0">
              <w:rPr>
                <w:rFonts w:eastAsia="PMingLiU"/>
                <w:bCs/>
              </w:rPr>
              <w:t>The further review level is based on a three-year national average.  The range of acceptable data not requiring further review is from 0.71 to 1.07 for OTS.</w:t>
            </w:r>
          </w:p>
        </w:tc>
      </w:tr>
      <w:tr w:rsidR="00E77F65" w14:paraId="42523D40"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77A8CD8A" w14:textId="6ABF2476"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lastRenderedPageBreak/>
              <w:t>6</w:t>
            </w:r>
          </w:p>
        </w:tc>
        <w:tc>
          <w:tcPr>
            <w:tcW w:w="2714" w:type="dxa"/>
          </w:tcPr>
          <w:p w14:paraId="21E20FA9" w14:textId="476F06A1"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t xml:space="preserve">Percent of total inspections in </w:t>
            </w:r>
            <w:r w:rsidRPr="009D212B">
              <w:t>state and local government</w:t>
            </w:r>
            <w:r>
              <w:t xml:space="preserve"> workplaces</w:t>
            </w:r>
          </w:p>
        </w:tc>
        <w:tc>
          <w:tcPr>
            <w:tcW w:w="1530" w:type="dxa"/>
          </w:tcPr>
          <w:p w14:paraId="787F88DA" w14:textId="010A702D" w:rsidR="00E77F65" w:rsidRPr="004C375B" w:rsidRDefault="004C375B"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4C375B">
              <w:rPr>
                <w:rFonts w:eastAsia="PMingLiU"/>
                <w:bCs/>
              </w:rPr>
              <w:t>100%</w:t>
            </w:r>
          </w:p>
        </w:tc>
        <w:tc>
          <w:tcPr>
            <w:tcW w:w="1377" w:type="dxa"/>
          </w:tcPr>
          <w:p w14:paraId="4FB217D1" w14:textId="75FA6B0F" w:rsidR="00E77F65" w:rsidRPr="004C375B" w:rsidRDefault="004C375B"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4C375B">
              <w:rPr>
                <w:rFonts w:eastAsia="PMingLiU"/>
                <w:bCs/>
              </w:rPr>
              <w:t>100%</w:t>
            </w:r>
          </w:p>
        </w:tc>
        <w:tc>
          <w:tcPr>
            <w:tcW w:w="3303" w:type="dxa"/>
          </w:tcPr>
          <w:p w14:paraId="7E489A3E" w14:textId="35DF2220" w:rsidR="00E77F65" w:rsidRPr="004C375B" w:rsidRDefault="004C375B"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4C375B">
              <w:rPr>
                <w:rFonts w:eastAsia="PMingLiU"/>
                <w:bCs/>
              </w:rPr>
              <w:t>Since this is a State and Local Government State Plan, all inspections are in state and local government workplaces.</w:t>
            </w:r>
          </w:p>
        </w:tc>
      </w:tr>
      <w:tr w:rsidR="00E77F65" w14:paraId="2A31DD61"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68049C7C" w14:textId="4128AD1D"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7</w:t>
            </w:r>
            <w:r w:rsidR="004C375B">
              <w:rPr>
                <w:rFonts w:eastAsia="PMingLiU"/>
                <w:b w:val="0"/>
              </w:rPr>
              <w:t>a</w:t>
            </w:r>
          </w:p>
        </w:tc>
        <w:tc>
          <w:tcPr>
            <w:tcW w:w="2714" w:type="dxa"/>
          </w:tcPr>
          <w:p w14:paraId="13F431E4" w14:textId="7EB20DD8"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t>Planned v. actual inspections</w:t>
            </w:r>
            <w:r w:rsidR="004C375B">
              <w:t xml:space="preserve"> (</w:t>
            </w:r>
            <w:r>
              <w:t>safety</w:t>
            </w:r>
            <w:r w:rsidR="004C375B">
              <w:t>)</w:t>
            </w:r>
          </w:p>
        </w:tc>
        <w:tc>
          <w:tcPr>
            <w:tcW w:w="1530" w:type="dxa"/>
          </w:tcPr>
          <w:p w14:paraId="1A2AC070" w14:textId="11DCD945" w:rsidR="00E77F65" w:rsidRPr="004C375B" w:rsidRDefault="004C375B"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4C375B">
              <w:rPr>
                <w:rFonts w:eastAsia="PMingLiU"/>
                <w:bCs/>
              </w:rPr>
              <w:t>360</w:t>
            </w:r>
          </w:p>
        </w:tc>
        <w:tc>
          <w:tcPr>
            <w:tcW w:w="1377" w:type="dxa"/>
          </w:tcPr>
          <w:p w14:paraId="104E29D8" w14:textId="77777777" w:rsidR="004C375B" w:rsidRPr="004C375B" w:rsidRDefault="004C375B" w:rsidP="004C375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4C375B">
              <w:rPr>
                <w:rFonts w:eastAsia="PMingLiU"/>
                <w:bCs/>
              </w:rPr>
              <w:t xml:space="preserve">+/- 5% of </w:t>
            </w:r>
          </w:p>
          <w:p w14:paraId="75253C89" w14:textId="21A7EDCE" w:rsidR="00E77F65" w:rsidRDefault="004C375B" w:rsidP="004C375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4C375B">
              <w:rPr>
                <w:rFonts w:eastAsia="PMingLiU"/>
                <w:bCs/>
              </w:rPr>
              <w:t>400</w:t>
            </w:r>
          </w:p>
        </w:tc>
        <w:tc>
          <w:tcPr>
            <w:tcW w:w="3303" w:type="dxa"/>
          </w:tcPr>
          <w:p w14:paraId="30904849" w14:textId="514294E2" w:rsidR="00E77F65" w:rsidRPr="004C375B" w:rsidRDefault="004C375B"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4C375B">
              <w:rPr>
                <w:rFonts w:eastAsia="PMingLiU"/>
                <w:bCs/>
              </w:rPr>
              <w:t>The further review level is based on a number negotiated by OSHA and the State Plan through the grant application.  The range of acceptable data not requiring further review is from 380 to 420 for safety.</w:t>
            </w:r>
          </w:p>
        </w:tc>
      </w:tr>
      <w:tr w:rsidR="004C375B" w14:paraId="5DA5EEC6"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0CB6B168" w14:textId="5B54FBAC" w:rsidR="004C375B" w:rsidRPr="004C375B" w:rsidRDefault="004C375B"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bCs w:val="0"/>
              </w:rPr>
            </w:pPr>
            <w:r>
              <w:rPr>
                <w:rFonts w:eastAsia="PMingLiU"/>
                <w:b w:val="0"/>
                <w:bCs w:val="0"/>
              </w:rPr>
              <w:t>7b</w:t>
            </w:r>
          </w:p>
        </w:tc>
        <w:tc>
          <w:tcPr>
            <w:tcW w:w="2714" w:type="dxa"/>
          </w:tcPr>
          <w:p w14:paraId="57C0A1DF" w14:textId="44AC1AFC" w:rsidR="004C375B" w:rsidRDefault="004C375B"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4C375B">
              <w:t>Planned v. actual inspections</w:t>
            </w:r>
            <w:r>
              <w:t xml:space="preserve"> (health)</w:t>
            </w:r>
          </w:p>
        </w:tc>
        <w:tc>
          <w:tcPr>
            <w:tcW w:w="1530" w:type="dxa"/>
          </w:tcPr>
          <w:p w14:paraId="140EBF9B" w14:textId="1C16DA9A" w:rsidR="004C375B" w:rsidRPr="004C375B" w:rsidRDefault="004C375B"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94</w:t>
            </w:r>
          </w:p>
        </w:tc>
        <w:tc>
          <w:tcPr>
            <w:tcW w:w="1377" w:type="dxa"/>
          </w:tcPr>
          <w:p w14:paraId="32B11685" w14:textId="77777777" w:rsidR="004C375B" w:rsidRPr="004C375B" w:rsidRDefault="004C375B" w:rsidP="004C375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4C375B">
              <w:rPr>
                <w:rFonts w:eastAsia="PMingLiU"/>
                <w:bCs/>
              </w:rPr>
              <w:t xml:space="preserve">+/- 5% of </w:t>
            </w:r>
          </w:p>
          <w:p w14:paraId="14D95DC0" w14:textId="4EB9C029" w:rsidR="004C375B" w:rsidRDefault="004C375B" w:rsidP="004C375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4C375B">
              <w:rPr>
                <w:rFonts w:eastAsia="PMingLiU"/>
                <w:bCs/>
              </w:rPr>
              <w:t>125</w:t>
            </w:r>
          </w:p>
        </w:tc>
        <w:tc>
          <w:tcPr>
            <w:tcW w:w="3303" w:type="dxa"/>
          </w:tcPr>
          <w:p w14:paraId="71EE4A51" w14:textId="59D4D335" w:rsidR="004C375B" w:rsidRPr="004C375B" w:rsidRDefault="004C375B"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4C375B">
              <w:rPr>
                <w:rFonts w:eastAsia="PMingLiU"/>
                <w:bCs/>
              </w:rPr>
              <w:t>The further review level is based on a number negotiated by OSHA and the State Plan through the grant application.  The range of acceptable data not requiring further review is from 118.75 to 131.25 for health.</w:t>
            </w:r>
          </w:p>
        </w:tc>
      </w:tr>
      <w:tr w:rsidR="00E77F65" w14:paraId="7AB847FB"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5606A94E" w14:textId="4B694BA3"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8</w:t>
            </w:r>
          </w:p>
        </w:tc>
        <w:tc>
          <w:tcPr>
            <w:tcW w:w="2714" w:type="dxa"/>
          </w:tcPr>
          <w:p w14:paraId="5899F1B9" w14:textId="13C9AD11"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t>Average current serious penalty in private sector - total (1 to greater than 250 workers)</w:t>
            </w:r>
          </w:p>
        </w:tc>
        <w:tc>
          <w:tcPr>
            <w:tcW w:w="1530" w:type="dxa"/>
          </w:tcPr>
          <w:p w14:paraId="24DB1EA0" w14:textId="160702C5" w:rsidR="00E77F65" w:rsidRPr="004C375B" w:rsidRDefault="004C375B"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N/A</w:t>
            </w:r>
          </w:p>
        </w:tc>
        <w:tc>
          <w:tcPr>
            <w:tcW w:w="1377" w:type="dxa"/>
          </w:tcPr>
          <w:p w14:paraId="46E4A30E" w14:textId="77777777" w:rsidR="004C375B" w:rsidRPr="004C375B" w:rsidRDefault="004C375B" w:rsidP="004C375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4C375B">
              <w:rPr>
                <w:rFonts w:eastAsia="PMingLiU"/>
                <w:bCs/>
              </w:rPr>
              <w:t xml:space="preserve">+/- 25% of </w:t>
            </w:r>
          </w:p>
          <w:p w14:paraId="0532A07E" w14:textId="4C502CD9" w:rsidR="00E77F65" w:rsidRPr="004C375B" w:rsidRDefault="004C375B" w:rsidP="004C375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4C375B">
              <w:rPr>
                <w:rFonts w:eastAsia="PMingLiU"/>
                <w:bCs/>
              </w:rPr>
              <w:t>$3,625.21</w:t>
            </w:r>
          </w:p>
        </w:tc>
        <w:tc>
          <w:tcPr>
            <w:tcW w:w="3303" w:type="dxa"/>
          </w:tcPr>
          <w:p w14:paraId="5DF61B53" w14:textId="77777777" w:rsidR="004C375B" w:rsidRPr="004C375B" w:rsidRDefault="004C375B" w:rsidP="004C375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4C375B">
              <w:rPr>
                <w:rFonts w:eastAsia="PMingLiU"/>
                <w:bCs/>
              </w:rPr>
              <w:t>N/A – This is a State and Local Government State Plan.</w:t>
            </w:r>
          </w:p>
          <w:p w14:paraId="45832907" w14:textId="77777777" w:rsidR="004C375B" w:rsidRPr="004C375B" w:rsidRDefault="004C375B" w:rsidP="004C375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p>
          <w:p w14:paraId="0243B661" w14:textId="53C9BE45" w:rsidR="00E77F65" w:rsidRDefault="004C375B" w:rsidP="004C375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4C375B">
              <w:rPr>
                <w:rFonts w:eastAsia="PMingLiU"/>
                <w:bCs/>
              </w:rPr>
              <w:t>The further review level is based on a three-year national average.</w:t>
            </w:r>
          </w:p>
        </w:tc>
      </w:tr>
      <w:tr w:rsidR="00E77F65" w14:paraId="55367220"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08A0BC4B" w14:textId="77777777"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p>
        </w:tc>
        <w:tc>
          <w:tcPr>
            <w:tcW w:w="2714" w:type="dxa"/>
          </w:tcPr>
          <w:p w14:paraId="1BCBD2B6" w14:textId="77777777" w:rsidR="00E77F65" w:rsidRDefault="00E77F65" w:rsidP="00E77F65">
            <w:pPr>
              <w:cnfStyle w:val="000000000000" w:firstRow="0" w:lastRow="0" w:firstColumn="0" w:lastColumn="0" w:oddVBand="0" w:evenVBand="0" w:oddHBand="0" w:evenHBand="0" w:firstRowFirstColumn="0" w:firstRowLastColumn="0" w:lastRowFirstColumn="0" w:lastRowLastColumn="0"/>
            </w:pPr>
            <w:r w:rsidRPr="009D212B">
              <w:rPr>
                <w:b/>
              </w:rPr>
              <w:t>a</w:t>
            </w:r>
            <w:r>
              <w:t>.  Average current serious penalty in private sector</w:t>
            </w:r>
          </w:p>
          <w:p w14:paraId="19644DA9" w14:textId="755F50ED" w:rsidR="00E77F65" w:rsidRDefault="00E77F65" w:rsidP="00E77F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t xml:space="preserve"> (1-25 </w:t>
            </w:r>
            <w:r w:rsidRPr="009D212B">
              <w:t>workers</w:t>
            </w:r>
            <w:r>
              <w:t>)</w:t>
            </w:r>
          </w:p>
        </w:tc>
        <w:tc>
          <w:tcPr>
            <w:tcW w:w="1530" w:type="dxa"/>
          </w:tcPr>
          <w:p w14:paraId="3803F9A7" w14:textId="0C611C98" w:rsidR="00E77F65" w:rsidRPr="004C375B" w:rsidRDefault="004C375B"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4C375B">
              <w:rPr>
                <w:rFonts w:eastAsia="PMingLiU"/>
                <w:bCs/>
              </w:rPr>
              <w:t>N/A</w:t>
            </w:r>
          </w:p>
        </w:tc>
        <w:tc>
          <w:tcPr>
            <w:tcW w:w="1377" w:type="dxa"/>
          </w:tcPr>
          <w:p w14:paraId="417B7A98" w14:textId="77777777" w:rsidR="004C375B" w:rsidRPr="004C375B" w:rsidRDefault="004C375B" w:rsidP="004C375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4C375B">
              <w:rPr>
                <w:rFonts w:eastAsia="PMingLiU"/>
                <w:bCs/>
              </w:rPr>
              <w:t xml:space="preserve">+/- 25% of </w:t>
            </w:r>
          </w:p>
          <w:p w14:paraId="0B8D4A6C" w14:textId="391AF54E" w:rsidR="00E77F65" w:rsidRPr="004C375B" w:rsidRDefault="004C375B" w:rsidP="004C375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4C375B">
              <w:rPr>
                <w:rFonts w:eastAsia="PMingLiU"/>
                <w:bCs/>
              </w:rPr>
              <w:t>$2,348.03</w:t>
            </w:r>
          </w:p>
        </w:tc>
        <w:tc>
          <w:tcPr>
            <w:tcW w:w="3303" w:type="dxa"/>
          </w:tcPr>
          <w:p w14:paraId="013D5A47" w14:textId="77777777" w:rsidR="004C375B" w:rsidRPr="004C375B" w:rsidRDefault="004C375B" w:rsidP="004C375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4C375B">
              <w:rPr>
                <w:rFonts w:eastAsia="PMingLiU"/>
                <w:bCs/>
              </w:rPr>
              <w:t>N/A – This is a State and Local Government State Plan.</w:t>
            </w:r>
          </w:p>
          <w:p w14:paraId="29BD1868" w14:textId="77777777" w:rsidR="004C375B" w:rsidRPr="004C375B" w:rsidRDefault="004C375B" w:rsidP="004C375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p>
          <w:p w14:paraId="466CC10A" w14:textId="565E139D" w:rsidR="00E77F65" w:rsidRDefault="004C375B" w:rsidP="004C375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4C375B">
              <w:rPr>
                <w:rFonts w:eastAsia="PMingLiU"/>
                <w:bCs/>
              </w:rPr>
              <w:t>The further review level is based on a three-year national average.</w:t>
            </w:r>
          </w:p>
        </w:tc>
      </w:tr>
      <w:tr w:rsidR="00E77F65" w14:paraId="7FAC716F"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5490611A" w14:textId="77777777"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p>
        </w:tc>
        <w:tc>
          <w:tcPr>
            <w:tcW w:w="2714" w:type="dxa"/>
          </w:tcPr>
          <w:p w14:paraId="786C4F07" w14:textId="77777777" w:rsidR="00E77F65" w:rsidRDefault="00E77F65" w:rsidP="00E77F65">
            <w:pPr>
              <w:cnfStyle w:val="000000000000" w:firstRow="0" w:lastRow="0" w:firstColumn="0" w:lastColumn="0" w:oddVBand="0" w:evenVBand="0" w:oddHBand="0" w:evenHBand="0" w:firstRowFirstColumn="0" w:firstRowLastColumn="0" w:lastRowFirstColumn="0" w:lastRowLastColumn="0"/>
            </w:pPr>
            <w:r w:rsidRPr="009D212B">
              <w:rPr>
                <w:b/>
              </w:rPr>
              <w:t>b</w:t>
            </w:r>
            <w:r>
              <w:t xml:space="preserve">. Average current serious penalty in private sector </w:t>
            </w:r>
          </w:p>
          <w:p w14:paraId="41EA0ECB" w14:textId="6E20C284" w:rsidR="00E77F65" w:rsidRDefault="00E77F65" w:rsidP="00E77F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t xml:space="preserve">(26-100 </w:t>
            </w:r>
            <w:r w:rsidRPr="009D212B">
              <w:t>workers</w:t>
            </w:r>
            <w:r w:rsidRPr="001E3F16">
              <w:rPr>
                <w:b/>
              </w:rPr>
              <w:t>)</w:t>
            </w:r>
          </w:p>
        </w:tc>
        <w:tc>
          <w:tcPr>
            <w:tcW w:w="1530" w:type="dxa"/>
          </w:tcPr>
          <w:p w14:paraId="4B464E3F" w14:textId="37BA8B55" w:rsidR="00E77F65" w:rsidRPr="004C375B" w:rsidRDefault="004C375B"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4C375B">
              <w:rPr>
                <w:rFonts w:eastAsia="PMingLiU"/>
                <w:bCs/>
              </w:rPr>
              <w:t>N/A</w:t>
            </w:r>
          </w:p>
        </w:tc>
        <w:tc>
          <w:tcPr>
            <w:tcW w:w="1377" w:type="dxa"/>
          </w:tcPr>
          <w:p w14:paraId="10577737" w14:textId="77777777" w:rsidR="004C375B" w:rsidRPr="004C375B" w:rsidRDefault="004C375B" w:rsidP="004C375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4C375B">
              <w:rPr>
                <w:rFonts w:eastAsia="PMingLiU"/>
                <w:bCs/>
              </w:rPr>
              <w:t xml:space="preserve">+/- 25% of </w:t>
            </w:r>
          </w:p>
          <w:p w14:paraId="6334B22F" w14:textId="06853141" w:rsidR="00E77F65" w:rsidRDefault="004C375B" w:rsidP="004C375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4C375B">
              <w:rPr>
                <w:rFonts w:eastAsia="PMingLiU"/>
                <w:bCs/>
              </w:rPr>
              <w:t>$4,167.28</w:t>
            </w:r>
          </w:p>
        </w:tc>
        <w:tc>
          <w:tcPr>
            <w:tcW w:w="3303" w:type="dxa"/>
          </w:tcPr>
          <w:p w14:paraId="265CE8E9" w14:textId="77777777" w:rsidR="004C375B" w:rsidRPr="004C375B" w:rsidRDefault="004C375B" w:rsidP="004C375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4C375B">
              <w:rPr>
                <w:rFonts w:eastAsia="PMingLiU"/>
                <w:bCs/>
              </w:rPr>
              <w:t>N/A – This is a State and Local Government State Plan.</w:t>
            </w:r>
          </w:p>
          <w:p w14:paraId="555FF4CE" w14:textId="77777777" w:rsidR="004C375B" w:rsidRPr="004C375B" w:rsidRDefault="004C375B" w:rsidP="004C375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p>
          <w:p w14:paraId="77A4931B" w14:textId="5D3F6B96" w:rsidR="00E77F65" w:rsidRPr="004C375B" w:rsidRDefault="004C375B" w:rsidP="004C375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4C375B">
              <w:rPr>
                <w:rFonts w:eastAsia="PMingLiU"/>
                <w:bCs/>
              </w:rPr>
              <w:t>The further review level is based on a three-year national average.</w:t>
            </w:r>
          </w:p>
        </w:tc>
      </w:tr>
      <w:tr w:rsidR="00E77F65" w14:paraId="76EC0E9B"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64654D7A" w14:textId="77777777"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p>
        </w:tc>
        <w:tc>
          <w:tcPr>
            <w:tcW w:w="2714" w:type="dxa"/>
          </w:tcPr>
          <w:p w14:paraId="65BBBD20" w14:textId="77777777" w:rsidR="00E77F65" w:rsidRDefault="00E77F65" w:rsidP="00E77F65">
            <w:pPr>
              <w:cnfStyle w:val="000000000000" w:firstRow="0" w:lastRow="0" w:firstColumn="0" w:lastColumn="0" w:oddVBand="0" w:evenVBand="0" w:oddHBand="0" w:evenHBand="0" w:firstRowFirstColumn="0" w:firstRowLastColumn="0" w:lastRowFirstColumn="0" w:lastRowLastColumn="0"/>
            </w:pPr>
            <w:r w:rsidRPr="009D212B">
              <w:rPr>
                <w:b/>
              </w:rPr>
              <w:t>c</w:t>
            </w:r>
            <w:r>
              <w:t xml:space="preserve">. Average current </w:t>
            </w:r>
            <w:r>
              <w:lastRenderedPageBreak/>
              <w:t>serious penalty in private sector</w:t>
            </w:r>
          </w:p>
          <w:p w14:paraId="1D5A1D7C" w14:textId="6E53579A" w:rsidR="00E77F65" w:rsidRDefault="00E77F65" w:rsidP="00E77F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t xml:space="preserve">(101-250 </w:t>
            </w:r>
            <w:r w:rsidRPr="009D212B">
              <w:t>workers</w:t>
            </w:r>
            <w:r>
              <w:t>)</w:t>
            </w:r>
          </w:p>
        </w:tc>
        <w:tc>
          <w:tcPr>
            <w:tcW w:w="1530" w:type="dxa"/>
          </w:tcPr>
          <w:p w14:paraId="2529E18F" w14:textId="715203E0" w:rsidR="00E77F65" w:rsidRPr="004C375B" w:rsidRDefault="004C375B"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4C375B">
              <w:rPr>
                <w:rFonts w:eastAsia="PMingLiU"/>
                <w:bCs/>
              </w:rPr>
              <w:lastRenderedPageBreak/>
              <w:t>N/A</w:t>
            </w:r>
          </w:p>
        </w:tc>
        <w:tc>
          <w:tcPr>
            <w:tcW w:w="1377" w:type="dxa"/>
          </w:tcPr>
          <w:p w14:paraId="16C5DA3F" w14:textId="77777777" w:rsidR="004C375B" w:rsidRPr="004C375B" w:rsidRDefault="004C375B" w:rsidP="004C375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4C375B">
              <w:rPr>
                <w:rFonts w:eastAsia="PMingLiU"/>
                <w:bCs/>
              </w:rPr>
              <w:t xml:space="preserve">+/- 25% of </w:t>
            </w:r>
          </w:p>
          <w:p w14:paraId="52BEF7AD" w14:textId="3F525CE2" w:rsidR="00E77F65" w:rsidRDefault="004C375B" w:rsidP="004C375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4C375B">
              <w:rPr>
                <w:rFonts w:eastAsia="PMingLiU"/>
                <w:bCs/>
              </w:rPr>
              <w:lastRenderedPageBreak/>
              <w:t>$6,052.04</w:t>
            </w:r>
          </w:p>
        </w:tc>
        <w:tc>
          <w:tcPr>
            <w:tcW w:w="3303" w:type="dxa"/>
          </w:tcPr>
          <w:p w14:paraId="3A9FA6B0" w14:textId="77777777" w:rsidR="004C375B" w:rsidRPr="004C375B" w:rsidRDefault="004C375B" w:rsidP="004C375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4C375B">
              <w:rPr>
                <w:rFonts w:eastAsia="PMingLiU"/>
                <w:bCs/>
              </w:rPr>
              <w:lastRenderedPageBreak/>
              <w:t xml:space="preserve">N/A – This is a State and Local </w:t>
            </w:r>
            <w:r w:rsidRPr="004C375B">
              <w:rPr>
                <w:rFonts w:eastAsia="PMingLiU"/>
                <w:bCs/>
              </w:rPr>
              <w:lastRenderedPageBreak/>
              <w:t>Government State Plan.</w:t>
            </w:r>
          </w:p>
          <w:p w14:paraId="19CA7E7D" w14:textId="77777777" w:rsidR="004C375B" w:rsidRPr="004C375B" w:rsidRDefault="004C375B" w:rsidP="004C375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p>
          <w:p w14:paraId="033081B1" w14:textId="08633F01" w:rsidR="00E77F65" w:rsidRDefault="004C375B" w:rsidP="004C375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4C375B">
              <w:rPr>
                <w:rFonts w:eastAsia="PMingLiU"/>
                <w:bCs/>
              </w:rPr>
              <w:t>The further review level is based on a three-year national average.</w:t>
            </w:r>
          </w:p>
        </w:tc>
      </w:tr>
      <w:tr w:rsidR="00E77F65" w14:paraId="2A884AE7"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6C5F3AE7" w14:textId="77777777"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p>
        </w:tc>
        <w:tc>
          <w:tcPr>
            <w:tcW w:w="2714" w:type="dxa"/>
          </w:tcPr>
          <w:p w14:paraId="67480899" w14:textId="77777777" w:rsidR="00E77F65" w:rsidRDefault="00E77F65" w:rsidP="00E77F65">
            <w:pPr>
              <w:cnfStyle w:val="000000000000" w:firstRow="0" w:lastRow="0" w:firstColumn="0" w:lastColumn="0" w:oddVBand="0" w:evenVBand="0" w:oddHBand="0" w:evenHBand="0" w:firstRowFirstColumn="0" w:firstRowLastColumn="0" w:lastRowFirstColumn="0" w:lastRowLastColumn="0"/>
            </w:pPr>
            <w:r w:rsidRPr="009D212B">
              <w:rPr>
                <w:b/>
              </w:rPr>
              <w:t>d</w:t>
            </w:r>
            <w:r>
              <w:t>. Average current serious penalty in private sector</w:t>
            </w:r>
          </w:p>
          <w:p w14:paraId="1C63B0DF" w14:textId="517EBEC8" w:rsidR="00E77F65" w:rsidRDefault="00E77F65" w:rsidP="00E77F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t xml:space="preserve">(greater than 250 </w:t>
            </w:r>
            <w:r w:rsidRPr="009D212B">
              <w:t>workers</w:t>
            </w:r>
            <w:r>
              <w:t>)</w:t>
            </w:r>
          </w:p>
        </w:tc>
        <w:tc>
          <w:tcPr>
            <w:tcW w:w="1530" w:type="dxa"/>
          </w:tcPr>
          <w:p w14:paraId="378525B7" w14:textId="37231FB4" w:rsidR="00E77F65" w:rsidRPr="004C375B" w:rsidRDefault="004C375B"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N/A</w:t>
            </w:r>
          </w:p>
        </w:tc>
        <w:tc>
          <w:tcPr>
            <w:tcW w:w="1377" w:type="dxa"/>
          </w:tcPr>
          <w:p w14:paraId="68432BFF" w14:textId="77777777" w:rsidR="004C375B" w:rsidRPr="004C375B" w:rsidRDefault="004C375B" w:rsidP="004C375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4C375B">
              <w:rPr>
                <w:rFonts w:eastAsia="PMingLiU"/>
                <w:bCs/>
              </w:rPr>
              <w:t xml:space="preserve">+/- 25% of </w:t>
            </w:r>
          </w:p>
          <w:p w14:paraId="0A04BAFF" w14:textId="73FBB89D" w:rsidR="00E77F65" w:rsidRDefault="004C375B" w:rsidP="004C375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4C375B">
              <w:rPr>
                <w:rFonts w:eastAsia="PMingLiU"/>
                <w:bCs/>
              </w:rPr>
              <w:t>$7,331.41</w:t>
            </w:r>
          </w:p>
        </w:tc>
        <w:tc>
          <w:tcPr>
            <w:tcW w:w="3303" w:type="dxa"/>
          </w:tcPr>
          <w:p w14:paraId="7F341A70" w14:textId="77777777" w:rsidR="004C375B" w:rsidRPr="004C375B" w:rsidRDefault="004C375B" w:rsidP="004C375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4C375B">
              <w:rPr>
                <w:rFonts w:eastAsia="PMingLiU"/>
                <w:bCs/>
              </w:rPr>
              <w:t xml:space="preserve">N/A – </w:t>
            </w:r>
            <w:bookmarkStart w:id="19" w:name="_Hlk158061547"/>
            <w:r w:rsidRPr="004C375B">
              <w:rPr>
                <w:rFonts w:eastAsia="PMingLiU"/>
                <w:bCs/>
              </w:rPr>
              <w:t>This is a State and Local Government State Plan.</w:t>
            </w:r>
          </w:p>
          <w:p w14:paraId="0CE72B29" w14:textId="77777777" w:rsidR="004C375B" w:rsidRPr="004C375B" w:rsidRDefault="004C375B" w:rsidP="004C375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p>
          <w:bookmarkEnd w:id="19"/>
          <w:p w14:paraId="7286701F" w14:textId="1B6F69BC" w:rsidR="00E77F65" w:rsidRDefault="004C375B" w:rsidP="004C375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4C375B">
              <w:rPr>
                <w:rFonts w:eastAsia="PMingLiU"/>
                <w:bCs/>
              </w:rPr>
              <w:t>The further review level is based on a three-year national average.</w:t>
            </w:r>
          </w:p>
        </w:tc>
      </w:tr>
      <w:tr w:rsidR="00E77F65" w14:paraId="3D4B4932"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19C5C0E7" w14:textId="0FCA2323"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9</w:t>
            </w:r>
            <w:r w:rsidR="004C375B">
              <w:rPr>
                <w:rFonts w:eastAsia="PMingLiU"/>
                <w:b w:val="0"/>
              </w:rPr>
              <w:t>a</w:t>
            </w:r>
          </w:p>
        </w:tc>
        <w:tc>
          <w:tcPr>
            <w:tcW w:w="2714" w:type="dxa"/>
          </w:tcPr>
          <w:p w14:paraId="52862B51" w14:textId="405E7C39"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t>Percent in-</w:t>
            </w:r>
            <w:r w:rsidRPr="008508FC">
              <w:t>compliance</w:t>
            </w:r>
            <w:r w:rsidR="004C375B">
              <w:t xml:space="preserve"> (safety)</w:t>
            </w:r>
          </w:p>
        </w:tc>
        <w:tc>
          <w:tcPr>
            <w:tcW w:w="1530" w:type="dxa"/>
          </w:tcPr>
          <w:p w14:paraId="0038B49F" w14:textId="551B8F86" w:rsidR="00E77F65" w:rsidRPr="004C375B" w:rsidRDefault="004C375B"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4C375B">
              <w:rPr>
                <w:rFonts w:eastAsia="PMingLiU"/>
                <w:bCs/>
              </w:rPr>
              <w:t>23.42%</w:t>
            </w:r>
          </w:p>
        </w:tc>
        <w:tc>
          <w:tcPr>
            <w:tcW w:w="1377" w:type="dxa"/>
          </w:tcPr>
          <w:p w14:paraId="679FC8FE" w14:textId="77777777" w:rsidR="004C375B" w:rsidRPr="004C375B" w:rsidRDefault="004C375B" w:rsidP="004C375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4C375B">
              <w:rPr>
                <w:rFonts w:eastAsia="PMingLiU"/>
                <w:bCs/>
              </w:rPr>
              <w:t>+/- 20% of</w:t>
            </w:r>
          </w:p>
          <w:p w14:paraId="1A75E459" w14:textId="77EE93E8" w:rsidR="00E77F65" w:rsidRDefault="004C375B" w:rsidP="004C375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4C375B">
              <w:rPr>
                <w:rFonts w:eastAsia="PMingLiU"/>
                <w:bCs/>
              </w:rPr>
              <w:t>31.73%</w:t>
            </w:r>
          </w:p>
        </w:tc>
        <w:tc>
          <w:tcPr>
            <w:tcW w:w="3303" w:type="dxa"/>
          </w:tcPr>
          <w:p w14:paraId="37C5E0BB" w14:textId="7B1E05CE" w:rsidR="00E77F65" w:rsidRPr="004C375B" w:rsidRDefault="004C375B"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4C375B">
              <w:rPr>
                <w:rFonts w:eastAsia="PMingLiU"/>
                <w:bCs/>
              </w:rPr>
              <w:t>The further review level is based on a three-year national average.  The range of acceptable data not requiring further review is from 25.38% to 38.08% for safety.</w:t>
            </w:r>
          </w:p>
        </w:tc>
      </w:tr>
      <w:tr w:rsidR="004C375B" w14:paraId="313FAB5D"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558DEFAC" w14:textId="1AECDA2D" w:rsidR="004C375B" w:rsidRPr="004C375B" w:rsidRDefault="004C375B"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bCs w:val="0"/>
              </w:rPr>
            </w:pPr>
            <w:r>
              <w:rPr>
                <w:rFonts w:eastAsia="PMingLiU"/>
                <w:b w:val="0"/>
                <w:bCs w:val="0"/>
              </w:rPr>
              <w:t>9b</w:t>
            </w:r>
          </w:p>
        </w:tc>
        <w:tc>
          <w:tcPr>
            <w:tcW w:w="2714" w:type="dxa"/>
          </w:tcPr>
          <w:p w14:paraId="41308BE6" w14:textId="386539EA" w:rsidR="004C375B" w:rsidRDefault="004C375B"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t>Percent in-compliance (health)</w:t>
            </w:r>
          </w:p>
        </w:tc>
        <w:tc>
          <w:tcPr>
            <w:tcW w:w="1530" w:type="dxa"/>
          </w:tcPr>
          <w:p w14:paraId="7E73DE67" w14:textId="7D2D3A30" w:rsidR="004C375B" w:rsidRPr="00B7371C" w:rsidRDefault="00B7371C"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B7371C">
              <w:rPr>
                <w:rFonts w:eastAsia="PMingLiU"/>
                <w:bCs/>
              </w:rPr>
              <w:t>16.07%</w:t>
            </w:r>
          </w:p>
        </w:tc>
        <w:tc>
          <w:tcPr>
            <w:tcW w:w="1377" w:type="dxa"/>
          </w:tcPr>
          <w:p w14:paraId="370F84B5" w14:textId="77777777" w:rsidR="00B7371C" w:rsidRPr="00B7371C" w:rsidRDefault="00B7371C" w:rsidP="00B7371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B7371C">
              <w:rPr>
                <w:rFonts w:eastAsia="PMingLiU"/>
                <w:bCs/>
              </w:rPr>
              <w:t>+/- 20% of</w:t>
            </w:r>
          </w:p>
          <w:p w14:paraId="3E280C2E" w14:textId="6962DA42" w:rsidR="004C375B" w:rsidRDefault="00B7371C" w:rsidP="00B7371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B7371C">
              <w:rPr>
                <w:rFonts w:eastAsia="PMingLiU"/>
                <w:bCs/>
              </w:rPr>
              <w:t>43.82%</w:t>
            </w:r>
          </w:p>
        </w:tc>
        <w:tc>
          <w:tcPr>
            <w:tcW w:w="3303" w:type="dxa"/>
          </w:tcPr>
          <w:p w14:paraId="216816CE" w14:textId="466CD99E" w:rsidR="004C375B" w:rsidRPr="004C375B" w:rsidRDefault="00B7371C"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B7371C">
              <w:rPr>
                <w:rFonts w:eastAsia="PMingLiU"/>
                <w:bCs/>
              </w:rPr>
              <w:t>The further review level is based on a three-year national average.  The range of acceptable data not requiring further review is from 35.06% to 52.58% for health.</w:t>
            </w:r>
          </w:p>
        </w:tc>
      </w:tr>
      <w:tr w:rsidR="00E77F65" w14:paraId="08CF97DA"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7D6616CD" w14:textId="17AAF689"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10</w:t>
            </w:r>
          </w:p>
        </w:tc>
        <w:tc>
          <w:tcPr>
            <w:tcW w:w="2714" w:type="dxa"/>
          </w:tcPr>
          <w:p w14:paraId="5085C3A3" w14:textId="2356E957"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8508FC">
              <w:t>Percent of work-related fatalities responded to in one workday</w:t>
            </w:r>
          </w:p>
        </w:tc>
        <w:tc>
          <w:tcPr>
            <w:tcW w:w="1530" w:type="dxa"/>
          </w:tcPr>
          <w:p w14:paraId="36AF2626" w14:textId="5BF0E379" w:rsidR="00E77F65" w:rsidRPr="004C375B" w:rsidRDefault="004C375B"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100%</w:t>
            </w:r>
          </w:p>
        </w:tc>
        <w:tc>
          <w:tcPr>
            <w:tcW w:w="1377" w:type="dxa"/>
          </w:tcPr>
          <w:p w14:paraId="785742CA" w14:textId="5699FDA6" w:rsidR="00E77F65" w:rsidRPr="004C375B" w:rsidRDefault="004C375B"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100%</w:t>
            </w:r>
          </w:p>
        </w:tc>
        <w:tc>
          <w:tcPr>
            <w:tcW w:w="3303" w:type="dxa"/>
          </w:tcPr>
          <w:p w14:paraId="46AA280F" w14:textId="011F001A" w:rsidR="00E77F65" w:rsidRPr="00B7371C" w:rsidRDefault="00B7371C"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B7371C">
              <w:rPr>
                <w:rFonts w:eastAsia="PMingLiU"/>
                <w:bCs/>
              </w:rPr>
              <w:t>The further review level is fixed for all State Plans.</w:t>
            </w:r>
          </w:p>
        </w:tc>
      </w:tr>
      <w:tr w:rsidR="00E77F65" w14:paraId="6485E137"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37CDF054" w14:textId="35FE5303"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11</w:t>
            </w:r>
            <w:r w:rsidR="00B7371C">
              <w:rPr>
                <w:rFonts w:eastAsia="PMingLiU"/>
                <w:b w:val="0"/>
              </w:rPr>
              <w:t>a</w:t>
            </w:r>
          </w:p>
        </w:tc>
        <w:tc>
          <w:tcPr>
            <w:tcW w:w="2714" w:type="dxa"/>
          </w:tcPr>
          <w:p w14:paraId="72898DEB" w14:textId="57BDF5CD"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8508FC">
              <w:t>Average lapse time</w:t>
            </w:r>
            <w:r w:rsidR="00B7371C">
              <w:t xml:space="preserve"> (safety)</w:t>
            </w:r>
          </w:p>
        </w:tc>
        <w:tc>
          <w:tcPr>
            <w:tcW w:w="1530" w:type="dxa"/>
          </w:tcPr>
          <w:p w14:paraId="2216748C" w14:textId="552CE29C" w:rsidR="00E77F65" w:rsidRPr="00B7371C" w:rsidRDefault="00B7371C"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B7371C">
              <w:rPr>
                <w:rFonts w:eastAsia="PMingLiU"/>
                <w:bCs/>
              </w:rPr>
              <w:t>17.16</w:t>
            </w:r>
          </w:p>
        </w:tc>
        <w:tc>
          <w:tcPr>
            <w:tcW w:w="1377" w:type="dxa"/>
          </w:tcPr>
          <w:p w14:paraId="760B6451" w14:textId="77777777" w:rsidR="00B7371C" w:rsidRPr="00B7371C" w:rsidRDefault="00B7371C" w:rsidP="00B7371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B7371C">
              <w:rPr>
                <w:rFonts w:eastAsia="PMingLiU"/>
                <w:bCs/>
              </w:rPr>
              <w:t xml:space="preserve">+/- 20% of </w:t>
            </w:r>
          </w:p>
          <w:p w14:paraId="5281E238" w14:textId="2E147528" w:rsidR="00E77F65" w:rsidRDefault="00B7371C" w:rsidP="00B7371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B7371C">
              <w:rPr>
                <w:rFonts w:eastAsia="PMingLiU"/>
                <w:bCs/>
              </w:rPr>
              <w:t>55.23</w:t>
            </w:r>
          </w:p>
        </w:tc>
        <w:tc>
          <w:tcPr>
            <w:tcW w:w="3303" w:type="dxa"/>
          </w:tcPr>
          <w:p w14:paraId="5BD0637F" w14:textId="0FF37E8B" w:rsidR="00E77F65" w:rsidRPr="00B7371C" w:rsidRDefault="00B7371C"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B7371C">
              <w:rPr>
                <w:rFonts w:eastAsia="PMingLiU"/>
                <w:bCs/>
              </w:rPr>
              <w:t>The further review level is based on a three-year national average.  The range of acceptable data not requiring further review is from 44.18 to 66.28 for safety.</w:t>
            </w:r>
          </w:p>
        </w:tc>
      </w:tr>
      <w:tr w:rsidR="00B7371C" w14:paraId="5F6DCBA9"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3656700B" w14:textId="7BB3C85A" w:rsidR="00B7371C" w:rsidRPr="00B7371C" w:rsidRDefault="00B7371C"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bCs w:val="0"/>
              </w:rPr>
            </w:pPr>
            <w:r w:rsidRPr="00B7371C">
              <w:rPr>
                <w:rFonts w:eastAsia="PMingLiU"/>
                <w:b w:val="0"/>
                <w:bCs w:val="0"/>
              </w:rPr>
              <w:t>11b</w:t>
            </w:r>
          </w:p>
        </w:tc>
        <w:tc>
          <w:tcPr>
            <w:tcW w:w="2714" w:type="dxa"/>
          </w:tcPr>
          <w:p w14:paraId="2D152E43" w14:textId="3D2A8ECD" w:rsidR="00B7371C" w:rsidRPr="008508FC" w:rsidRDefault="00B7371C"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t>Average lapse time (health)</w:t>
            </w:r>
          </w:p>
        </w:tc>
        <w:tc>
          <w:tcPr>
            <w:tcW w:w="1530" w:type="dxa"/>
          </w:tcPr>
          <w:p w14:paraId="209C9922" w14:textId="4D6975F6" w:rsidR="00B7371C" w:rsidRPr="00B7371C" w:rsidRDefault="00B7371C"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57.00</w:t>
            </w:r>
          </w:p>
        </w:tc>
        <w:tc>
          <w:tcPr>
            <w:tcW w:w="1377" w:type="dxa"/>
          </w:tcPr>
          <w:p w14:paraId="52BFB3DE" w14:textId="77777777" w:rsidR="00B7371C" w:rsidRPr="00B7371C" w:rsidRDefault="00B7371C" w:rsidP="00B7371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B7371C">
              <w:rPr>
                <w:rFonts w:eastAsia="PMingLiU"/>
                <w:bCs/>
              </w:rPr>
              <w:t xml:space="preserve">+/- 20% of </w:t>
            </w:r>
          </w:p>
          <w:p w14:paraId="32AB6A32" w14:textId="1F641EE5" w:rsidR="00B7371C" w:rsidRPr="00B7371C" w:rsidRDefault="00B7371C" w:rsidP="00B7371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B7371C">
              <w:rPr>
                <w:rFonts w:eastAsia="PMingLiU"/>
                <w:bCs/>
              </w:rPr>
              <w:t>69.72</w:t>
            </w:r>
          </w:p>
        </w:tc>
        <w:tc>
          <w:tcPr>
            <w:tcW w:w="3303" w:type="dxa"/>
          </w:tcPr>
          <w:p w14:paraId="7515C685" w14:textId="053A21D0" w:rsidR="00B7371C" w:rsidRPr="00B7371C" w:rsidRDefault="00B7371C"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B7371C">
              <w:rPr>
                <w:rFonts w:eastAsia="PMingLiU"/>
                <w:bCs/>
              </w:rPr>
              <w:t>The further review level is based on a three-year national average.  The range of acceptable data not requiring further review is from 55.78 to 83.66 for health.</w:t>
            </w:r>
          </w:p>
        </w:tc>
      </w:tr>
      <w:tr w:rsidR="00E77F65" w14:paraId="5A2F76D4"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154939EE" w14:textId="7DEEA26B"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lastRenderedPageBreak/>
              <w:t>12</w:t>
            </w:r>
          </w:p>
        </w:tc>
        <w:tc>
          <w:tcPr>
            <w:tcW w:w="2714" w:type="dxa"/>
          </w:tcPr>
          <w:p w14:paraId="354024B2" w14:textId="622EDE89"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8508FC">
              <w:t>Percent penalty retained</w:t>
            </w:r>
          </w:p>
        </w:tc>
        <w:tc>
          <w:tcPr>
            <w:tcW w:w="1530" w:type="dxa"/>
          </w:tcPr>
          <w:p w14:paraId="78CC9435" w14:textId="53BAA59C" w:rsidR="00E77F65" w:rsidRPr="00B7371C" w:rsidRDefault="00B7371C"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N/A</w:t>
            </w:r>
          </w:p>
        </w:tc>
        <w:tc>
          <w:tcPr>
            <w:tcW w:w="1377" w:type="dxa"/>
          </w:tcPr>
          <w:p w14:paraId="71D2F2DB" w14:textId="77777777" w:rsidR="00B7371C" w:rsidRPr="00B7371C" w:rsidRDefault="00B7371C" w:rsidP="00B7371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B7371C">
              <w:rPr>
                <w:rFonts w:eastAsia="PMingLiU"/>
                <w:bCs/>
              </w:rPr>
              <w:t>+/- 15% of</w:t>
            </w:r>
          </w:p>
          <w:p w14:paraId="5B5EA366" w14:textId="44BBA1B0" w:rsidR="00E77F65" w:rsidRDefault="00B7371C" w:rsidP="00B7371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B7371C">
              <w:rPr>
                <w:rFonts w:eastAsia="PMingLiU"/>
                <w:bCs/>
              </w:rPr>
              <w:t>71.84%</w:t>
            </w:r>
          </w:p>
        </w:tc>
        <w:tc>
          <w:tcPr>
            <w:tcW w:w="3303" w:type="dxa"/>
          </w:tcPr>
          <w:p w14:paraId="6A96ADAD" w14:textId="77777777" w:rsidR="00B7371C" w:rsidRPr="00B7371C" w:rsidRDefault="00B7371C" w:rsidP="00B7371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B7371C">
              <w:rPr>
                <w:rFonts w:eastAsia="PMingLiU"/>
                <w:bCs/>
              </w:rPr>
              <w:t>NA – This is a State and Local Government State Plan and is not held to this SAMM.</w:t>
            </w:r>
          </w:p>
          <w:p w14:paraId="3191BBA3" w14:textId="77777777" w:rsidR="00B7371C" w:rsidRPr="00B7371C" w:rsidRDefault="00B7371C" w:rsidP="00B7371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p>
          <w:p w14:paraId="58AF5A7E" w14:textId="3ED8245F" w:rsidR="00E77F65" w:rsidRDefault="00B7371C" w:rsidP="00B7371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B7371C">
              <w:rPr>
                <w:rFonts w:eastAsia="PMingLiU"/>
                <w:bCs/>
              </w:rPr>
              <w:t xml:space="preserve">The further review level is based on a three-year national average.  </w:t>
            </w:r>
          </w:p>
        </w:tc>
      </w:tr>
      <w:tr w:rsidR="00E77F65" w14:paraId="3128D69F"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0EF60FB0" w14:textId="2DAA3B84"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13</w:t>
            </w:r>
          </w:p>
        </w:tc>
        <w:tc>
          <w:tcPr>
            <w:tcW w:w="2714" w:type="dxa"/>
          </w:tcPr>
          <w:p w14:paraId="10C495ED" w14:textId="60D4678D" w:rsidR="00E77F65" w:rsidRPr="008508FC"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8508FC">
              <w:t>Percent of initial inspections with worker walk around representation or worker interview</w:t>
            </w:r>
          </w:p>
        </w:tc>
        <w:tc>
          <w:tcPr>
            <w:tcW w:w="1530" w:type="dxa"/>
          </w:tcPr>
          <w:p w14:paraId="60B86768" w14:textId="59CF7BD9" w:rsidR="00E77F65" w:rsidRPr="00B7371C" w:rsidRDefault="00B7371C"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B7371C">
              <w:rPr>
                <w:rFonts w:eastAsia="PMingLiU"/>
                <w:bCs/>
              </w:rPr>
              <w:t>99.87%</w:t>
            </w:r>
          </w:p>
        </w:tc>
        <w:tc>
          <w:tcPr>
            <w:tcW w:w="1377" w:type="dxa"/>
          </w:tcPr>
          <w:p w14:paraId="1D63F778" w14:textId="11D38F01" w:rsidR="00E77F65" w:rsidRPr="00B7371C" w:rsidRDefault="00B7371C"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B7371C">
              <w:rPr>
                <w:rFonts w:eastAsia="PMingLiU"/>
                <w:bCs/>
              </w:rPr>
              <w:t>100%</w:t>
            </w:r>
          </w:p>
        </w:tc>
        <w:tc>
          <w:tcPr>
            <w:tcW w:w="3303" w:type="dxa"/>
          </w:tcPr>
          <w:p w14:paraId="1F1985A5" w14:textId="066A5CDE" w:rsidR="00E77F65" w:rsidRPr="00B7371C" w:rsidRDefault="00B7371C"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B7371C">
              <w:rPr>
                <w:rFonts w:eastAsia="PMingLiU"/>
                <w:bCs/>
              </w:rPr>
              <w:t>The further review level is fixed for all State Plans.</w:t>
            </w:r>
          </w:p>
        </w:tc>
      </w:tr>
      <w:tr w:rsidR="00E77F65" w14:paraId="4C006BAA"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104A0296" w14:textId="5926444F"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14</w:t>
            </w:r>
          </w:p>
        </w:tc>
        <w:tc>
          <w:tcPr>
            <w:tcW w:w="2714" w:type="dxa"/>
          </w:tcPr>
          <w:p w14:paraId="0251FF5A" w14:textId="5E401C3F" w:rsidR="00E77F65" w:rsidRPr="008508FC"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8508FC">
              <w:t>Percent of 11(c) investigations completed within 90 days</w:t>
            </w:r>
          </w:p>
        </w:tc>
        <w:tc>
          <w:tcPr>
            <w:tcW w:w="1530" w:type="dxa"/>
          </w:tcPr>
          <w:p w14:paraId="1EBDBE6B" w14:textId="7DDBE733" w:rsidR="00E77F65" w:rsidRPr="00B7371C" w:rsidRDefault="00B7371C"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N/A*</w:t>
            </w:r>
          </w:p>
        </w:tc>
        <w:tc>
          <w:tcPr>
            <w:tcW w:w="1377" w:type="dxa"/>
          </w:tcPr>
          <w:p w14:paraId="703ED47B" w14:textId="4DC77F7B" w:rsidR="00E77F65" w:rsidRPr="00B7371C" w:rsidRDefault="00B7371C"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N/A*</w:t>
            </w:r>
          </w:p>
        </w:tc>
        <w:tc>
          <w:tcPr>
            <w:tcW w:w="3303" w:type="dxa"/>
          </w:tcPr>
          <w:p w14:paraId="356A59B6" w14:textId="7638D55A" w:rsidR="00E77F65" w:rsidRPr="00B7371C" w:rsidRDefault="00B7371C"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B7371C">
              <w:rPr>
                <w:rFonts w:eastAsia="PMingLiU"/>
                <w:bCs/>
              </w:rPr>
              <w:t>This measure is not being reported for FY 2023 due to the transition of 11(c) data from IMIS to OIS.</w:t>
            </w:r>
          </w:p>
        </w:tc>
      </w:tr>
      <w:tr w:rsidR="00E77F65" w14:paraId="6D06F693"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582450E3" w14:textId="187E938C"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15</w:t>
            </w:r>
          </w:p>
        </w:tc>
        <w:tc>
          <w:tcPr>
            <w:tcW w:w="2714" w:type="dxa"/>
          </w:tcPr>
          <w:p w14:paraId="044007EF" w14:textId="01BEDEF5" w:rsidR="00E77F65" w:rsidRPr="008508FC"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8508FC">
              <w:t>Percent of 11(c) complaints that are meritorious</w:t>
            </w:r>
          </w:p>
        </w:tc>
        <w:tc>
          <w:tcPr>
            <w:tcW w:w="1530" w:type="dxa"/>
          </w:tcPr>
          <w:p w14:paraId="277D0BC8" w14:textId="69B7245C" w:rsidR="00E77F65" w:rsidRPr="00B7371C" w:rsidRDefault="00B7371C"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N/A*</w:t>
            </w:r>
          </w:p>
        </w:tc>
        <w:tc>
          <w:tcPr>
            <w:tcW w:w="1377" w:type="dxa"/>
          </w:tcPr>
          <w:p w14:paraId="0339B4BA" w14:textId="02C3513D" w:rsidR="00E77F65" w:rsidRPr="00B7371C" w:rsidRDefault="00B7371C"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N/A*</w:t>
            </w:r>
          </w:p>
        </w:tc>
        <w:tc>
          <w:tcPr>
            <w:tcW w:w="3303" w:type="dxa"/>
          </w:tcPr>
          <w:p w14:paraId="57D6F878" w14:textId="0A98E83C" w:rsidR="00E77F65" w:rsidRPr="00B7371C" w:rsidRDefault="00B7371C"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B7371C">
              <w:rPr>
                <w:rFonts w:eastAsia="PMingLiU"/>
                <w:bCs/>
              </w:rPr>
              <w:t>This measure is not being reported for FY 2023 due to the transition of 11(c) data from IMIS to OIS.</w:t>
            </w:r>
          </w:p>
        </w:tc>
      </w:tr>
      <w:tr w:rsidR="00E77F65" w14:paraId="259D550D"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1EC8E25C" w14:textId="5584A2B3"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16</w:t>
            </w:r>
          </w:p>
        </w:tc>
        <w:tc>
          <w:tcPr>
            <w:tcW w:w="2714" w:type="dxa"/>
          </w:tcPr>
          <w:p w14:paraId="1BA0A3DD" w14:textId="1AC1026E" w:rsidR="00E77F65" w:rsidRPr="008508FC"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t>Average number of calendar days to complete an 11(c) investigation</w:t>
            </w:r>
          </w:p>
        </w:tc>
        <w:tc>
          <w:tcPr>
            <w:tcW w:w="1530" w:type="dxa"/>
          </w:tcPr>
          <w:p w14:paraId="7CBB10DA" w14:textId="490B3DB0" w:rsidR="00E77F65" w:rsidRPr="00B7371C" w:rsidRDefault="00B7371C"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N/A*</w:t>
            </w:r>
          </w:p>
        </w:tc>
        <w:tc>
          <w:tcPr>
            <w:tcW w:w="1377" w:type="dxa"/>
          </w:tcPr>
          <w:p w14:paraId="2F82648C" w14:textId="55FD0A0F" w:rsidR="00E77F65" w:rsidRPr="00B7371C" w:rsidRDefault="00B7371C"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N/A*</w:t>
            </w:r>
          </w:p>
        </w:tc>
        <w:tc>
          <w:tcPr>
            <w:tcW w:w="3303" w:type="dxa"/>
          </w:tcPr>
          <w:p w14:paraId="38581152" w14:textId="260941C9" w:rsidR="00E77F65" w:rsidRPr="00B7371C" w:rsidRDefault="00B7371C"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B7371C">
              <w:rPr>
                <w:rFonts w:eastAsia="PMingLiU"/>
                <w:bCs/>
              </w:rPr>
              <w:t>This measure is not being reported for FY 2023 due to the transition of 11(c) data from IMIS to OIS.</w:t>
            </w:r>
          </w:p>
        </w:tc>
      </w:tr>
      <w:tr w:rsidR="00E77F65" w14:paraId="642EBB36"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37200115" w14:textId="4D71E693"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17</w:t>
            </w:r>
          </w:p>
        </w:tc>
        <w:tc>
          <w:tcPr>
            <w:tcW w:w="2714" w:type="dxa"/>
          </w:tcPr>
          <w:p w14:paraId="61D65413" w14:textId="667F4EB6" w:rsidR="00E77F65" w:rsidRPr="008508FC"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t>Percent of enforcement presence</w:t>
            </w:r>
          </w:p>
        </w:tc>
        <w:tc>
          <w:tcPr>
            <w:tcW w:w="1530" w:type="dxa"/>
          </w:tcPr>
          <w:p w14:paraId="766447BF" w14:textId="47517698" w:rsidR="00E77F65" w:rsidRPr="00B7371C" w:rsidRDefault="00B7371C"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N/A</w:t>
            </w:r>
          </w:p>
        </w:tc>
        <w:tc>
          <w:tcPr>
            <w:tcW w:w="1377" w:type="dxa"/>
          </w:tcPr>
          <w:p w14:paraId="52F77DE0" w14:textId="77777777" w:rsidR="00B7371C" w:rsidRPr="00B7371C" w:rsidRDefault="00B7371C" w:rsidP="00B7371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B7371C">
              <w:rPr>
                <w:rFonts w:eastAsia="PMingLiU"/>
                <w:bCs/>
              </w:rPr>
              <w:t>+/- 25% of</w:t>
            </w:r>
          </w:p>
          <w:p w14:paraId="00216B58" w14:textId="7BA4D1F6" w:rsidR="00E77F65" w:rsidRDefault="00B7371C" w:rsidP="00B7371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B7371C">
              <w:rPr>
                <w:rFonts w:eastAsia="PMingLiU"/>
                <w:bCs/>
              </w:rPr>
              <w:t>0.93%</w:t>
            </w:r>
          </w:p>
        </w:tc>
        <w:tc>
          <w:tcPr>
            <w:tcW w:w="3303" w:type="dxa"/>
          </w:tcPr>
          <w:p w14:paraId="0C9C55D0" w14:textId="77777777" w:rsidR="00B7371C" w:rsidRPr="00B7371C" w:rsidRDefault="00B7371C" w:rsidP="00B7371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B7371C">
              <w:rPr>
                <w:rFonts w:eastAsia="PMingLiU"/>
                <w:bCs/>
              </w:rPr>
              <w:t>NA – This is a State and Local Government State Plan and is not held to this SAMM.</w:t>
            </w:r>
          </w:p>
          <w:p w14:paraId="6494C67B" w14:textId="77777777" w:rsidR="00B7371C" w:rsidRPr="00B7371C" w:rsidRDefault="00B7371C" w:rsidP="00B7371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p>
          <w:p w14:paraId="1D1FB350" w14:textId="3A8F462F" w:rsidR="00E77F65" w:rsidRDefault="00B7371C" w:rsidP="00B7371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B7371C">
              <w:rPr>
                <w:rFonts w:eastAsia="PMingLiU"/>
                <w:bCs/>
              </w:rPr>
              <w:t xml:space="preserve">The further review level is based on a three-year national average.  </w:t>
            </w:r>
          </w:p>
        </w:tc>
      </w:tr>
    </w:tbl>
    <w:p w14:paraId="0A430903" w14:textId="48BD6366"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rPr>
      </w:pPr>
    </w:p>
    <w:p w14:paraId="53BEA588" w14:textId="77777777" w:rsidR="00122159" w:rsidRDefault="00122159"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sectPr w:rsidR="00122159" w:rsidSect="003441A2">
          <w:headerReference w:type="default" r:id="rId23"/>
          <w:footerReference w:type="default" r:id="rId24"/>
          <w:pgSz w:w="12240" w:h="15840" w:code="1"/>
          <w:pgMar w:top="720" w:right="720" w:bottom="720" w:left="720" w:header="720" w:footer="620" w:gutter="0"/>
          <w:pgNumType w:start="1"/>
          <w:cols w:space="720"/>
          <w:rtlGutter/>
          <w:docGrid w:linePitch="360"/>
        </w:sectPr>
      </w:pPr>
    </w:p>
    <w:p w14:paraId="2BB7344B" w14:textId="77DFBBDE" w:rsidR="00D56E86" w:rsidRDefault="00B7371C" w:rsidP="002E04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B7371C">
        <w:rPr>
          <w:rFonts w:eastAsia="PMingLiU"/>
          <w:bCs/>
        </w:rPr>
        <w:t>NOTE:  The national averages in this report are three-year rolling averages.  Unless otherwise noted, the data contained in this Appendix D is pulled from the State Activity Mandated Measures (SAMM) Report in OIS and the State Plan WebIMIS report run on November 14, 2023, as part of OSHA’s official end-of-year data run.</w:t>
      </w:r>
      <w:r w:rsidR="00D56E86">
        <w:rPr>
          <w:rFonts w:eastAsia="PMingLiU"/>
          <w:bCs/>
        </w:rPr>
        <w:t xml:space="preserve"> </w:t>
      </w:r>
    </w:p>
    <w:p w14:paraId="65BB7511" w14:textId="718B8F75" w:rsidR="00D56E86" w:rsidRPr="00B7371C" w:rsidRDefault="00D56E86" w:rsidP="002E04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D56E86">
        <w:rPr>
          <w:rFonts w:eastAsia="PMingLiU"/>
          <w:bCs/>
        </w:rPr>
        <w:t>*Due to the transition of 11(c) data from IMIS to OIS, SAMMs 14, 15, and 16 are not being reported for FY 2023.</w:t>
      </w:r>
    </w:p>
    <w:sectPr w:rsidR="00D56E86" w:rsidRPr="00B7371C" w:rsidSect="003441A2">
      <w:headerReference w:type="default" r:id="rId25"/>
      <w:footerReference w:type="default" r:id="rId26"/>
      <w:type w:val="continuous"/>
      <w:pgSz w:w="12240" w:h="15840" w:code="1"/>
      <w:pgMar w:top="1440" w:right="1440" w:bottom="1440" w:left="1440" w:header="720" w:footer="720" w:gutter="0"/>
      <w:pgNumType w:fmt="upperLetter"/>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BC68A" w14:textId="77777777" w:rsidR="00954941" w:rsidRDefault="00954941" w:rsidP="00C872A0">
      <w:r>
        <w:separator/>
      </w:r>
    </w:p>
  </w:endnote>
  <w:endnote w:type="continuationSeparator" w:id="0">
    <w:p w14:paraId="3C487570" w14:textId="77777777" w:rsidR="00954941" w:rsidRDefault="00954941" w:rsidP="00C8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B2"/>
    <w:family w:val="auto"/>
    <w:pitch w:val="variable"/>
    <w:sig w:usb0="8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620547"/>
      <w:docPartObj>
        <w:docPartGallery w:val="Page Numbers (Bottom of Page)"/>
        <w:docPartUnique/>
      </w:docPartObj>
    </w:sdtPr>
    <w:sdtEndPr>
      <w:rPr>
        <w:noProof/>
      </w:rPr>
    </w:sdtEndPr>
    <w:sdtContent>
      <w:p w14:paraId="39D65DD9" w14:textId="0A8B3327" w:rsidR="00770948" w:rsidRDefault="00770948">
        <w:pPr>
          <w:pStyle w:val="Footer"/>
          <w:jc w:val="center"/>
        </w:pPr>
        <w:r>
          <w:fldChar w:fldCharType="begin"/>
        </w:r>
        <w:r>
          <w:instrText xml:space="preserve"> PAGE   \* MERGEFORMAT </w:instrText>
        </w:r>
        <w:r>
          <w:fldChar w:fldCharType="separate"/>
        </w:r>
        <w:r w:rsidR="00F64C92">
          <w:rPr>
            <w:noProof/>
          </w:rPr>
          <w:t>11</w:t>
        </w:r>
        <w:r>
          <w:rPr>
            <w:noProof/>
          </w:rPr>
          <w:fldChar w:fldCharType="end"/>
        </w:r>
      </w:p>
    </w:sdtContent>
  </w:sdt>
  <w:p w14:paraId="6FDB16CF" w14:textId="77777777" w:rsidR="00770948" w:rsidRPr="000E07E7" w:rsidRDefault="00770948" w:rsidP="000E0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9D98" w14:textId="77777777" w:rsidR="00770948" w:rsidRDefault="00770948">
    <w:pPr>
      <w:pStyle w:val="Footer"/>
      <w:jc w:val="center"/>
    </w:pPr>
  </w:p>
  <w:p w14:paraId="1927C436" w14:textId="77777777" w:rsidR="00770948" w:rsidRDefault="00770948" w:rsidP="005C489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24C3" w14:textId="26A30353" w:rsidR="00094DCF" w:rsidRDefault="00094DCF">
    <w:pPr>
      <w:pStyle w:val="Footer"/>
      <w:jc w:val="center"/>
    </w:pPr>
    <w:r>
      <w:t>A-</w:t>
    </w:r>
    <w:sdt>
      <w:sdtPr>
        <w:id w:val="542155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3F3C99D" w14:textId="77777777" w:rsidR="00770948" w:rsidRPr="000A134A" w:rsidRDefault="00770948" w:rsidP="000A13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45299"/>
      <w:docPartObj>
        <w:docPartGallery w:val="Page Numbers (Bottom of Page)"/>
        <w:docPartUnique/>
      </w:docPartObj>
    </w:sdtPr>
    <w:sdtEndPr>
      <w:rPr>
        <w:noProof/>
      </w:rPr>
    </w:sdtEndPr>
    <w:sdtContent>
      <w:p w14:paraId="21640A61" w14:textId="77777777" w:rsidR="00770948" w:rsidRDefault="00770948">
        <w:pPr>
          <w:pStyle w:val="Footer"/>
          <w:jc w:val="center"/>
        </w:pPr>
        <w:r>
          <w:t>A-1</w:t>
        </w:r>
      </w:p>
    </w:sdtContent>
  </w:sdt>
  <w:p w14:paraId="15EEF38C" w14:textId="77777777" w:rsidR="00770948" w:rsidRDefault="007709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033D" w14:textId="7C70580A" w:rsidR="00094DCF" w:rsidRDefault="00094DCF">
    <w:pPr>
      <w:pStyle w:val="Footer"/>
      <w:jc w:val="center"/>
    </w:pPr>
    <w:r>
      <w:t>B-</w:t>
    </w:r>
    <w:sdt>
      <w:sdtPr>
        <w:id w:val="187650055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80B6DE6" w14:textId="77777777" w:rsidR="00770948" w:rsidRPr="000A134A" w:rsidRDefault="00770948" w:rsidP="000A134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041E" w14:textId="77777777" w:rsidR="00770948" w:rsidRDefault="0077094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C26E9" w14:textId="792D7A78" w:rsidR="00094DCF" w:rsidRDefault="00094DCF">
    <w:pPr>
      <w:pStyle w:val="Footer"/>
      <w:jc w:val="center"/>
    </w:pPr>
    <w:r>
      <w:t>C-</w:t>
    </w:r>
    <w:sdt>
      <w:sdtPr>
        <w:id w:val="13469849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B8D97CE" w14:textId="77777777" w:rsidR="00094DCF" w:rsidRPr="000A134A" w:rsidRDefault="00094DCF" w:rsidP="000A134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56464"/>
      <w:docPartObj>
        <w:docPartGallery w:val="Page Numbers (Bottom of Page)"/>
        <w:docPartUnique/>
      </w:docPartObj>
    </w:sdtPr>
    <w:sdtEndPr>
      <w:rPr>
        <w:noProof/>
      </w:rPr>
    </w:sdtEndPr>
    <w:sdtContent>
      <w:p w14:paraId="4828E3D2" w14:textId="7A5FE2F9" w:rsidR="00416B3C" w:rsidRDefault="00416B3C">
        <w:pPr>
          <w:pStyle w:val="Footer"/>
          <w:jc w:val="center"/>
        </w:pPr>
        <w:r>
          <w:t>D-</w:t>
        </w:r>
        <w:r>
          <w:fldChar w:fldCharType="begin"/>
        </w:r>
        <w:r>
          <w:instrText xml:space="preserve"> PAGE   \* MERGEFORMAT </w:instrText>
        </w:r>
        <w:r>
          <w:fldChar w:fldCharType="separate"/>
        </w:r>
        <w:r w:rsidR="00F64C92">
          <w:rPr>
            <w:noProof/>
          </w:rPr>
          <w:t>3</w:t>
        </w:r>
        <w:r>
          <w:rPr>
            <w:noProof/>
          </w:rPr>
          <w:fldChar w:fldCharType="end"/>
        </w:r>
      </w:p>
    </w:sdtContent>
  </w:sdt>
  <w:p w14:paraId="63B8CDD9" w14:textId="77777777" w:rsidR="00770948" w:rsidRPr="000E07E7" w:rsidRDefault="00770948" w:rsidP="00B06231">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DBA9" w14:textId="77777777" w:rsidR="00770948" w:rsidRPr="000E07E7" w:rsidRDefault="00770948" w:rsidP="00B0623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CB3DD" w14:textId="77777777" w:rsidR="00954941" w:rsidRDefault="00954941" w:rsidP="00C872A0">
      <w:r>
        <w:separator/>
      </w:r>
    </w:p>
  </w:footnote>
  <w:footnote w:type="continuationSeparator" w:id="0">
    <w:p w14:paraId="7657AB46" w14:textId="77777777" w:rsidR="00954941" w:rsidRDefault="00954941" w:rsidP="00C87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263FC" w14:textId="3B7A2CE3" w:rsidR="001B3FA5" w:rsidRDefault="001B3F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817E" w14:textId="2A9DFF2B" w:rsidR="00770948" w:rsidRPr="008F57F8" w:rsidRDefault="00023946" w:rsidP="00023946">
    <w:pPr>
      <w:keepNext/>
      <w:keepLines/>
      <w:widowControl/>
      <w:autoSpaceDE/>
      <w:autoSpaceDN/>
      <w:adjustRightInd/>
      <w:spacing w:line="276" w:lineRule="auto"/>
      <w:jc w:val="center"/>
      <w:outlineLvl w:val="0"/>
      <w:rPr>
        <w:b/>
        <w:color w:val="0070C0"/>
        <w:sz w:val="28"/>
        <w:szCs w:val="28"/>
      </w:rPr>
    </w:pPr>
    <w:r w:rsidRPr="00477951">
      <w:rPr>
        <w:b/>
        <w:bCs/>
        <w:color w:val="4F81BD" w:themeColor="accent1"/>
        <w:sz w:val="28"/>
        <w:szCs w:val="28"/>
      </w:rPr>
      <w:t xml:space="preserve">Appendix </w:t>
    </w:r>
    <w:r w:rsidR="00BD2F43">
      <w:rPr>
        <w:b/>
        <w:bCs/>
        <w:color w:val="4F81BD" w:themeColor="accent1"/>
        <w:sz w:val="28"/>
        <w:szCs w:val="28"/>
      </w:rPr>
      <w:t>A</w:t>
    </w:r>
    <w:r w:rsidRPr="00477951">
      <w:rPr>
        <w:b/>
        <w:bCs/>
        <w:color w:val="4F81BD" w:themeColor="accent1"/>
        <w:sz w:val="28"/>
        <w:szCs w:val="28"/>
      </w:rPr>
      <w:t xml:space="preserve"> </w:t>
    </w:r>
    <w:r>
      <w:rPr>
        <w:b/>
        <w:bCs/>
        <w:color w:val="4F81BD" w:themeColor="accent1"/>
        <w:sz w:val="28"/>
        <w:szCs w:val="28"/>
      </w:rPr>
      <w:t>–</w:t>
    </w:r>
    <w:r w:rsidRPr="00477951">
      <w:rPr>
        <w:b/>
        <w:bCs/>
        <w:color w:val="4F81BD" w:themeColor="accent1"/>
        <w:sz w:val="28"/>
        <w:szCs w:val="28"/>
      </w:rPr>
      <w:t xml:space="preserve"> </w:t>
    </w:r>
    <w:r w:rsidR="00BD2F43">
      <w:rPr>
        <w:b/>
        <w:bCs/>
        <w:color w:val="4F81BD" w:themeColor="accent1"/>
        <w:sz w:val="28"/>
        <w:szCs w:val="28"/>
      </w:rPr>
      <w:t>New and Continued Findings and Recommendations</w:t>
    </w:r>
  </w:p>
  <w:p w14:paraId="2E359CA9" w14:textId="1AAF1CF3" w:rsidR="00770948" w:rsidRPr="00023946" w:rsidRDefault="00023946" w:rsidP="0002394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eastAsia="PMingLiU"/>
        <w:sz w:val="22"/>
        <w:szCs w:val="22"/>
      </w:rPr>
    </w:pPr>
    <w:r w:rsidRPr="00477951">
      <w:t>FY 20</w:t>
    </w:r>
    <w:r w:rsidR="00BD2F43">
      <w:t>23 NJ PEOSH</w:t>
    </w:r>
    <w:r w:rsidRPr="00477951">
      <w:t xml:space="preserve"> Comprehensive FAME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A760" w14:textId="63864F1D" w:rsidR="00770948" w:rsidRPr="007651EA" w:rsidRDefault="00A36008" w:rsidP="00A36008">
    <w:pPr>
      <w:keepNext/>
      <w:keepLines/>
      <w:widowControl/>
      <w:autoSpaceDE/>
      <w:autoSpaceDN/>
      <w:adjustRightInd/>
      <w:spacing w:line="276" w:lineRule="auto"/>
      <w:jc w:val="center"/>
      <w:outlineLvl w:val="0"/>
      <w:rPr>
        <w:sz w:val="28"/>
        <w:szCs w:val="28"/>
      </w:rPr>
    </w:pPr>
    <w:r w:rsidRPr="00477951">
      <w:rPr>
        <w:b/>
        <w:bCs/>
        <w:color w:val="4F81BD" w:themeColor="accent1"/>
        <w:sz w:val="28"/>
        <w:szCs w:val="28"/>
      </w:rPr>
      <w:t xml:space="preserve">Appendix </w:t>
    </w:r>
    <w:r>
      <w:rPr>
        <w:b/>
        <w:bCs/>
        <w:color w:val="4F81BD" w:themeColor="accent1"/>
        <w:sz w:val="28"/>
        <w:szCs w:val="28"/>
      </w:rPr>
      <w:t>A</w:t>
    </w:r>
    <w:r w:rsidRPr="00477951">
      <w:rPr>
        <w:b/>
        <w:bCs/>
        <w:color w:val="4F81BD" w:themeColor="accent1"/>
        <w:sz w:val="28"/>
        <w:szCs w:val="28"/>
      </w:rPr>
      <w:t xml:space="preserve"> </w:t>
    </w:r>
    <w:r>
      <w:rPr>
        <w:b/>
        <w:bCs/>
        <w:color w:val="4F81BD" w:themeColor="accent1"/>
        <w:sz w:val="28"/>
        <w:szCs w:val="28"/>
      </w:rPr>
      <w:t>–</w:t>
    </w:r>
    <w:r w:rsidRPr="00477951">
      <w:rPr>
        <w:b/>
        <w:bCs/>
        <w:color w:val="4F81BD" w:themeColor="accent1"/>
        <w:sz w:val="28"/>
        <w:szCs w:val="28"/>
      </w:rPr>
      <w:t xml:space="preserve"> </w:t>
    </w:r>
    <w:r>
      <w:rPr>
        <w:b/>
        <w:bCs/>
        <w:color w:val="4F81BD" w:themeColor="accent1"/>
        <w:sz w:val="28"/>
        <w:szCs w:val="28"/>
      </w:rPr>
      <w:t>New and Continued Findings and Recommendations</w:t>
    </w:r>
  </w:p>
  <w:p w14:paraId="65830905" w14:textId="03AFFC75" w:rsidR="00770948" w:rsidRPr="00600F93" w:rsidRDefault="00600F93" w:rsidP="00600F93">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eastAsia="PMingLiU"/>
        <w:sz w:val="22"/>
        <w:szCs w:val="22"/>
      </w:rPr>
    </w:pPr>
    <w:r w:rsidRPr="00477951">
      <w:t>FY 20</w:t>
    </w:r>
    <w:r w:rsidR="00E12DFB">
      <w:t xml:space="preserve">23 NJ PEOSH </w:t>
    </w:r>
    <w:r w:rsidRPr="00477951">
      <w:t>Comprehensive FAME Report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C833" w14:textId="457CFF86" w:rsidR="00770948" w:rsidRPr="00477951" w:rsidRDefault="00770948" w:rsidP="00EA7F30">
    <w:pPr>
      <w:keepNext/>
      <w:keepLines/>
      <w:widowControl/>
      <w:autoSpaceDE/>
      <w:autoSpaceDN/>
      <w:adjustRightInd/>
      <w:spacing w:line="276" w:lineRule="auto"/>
      <w:jc w:val="center"/>
      <w:outlineLvl w:val="0"/>
      <w:rPr>
        <w:b/>
        <w:bCs/>
        <w:color w:val="4F81BD" w:themeColor="accent1"/>
        <w:sz w:val="28"/>
        <w:szCs w:val="28"/>
      </w:rPr>
    </w:pPr>
    <w:r w:rsidRPr="00477951">
      <w:rPr>
        <w:b/>
        <w:bCs/>
        <w:color w:val="4F81BD" w:themeColor="accent1"/>
        <w:sz w:val="28"/>
        <w:szCs w:val="28"/>
      </w:rPr>
      <w:t xml:space="preserve">Appendix </w:t>
    </w:r>
    <w:r w:rsidR="00094DCF">
      <w:rPr>
        <w:b/>
        <w:bCs/>
        <w:color w:val="4F81BD" w:themeColor="accent1"/>
        <w:sz w:val="28"/>
        <w:szCs w:val="28"/>
      </w:rPr>
      <w:t>B</w:t>
    </w:r>
    <w:r w:rsidRPr="00477951">
      <w:rPr>
        <w:b/>
        <w:bCs/>
        <w:color w:val="4F81BD" w:themeColor="accent1"/>
        <w:sz w:val="28"/>
        <w:szCs w:val="28"/>
      </w:rPr>
      <w:t xml:space="preserve"> </w:t>
    </w:r>
    <w:r w:rsidR="00094DCF">
      <w:rPr>
        <w:b/>
        <w:bCs/>
        <w:color w:val="4F81BD" w:themeColor="accent1"/>
        <w:sz w:val="28"/>
        <w:szCs w:val="28"/>
      </w:rPr>
      <w:t>–</w:t>
    </w:r>
    <w:r w:rsidRPr="00477951">
      <w:rPr>
        <w:b/>
        <w:bCs/>
        <w:color w:val="4F81BD" w:themeColor="accent1"/>
        <w:sz w:val="28"/>
        <w:szCs w:val="28"/>
      </w:rPr>
      <w:t xml:space="preserve"> </w:t>
    </w:r>
    <w:r w:rsidR="00094DCF">
      <w:rPr>
        <w:b/>
        <w:bCs/>
        <w:color w:val="4F81BD" w:themeColor="accent1"/>
        <w:sz w:val="28"/>
        <w:szCs w:val="28"/>
      </w:rPr>
      <w:t>Observations Subject to New and Continued Monitoring</w:t>
    </w:r>
  </w:p>
  <w:p w14:paraId="1576F701" w14:textId="7C3C2243" w:rsidR="00770948" w:rsidRDefault="00770948" w:rsidP="0002394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pPr>
    <w:r w:rsidRPr="00477951">
      <w:t xml:space="preserve">FY </w:t>
    </w:r>
    <w:r w:rsidR="00C24FD5">
      <w:t xml:space="preserve">2023 NJ PEOSH </w:t>
    </w:r>
    <w:r w:rsidRPr="00477951">
      <w:t>Comprehensive FAME Report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1FDC" w14:textId="77777777" w:rsidR="00770948" w:rsidRPr="000C5BE7" w:rsidRDefault="00770948" w:rsidP="0052265F">
    <w:pPr>
      <w:pStyle w:val="Heading1"/>
      <w:ind w:left="-180"/>
      <w:jc w:val="center"/>
      <w:rPr>
        <w:rFonts w:ascii="Times New Roman" w:hAnsi="Times New Roman"/>
        <w:color w:val="0070C0"/>
      </w:rPr>
    </w:pPr>
    <w:r>
      <w:rPr>
        <w:rFonts w:ascii="Times New Roman" w:hAnsi="Times New Roman"/>
        <w:color w:val="0070C0"/>
      </w:rPr>
      <w:t>Appendix D</w:t>
    </w:r>
    <w:r w:rsidRPr="000C5BE7">
      <w:rPr>
        <w:rFonts w:ascii="Times New Roman" w:hAnsi="Times New Roman"/>
        <w:color w:val="0070C0"/>
      </w:rPr>
      <w:t xml:space="preserve"> - Status of FY 20XX Findings and Recommendations</w:t>
    </w:r>
  </w:p>
  <w:p w14:paraId="10AB2027" w14:textId="77777777" w:rsidR="00770948" w:rsidRPr="00D1582D" w:rsidRDefault="00770948" w:rsidP="0052265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pPr>
    <w:r>
      <w:t>FY 20XX</w:t>
    </w:r>
    <w:r w:rsidRPr="007651EA">
      <w:t xml:space="preserve"> [State </w:t>
    </w:r>
    <w:r>
      <w:t xml:space="preserve">Plan </w:t>
    </w:r>
    <w:r w:rsidRPr="007651EA">
      <w:t xml:space="preserve">Name] </w:t>
    </w:r>
    <w:r>
      <w:t xml:space="preserve">Comprehensive </w:t>
    </w:r>
    <w:r w:rsidRPr="007651EA">
      <w:t>FAME Report</w:t>
    </w:r>
  </w:p>
  <w:p w14:paraId="0FFD3AEF" w14:textId="77777777" w:rsidR="00770948" w:rsidRDefault="00770948" w:rsidP="00D1582D">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55669" w14:textId="2B139FB3" w:rsidR="00094DCF" w:rsidRPr="00477951" w:rsidRDefault="00094DCF" w:rsidP="00EA7F30">
    <w:pPr>
      <w:keepNext/>
      <w:keepLines/>
      <w:widowControl/>
      <w:autoSpaceDE/>
      <w:autoSpaceDN/>
      <w:adjustRightInd/>
      <w:spacing w:line="276" w:lineRule="auto"/>
      <w:jc w:val="center"/>
      <w:outlineLvl w:val="0"/>
      <w:rPr>
        <w:b/>
        <w:bCs/>
        <w:color w:val="4F81BD" w:themeColor="accent1"/>
        <w:sz w:val="28"/>
        <w:szCs w:val="28"/>
      </w:rPr>
    </w:pPr>
    <w:r w:rsidRPr="00477951">
      <w:rPr>
        <w:b/>
        <w:bCs/>
        <w:color w:val="4F81BD" w:themeColor="accent1"/>
        <w:sz w:val="28"/>
        <w:szCs w:val="28"/>
      </w:rPr>
      <w:t xml:space="preserve">Appendix </w:t>
    </w:r>
    <w:r>
      <w:rPr>
        <w:b/>
        <w:bCs/>
        <w:color w:val="4F81BD" w:themeColor="accent1"/>
        <w:sz w:val="28"/>
        <w:szCs w:val="28"/>
      </w:rPr>
      <w:t>C</w:t>
    </w:r>
    <w:r w:rsidRPr="00477951">
      <w:rPr>
        <w:b/>
        <w:bCs/>
        <w:color w:val="4F81BD" w:themeColor="accent1"/>
        <w:sz w:val="28"/>
        <w:szCs w:val="28"/>
      </w:rPr>
      <w:t xml:space="preserve"> </w:t>
    </w:r>
    <w:r>
      <w:rPr>
        <w:b/>
        <w:bCs/>
        <w:color w:val="4F81BD" w:themeColor="accent1"/>
        <w:sz w:val="28"/>
        <w:szCs w:val="28"/>
      </w:rPr>
      <w:t>–</w:t>
    </w:r>
    <w:r w:rsidRPr="00477951">
      <w:rPr>
        <w:b/>
        <w:bCs/>
        <w:color w:val="4F81BD" w:themeColor="accent1"/>
        <w:sz w:val="28"/>
        <w:szCs w:val="28"/>
      </w:rPr>
      <w:t xml:space="preserve"> </w:t>
    </w:r>
    <w:r>
      <w:rPr>
        <w:b/>
        <w:bCs/>
        <w:color w:val="4F81BD" w:themeColor="accent1"/>
        <w:sz w:val="28"/>
        <w:szCs w:val="28"/>
      </w:rPr>
      <w:t>Status of Findings and Recommendations</w:t>
    </w:r>
  </w:p>
  <w:p w14:paraId="66E0DFBF" w14:textId="77777777" w:rsidR="00094DCF" w:rsidRDefault="00094DCF" w:rsidP="0002394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pPr>
    <w:r w:rsidRPr="00477951">
      <w:t xml:space="preserve">FY </w:t>
    </w:r>
    <w:r>
      <w:t xml:space="preserve">2023 NJ PEOSH </w:t>
    </w:r>
    <w:r w:rsidRPr="00477951">
      <w:t>Comprehensive FAME Report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FE39" w14:textId="61964F86" w:rsidR="00770948" w:rsidRDefault="00770948" w:rsidP="00EA7F30">
    <w:pPr>
      <w:keepNext/>
      <w:keepLines/>
      <w:widowControl/>
      <w:autoSpaceDE/>
      <w:autoSpaceDN/>
      <w:adjustRightInd/>
      <w:spacing w:line="276" w:lineRule="auto"/>
      <w:jc w:val="center"/>
      <w:outlineLvl w:val="0"/>
      <w:rPr>
        <w:b/>
        <w:bCs/>
        <w:color w:val="0070C0"/>
        <w:sz w:val="28"/>
        <w:szCs w:val="28"/>
      </w:rPr>
    </w:pPr>
  </w:p>
  <w:p w14:paraId="592885C1" w14:textId="571179EB" w:rsidR="00770948" w:rsidRPr="00EA7F30" w:rsidRDefault="00770948" w:rsidP="00EA7F30">
    <w:pPr>
      <w:keepNext/>
      <w:keepLines/>
      <w:widowControl/>
      <w:autoSpaceDE/>
      <w:autoSpaceDN/>
      <w:adjustRightInd/>
      <w:spacing w:line="276" w:lineRule="auto"/>
      <w:jc w:val="center"/>
      <w:outlineLvl w:val="0"/>
      <w:rPr>
        <w:b/>
        <w:bCs/>
        <w:color w:val="0070C0"/>
        <w:sz w:val="28"/>
        <w:szCs w:val="28"/>
      </w:rPr>
    </w:pPr>
    <w:r w:rsidRPr="00EA7F30">
      <w:rPr>
        <w:b/>
        <w:bCs/>
        <w:color w:val="0070C0"/>
        <w:sz w:val="28"/>
        <w:szCs w:val="28"/>
      </w:rPr>
      <w:t xml:space="preserve">Appendix D - </w:t>
    </w:r>
    <w:r w:rsidRPr="00AA0FEB">
      <w:rPr>
        <w:b/>
        <w:bCs/>
        <w:color w:val="0070C0"/>
        <w:sz w:val="28"/>
        <w:szCs w:val="28"/>
      </w:rPr>
      <w:t>FY 20</w:t>
    </w:r>
    <w:r w:rsidR="00D723F0">
      <w:rPr>
        <w:b/>
        <w:bCs/>
        <w:color w:val="0070C0"/>
        <w:sz w:val="28"/>
        <w:szCs w:val="28"/>
      </w:rPr>
      <w:t>23</w:t>
    </w:r>
    <w:r w:rsidRPr="00AA0FEB">
      <w:rPr>
        <w:b/>
        <w:bCs/>
        <w:color w:val="0070C0"/>
        <w:sz w:val="28"/>
        <w:szCs w:val="28"/>
      </w:rPr>
      <w:t xml:space="preserve"> State Activity Mandated Measures (SAMM)</w:t>
    </w:r>
    <w:r>
      <w:rPr>
        <w:b/>
        <w:bCs/>
        <w:color w:val="0070C0"/>
        <w:sz w:val="28"/>
        <w:szCs w:val="28"/>
      </w:rPr>
      <w:t xml:space="preserve"> </w:t>
    </w:r>
    <w:r w:rsidRPr="00AA0FEB">
      <w:rPr>
        <w:b/>
        <w:bCs/>
        <w:color w:val="0070C0"/>
        <w:sz w:val="28"/>
        <w:szCs w:val="28"/>
      </w:rPr>
      <w:t>Report</w:t>
    </w:r>
  </w:p>
  <w:p w14:paraId="02A02E09" w14:textId="53BFEF28" w:rsidR="00770948" w:rsidRDefault="00770948" w:rsidP="00EA7F30">
    <w:pPr>
      <w:pStyle w:val="Header"/>
      <w:jc w:val="center"/>
    </w:pPr>
    <w:r>
      <w:t>FY 20</w:t>
    </w:r>
    <w:r w:rsidR="00D723F0">
      <w:t>23</w:t>
    </w:r>
    <w:r w:rsidRPr="00EA7F30">
      <w:t xml:space="preserve"> </w:t>
    </w:r>
    <w:r w:rsidR="00D723F0">
      <w:t>New Jersey PEOSH</w:t>
    </w:r>
    <w:r w:rsidRPr="00EA7F30">
      <w:t xml:space="preserve"> Comprehensive FAME Report</w:t>
    </w:r>
    <w:r w:rsidR="00A95F17">
      <w:br/>
    </w:r>
  </w:p>
  <w:p w14:paraId="425BA64B" w14:textId="4FB699F6" w:rsidR="00A95F17" w:rsidRPr="00A95F17" w:rsidRDefault="00A95F17" w:rsidP="00EA7F30">
    <w:pPr>
      <w:pStyle w:val="Header"/>
      <w:jc w:val="center"/>
      <w:rPr>
        <w:b/>
        <w:bCs/>
      </w:rPr>
    </w:pPr>
    <w:r w:rsidRPr="00A95F17">
      <w:rPr>
        <w:b/>
        <w:bCs/>
        <w:sz w:val="32"/>
        <w:szCs w:val="32"/>
      </w:rPr>
      <w:t>U.S. Department of Labor</w:t>
    </w:r>
    <w:r w:rsidRPr="00A95F17">
      <w:rPr>
        <w:b/>
        <w:bCs/>
      </w:rPr>
      <w:br/>
      <w:t>Occupational Safety and Health Administration State Plan Activity Mandated Measures (SAMMs)</w:t>
    </w:r>
  </w:p>
  <w:p w14:paraId="5612B87B" w14:textId="77777777" w:rsidR="00416B3C" w:rsidRPr="000767C0" w:rsidRDefault="00416B3C" w:rsidP="00EA7F30">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E3E5" w14:textId="77777777" w:rsidR="00770948" w:rsidRDefault="00770948" w:rsidP="00EA7F30">
    <w:pPr>
      <w:keepNext/>
      <w:keepLines/>
      <w:widowControl/>
      <w:autoSpaceDE/>
      <w:autoSpaceDN/>
      <w:adjustRightInd/>
      <w:spacing w:line="276" w:lineRule="auto"/>
      <w:jc w:val="center"/>
      <w:outlineLvl w:val="0"/>
      <w:rPr>
        <w:b/>
        <w:bCs/>
        <w:color w:val="0070C0"/>
        <w:sz w:val="28"/>
        <w:szCs w:val="28"/>
      </w:rPr>
    </w:pPr>
  </w:p>
  <w:p w14:paraId="47E5AE05" w14:textId="77777777" w:rsidR="00770948" w:rsidRPr="00122159" w:rsidRDefault="00770948" w:rsidP="00122159">
    <w:pPr>
      <w:keepNext/>
      <w:keepLines/>
      <w:widowControl/>
      <w:autoSpaceDE/>
      <w:autoSpaceDN/>
      <w:adjustRightInd/>
      <w:spacing w:line="276" w:lineRule="auto"/>
      <w:jc w:val="center"/>
      <w:outlineLvl w:val="0"/>
      <w:rPr>
        <w:b/>
        <w:bCs/>
        <w:color w:val="0070C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9547B14"/>
    <w:multiLevelType w:val="hybridMultilevel"/>
    <w:tmpl w:val="0D8A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E263EB"/>
    <w:multiLevelType w:val="hybridMultilevel"/>
    <w:tmpl w:val="D66C9552"/>
    <w:lvl w:ilvl="0" w:tplc="13B8FD4A">
      <w:start w:val="1"/>
      <w:numFmt w:val="upperRoman"/>
      <w:lvlText w:val="%1."/>
      <w:lvlJc w:val="left"/>
      <w:pPr>
        <w:ind w:left="1440" w:hanging="720"/>
      </w:pPr>
      <w:rPr>
        <w:rFonts w:cs="Times New Roman" w:hint="default"/>
        <w:b w:val="0"/>
        <w:sz w:val="28"/>
        <w:szCs w:val="28"/>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12B265B2"/>
    <w:multiLevelType w:val="hybridMultilevel"/>
    <w:tmpl w:val="5A0CD51E"/>
    <w:lvl w:ilvl="0" w:tplc="04090001">
      <w:start w:val="1"/>
      <w:numFmt w:val="bullet"/>
      <w:lvlText w:val=""/>
      <w:lvlJc w:val="left"/>
      <w:pPr>
        <w:ind w:left="2821" w:hanging="360"/>
      </w:pPr>
      <w:rPr>
        <w:rFonts w:ascii="Symbol" w:hAnsi="Symbol" w:hint="default"/>
      </w:rPr>
    </w:lvl>
    <w:lvl w:ilvl="1" w:tplc="04090003" w:tentative="1">
      <w:start w:val="1"/>
      <w:numFmt w:val="bullet"/>
      <w:lvlText w:val="o"/>
      <w:lvlJc w:val="left"/>
      <w:pPr>
        <w:ind w:left="3541" w:hanging="360"/>
      </w:pPr>
      <w:rPr>
        <w:rFonts w:ascii="Courier New" w:hAnsi="Courier New" w:cs="Courier New" w:hint="default"/>
      </w:rPr>
    </w:lvl>
    <w:lvl w:ilvl="2" w:tplc="04090005" w:tentative="1">
      <w:start w:val="1"/>
      <w:numFmt w:val="bullet"/>
      <w:lvlText w:val=""/>
      <w:lvlJc w:val="left"/>
      <w:pPr>
        <w:ind w:left="4261" w:hanging="360"/>
      </w:pPr>
      <w:rPr>
        <w:rFonts w:ascii="Wingdings" w:hAnsi="Wingdings" w:hint="default"/>
      </w:rPr>
    </w:lvl>
    <w:lvl w:ilvl="3" w:tplc="04090001" w:tentative="1">
      <w:start w:val="1"/>
      <w:numFmt w:val="bullet"/>
      <w:lvlText w:val=""/>
      <w:lvlJc w:val="left"/>
      <w:pPr>
        <w:ind w:left="4981" w:hanging="360"/>
      </w:pPr>
      <w:rPr>
        <w:rFonts w:ascii="Symbol" w:hAnsi="Symbol" w:hint="default"/>
      </w:rPr>
    </w:lvl>
    <w:lvl w:ilvl="4" w:tplc="04090003" w:tentative="1">
      <w:start w:val="1"/>
      <w:numFmt w:val="bullet"/>
      <w:lvlText w:val="o"/>
      <w:lvlJc w:val="left"/>
      <w:pPr>
        <w:ind w:left="5701" w:hanging="360"/>
      </w:pPr>
      <w:rPr>
        <w:rFonts w:ascii="Courier New" w:hAnsi="Courier New" w:cs="Courier New" w:hint="default"/>
      </w:rPr>
    </w:lvl>
    <w:lvl w:ilvl="5" w:tplc="04090005" w:tentative="1">
      <w:start w:val="1"/>
      <w:numFmt w:val="bullet"/>
      <w:lvlText w:val=""/>
      <w:lvlJc w:val="left"/>
      <w:pPr>
        <w:ind w:left="6421" w:hanging="360"/>
      </w:pPr>
      <w:rPr>
        <w:rFonts w:ascii="Wingdings" w:hAnsi="Wingdings" w:hint="default"/>
      </w:rPr>
    </w:lvl>
    <w:lvl w:ilvl="6" w:tplc="04090001" w:tentative="1">
      <w:start w:val="1"/>
      <w:numFmt w:val="bullet"/>
      <w:lvlText w:val=""/>
      <w:lvlJc w:val="left"/>
      <w:pPr>
        <w:ind w:left="7141" w:hanging="360"/>
      </w:pPr>
      <w:rPr>
        <w:rFonts w:ascii="Symbol" w:hAnsi="Symbol" w:hint="default"/>
      </w:rPr>
    </w:lvl>
    <w:lvl w:ilvl="7" w:tplc="04090003" w:tentative="1">
      <w:start w:val="1"/>
      <w:numFmt w:val="bullet"/>
      <w:lvlText w:val="o"/>
      <w:lvlJc w:val="left"/>
      <w:pPr>
        <w:ind w:left="7861" w:hanging="360"/>
      </w:pPr>
      <w:rPr>
        <w:rFonts w:ascii="Courier New" w:hAnsi="Courier New" w:cs="Courier New" w:hint="default"/>
      </w:rPr>
    </w:lvl>
    <w:lvl w:ilvl="8" w:tplc="04090005" w:tentative="1">
      <w:start w:val="1"/>
      <w:numFmt w:val="bullet"/>
      <w:lvlText w:val=""/>
      <w:lvlJc w:val="left"/>
      <w:pPr>
        <w:ind w:left="8581" w:hanging="360"/>
      </w:pPr>
      <w:rPr>
        <w:rFonts w:ascii="Wingdings" w:hAnsi="Wingdings" w:hint="default"/>
      </w:rPr>
    </w:lvl>
  </w:abstractNum>
  <w:abstractNum w:abstractNumId="26" w15:restartNumberingAfterBreak="0">
    <w:nsid w:val="14E54B1F"/>
    <w:multiLevelType w:val="hybridMultilevel"/>
    <w:tmpl w:val="426A6438"/>
    <w:lvl w:ilvl="0" w:tplc="04090011">
      <w:start w:val="1"/>
      <w:numFmt w:val="decimal"/>
      <w:lvlText w:val="%1)"/>
      <w:lvlJc w:val="left"/>
      <w:pPr>
        <w:ind w:left="1440" w:hanging="360"/>
      </w:pPr>
    </w:lvl>
    <w:lvl w:ilvl="1" w:tplc="1BB8DAB2">
      <w:start w:val="1"/>
      <w:numFmt w:val="lowerLetter"/>
      <w:lvlText w:val="%2)"/>
      <w:lvlJc w:val="left"/>
      <w:pPr>
        <w:ind w:left="2160" w:hanging="360"/>
      </w:pPr>
      <w:rPr>
        <w:rFonts w:cs="Times New Roman"/>
        <w:b w:val="0"/>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15:restartNumberingAfterBreak="0">
    <w:nsid w:val="1F9B3E10"/>
    <w:multiLevelType w:val="hybridMultilevel"/>
    <w:tmpl w:val="B4407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FF21CA8"/>
    <w:multiLevelType w:val="hybridMultilevel"/>
    <w:tmpl w:val="41DAAED2"/>
    <w:lvl w:ilvl="0" w:tplc="42EA68F6">
      <w:start w:val="1"/>
      <w:numFmt w:val="low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9" w15:restartNumberingAfterBreak="0">
    <w:nsid w:val="33BB4099"/>
    <w:multiLevelType w:val="hybridMultilevel"/>
    <w:tmpl w:val="238CFE0A"/>
    <w:lvl w:ilvl="0" w:tplc="63E26024">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77D76B7"/>
    <w:multiLevelType w:val="hybridMultilevel"/>
    <w:tmpl w:val="3D1CAD1C"/>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1" w15:restartNumberingAfterBreak="0">
    <w:nsid w:val="40704845"/>
    <w:multiLevelType w:val="hybridMultilevel"/>
    <w:tmpl w:val="CF8482B0"/>
    <w:lvl w:ilvl="0" w:tplc="30021B68">
      <w:start w:val="1"/>
      <w:numFmt w:val="lowerLetter"/>
      <w:lvlText w:val="%1)"/>
      <w:lvlJc w:val="left"/>
      <w:pPr>
        <w:ind w:left="2520" w:hanging="360"/>
      </w:pPr>
      <w:rPr>
        <w:rFonts w:ascii="Times New Roman" w:eastAsia="Times New Roman" w:hAnsi="Times New Roman" w:cs="Times New Roman"/>
        <w:b w:val="0"/>
        <w:sz w:val="24"/>
        <w:szCs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4BF370D8"/>
    <w:multiLevelType w:val="hybridMultilevel"/>
    <w:tmpl w:val="2C6C8E52"/>
    <w:lvl w:ilvl="0" w:tplc="61CEB1C2">
      <w:start w:val="1"/>
      <w:numFmt w:val="upperLetter"/>
      <w:lvlText w:val="%1."/>
      <w:lvlJc w:val="left"/>
      <w:pPr>
        <w:ind w:left="420" w:hanging="360"/>
      </w:pPr>
      <w:rPr>
        <w:rFonts w:ascii="Times New Roman" w:hAnsi="Times New Roman" w:cs="Times New Roman" w:hint="default"/>
        <w:b/>
        <w:sz w:val="24"/>
        <w:szCs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4C3845C3"/>
    <w:multiLevelType w:val="hybridMultilevel"/>
    <w:tmpl w:val="FE4E8F18"/>
    <w:lvl w:ilvl="0" w:tplc="04090001">
      <w:start w:val="1"/>
      <w:numFmt w:val="bullet"/>
      <w:lvlText w:val=""/>
      <w:lvlJc w:val="left"/>
      <w:pPr>
        <w:ind w:left="897" w:hanging="360"/>
      </w:pPr>
      <w:rPr>
        <w:rFonts w:ascii="Symbol" w:hAnsi="Symbol" w:hint="default"/>
      </w:rPr>
    </w:lvl>
    <w:lvl w:ilvl="1" w:tplc="04090003" w:tentative="1">
      <w:start w:val="1"/>
      <w:numFmt w:val="bullet"/>
      <w:lvlText w:val="o"/>
      <w:lvlJc w:val="left"/>
      <w:pPr>
        <w:ind w:left="1617" w:hanging="360"/>
      </w:pPr>
      <w:rPr>
        <w:rFonts w:ascii="Courier New" w:hAnsi="Courier New" w:cs="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cs="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cs="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34" w15:restartNumberingAfterBreak="0">
    <w:nsid w:val="4FE011BB"/>
    <w:multiLevelType w:val="hybridMultilevel"/>
    <w:tmpl w:val="B3AECA0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 w15:restartNumberingAfterBreak="0">
    <w:nsid w:val="558C2C1B"/>
    <w:multiLevelType w:val="hybridMultilevel"/>
    <w:tmpl w:val="4DDEBAB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E9F3E31"/>
    <w:multiLevelType w:val="hybridMultilevel"/>
    <w:tmpl w:val="6AC46A86"/>
    <w:lvl w:ilvl="0" w:tplc="386281FE">
      <w:start w:val="1"/>
      <w:numFmt w:val="lowerLetter"/>
      <w:lvlText w:val="%1)"/>
      <w:lvlJc w:val="left"/>
      <w:pPr>
        <w:ind w:left="2160" w:hanging="360"/>
      </w:pPr>
      <w:rPr>
        <w:rFonts w:ascii="Times New Roman" w:eastAsia="Times New Roman" w:hAnsi="Times New Roman" w:cs="Times New Roman"/>
        <w:b w:val="0"/>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F473DF0"/>
    <w:multiLevelType w:val="hybridMultilevel"/>
    <w:tmpl w:val="FAA2BE76"/>
    <w:lvl w:ilvl="0" w:tplc="04090015">
      <w:start w:val="1"/>
      <w:numFmt w:val="upp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8" w15:restartNumberingAfterBreak="0">
    <w:nsid w:val="72381063"/>
    <w:multiLevelType w:val="hybridMultilevel"/>
    <w:tmpl w:val="3FB45CF0"/>
    <w:lvl w:ilvl="0" w:tplc="C7463D5C">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86B7B5F"/>
    <w:multiLevelType w:val="hybridMultilevel"/>
    <w:tmpl w:val="D21AE17A"/>
    <w:lvl w:ilvl="0" w:tplc="E3D28E18">
      <w:start w:val="9"/>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15:restartNumberingAfterBreak="0">
    <w:nsid w:val="78CE3A2B"/>
    <w:multiLevelType w:val="hybridMultilevel"/>
    <w:tmpl w:val="0D9C62E6"/>
    <w:lvl w:ilvl="0" w:tplc="9D647A8A">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A44BB8"/>
    <w:multiLevelType w:val="hybridMultilevel"/>
    <w:tmpl w:val="0E8A0FA2"/>
    <w:lvl w:ilvl="0" w:tplc="04090001">
      <w:start w:val="1"/>
      <w:numFmt w:val="bullet"/>
      <w:lvlText w:val=""/>
      <w:lvlJc w:val="left"/>
      <w:pPr>
        <w:ind w:left="2146" w:hanging="360"/>
      </w:pPr>
      <w:rPr>
        <w:rFonts w:ascii="Symbol" w:hAnsi="Symbol" w:hint="default"/>
      </w:rPr>
    </w:lvl>
    <w:lvl w:ilvl="1" w:tplc="04090003" w:tentative="1">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num w:numId="1" w16cid:durableId="497498409">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78538771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927615694">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916597329">
    <w:abstractNumId w:val="39"/>
  </w:num>
  <w:num w:numId="5" w16cid:durableId="1310937638">
    <w:abstractNumId w:val="36"/>
  </w:num>
  <w:num w:numId="6" w16cid:durableId="640843650">
    <w:abstractNumId w:val="31"/>
  </w:num>
  <w:num w:numId="7" w16cid:durableId="1697076230">
    <w:abstractNumId w:val="26"/>
  </w:num>
  <w:num w:numId="8" w16cid:durableId="1882546294">
    <w:abstractNumId w:val="24"/>
  </w:num>
  <w:num w:numId="9" w16cid:durableId="2063553382">
    <w:abstractNumId w:val="37"/>
  </w:num>
  <w:num w:numId="10" w16cid:durableId="1665670608">
    <w:abstractNumId w:val="40"/>
  </w:num>
  <w:num w:numId="11" w16cid:durableId="1766342787">
    <w:abstractNumId w:val="32"/>
  </w:num>
  <w:num w:numId="12" w16cid:durableId="332728456">
    <w:abstractNumId w:val="27"/>
  </w:num>
  <w:num w:numId="13" w16cid:durableId="961570887">
    <w:abstractNumId w:val="38"/>
  </w:num>
  <w:num w:numId="14" w16cid:durableId="1773085606">
    <w:abstractNumId w:val="29"/>
  </w:num>
  <w:num w:numId="15" w16cid:durableId="1385716718">
    <w:abstractNumId w:val="23"/>
  </w:num>
  <w:num w:numId="16" w16cid:durableId="195121690">
    <w:abstractNumId w:val="41"/>
  </w:num>
  <w:num w:numId="17" w16cid:durableId="675302915">
    <w:abstractNumId w:val="25"/>
  </w:num>
  <w:num w:numId="18" w16cid:durableId="1589541354">
    <w:abstractNumId w:val="33"/>
  </w:num>
  <w:num w:numId="19" w16cid:durableId="846867529">
    <w:abstractNumId w:val="35"/>
  </w:num>
  <w:num w:numId="20" w16cid:durableId="1201552065">
    <w:abstractNumId w:val="34"/>
  </w:num>
  <w:num w:numId="21" w16cid:durableId="1634017118">
    <w:abstractNumId w:val="28"/>
  </w:num>
  <w:num w:numId="22" w16cid:durableId="13894994">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revisionView w:markup="0" w:insDel="0" w:formatting="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A0"/>
    <w:rsid w:val="000011DF"/>
    <w:rsid w:val="0000201A"/>
    <w:rsid w:val="00002B73"/>
    <w:rsid w:val="000036AB"/>
    <w:rsid w:val="00004200"/>
    <w:rsid w:val="00007781"/>
    <w:rsid w:val="000116C0"/>
    <w:rsid w:val="000121EC"/>
    <w:rsid w:val="00014C7A"/>
    <w:rsid w:val="00016214"/>
    <w:rsid w:val="00016803"/>
    <w:rsid w:val="0001706D"/>
    <w:rsid w:val="00017349"/>
    <w:rsid w:val="000173A3"/>
    <w:rsid w:val="00021274"/>
    <w:rsid w:val="000217D1"/>
    <w:rsid w:val="00021FE0"/>
    <w:rsid w:val="00022BEE"/>
    <w:rsid w:val="00023946"/>
    <w:rsid w:val="00023E67"/>
    <w:rsid w:val="000248F0"/>
    <w:rsid w:val="00025F57"/>
    <w:rsid w:val="00026A9C"/>
    <w:rsid w:val="00026D63"/>
    <w:rsid w:val="00027093"/>
    <w:rsid w:val="0003442F"/>
    <w:rsid w:val="0003444C"/>
    <w:rsid w:val="00035083"/>
    <w:rsid w:val="0003567C"/>
    <w:rsid w:val="00036865"/>
    <w:rsid w:val="00036BF8"/>
    <w:rsid w:val="00036EB4"/>
    <w:rsid w:val="00036F0D"/>
    <w:rsid w:val="00037F48"/>
    <w:rsid w:val="000404ED"/>
    <w:rsid w:val="00041B44"/>
    <w:rsid w:val="00042327"/>
    <w:rsid w:val="0004262E"/>
    <w:rsid w:val="00043515"/>
    <w:rsid w:val="00044436"/>
    <w:rsid w:val="000447C9"/>
    <w:rsid w:val="000449F8"/>
    <w:rsid w:val="00044CCF"/>
    <w:rsid w:val="00045479"/>
    <w:rsid w:val="00045BD6"/>
    <w:rsid w:val="00045C51"/>
    <w:rsid w:val="00046151"/>
    <w:rsid w:val="000468C6"/>
    <w:rsid w:val="00046BEE"/>
    <w:rsid w:val="00046E13"/>
    <w:rsid w:val="000470EE"/>
    <w:rsid w:val="0005007B"/>
    <w:rsid w:val="000517FA"/>
    <w:rsid w:val="00052B36"/>
    <w:rsid w:val="00053A2C"/>
    <w:rsid w:val="00055243"/>
    <w:rsid w:val="00055B40"/>
    <w:rsid w:val="00055F2C"/>
    <w:rsid w:val="00057840"/>
    <w:rsid w:val="00060D39"/>
    <w:rsid w:val="00061875"/>
    <w:rsid w:val="000625FB"/>
    <w:rsid w:val="0006398D"/>
    <w:rsid w:val="00064492"/>
    <w:rsid w:val="00065AB2"/>
    <w:rsid w:val="00066A7B"/>
    <w:rsid w:val="00066C52"/>
    <w:rsid w:val="000701E4"/>
    <w:rsid w:val="0007073F"/>
    <w:rsid w:val="0007157F"/>
    <w:rsid w:val="00071E71"/>
    <w:rsid w:val="000724F1"/>
    <w:rsid w:val="0007306B"/>
    <w:rsid w:val="000743D1"/>
    <w:rsid w:val="00074876"/>
    <w:rsid w:val="00076601"/>
    <w:rsid w:val="000767C0"/>
    <w:rsid w:val="00077410"/>
    <w:rsid w:val="00083A76"/>
    <w:rsid w:val="00085230"/>
    <w:rsid w:val="00085266"/>
    <w:rsid w:val="00086F2F"/>
    <w:rsid w:val="0008759E"/>
    <w:rsid w:val="00087EE9"/>
    <w:rsid w:val="00090155"/>
    <w:rsid w:val="000902ED"/>
    <w:rsid w:val="00091167"/>
    <w:rsid w:val="0009134A"/>
    <w:rsid w:val="00091ABD"/>
    <w:rsid w:val="00091AE2"/>
    <w:rsid w:val="00091B54"/>
    <w:rsid w:val="000923E0"/>
    <w:rsid w:val="00092555"/>
    <w:rsid w:val="000929B5"/>
    <w:rsid w:val="00092F1B"/>
    <w:rsid w:val="00093239"/>
    <w:rsid w:val="0009384C"/>
    <w:rsid w:val="00094DCF"/>
    <w:rsid w:val="0009535D"/>
    <w:rsid w:val="0009583F"/>
    <w:rsid w:val="000969E2"/>
    <w:rsid w:val="000A134A"/>
    <w:rsid w:val="000A1CE9"/>
    <w:rsid w:val="000A2DE7"/>
    <w:rsid w:val="000A3878"/>
    <w:rsid w:val="000A40EC"/>
    <w:rsid w:val="000A55DB"/>
    <w:rsid w:val="000A658C"/>
    <w:rsid w:val="000A7279"/>
    <w:rsid w:val="000A7A05"/>
    <w:rsid w:val="000B07D7"/>
    <w:rsid w:val="000B1A5B"/>
    <w:rsid w:val="000B1ECC"/>
    <w:rsid w:val="000B22E4"/>
    <w:rsid w:val="000B3A37"/>
    <w:rsid w:val="000B4852"/>
    <w:rsid w:val="000C04C6"/>
    <w:rsid w:val="000C0E15"/>
    <w:rsid w:val="000C12C6"/>
    <w:rsid w:val="000C1882"/>
    <w:rsid w:val="000C1ED8"/>
    <w:rsid w:val="000C295F"/>
    <w:rsid w:val="000C2E74"/>
    <w:rsid w:val="000C368E"/>
    <w:rsid w:val="000C38BD"/>
    <w:rsid w:val="000C4141"/>
    <w:rsid w:val="000C43DE"/>
    <w:rsid w:val="000C46E4"/>
    <w:rsid w:val="000C5C82"/>
    <w:rsid w:val="000C7C9A"/>
    <w:rsid w:val="000D0695"/>
    <w:rsid w:val="000D08E3"/>
    <w:rsid w:val="000D1822"/>
    <w:rsid w:val="000D343F"/>
    <w:rsid w:val="000D34E1"/>
    <w:rsid w:val="000D4A64"/>
    <w:rsid w:val="000D750A"/>
    <w:rsid w:val="000D7AAD"/>
    <w:rsid w:val="000E0408"/>
    <w:rsid w:val="000E07E7"/>
    <w:rsid w:val="000E0DD1"/>
    <w:rsid w:val="000E1AA2"/>
    <w:rsid w:val="000E20A2"/>
    <w:rsid w:val="000E46F3"/>
    <w:rsid w:val="000E5C64"/>
    <w:rsid w:val="000E6466"/>
    <w:rsid w:val="000E7CE8"/>
    <w:rsid w:val="000E7F42"/>
    <w:rsid w:val="000F1D68"/>
    <w:rsid w:val="000F1E49"/>
    <w:rsid w:val="000F46ED"/>
    <w:rsid w:val="000F4DA3"/>
    <w:rsid w:val="000F5631"/>
    <w:rsid w:val="000F5A36"/>
    <w:rsid w:val="000F6A5C"/>
    <w:rsid w:val="000F7ECC"/>
    <w:rsid w:val="001039FA"/>
    <w:rsid w:val="001056A7"/>
    <w:rsid w:val="0011011A"/>
    <w:rsid w:val="00110CB0"/>
    <w:rsid w:val="001113A1"/>
    <w:rsid w:val="00112308"/>
    <w:rsid w:val="00112C81"/>
    <w:rsid w:val="0011326F"/>
    <w:rsid w:val="0011522A"/>
    <w:rsid w:val="00115B48"/>
    <w:rsid w:val="00115DF5"/>
    <w:rsid w:val="00116055"/>
    <w:rsid w:val="001170E4"/>
    <w:rsid w:val="00117115"/>
    <w:rsid w:val="001174A0"/>
    <w:rsid w:val="0012164B"/>
    <w:rsid w:val="00122159"/>
    <w:rsid w:val="00122228"/>
    <w:rsid w:val="0012279E"/>
    <w:rsid w:val="00122839"/>
    <w:rsid w:val="00122BD3"/>
    <w:rsid w:val="001244C7"/>
    <w:rsid w:val="00125065"/>
    <w:rsid w:val="00125345"/>
    <w:rsid w:val="00125C8A"/>
    <w:rsid w:val="00132F71"/>
    <w:rsid w:val="001330E6"/>
    <w:rsid w:val="001341FE"/>
    <w:rsid w:val="0013481B"/>
    <w:rsid w:val="00134F5D"/>
    <w:rsid w:val="001358F0"/>
    <w:rsid w:val="00136DA3"/>
    <w:rsid w:val="00140313"/>
    <w:rsid w:val="00140C21"/>
    <w:rsid w:val="00141758"/>
    <w:rsid w:val="00142198"/>
    <w:rsid w:val="00143518"/>
    <w:rsid w:val="00143ACD"/>
    <w:rsid w:val="00143F36"/>
    <w:rsid w:val="0014420A"/>
    <w:rsid w:val="00144A53"/>
    <w:rsid w:val="00145BC1"/>
    <w:rsid w:val="001469F6"/>
    <w:rsid w:val="001471B8"/>
    <w:rsid w:val="00147F8B"/>
    <w:rsid w:val="00150F03"/>
    <w:rsid w:val="001515BB"/>
    <w:rsid w:val="00152207"/>
    <w:rsid w:val="00155591"/>
    <w:rsid w:val="00156BBB"/>
    <w:rsid w:val="00156CD6"/>
    <w:rsid w:val="00156E0C"/>
    <w:rsid w:val="00157520"/>
    <w:rsid w:val="00161740"/>
    <w:rsid w:val="00163E90"/>
    <w:rsid w:val="0016478D"/>
    <w:rsid w:val="00166CCD"/>
    <w:rsid w:val="00171C6E"/>
    <w:rsid w:val="00172085"/>
    <w:rsid w:val="001729BD"/>
    <w:rsid w:val="00173853"/>
    <w:rsid w:val="00174F2E"/>
    <w:rsid w:val="0017552C"/>
    <w:rsid w:val="00176DF8"/>
    <w:rsid w:val="00177A1E"/>
    <w:rsid w:val="00177D70"/>
    <w:rsid w:val="00182B5C"/>
    <w:rsid w:val="00182CE0"/>
    <w:rsid w:val="001843E2"/>
    <w:rsid w:val="001861B8"/>
    <w:rsid w:val="00187065"/>
    <w:rsid w:val="001870B8"/>
    <w:rsid w:val="00187182"/>
    <w:rsid w:val="001902FE"/>
    <w:rsid w:val="00190F5C"/>
    <w:rsid w:val="001927A4"/>
    <w:rsid w:val="00192881"/>
    <w:rsid w:val="00192C14"/>
    <w:rsid w:val="00193E53"/>
    <w:rsid w:val="001941DE"/>
    <w:rsid w:val="00195153"/>
    <w:rsid w:val="001958C8"/>
    <w:rsid w:val="001A2967"/>
    <w:rsid w:val="001A3671"/>
    <w:rsid w:val="001A524E"/>
    <w:rsid w:val="001A6B79"/>
    <w:rsid w:val="001A7BB9"/>
    <w:rsid w:val="001A7F60"/>
    <w:rsid w:val="001B0219"/>
    <w:rsid w:val="001B02D7"/>
    <w:rsid w:val="001B0632"/>
    <w:rsid w:val="001B0AF1"/>
    <w:rsid w:val="001B160F"/>
    <w:rsid w:val="001B284A"/>
    <w:rsid w:val="001B30D1"/>
    <w:rsid w:val="001B346B"/>
    <w:rsid w:val="001B38B9"/>
    <w:rsid w:val="001B3FA5"/>
    <w:rsid w:val="001B6DA7"/>
    <w:rsid w:val="001B6F47"/>
    <w:rsid w:val="001B77A2"/>
    <w:rsid w:val="001C0F12"/>
    <w:rsid w:val="001C154D"/>
    <w:rsid w:val="001C2B11"/>
    <w:rsid w:val="001C3276"/>
    <w:rsid w:val="001C44E8"/>
    <w:rsid w:val="001C560E"/>
    <w:rsid w:val="001C58C2"/>
    <w:rsid w:val="001C620B"/>
    <w:rsid w:val="001D1819"/>
    <w:rsid w:val="001D1A16"/>
    <w:rsid w:val="001D6530"/>
    <w:rsid w:val="001D681F"/>
    <w:rsid w:val="001D6D59"/>
    <w:rsid w:val="001D7428"/>
    <w:rsid w:val="001D7613"/>
    <w:rsid w:val="001E0EFF"/>
    <w:rsid w:val="001E1B35"/>
    <w:rsid w:val="001E1C5D"/>
    <w:rsid w:val="001E1FD1"/>
    <w:rsid w:val="001E2D62"/>
    <w:rsid w:val="001E5ABD"/>
    <w:rsid w:val="001E5C43"/>
    <w:rsid w:val="001E5FE4"/>
    <w:rsid w:val="001F0B51"/>
    <w:rsid w:val="001F1D8A"/>
    <w:rsid w:val="001F3750"/>
    <w:rsid w:val="001F40E1"/>
    <w:rsid w:val="001F5249"/>
    <w:rsid w:val="001F58B8"/>
    <w:rsid w:val="001F6549"/>
    <w:rsid w:val="00200D27"/>
    <w:rsid w:val="002011AC"/>
    <w:rsid w:val="00201EB9"/>
    <w:rsid w:val="00202BD7"/>
    <w:rsid w:val="002048CC"/>
    <w:rsid w:val="00205391"/>
    <w:rsid w:val="00205A99"/>
    <w:rsid w:val="00205B95"/>
    <w:rsid w:val="0020733F"/>
    <w:rsid w:val="00207B94"/>
    <w:rsid w:val="00210E15"/>
    <w:rsid w:val="00211626"/>
    <w:rsid w:val="0021277A"/>
    <w:rsid w:val="00212BC7"/>
    <w:rsid w:val="00213FCA"/>
    <w:rsid w:val="002143E7"/>
    <w:rsid w:val="00216621"/>
    <w:rsid w:val="00216B0E"/>
    <w:rsid w:val="00217433"/>
    <w:rsid w:val="00217437"/>
    <w:rsid w:val="00222350"/>
    <w:rsid w:val="002231D3"/>
    <w:rsid w:val="002235F3"/>
    <w:rsid w:val="002247E7"/>
    <w:rsid w:val="0022537C"/>
    <w:rsid w:val="0022685E"/>
    <w:rsid w:val="00227868"/>
    <w:rsid w:val="002307ED"/>
    <w:rsid w:val="00230915"/>
    <w:rsid w:val="00230D53"/>
    <w:rsid w:val="0023191B"/>
    <w:rsid w:val="002337B2"/>
    <w:rsid w:val="00233C64"/>
    <w:rsid w:val="002404BA"/>
    <w:rsid w:val="002427F7"/>
    <w:rsid w:val="00243015"/>
    <w:rsid w:val="0024338F"/>
    <w:rsid w:val="002511A8"/>
    <w:rsid w:val="002512E8"/>
    <w:rsid w:val="00251450"/>
    <w:rsid w:val="00251FA2"/>
    <w:rsid w:val="002523FB"/>
    <w:rsid w:val="00253249"/>
    <w:rsid w:val="002536CB"/>
    <w:rsid w:val="0025526A"/>
    <w:rsid w:val="002559A7"/>
    <w:rsid w:val="00255EA4"/>
    <w:rsid w:val="00260A89"/>
    <w:rsid w:val="00260C9F"/>
    <w:rsid w:val="00261A11"/>
    <w:rsid w:val="00262A51"/>
    <w:rsid w:val="00262DDC"/>
    <w:rsid w:val="00265778"/>
    <w:rsid w:val="002679E5"/>
    <w:rsid w:val="00270695"/>
    <w:rsid w:val="002707B8"/>
    <w:rsid w:val="002725BC"/>
    <w:rsid w:val="002731DE"/>
    <w:rsid w:val="002735F9"/>
    <w:rsid w:val="00273C5A"/>
    <w:rsid w:val="00273CD1"/>
    <w:rsid w:val="00274463"/>
    <w:rsid w:val="0027502F"/>
    <w:rsid w:val="00276EE2"/>
    <w:rsid w:val="00277C24"/>
    <w:rsid w:val="0028166F"/>
    <w:rsid w:val="00281733"/>
    <w:rsid w:val="0028174D"/>
    <w:rsid w:val="00281A30"/>
    <w:rsid w:val="002821DE"/>
    <w:rsid w:val="002823D9"/>
    <w:rsid w:val="002831C6"/>
    <w:rsid w:val="00290B29"/>
    <w:rsid w:val="00292313"/>
    <w:rsid w:val="00293B3D"/>
    <w:rsid w:val="00294168"/>
    <w:rsid w:val="00294245"/>
    <w:rsid w:val="002948AE"/>
    <w:rsid w:val="00294FD0"/>
    <w:rsid w:val="002954DC"/>
    <w:rsid w:val="0029647F"/>
    <w:rsid w:val="00296B1E"/>
    <w:rsid w:val="00297ABC"/>
    <w:rsid w:val="002A2421"/>
    <w:rsid w:val="002A40A1"/>
    <w:rsid w:val="002A4594"/>
    <w:rsid w:val="002A4934"/>
    <w:rsid w:val="002A50A7"/>
    <w:rsid w:val="002A526F"/>
    <w:rsid w:val="002A65C4"/>
    <w:rsid w:val="002A6EA8"/>
    <w:rsid w:val="002B334F"/>
    <w:rsid w:val="002B3E37"/>
    <w:rsid w:val="002B4100"/>
    <w:rsid w:val="002B4250"/>
    <w:rsid w:val="002B429D"/>
    <w:rsid w:val="002B43F3"/>
    <w:rsid w:val="002B4830"/>
    <w:rsid w:val="002B4F49"/>
    <w:rsid w:val="002B63FA"/>
    <w:rsid w:val="002B7D36"/>
    <w:rsid w:val="002C1E78"/>
    <w:rsid w:val="002C21A1"/>
    <w:rsid w:val="002C4E8C"/>
    <w:rsid w:val="002C65D1"/>
    <w:rsid w:val="002D0261"/>
    <w:rsid w:val="002D0DA5"/>
    <w:rsid w:val="002D1D1E"/>
    <w:rsid w:val="002D473A"/>
    <w:rsid w:val="002D4F37"/>
    <w:rsid w:val="002D54B7"/>
    <w:rsid w:val="002D61CE"/>
    <w:rsid w:val="002D6E03"/>
    <w:rsid w:val="002E030B"/>
    <w:rsid w:val="002E04B5"/>
    <w:rsid w:val="002E1782"/>
    <w:rsid w:val="002E211F"/>
    <w:rsid w:val="002E397D"/>
    <w:rsid w:val="002E43B7"/>
    <w:rsid w:val="002E4405"/>
    <w:rsid w:val="002E4FDC"/>
    <w:rsid w:val="002E50F9"/>
    <w:rsid w:val="002E516E"/>
    <w:rsid w:val="002E5F0C"/>
    <w:rsid w:val="002E6386"/>
    <w:rsid w:val="002E6E73"/>
    <w:rsid w:val="002E70A4"/>
    <w:rsid w:val="002E799C"/>
    <w:rsid w:val="002F0D97"/>
    <w:rsid w:val="002F140C"/>
    <w:rsid w:val="002F313C"/>
    <w:rsid w:val="002F4FA0"/>
    <w:rsid w:val="002F5F07"/>
    <w:rsid w:val="002F78C9"/>
    <w:rsid w:val="002F7F47"/>
    <w:rsid w:val="0030105C"/>
    <w:rsid w:val="00304846"/>
    <w:rsid w:val="00304930"/>
    <w:rsid w:val="0030523E"/>
    <w:rsid w:val="00311426"/>
    <w:rsid w:val="00312D97"/>
    <w:rsid w:val="00312FDE"/>
    <w:rsid w:val="0031493F"/>
    <w:rsid w:val="00315E58"/>
    <w:rsid w:val="003201FA"/>
    <w:rsid w:val="00320A32"/>
    <w:rsid w:val="00322518"/>
    <w:rsid w:val="003235C8"/>
    <w:rsid w:val="003249AC"/>
    <w:rsid w:val="0032597C"/>
    <w:rsid w:val="00327926"/>
    <w:rsid w:val="00327E12"/>
    <w:rsid w:val="003306BF"/>
    <w:rsid w:val="00331F49"/>
    <w:rsid w:val="0033232A"/>
    <w:rsid w:val="00334155"/>
    <w:rsid w:val="00336613"/>
    <w:rsid w:val="00336FF6"/>
    <w:rsid w:val="0033715B"/>
    <w:rsid w:val="00340ED2"/>
    <w:rsid w:val="00341DD1"/>
    <w:rsid w:val="00343604"/>
    <w:rsid w:val="00344186"/>
    <w:rsid w:val="003441A2"/>
    <w:rsid w:val="00344D3F"/>
    <w:rsid w:val="0034504D"/>
    <w:rsid w:val="00345174"/>
    <w:rsid w:val="0034562A"/>
    <w:rsid w:val="00345884"/>
    <w:rsid w:val="003468BE"/>
    <w:rsid w:val="00347366"/>
    <w:rsid w:val="003478A8"/>
    <w:rsid w:val="00351ABE"/>
    <w:rsid w:val="00351DAD"/>
    <w:rsid w:val="00352B39"/>
    <w:rsid w:val="0035483B"/>
    <w:rsid w:val="0035620E"/>
    <w:rsid w:val="0035765D"/>
    <w:rsid w:val="00360CDE"/>
    <w:rsid w:val="003625AF"/>
    <w:rsid w:val="00363176"/>
    <w:rsid w:val="00363AF6"/>
    <w:rsid w:val="0036420B"/>
    <w:rsid w:val="00366FCA"/>
    <w:rsid w:val="0036752E"/>
    <w:rsid w:val="003675BA"/>
    <w:rsid w:val="00371330"/>
    <w:rsid w:val="003720B1"/>
    <w:rsid w:val="00373067"/>
    <w:rsid w:val="00373624"/>
    <w:rsid w:val="00374643"/>
    <w:rsid w:val="00374E61"/>
    <w:rsid w:val="0037554E"/>
    <w:rsid w:val="003759CE"/>
    <w:rsid w:val="00375AFE"/>
    <w:rsid w:val="00380246"/>
    <w:rsid w:val="0038038C"/>
    <w:rsid w:val="00380DBE"/>
    <w:rsid w:val="003810F0"/>
    <w:rsid w:val="003822A8"/>
    <w:rsid w:val="00382632"/>
    <w:rsid w:val="00383151"/>
    <w:rsid w:val="00383223"/>
    <w:rsid w:val="00385E65"/>
    <w:rsid w:val="003861AB"/>
    <w:rsid w:val="0038622A"/>
    <w:rsid w:val="00386A92"/>
    <w:rsid w:val="00387B03"/>
    <w:rsid w:val="00387C8A"/>
    <w:rsid w:val="0039036E"/>
    <w:rsid w:val="00392C0A"/>
    <w:rsid w:val="00395A18"/>
    <w:rsid w:val="0039632A"/>
    <w:rsid w:val="00396CFB"/>
    <w:rsid w:val="003A117C"/>
    <w:rsid w:val="003A15AE"/>
    <w:rsid w:val="003A1601"/>
    <w:rsid w:val="003A1E5E"/>
    <w:rsid w:val="003A1F58"/>
    <w:rsid w:val="003A20DA"/>
    <w:rsid w:val="003A2119"/>
    <w:rsid w:val="003A53CD"/>
    <w:rsid w:val="003A7811"/>
    <w:rsid w:val="003A79DB"/>
    <w:rsid w:val="003B2977"/>
    <w:rsid w:val="003B3314"/>
    <w:rsid w:val="003B3D85"/>
    <w:rsid w:val="003B3DD0"/>
    <w:rsid w:val="003B572B"/>
    <w:rsid w:val="003B5B99"/>
    <w:rsid w:val="003C0D15"/>
    <w:rsid w:val="003C24E4"/>
    <w:rsid w:val="003C25AC"/>
    <w:rsid w:val="003C2918"/>
    <w:rsid w:val="003C4331"/>
    <w:rsid w:val="003C45C1"/>
    <w:rsid w:val="003C5067"/>
    <w:rsid w:val="003C5371"/>
    <w:rsid w:val="003C553A"/>
    <w:rsid w:val="003C5C8B"/>
    <w:rsid w:val="003C664A"/>
    <w:rsid w:val="003C70C3"/>
    <w:rsid w:val="003D0BE0"/>
    <w:rsid w:val="003D1966"/>
    <w:rsid w:val="003D248B"/>
    <w:rsid w:val="003D2F9B"/>
    <w:rsid w:val="003D4A40"/>
    <w:rsid w:val="003D4ED4"/>
    <w:rsid w:val="003D53B8"/>
    <w:rsid w:val="003D5D7B"/>
    <w:rsid w:val="003D6D33"/>
    <w:rsid w:val="003D750D"/>
    <w:rsid w:val="003E01A1"/>
    <w:rsid w:val="003E1251"/>
    <w:rsid w:val="003E2170"/>
    <w:rsid w:val="003E2D0C"/>
    <w:rsid w:val="003E375A"/>
    <w:rsid w:val="003E4294"/>
    <w:rsid w:val="003E4B5E"/>
    <w:rsid w:val="003E6165"/>
    <w:rsid w:val="003E6A8F"/>
    <w:rsid w:val="003E6E8B"/>
    <w:rsid w:val="003E7A6E"/>
    <w:rsid w:val="003E7AEA"/>
    <w:rsid w:val="003F0994"/>
    <w:rsid w:val="003F0FB1"/>
    <w:rsid w:val="003F1CDB"/>
    <w:rsid w:val="003F221B"/>
    <w:rsid w:val="003F2C9D"/>
    <w:rsid w:val="003F46FA"/>
    <w:rsid w:val="003F49AA"/>
    <w:rsid w:val="003F6589"/>
    <w:rsid w:val="003F6C61"/>
    <w:rsid w:val="003F7844"/>
    <w:rsid w:val="003F78C1"/>
    <w:rsid w:val="003F7A1E"/>
    <w:rsid w:val="004007AC"/>
    <w:rsid w:val="00401DF0"/>
    <w:rsid w:val="0040227E"/>
    <w:rsid w:val="00403973"/>
    <w:rsid w:val="00403ADC"/>
    <w:rsid w:val="0040424A"/>
    <w:rsid w:val="004044D4"/>
    <w:rsid w:val="00407F7C"/>
    <w:rsid w:val="004103CD"/>
    <w:rsid w:val="004106D5"/>
    <w:rsid w:val="00410A18"/>
    <w:rsid w:val="00410CBE"/>
    <w:rsid w:val="004119E8"/>
    <w:rsid w:val="00411E44"/>
    <w:rsid w:val="0041281B"/>
    <w:rsid w:val="004134D7"/>
    <w:rsid w:val="004138A5"/>
    <w:rsid w:val="004138DF"/>
    <w:rsid w:val="00414885"/>
    <w:rsid w:val="00414F98"/>
    <w:rsid w:val="0041560D"/>
    <w:rsid w:val="00416112"/>
    <w:rsid w:val="00416B3C"/>
    <w:rsid w:val="00422070"/>
    <w:rsid w:val="0042395F"/>
    <w:rsid w:val="00424604"/>
    <w:rsid w:val="00424A0D"/>
    <w:rsid w:val="0042568D"/>
    <w:rsid w:val="00425EE1"/>
    <w:rsid w:val="00426918"/>
    <w:rsid w:val="0042694A"/>
    <w:rsid w:val="0043036A"/>
    <w:rsid w:val="0043109E"/>
    <w:rsid w:val="00431115"/>
    <w:rsid w:val="00431578"/>
    <w:rsid w:val="00431F6C"/>
    <w:rsid w:val="00434F9D"/>
    <w:rsid w:val="00435253"/>
    <w:rsid w:val="004359BB"/>
    <w:rsid w:val="00437FBB"/>
    <w:rsid w:val="00440DF1"/>
    <w:rsid w:val="004419F6"/>
    <w:rsid w:val="00443D46"/>
    <w:rsid w:val="00446455"/>
    <w:rsid w:val="00451D3D"/>
    <w:rsid w:val="00451DA6"/>
    <w:rsid w:val="00451DC8"/>
    <w:rsid w:val="00454277"/>
    <w:rsid w:val="00454FE1"/>
    <w:rsid w:val="00456950"/>
    <w:rsid w:val="00456A58"/>
    <w:rsid w:val="00456AB3"/>
    <w:rsid w:val="00457149"/>
    <w:rsid w:val="00457B05"/>
    <w:rsid w:val="0046047E"/>
    <w:rsid w:val="0046097C"/>
    <w:rsid w:val="00464590"/>
    <w:rsid w:val="004645FE"/>
    <w:rsid w:val="00464C75"/>
    <w:rsid w:val="004658D1"/>
    <w:rsid w:val="00466B8D"/>
    <w:rsid w:val="00470794"/>
    <w:rsid w:val="004729E0"/>
    <w:rsid w:val="00473850"/>
    <w:rsid w:val="00473DD7"/>
    <w:rsid w:val="00473E98"/>
    <w:rsid w:val="004740E8"/>
    <w:rsid w:val="00474334"/>
    <w:rsid w:val="004745DA"/>
    <w:rsid w:val="00474896"/>
    <w:rsid w:val="00475E79"/>
    <w:rsid w:val="004766E7"/>
    <w:rsid w:val="0047789A"/>
    <w:rsid w:val="00477951"/>
    <w:rsid w:val="00480BEA"/>
    <w:rsid w:val="00480EE8"/>
    <w:rsid w:val="004811CE"/>
    <w:rsid w:val="00483334"/>
    <w:rsid w:val="004834B7"/>
    <w:rsid w:val="00483779"/>
    <w:rsid w:val="0048380E"/>
    <w:rsid w:val="00485461"/>
    <w:rsid w:val="004856D2"/>
    <w:rsid w:val="00486665"/>
    <w:rsid w:val="0048668C"/>
    <w:rsid w:val="00486971"/>
    <w:rsid w:val="00486BE3"/>
    <w:rsid w:val="00487D91"/>
    <w:rsid w:val="0049137F"/>
    <w:rsid w:val="00491ECF"/>
    <w:rsid w:val="004923EB"/>
    <w:rsid w:val="0049240B"/>
    <w:rsid w:val="0049342D"/>
    <w:rsid w:val="00493E60"/>
    <w:rsid w:val="0049420B"/>
    <w:rsid w:val="0049474F"/>
    <w:rsid w:val="004954D4"/>
    <w:rsid w:val="00497316"/>
    <w:rsid w:val="00497C0D"/>
    <w:rsid w:val="00497CF7"/>
    <w:rsid w:val="004A17E0"/>
    <w:rsid w:val="004A57F6"/>
    <w:rsid w:val="004A5A2F"/>
    <w:rsid w:val="004A613F"/>
    <w:rsid w:val="004B0D97"/>
    <w:rsid w:val="004B106A"/>
    <w:rsid w:val="004B31ED"/>
    <w:rsid w:val="004B394F"/>
    <w:rsid w:val="004B3D81"/>
    <w:rsid w:val="004B3EA9"/>
    <w:rsid w:val="004C06FC"/>
    <w:rsid w:val="004C1432"/>
    <w:rsid w:val="004C187E"/>
    <w:rsid w:val="004C375B"/>
    <w:rsid w:val="004C3ECD"/>
    <w:rsid w:val="004C4576"/>
    <w:rsid w:val="004C5E86"/>
    <w:rsid w:val="004C641B"/>
    <w:rsid w:val="004C7EFC"/>
    <w:rsid w:val="004D0505"/>
    <w:rsid w:val="004D05C8"/>
    <w:rsid w:val="004D0B18"/>
    <w:rsid w:val="004D0DD0"/>
    <w:rsid w:val="004D194A"/>
    <w:rsid w:val="004D30EB"/>
    <w:rsid w:val="004D4A2C"/>
    <w:rsid w:val="004D4CEA"/>
    <w:rsid w:val="004D7611"/>
    <w:rsid w:val="004E11D8"/>
    <w:rsid w:val="004E22AA"/>
    <w:rsid w:val="004E3225"/>
    <w:rsid w:val="004E40FD"/>
    <w:rsid w:val="004E4C79"/>
    <w:rsid w:val="004E58BC"/>
    <w:rsid w:val="004E6043"/>
    <w:rsid w:val="004E72DE"/>
    <w:rsid w:val="004E7417"/>
    <w:rsid w:val="004E7689"/>
    <w:rsid w:val="004F0127"/>
    <w:rsid w:val="004F19A1"/>
    <w:rsid w:val="004F4B9A"/>
    <w:rsid w:val="004F5900"/>
    <w:rsid w:val="004F5FF4"/>
    <w:rsid w:val="004F706D"/>
    <w:rsid w:val="004F7483"/>
    <w:rsid w:val="004F7758"/>
    <w:rsid w:val="0050077F"/>
    <w:rsid w:val="00500DCB"/>
    <w:rsid w:val="00500DEF"/>
    <w:rsid w:val="00501CB0"/>
    <w:rsid w:val="00502D50"/>
    <w:rsid w:val="005102D9"/>
    <w:rsid w:val="0051107A"/>
    <w:rsid w:val="00511564"/>
    <w:rsid w:val="00511BBB"/>
    <w:rsid w:val="005129C3"/>
    <w:rsid w:val="005133E4"/>
    <w:rsid w:val="00513906"/>
    <w:rsid w:val="00513BF3"/>
    <w:rsid w:val="0051489E"/>
    <w:rsid w:val="00516517"/>
    <w:rsid w:val="005175EF"/>
    <w:rsid w:val="00517879"/>
    <w:rsid w:val="005179A1"/>
    <w:rsid w:val="00521191"/>
    <w:rsid w:val="00522159"/>
    <w:rsid w:val="0052265F"/>
    <w:rsid w:val="00522C3A"/>
    <w:rsid w:val="0052483D"/>
    <w:rsid w:val="00525F49"/>
    <w:rsid w:val="0052604A"/>
    <w:rsid w:val="00530319"/>
    <w:rsid w:val="00531978"/>
    <w:rsid w:val="005353EA"/>
    <w:rsid w:val="00536FF5"/>
    <w:rsid w:val="005404A8"/>
    <w:rsid w:val="0054086A"/>
    <w:rsid w:val="00540A1E"/>
    <w:rsid w:val="00540D4C"/>
    <w:rsid w:val="00541BE6"/>
    <w:rsid w:val="00542FFC"/>
    <w:rsid w:val="00543D20"/>
    <w:rsid w:val="00543F37"/>
    <w:rsid w:val="00545AD4"/>
    <w:rsid w:val="005461C0"/>
    <w:rsid w:val="00551791"/>
    <w:rsid w:val="00552EB3"/>
    <w:rsid w:val="005543E0"/>
    <w:rsid w:val="00554CF3"/>
    <w:rsid w:val="00555259"/>
    <w:rsid w:val="005556B2"/>
    <w:rsid w:val="00561182"/>
    <w:rsid w:val="00561459"/>
    <w:rsid w:val="00561B12"/>
    <w:rsid w:val="0056204C"/>
    <w:rsid w:val="005623EA"/>
    <w:rsid w:val="00562433"/>
    <w:rsid w:val="00562F0E"/>
    <w:rsid w:val="005647C8"/>
    <w:rsid w:val="00565D72"/>
    <w:rsid w:val="00565F80"/>
    <w:rsid w:val="005672B5"/>
    <w:rsid w:val="005700FC"/>
    <w:rsid w:val="005709D7"/>
    <w:rsid w:val="0057110B"/>
    <w:rsid w:val="00571660"/>
    <w:rsid w:val="0057283B"/>
    <w:rsid w:val="00575B51"/>
    <w:rsid w:val="00576178"/>
    <w:rsid w:val="0057789C"/>
    <w:rsid w:val="005819C5"/>
    <w:rsid w:val="005824E9"/>
    <w:rsid w:val="00582701"/>
    <w:rsid w:val="0058464C"/>
    <w:rsid w:val="00584756"/>
    <w:rsid w:val="005860FD"/>
    <w:rsid w:val="005876F7"/>
    <w:rsid w:val="00587EE4"/>
    <w:rsid w:val="00590091"/>
    <w:rsid w:val="0059072C"/>
    <w:rsid w:val="005915D6"/>
    <w:rsid w:val="00591A40"/>
    <w:rsid w:val="00591F96"/>
    <w:rsid w:val="00594F37"/>
    <w:rsid w:val="00597441"/>
    <w:rsid w:val="005A02B8"/>
    <w:rsid w:val="005A0888"/>
    <w:rsid w:val="005A185C"/>
    <w:rsid w:val="005A1AFE"/>
    <w:rsid w:val="005A2F63"/>
    <w:rsid w:val="005A2F6F"/>
    <w:rsid w:val="005A327A"/>
    <w:rsid w:val="005A414C"/>
    <w:rsid w:val="005A573D"/>
    <w:rsid w:val="005A59F4"/>
    <w:rsid w:val="005A5B9A"/>
    <w:rsid w:val="005A5EEE"/>
    <w:rsid w:val="005A6B9B"/>
    <w:rsid w:val="005A7708"/>
    <w:rsid w:val="005B0650"/>
    <w:rsid w:val="005B0F17"/>
    <w:rsid w:val="005B368D"/>
    <w:rsid w:val="005B3E85"/>
    <w:rsid w:val="005B50B8"/>
    <w:rsid w:val="005B5B2D"/>
    <w:rsid w:val="005B5BFC"/>
    <w:rsid w:val="005B6F87"/>
    <w:rsid w:val="005C138B"/>
    <w:rsid w:val="005C203B"/>
    <w:rsid w:val="005C3F96"/>
    <w:rsid w:val="005C489D"/>
    <w:rsid w:val="005C59CE"/>
    <w:rsid w:val="005C5F99"/>
    <w:rsid w:val="005C6529"/>
    <w:rsid w:val="005D027D"/>
    <w:rsid w:val="005D1101"/>
    <w:rsid w:val="005D1B1B"/>
    <w:rsid w:val="005D1FFE"/>
    <w:rsid w:val="005D25EC"/>
    <w:rsid w:val="005D2ABC"/>
    <w:rsid w:val="005D2D13"/>
    <w:rsid w:val="005D5070"/>
    <w:rsid w:val="005D54CA"/>
    <w:rsid w:val="005D5717"/>
    <w:rsid w:val="005D5CD7"/>
    <w:rsid w:val="005D6827"/>
    <w:rsid w:val="005D7D4E"/>
    <w:rsid w:val="005D7FB3"/>
    <w:rsid w:val="005E1543"/>
    <w:rsid w:val="005E18EB"/>
    <w:rsid w:val="005E1D1F"/>
    <w:rsid w:val="005E20BF"/>
    <w:rsid w:val="005E2179"/>
    <w:rsid w:val="005E2647"/>
    <w:rsid w:val="005E28CB"/>
    <w:rsid w:val="005E3EFB"/>
    <w:rsid w:val="005E4462"/>
    <w:rsid w:val="005E56E6"/>
    <w:rsid w:val="005E61ED"/>
    <w:rsid w:val="005E6AA2"/>
    <w:rsid w:val="005F1373"/>
    <w:rsid w:val="005F4085"/>
    <w:rsid w:val="005F4CE2"/>
    <w:rsid w:val="005F6B67"/>
    <w:rsid w:val="005F70AA"/>
    <w:rsid w:val="005F7CBE"/>
    <w:rsid w:val="005F7DCB"/>
    <w:rsid w:val="00600B02"/>
    <w:rsid w:val="00600F93"/>
    <w:rsid w:val="00601444"/>
    <w:rsid w:val="00601A7C"/>
    <w:rsid w:val="006025A4"/>
    <w:rsid w:val="00602922"/>
    <w:rsid w:val="006036FD"/>
    <w:rsid w:val="006049B0"/>
    <w:rsid w:val="006109F6"/>
    <w:rsid w:val="006124DB"/>
    <w:rsid w:val="0061276B"/>
    <w:rsid w:val="00615341"/>
    <w:rsid w:val="006163AE"/>
    <w:rsid w:val="00616ADA"/>
    <w:rsid w:val="00616EEE"/>
    <w:rsid w:val="006175A7"/>
    <w:rsid w:val="006220FA"/>
    <w:rsid w:val="006239C7"/>
    <w:rsid w:val="00623BE6"/>
    <w:rsid w:val="0062454B"/>
    <w:rsid w:val="006252C6"/>
    <w:rsid w:val="0062576C"/>
    <w:rsid w:val="006266AB"/>
    <w:rsid w:val="00630505"/>
    <w:rsid w:val="00630922"/>
    <w:rsid w:val="00630E11"/>
    <w:rsid w:val="00631143"/>
    <w:rsid w:val="00631459"/>
    <w:rsid w:val="0063159D"/>
    <w:rsid w:val="00631C17"/>
    <w:rsid w:val="0063248E"/>
    <w:rsid w:val="006324CB"/>
    <w:rsid w:val="00632CF0"/>
    <w:rsid w:val="00632E7D"/>
    <w:rsid w:val="006331B0"/>
    <w:rsid w:val="0063415D"/>
    <w:rsid w:val="006345B2"/>
    <w:rsid w:val="006360DB"/>
    <w:rsid w:val="00636B85"/>
    <w:rsid w:val="006375A7"/>
    <w:rsid w:val="006375CA"/>
    <w:rsid w:val="006402B4"/>
    <w:rsid w:val="00643DC9"/>
    <w:rsid w:val="006460B8"/>
    <w:rsid w:val="0064646B"/>
    <w:rsid w:val="006479EF"/>
    <w:rsid w:val="006514A3"/>
    <w:rsid w:val="00651B09"/>
    <w:rsid w:val="006529AA"/>
    <w:rsid w:val="00654707"/>
    <w:rsid w:val="00657178"/>
    <w:rsid w:val="0066010E"/>
    <w:rsid w:val="00660D00"/>
    <w:rsid w:val="00664D23"/>
    <w:rsid w:val="0066658E"/>
    <w:rsid w:val="006668D8"/>
    <w:rsid w:val="00666D5A"/>
    <w:rsid w:val="00667751"/>
    <w:rsid w:val="00667DB2"/>
    <w:rsid w:val="00670051"/>
    <w:rsid w:val="00670523"/>
    <w:rsid w:val="00670587"/>
    <w:rsid w:val="00672AD1"/>
    <w:rsid w:val="00672D7A"/>
    <w:rsid w:val="0067419C"/>
    <w:rsid w:val="00675794"/>
    <w:rsid w:val="0067597D"/>
    <w:rsid w:val="006765F9"/>
    <w:rsid w:val="00680315"/>
    <w:rsid w:val="00680333"/>
    <w:rsid w:val="00680E08"/>
    <w:rsid w:val="00681DA9"/>
    <w:rsid w:val="00683C7D"/>
    <w:rsid w:val="006856D8"/>
    <w:rsid w:val="00686D1E"/>
    <w:rsid w:val="00686E4E"/>
    <w:rsid w:val="00687F36"/>
    <w:rsid w:val="00690603"/>
    <w:rsid w:val="006915C5"/>
    <w:rsid w:val="00692B5D"/>
    <w:rsid w:val="006936D1"/>
    <w:rsid w:val="00693E90"/>
    <w:rsid w:val="00694365"/>
    <w:rsid w:val="0069437A"/>
    <w:rsid w:val="00694616"/>
    <w:rsid w:val="00695011"/>
    <w:rsid w:val="00696700"/>
    <w:rsid w:val="00696E76"/>
    <w:rsid w:val="00697198"/>
    <w:rsid w:val="00697AE2"/>
    <w:rsid w:val="006A01D7"/>
    <w:rsid w:val="006A424B"/>
    <w:rsid w:val="006A6EF2"/>
    <w:rsid w:val="006A7B6C"/>
    <w:rsid w:val="006B16CD"/>
    <w:rsid w:val="006B22CB"/>
    <w:rsid w:val="006B2BD1"/>
    <w:rsid w:val="006B2C36"/>
    <w:rsid w:val="006B4C20"/>
    <w:rsid w:val="006B5FC7"/>
    <w:rsid w:val="006B664F"/>
    <w:rsid w:val="006B72DC"/>
    <w:rsid w:val="006C0489"/>
    <w:rsid w:val="006C0DF1"/>
    <w:rsid w:val="006C19FF"/>
    <w:rsid w:val="006C4152"/>
    <w:rsid w:val="006C4B0D"/>
    <w:rsid w:val="006C5C95"/>
    <w:rsid w:val="006C70ED"/>
    <w:rsid w:val="006D045D"/>
    <w:rsid w:val="006D05F8"/>
    <w:rsid w:val="006D219A"/>
    <w:rsid w:val="006D2FCF"/>
    <w:rsid w:val="006D3126"/>
    <w:rsid w:val="006D3407"/>
    <w:rsid w:val="006D34ED"/>
    <w:rsid w:val="006D44D3"/>
    <w:rsid w:val="006D49F8"/>
    <w:rsid w:val="006D52C6"/>
    <w:rsid w:val="006D6175"/>
    <w:rsid w:val="006D64A8"/>
    <w:rsid w:val="006D68FE"/>
    <w:rsid w:val="006D6F0C"/>
    <w:rsid w:val="006E02C8"/>
    <w:rsid w:val="006E0832"/>
    <w:rsid w:val="006E11C5"/>
    <w:rsid w:val="006E2139"/>
    <w:rsid w:val="006E2E96"/>
    <w:rsid w:val="006E31DC"/>
    <w:rsid w:val="006E41BC"/>
    <w:rsid w:val="006E4ADC"/>
    <w:rsid w:val="006E570D"/>
    <w:rsid w:val="006E5B1C"/>
    <w:rsid w:val="006E6CC3"/>
    <w:rsid w:val="006E7A97"/>
    <w:rsid w:val="006F01DD"/>
    <w:rsid w:val="006F10FB"/>
    <w:rsid w:val="006F1795"/>
    <w:rsid w:val="006F1799"/>
    <w:rsid w:val="006F1912"/>
    <w:rsid w:val="006F22ED"/>
    <w:rsid w:val="006F3FF7"/>
    <w:rsid w:val="006F4D78"/>
    <w:rsid w:val="006F511E"/>
    <w:rsid w:val="006F52DD"/>
    <w:rsid w:val="006F5CBA"/>
    <w:rsid w:val="006F5D72"/>
    <w:rsid w:val="006F5DF0"/>
    <w:rsid w:val="006F7EA9"/>
    <w:rsid w:val="00700807"/>
    <w:rsid w:val="007010B5"/>
    <w:rsid w:val="00701CF8"/>
    <w:rsid w:val="00702538"/>
    <w:rsid w:val="007025D9"/>
    <w:rsid w:val="0070369D"/>
    <w:rsid w:val="00704431"/>
    <w:rsid w:val="007052B7"/>
    <w:rsid w:val="00705A09"/>
    <w:rsid w:val="00710360"/>
    <w:rsid w:val="00714CC3"/>
    <w:rsid w:val="00716505"/>
    <w:rsid w:val="0072002A"/>
    <w:rsid w:val="0072015A"/>
    <w:rsid w:val="00720230"/>
    <w:rsid w:val="00720865"/>
    <w:rsid w:val="007232E0"/>
    <w:rsid w:val="007249B2"/>
    <w:rsid w:val="00724A9A"/>
    <w:rsid w:val="00725BBB"/>
    <w:rsid w:val="007270F4"/>
    <w:rsid w:val="00730EA0"/>
    <w:rsid w:val="00731276"/>
    <w:rsid w:val="00733A22"/>
    <w:rsid w:val="007340FB"/>
    <w:rsid w:val="00735F13"/>
    <w:rsid w:val="00737B21"/>
    <w:rsid w:val="007408CB"/>
    <w:rsid w:val="00740F2A"/>
    <w:rsid w:val="0074312B"/>
    <w:rsid w:val="007443F6"/>
    <w:rsid w:val="007453B6"/>
    <w:rsid w:val="007458FA"/>
    <w:rsid w:val="007467DE"/>
    <w:rsid w:val="00747E84"/>
    <w:rsid w:val="00750ADF"/>
    <w:rsid w:val="00750C17"/>
    <w:rsid w:val="007529AA"/>
    <w:rsid w:val="00753357"/>
    <w:rsid w:val="00755256"/>
    <w:rsid w:val="007552CC"/>
    <w:rsid w:val="0075534D"/>
    <w:rsid w:val="00755907"/>
    <w:rsid w:val="007562DA"/>
    <w:rsid w:val="0075756B"/>
    <w:rsid w:val="00757C70"/>
    <w:rsid w:val="007604F4"/>
    <w:rsid w:val="0076059A"/>
    <w:rsid w:val="007627D2"/>
    <w:rsid w:val="00762C7C"/>
    <w:rsid w:val="00762FBE"/>
    <w:rsid w:val="007634A9"/>
    <w:rsid w:val="0076356B"/>
    <w:rsid w:val="00763B1A"/>
    <w:rsid w:val="007651EA"/>
    <w:rsid w:val="007664E4"/>
    <w:rsid w:val="00766A7A"/>
    <w:rsid w:val="007702C1"/>
    <w:rsid w:val="00770948"/>
    <w:rsid w:val="00771BAB"/>
    <w:rsid w:val="00771C54"/>
    <w:rsid w:val="007740BD"/>
    <w:rsid w:val="007747BE"/>
    <w:rsid w:val="00775886"/>
    <w:rsid w:val="007768DF"/>
    <w:rsid w:val="007768FB"/>
    <w:rsid w:val="00776F99"/>
    <w:rsid w:val="00777C67"/>
    <w:rsid w:val="007802AD"/>
    <w:rsid w:val="0078047F"/>
    <w:rsid w:val="00781203"/>
    <w:rsid w:val="00781349"/>
    <w:rsid w:val="00781F73"/>
    <w:rsid w:val="00782EEC"/>
    <w:rsid w:val="00782FF3"/>
    <w:rsid w:val="007845E1"/>
    <w:rsid w:val="00784ACA"/>
    <w:rsid w:val="00785927"/>
    <w:rsid w:val="00785982"/>
    <w:rsid w:val="00785CC7"/>
    <w:rsid w:val="00787686"/>
    <w:rsid w:val="00787E50"/>
    <w:rsid w:val="00793541"/>
    <w:rsid w:val="00793D9F"/>
    <w:rsid w:val="00795EF2"/>
    <w:rsid w:val="007968B8"/>
    <w:rsid w:val="00796B1B"/>
    <w:rsid w:val="007A0B2C"/>
    <w:rsid w:val="007A0FEC"/>
    <w:rsid w:val="007A12C9"/>
    <w:rsid w:val="007A17BB"/>
    <w:rsid w:val="007A21BE"/>
    <w:rsid w:val="007A2721"/>
    <w:rsid w:val="007A272C"/>
    <w:rsid w:val="007A2B3E"/>
    <w:rsid w:val="007A2EE6"/>
    <w:rsid w:val="007A45B2"/>
    <w:rsid w:val="007A584C"/>
    <w:rsid w:val="007A6A23"/>
    <w:rsid w:val="007A71AC"/>
    <w:rsid w:val="007A7AF1"/>
    <w:rsid w:val="007B0E92"/>
    <w:rsid w:val="007B18D0"/>
    <w:rsid w:val="007B1F3E"/>
    <w:rsid w:val="007B21AB"/>
    <w:rsid w:val="007B2E9D"/>
    <w:rsid w:val="007B5E8E"/>
    <w:rsid w:val="007B6843"/>
    <w:rsid w:val="007C0B6B"/>
    <w:rsid w:val="007C0D75"/>
    <w:rsid w:val="007C13B8"/>
    <w:rsid w:val="007C22D2"/>
    <w:rsid w:val="007C2617"/>
    <w:rsid w:val="007C2FE3"/>
    <w:rsid w:val="007C3072"/>
    <w:rsid w:val="007C38C6"/>
    <w:rsid w:val="007C4D6B"/>
    <w:rsid w:val="007C4FEE"/>
    <w:rsid w:val="007C68B5"/>
    <w:rsid w:val="007C79A2"/>
    <w:rsid w:val="007D040C"/>
    <w:rsid w:val="007D1457"/>
    <w:rsid w:val="007D14A3"/>
    <w:rsid w:val="007D1D5D"/>
    <w:rsid w:val="007D2511"/>
    <w:rsid w:val="007D354A"/>
    <w:rsid w:val="007D41D8"/>
    <w:rsid w:val="007D4FDA"/>
    <w:rsid w:val="007D5AD8"/>
    <w:rsid w:val="007D6269"/>
    <w:rsid w:val="007D62F3"/>
    <w:rsid w:val="007D6425"/>
    <w:rsid w:val="007D7696"/>
    <w:rsid w:val="007D7760"/>
    <w:rsid w:val="007E01D5"/>
    <w:rsid w:val="007E120E"/>
    <w:rsid w:val="007E40C5"/>
    <w:rsid w:val="007E48CF"/>
    <w:rsid w:val="007F00FF"/>
    <w:rsid w:val="007F035B"/>
    <w:rsid w:val="007F1946"/>
    <w:rsid w:val="007F2D88"/>
    <w:rsid w:val="007F31B2"/>
    <w:rsid w:val="007F34B6"/>
    <w:rsid w:val="007F352D"/>
    <w:rsid w:val="007F446E"/>
    <w:rsid w:val="007F497E"/>
    <w:rsid w:val="007F549E"/>
    <w:rsid w:val="007F607A"/>
    <w:rsid w:val="007F6FB1"/>
    <w:rsid w:val="007F71DF"/>
    <w:rsid w:val="00801EB3"/>
    <w:rsid w:val="00802AF1"/>
    <w:rsid w:val="00803052"/>
    <w:rsid w:val="008033C2"/>
    <w:rsid w:val="0080342B"/>
    <w:rsid w:val="00803AF3"/>
    <w:rsid w:val="00803DB8"/>
    <w:rsid w:val="00805FBE"/>
    <w:rsid w:val="00806A19"/>
    <w:rsid w:val="00806A3A"/>
    <w:rsid w:val="00810570"/>
    <w:rsid w:val="00810C92"/>
    <w:rsid w:val="00812232"/>
    <w:rsid w:val="00812AA1"/>
    <w:rsid w:val="008131FA"/>
    <w:rsid w:val="008133C0"/>
    <w:rsid w:val="00814A3A"/>
    <w:rsid w:val="00815A3E"/>
    <w:rsid w:val="008177EE"/>
    <w:rsid w:val="00820BED"/>
    <w:rsid w:val="00821692"/>
    <w:rsid w:val="00821B54"/>
    <w:rsid w:val="00822091"/>
    <w:rsid w:val="00822725"/>
    <w:rsid w:val="00822A6D"/>
    <w:rsid w:val="00823311"/>
    <w:rsid w:val="00823C69"/>
    <w:rsid w:val="00823FE0"/>
    <w:rsid w:val="008246E3"/>
    <w:rsid w:val="008259CF"/>
    <w:rsid w:val="00825E35"/>
    <w:rsid w:val="0082610A"/>
    <w:rsid w:val="008265B6"/>
    <w:rsid w:val="00827673"/>
    <w:rsid w:val="00827686"/>
    <w:rsid w:val="00827EC4"/>
    <w:rsid w:val="00830CC4"/>
    <w:rsid w:val="0083168B"/>
    <w:rsid w:val="00831D33"/>
    <w:rsid w:val="00832D88"/>
    <w:rsid w:val="0083338D"/>
    <w:rsid w:val="00833722"/>
    <w:rsid w:val="00833FB6"/>
    <w:rsid w:val="00834BC3"/>
    <w:rsid w:val="00836129"/>
    <w:rsid w:val="00836157"/>
    <w:rsid w:val="00842FE7"/>
    <w:rsid w:val="00844434"/>
    <w:rsid w:val="008455EF"/>
    <w:rsid w:val="00845891"/>
    <w:rsid w:val="00845DFC"/>
    <w:rsid w:val="0084695A"/>
    <w:rsid w:val="00850E16"/>
    <w:rsid w:val="00852018"/>
    <w:rsid w:val="008543E8"/>
    <w:rsid w:val="00856121"/>
    <w:rsid w:val="00860AF0"/>
    <w:rsid w:val="008618B2"/>
    <w:rsid w:val="00862760"/>
    <w:rsid w:val="00863502"/>
    <w:rsid w:val="008639C7"/>
    <w:rsid w:val="00867A25"/>
    <w:rsid w:val="008700BA"/>
    <w:rsid w:val="00873666"/>
    <w:rsid w:val="00874736"/>
    <w:rsid w:val="008748B4"/>
    <w:rsid w:val="00874F13"/>
    <w:rsid w:val="008751F6"/>
    <w:rsid w:val="00875CD5"/>
    <w:rsid w:val="00876854"/>
    <w:rsid w:val="00876986"/>
    <w:rsid w:val="008769F5"/>
    <w:rsid w:val="00876C2D"/>
    <w:rsid w:val="008804BC"/>
    <w:rsid w:val="00880D1A"/>
    <w:rsid w:val="00881D81"/>
    <w:rsid w:val="00881E2C"/>
    <w:rsid w:val="00883566"/>
    <w:rsid w:val="008849FF"/>
    <w:rsid w:val="00884ED9"/>
    <w:rsid w:val="008859AC"/>
    <w:rsid w:val="00886981"/>
    <w:rsid w:val="008869C8"/>
    <w:rsid w:val="00886AC3"/>
    <w:rsid w:val="0089091D"/>
    <w:rsid w:val="00890968"/>
    <w:rsid w:val="00896574"/>
    <w:rsid w:val="00897D4E"/>
    <w:rsid w:val="008A0025"/>
    <w:rsid w:val="008A2094"/>
    <w:rsid w:val="008A2249"/>
    <w:rsid w:val="008A337D"/>
    <w:rsid w:val="008A338C"/>
    <w:rsid w:val="008A37BA"/>
    <w:rsid w:val="008A4178"/>
    <w:rsid w:val="008A4E18"/>
    <w:rsid w:val="008A571F"/>
    <w:rsid w:val="008A64F4"/>
    <w:rsid w:val="008A674D"/>
    <w:rsid w:val="008A78EC"/>
    <w:rsid w:val="008A7991"/>
    <w:rsid w:val="008A7C07"/>
    <w:rsid w:val="008B0E67"/>
    <w:rsid w:val="008B11C9"/>
    <w:rsid w:val="008B155F"/>
    <w:rsid w:val="008B1863"/>
    <w:rsid w:val="008B1BC6"/>
    <w:rsid w:val="008B4A36"/>
    <w:rsid w:val="008B60DF"/>
    <w:rsid w:val="008B6B71"/>
    <w:rsid w:val="008B7258"/>
    <w:rsid w:val="008C0158"/>
    <w:rsid w:val="008C0EC9"/>
    <w:rsid w:val="008C174F"/>
    <w:rsid w:val="008C3F3A"/>
    <w:rsid w:val="008C4902"/>
    <w:rsid w:val="008C5042"/>
    <w:rsid w:val="008C544B"/>
    <w:rsid w:val="008C7241"/>
    <w:rsid w:val="008D1581"/>
    <w:rsid w:val="008D1BAD"/>
    <w:rsid w:val="008D1C55"/>
    <w:rsid w:val="008D2CFC"/>
    <w:rsid w:val="008D33E2"/>
    <w:rsid w:val="008D4019"/>
    <w:rsid w:val="008D4463"/>
    <w:rsid w:val="008D458B"/>
    <w:rsid w:val="008D51F3"/>
    <w:rsid w:val="008D7842"/>
    <w:rsid w:val="008E051D"/>
    <w:rsid w:val="008E0F34"/>
    <w:rsid w:val="008E1E03"/>
    <w:rsid w:val="008E2B3B"/>
    <w:rsid w:val="008E4A0D"/>
    <w:rsid w:val="008E69B6"/>
    <w:rsid w:val="008E7142"/>
    <w:rsid w:val="008F093F"/>
    <w:rsid w:val="008F190E"/>
    <w:rsid w:val="008F1B64"/>
    <w:rsid w:val="008F2A12"/>
    <w:rsid w:val="008F431C"/>
    <w:rsid w:val="008F4901"/>
    <w:rsid w:val="008F5289"/>
    <w:rsid w:val="008F5430"/>
    <w:rsid w:val="008F57F8"/>
    <w:rsid w:val="008F6AD8"/>
    <w:rsid w:val="008F70DE"/>
    <w:rsid w:val="008F79E8"/>
    <w:rsid w:val="00901181"/>
    <w:rsid w:val="00901219"/>
    <w:rsid w:val="00901BA6"/>
    <w:rsid w:val="00902957"/>
    <w:rsid w:val="00904107"/>
    <w:rsid w:val="009042CC"/>
    <w:rsid w:val="00904571"/>
    <w:rsid w:val="00906134"/>
    <w:rsid w:val="00907160"/>
    <w:rsid w:val="009076A8"/>
    <w:rsid w:val="00907EF2"/>
    <w:rsid w:val="00910D95"/>
    <w:rsid w:val="009127A4"/>
    <w:rsid w:val="00912AE9"/>
    <w:rsid w:val="00912DC5"/>
    <w:rsid w:val="00913D5F"/>
    <w:rsid w:val="00914A3B"/>
    <w:rsid w:val="009159B2"/>
    <w:rsid w:val="0091695C"/>
    <w:rsid w:val="00916A3B"/>
    <w:rsid w:val="009179D3"/>
    <w:rsid w:val="00917B96"/>
    <w:rsid w:val="00917F9B"/>
    <w:rsid w:val="00920BBD"/>
    <w:rsid w:val="00921D13"/>
    <w:rsid w:val="0092288A"/>
    <w:rsid w:val="00925876"/>
    <w:rsid w:val="0092646E"/>
    <w:rsid w:val="009310B5"/>
    <w:rsid w:val="00931611"/>
    <w:rsid w:val="009329AE"/>
    <w:rsid w:val="00933C53"/>
    <w:rsid w:val="00934C83"/>
    <w:rsid w:val="00934E02"/>
    <w:rsid w:val="009369AE"/>
    <w:rsid w:val="00940A91"/>
    <w:rsid w:val="0094439D"/>
    <w:rsid w:val="00944653"/>
    <w:rsid w:val="00944AFA"/>
    <w:rsid w:val="00945650"/>
    <w:rsid w:val="00945FE2"/>
    <w:rsid w:val="0094621D"/>
    <w:rsid w:val="00947D64"/>
    <w:rsid w:val="009501DF"/>
    <w:rsid w:val="00950727"/>
    <w:rsid w:val="00951FDB"/>
    <w:rsid w:val="009522DA"/>
    <w:rsid w:val="0095396F"/>
    <w:rsid w:val="00953E02"/>
    <w:rsid w:val="00954323"/>
    <w:rsid w:val="00954941"/>
    <w:rsid w:val="009567B8"/>
    <w:rsid w:val="00960D34"/>
    <w:rsid w:val="009611D2"/>
    <w:rsid w:val="009621A0"/>
    <w:rsid w:val="00962BC2"/>
    <w:rsid w:val="00964224"/>
    <w:rsid w:val="00966824"/>
    <w:rsid w:val="0096696A"/>
    <w:rsid w:val="00967201"/>
    <w:rsid w:val="0097020F"/>
    <w:rsid w:val="00971BFB"/>
    <w:rsid w:val="00971FDA"/>
    <w:rsid w:val="009722A8"/>
    <w:rsid w:val="00972548"/>
    <w:rsid w:val="009728FF"/>
    <w:rsid w:val="0097324B"/>
    <w:rsid w:val="00974888"/>
    <w:rsid w:val="00974B47"/>
    <w:rsid w:val="00974D53"/>
    <w:rsid w:val="009772A5"/>
    <w:rsid w:val="00977550"/>
    <w:rsid w:val="00980B5D"/>
    <w:rsid w:val="00980D4F"/>
    <w:rsid w:val="00981173"/>
    <w:rsid w:val="00981A75"/>
    <w:rsid w:val="00981B3E"/>
    <w:rsid w:val="00981F83"/>
    <w:rsid w:val="00983621"/>
    <w:rsid w:val="009841A8"/>
    <w:rsid w:val="00984626"/>
    <w:rsid w:val="009868BE"/>
    <w:rsid w:val="00986B64"/>
    <w:rsid w:val="00986EFA"/>
    <w:rsid w:val="009876A4"/>
    <w:rsid w:val="009917E9"/>
    <w:rsid w:val="00993789"/>
    <w:rsid w:val="00994F61"/>
    <w:rsid w:val="00996057"/>
    <w:rsid w:val="00996394"/>
    <w:rsid w:val="00996C89"/>
    <w:rsid w:val="009979B9"/>
    <w:rsid w:val="009A03C7"/>
    <w:rsid w:val="009A1399"/>
    <w:rsid w:val="009A22FD"/>
    <w:rsid w:val="009A23E7"/>
    <w:rsid w:val="009A2ED6"/>
    <w:rsid w:val="009A31E7"/>
    <w:rsid w:val="009A546A"/>
    <w:rsid w:val="009A621C"/>
    <w:rsid w:val="009A6677"/>
    <w:rsid w:val="009A6C66"/>
    <w:rsid w:val="009A6EF9"/>
    <w:rsid w:val="009A7BBC"/>
    <w:rsid w:val="009B2A11"/>
    <w:rsid w:val="009B3451"/>
    <w:rsid w:val="009B35E2"/>
    <w:rsid w:val="009B5581"/>
    <w:rsid w:val="009B5940"/>
    <w:rsid w:val="009B61A1"/>
    <w:rsid w:val="009B63ED"/>
    <w:rsid w:val="009B710D"/>
    <w:rsid w:val="009C3862"/>
    <w:rsid w:val="009C4171"/>
    <w:rsid w:val="009C475C"/>
    <w:rsid w:val="009C47D1"/>
    <w:rsid w:val="009C5313"/>
    <w:rsid w:val="009C5878"/>
    <w:rsid w:val="009C6522"/>
    <w:rsid w:val="009C6968"/>
    <w:rsid w:val="009C75C9"/>
    <w:rsid w:val="009D1492"/>
    <w:rsid w:val="009D169E"/>
    <w:rsid w:val="009D17E7"/>
    <w:rsid w:val="009D2602"/>
    <w:rsid w:val="009D3234"/>
    <w:rsid w:val="009D41B7"/>
    <w:rsid w:val="009D4B67"/>
    <w:rsid w:val="009D5CA7"/>
    <w:rsid w:val="009D65CD"/>
    <w:rsid w:val="009D6E2E"/>
    <w:rsid w:val="009D7298"/>
    <w:rsid w:val="009E03C7"/>
    <w:rsid w:val="009E1A02"/>
    <w:rsid w:val="009E3C1C"/>
    <w:rsid w:val="009E4D98"/>
    <w:rsid w:val="009E6ACB"/>
    <w:rsid w:val="009F1043"/>
    <w:rsid w:val="009F16C9"/>
    <w:rsid w:val="009F2D78"/>
    <w:rsid w:val="009F36CA"/>
    <w:rsid w:val="009F4756"/>
    <w:rsid w:val="009F4FE2"/>
    <w:rsid w:val="009F6167"/>
    <w:rsid w:val="009F752A"/>
    <w:rsid w:val="00A003BE"/>
    <w:rsid w:val="00A00EE1"/>
    <w:rsid w:val="00A022AB"/>
    <w:rsid w:val="00A0249A"/>
    <w:rsid w:val="00A03435"/>
    <w:rsid w:val="00A03567"/>
    <w:rsid w:val="00A03632"/>
    <w:rsid w:val="00A0385F"/>
    <w:rsid w:val="00A0422E"/>
    <w:rsid w:val="00A06C2D"/>
    <w:rsid w:val="00A079D0"/>
    <w:rsid w:val="00A11132"/>
    <w:rsid w:val="00A11969"/>
    <w:rsid w:val="00A157B9"/>
    <w:rsid w:val="00A158FB"/>
    <w:rsid w:val="00A1712E"/>
    <w:rsid w:val="00A17F2D"/>
    <w:rsid w:val="00A20667"/>
    <w:rsid w:val="00A22348"/>
    <w:rsid w:val="00A24A0F"/>
    <w:rsid w:val="00A24C62"/>
    <w:rsid w:val="00A254EC"/>
    <w:rsid w:val="00A25F51"/>
    <w:rsid w:val="00A26182"/>
    <w:rsid w:val="00A30382"/>
    <w:rsid w:val="00A30CEC"/>
    <w:rsid w:val="00A32604"/>
    <w:rsid w:val="00A32EF3"/>
    <w:rsid w:val="00A33BEF"/>
    <w:rsid w:val="00A35312"/>
    <w:rsid w:val="00A354C8"/>
    <w:rsid w:val="00A36008"/>
    <w:rsid w:val="00A407E6"/>
    <w:rsid w:val="00A417AE"/>
    <w:rsid w:val="00A43199"/>
    <w:rsid w:val="00A43345"/>
    <w:rsid w:val="00A43820"/>
    <w:rsid w:val="00A447E6"/>
    <w:rsid w:val="00A44FF9"/>
    <w:rsid w:val="00A463E3"/>
    <w:rsid w:val="00A50AD6"/>
    <w:rsid w:val="00A50D0F"/>
    <w:rsid w:val="00A50E2B"/>
    <w:rsid w:val="00A51495"/>
    <w:rsid w:val="00A54097"/>
    <w:rsid w:val="00A56A47"/>
    <w:rsid w:val="00A57661"/>
    <w:rsid w:val="00A60E34"/>
    <w:rsid w:val="00A62606"/>
    <w:rsid w:val="00A62EA7"/>
    <w:rsid w:val="00A6459E"/>
    <w:rsid w:val="00A64686"/>
    <w:rsid w:val="00A64CAE"/>
    <w:rsid w:val="00A6578C"/>
    <w:rsid w:val="00A666A5"/>
    <w:rsid w:val="00A71A0A"/>
    <w:rsid w:val="00A71AB6"/>
    <w:rsid w:val="00A72227"/>
    <w:rsid w:val="00A72CC1"/>
    <w:rsid w:val="00A73E12"/>
    <w:rsid w:val="00A748F2"/>
    <w:rsid w:val="00A74939"/>
    <w:rsid w:val="00A75F0B"/>
    <w:rsid w:val="00A77B52"/>
    <w:rsid w:val="00A80044"/>
    <w:rsid w:val="00A81845"/>
    <w:rsid w:val="00A81F5B"/>
    <w:rsid w:val="00A8271D"/>
    <w:rsid w:val="00A82B34"/>
    <w:rsid w:val="00A83611"/>
    <w:rsid w:val="00A8580C"/>
    <w:rsid w:val="00A85A45"/>
    <w:rsid w:val="00A85F3E"/>
    <w:rsid w:val="00A8681D"/>
    <w:rsid w:val="00A86A92"/>
    <w:rsid w:val="00A86CEB"/>
    <w:rsid w:val="00A90AA5"/>
    <w:rsid w:val="00A912BA"/>
    <w:rsid w:val="00A924F3"/>
    <w:rsid w:val="00A92AF0"/>
    <w:rsid w:val="00A94369"/>
    <w:rsid w:val="00A95F17"/>
    <w:rsid w:val="00A97923"/>
    <w:rsid w:val="00AA0E31"/>
    <w:rsid w:val="00AA0FEB"/>
    <w:rsid w:val="00AA1803"/>
    <w:rsid w:val="00AA20EA"/>
    <w:rsid w:val="00AA2224"/>
    <w:rsid w:val="00AA4155"/>
    <w:rsid w:val="00AA446F"/>
    <w:rsid w:val="00AA59A6"/>
    <w:rsid w:val="00AA739B"/>
    <w:rsid w:val="00AB0D80"/>
    <w:rsid w:val="00AB0D9D"/>
    <w:rsid w:val="00AB1FC8"/>
    <w:rsid w:val="00AB284D"/>
    <w:rsid w:val="00AB2F02"/>
    <w:rsid w:val="00AB304E"/>
    <w:rsid w:val="00AB3369"/>
    <w:rsid w:val="00AB6C17"/>
    <w:rsid w:val="00AC0A1C"/>
    <w:rsid w:val="00AC0A9D"/>
    <w:rsid w:val="00AC0C9E"/>
    <w:rsid w:val="00AC20C0"/>
    <w:rsid w:val="00AC2876"/>
    <w:rsid w:val="00AC3349"/>
    <w:rsid w:val="00AC33C8"/>
    <w:rsid w:val="00AC38D7"/>
    <w:rsid w:val="00AC449A"/>
    <w:rsid w:val="00AC4C13"/>
    <w:rsid w:val="00AC4C74"/>
    <w:rsid w:val="00AC4CD2"/>
    <w:rsid w:val="00AC5D5B"/>
    <w:rsid w:val="00AC7BE1"/>
    <w:rsid w:val="00AD059B"/>
    <w:rsid w:val="00AD102A"/>
    <w:rsid w:val="00AD1502"/>
    <w:rsid w:val="00AD1796"/>
    <w:rsid w:val="00AD2353"/>
    <w:rsid w:val="00AD239A"/>
    <w:rsid w:val="00AD26D4"/>
    <w:rsid w:val="00AD2712"/>
    <w:rsid w:val="00AD3102"/>
    <w:rsid w:val="00AD3EDC"/>
    <w:rsid w:val="00AD4BF1"/>
    <w:rsid w:val="00AD505E"/>
    <w:rsid w:val="00AD5CCC"/>
    <w:rsid w:val="00AD61E9"/>
    <w:rsid w:val="00AD6356"/>
    <w:rsid w:val="00AD6CC5"/>
    <w:rsid w:val="00AD713A"/>
    <w:rsid w:val="00AD7E0B"/>
    <w:rsid w:val="00AE0E58"/>
    <w:rsid w:val="00AE199E"/>
    <w:rsid w:val="00AE488F"/>
    <w:rsid w:val="00AE594A"/>
    <w:rsid w:val="00AE59FB"/>
    <w:rsid w:val="00AE6895"/>
    <w:rsid w:val="00AF0189"/>
    <w:rsid w:val="00AF061D"/>
    <w:rsid w:val="00AF0A77"/>
    <w:rsid w:val="00AF12CE"/>
    <w:rsid w:val="00AF3FE0"/>
    <w:rsid w:val="00AF41AB"/>
    <w:rsid w:val="00AF45EB"/>
    <w:rsid w:val="00AF4794"/>
    <w:rsid w:val="00AF695E"/>
    <w:rsid w:val="00AF7191"/>
    <w:rsid w:val="00AF76CD"/>
    <w:rsid w:val="00AF7C74"/>
    <w:rsid w:val="00B001EB"/>
    <w:rsid w:val="00B00586"/>
    <w:rsid w:val="00B006D6"/>
    <w:rsid w:val="00B00972"/>
    <w:rsid w:val="00B0098B"/>
    <w:rsid w:val="00B03FB4"/>
    <w:rsid w:val="00B041BF"/>
    <w:rsid w:val="00B06231"/>
    <w:rsid w:val="00B06B70"/>
    <w:rsid w:val="00B14163"/>
    <w:rsid w:val="00B158D9"/>
    <w:rsid w:val="00B17AC0"/>
    <w:rsid w:val="00B17B7B"/>
    <w:rsid w:val="00B17D41"/>
    <w:rsid w:val="00B21333"/>
    <w:rsid w:val="00B22A6E"/>
    <w:rsid w:val="00B24AD9"/>
    <w:rsid w:val="00B25959"/>
    <w:rsid w:val="00B25C25"/>
    <w:rsid w:val="00B2659B"/>
    <w:rsid w:val="00B267CA"/>
    <w:rsid w:val="00B31911"/>
    <w:rsid w:val="00B32A7C"/>
    <w:rsid w:val="00B3572E"/>
    <w:rsid w:val="00B37B17"/>
    <w:rsid w:val="00B40734"/>
    <w:rsid w:val="00B40C90"/>
    <w:rsid w:val="00B4160E"/>
    <w:rsid w:val="00B41FAA"/>
    <w:rsid w:val="00B46F12"/>
    <w:rsid w:val="00B502F4"/>
    <w:rsid w:val="00B5134D"/>
    <w:rsid w:val="00B516F5"/>
    <w:rsid w:val="00B52EA7"/>
    <w:rsid w:val="00B5413B"/>
    <w:rsid w:val="00B54341"/>
    <w:rsid w:val="00B559F2"/>
    <w:rsid w:val="00B55DC8"/>
    <w:rsid w:val="00B560A0"/>
    <w:rsid w:val="00B57130"/>
    <w:rsid w:val="00B57816"/>
    <w:rsid w:val="00B57D82"/>
    <w:rsid w:val="00B6087C"/>
    <w:rsid w:val="00B60E4E"/>
    <w:rsid w:val="00B61973"/>
    <w:rsid w:val="00B61ED6"/>
    <w:rsid w:val="00B62E41"/>
    <w:rsid w:val="00B70AD6"/>
    <w:rsid w:val="00B710C6"/>
    <w:rsid w:val="00B71940"/>
    <w:rsid w:val="00B72D36"/>
    <w:rsid w:val="00B735E5"/>
    <w:rsid w:val="00B7371C"/>
    <w:rsid w:val="00B743E8"/>
    <w:rsid w:val="00B75FEC"/>
    <w:rsid w:val="00B76239"/>
    <w:rsid w:val="00B76CE6"/>
    <w:rsid w:val="00B775F5"/>
    <w:rsid w:val="00B808E4"/>
    <w:rsid w:val="00B80A3E"/>
    <w:rsid w:val="00B810C9"/>
    <w:rsid w:val="00B81A7D"/>
    <w:rsid w:val="00B83729"/>
    <w:rsid w:val="00B839FB"/>
    <w:rsid w:val="00B83DFF"/>
    <w:rsid w:val="00B84A9F"/>
    <w:rsid w:val="00B85C12"/>
    <w:rsid w:val="00B8620B"/>
    <w:rsid w:val="00B909F2"/>
    <w:rsid w:val="00B91749"/>
    <w:rsid w:val="00B928DE"/>
    <w:rsid w:val="00B92912"/>
    <w:rsid w:val="00B92BEA"/>
    <w:rsid w:val="00B95605"/>
    <w:rsid w:val="00B968AA"/>
    <w:rsid w:val="00B96B6A"/>
    <w:rsid w:val="00BA0943"/>
    <w:rsid w:val="00BA0C81"/>
    <w:rsid w:val="00BA1F04"/>
    <w:rsid w:val="00BA21E1"/>
    <w:rsid w:val="00BA23ED"/>
    <w:rsid w:val="00BA423F"/>
    <w:rsid w:val="00BA64E8"/>
    <w:rsid w:val="00BA6508"/>
    <w:rsid w:val="00BA6512"/>
    <w:rsid w:val="00BA75BB"/>
    <w:rsid w:val="00BA7CD8"/>
    <w:rsid w:val="00BB0343"/>
    <w:rsid w:val="00BB09F8"/>
    <w:rsid w:val="00BB0DDB"/>
    <w:rsid w:val="00BB235B"/>
    <w:rsid w:val="00BB27EB"/>
    <w:rsid w:val="00BB2C23"/>
    <w:rsid w:val="00BB344E"/>
    <w:rsid w:val="00BB3CBD"/>
    <w:rsid w:val="00BB458D"/>
    <w:rsid w:val="00BB4A1B"/>
    <w:rsid w:val="00BB5CDE"/>
    <w:rsid w:val="00BB6000"/>
    <w:rsid w:val="00BB600D"/>
    <w:rsid w:val="00BB72F4"/>
    <w:rsid w:val="00BB731C"/>
    <w:rsid w:val="00BB7D5B"/>
    <w:rsid w:val="00BC0BB3"/>
    <w:rsid w:val="00BC0E8D"/>
    <w:rsid w:val="00BC10BC"/>
    <w:rsid w:val="00BC17C3"/>
    <w:rsid w:val="00BC1F56"/>
    <w:rsid w:val="00BC22F3"/>
    <w:rsid w:val="00BC23FB"/>
    <w:rsid w:val="00BC2458"/>
    <w:rsid w:val="00BC4909"/>
    <w:rsid w:val="00BC6254"/>
    <w:rsid w:val="00BD05FC"/>
    <w:rsid w:val="00BD2B8D"/>
    <w:rsid w:val="00BD2F43"/>
    <w:rsid w:val="00BD3834"/>
    <w:rsid w:val="00BD5923"/>
    <w:rsid w:val="00BD6750"/>
    <w:rsid w:val="00BD7018"/>
    <w:rsid w:val="00BD7A6B"/>
    <w:rsid w:val="00BD7D58"/>
    <w:rsid w:val="00BD7DD0"/>
    <w:rsid w:val="00BE0493"/>
    <w:rsid w:val="00BE21A1"/>
    <w:rsid w:val="00BE6959"/>
    <w:rsid w:val="00BF1FE0"/>
    <w:rsid w:val="00BF4442"/>
    <w:rsid w:val="00BF487A"/>
    <w:rsid w:val="00BF5642"/>
    <w:rsid w:val="00BF640F"/>
    <w:rsid w:val="00BF7129"/>
    <w:rsid w:val="00BF7B50"/>
    <w:rsid w:val="00C00706"/>
    <w:rsid w:val="00C033E7"/>
    <w:rsid w:val="00C04166"/>
    <w:rsid w:val="00C07DF4"/>
    <w:rsid w:val="00C10836"/>
    <w:rsid w:val="00C11FD0"/>
    <w:rsid w:val="00C122BA"/>
    <w:rsid w:val="00C12D78"/>
    <w:rsid w:val="00C133B2"/>
    <w:rsid w:val="00C14DDE"/>
    <w:rsid w:val="00C15234"/>
    <w:rsid w:val="00C15A52"/>
    <w:rsid w:val="00C15E83"/>
    <w:rsid w:val="00C1632D"/>
    <w:rsid w:val="00C16A32"/>
    <w:rsid w:val="00C170C0"/>
    <w:rsid w:val="00C17DE9"/>
    <w:rsid w:val="00C204A6"/>
    <w:rsid w:val="00C2197D"/>
    <w:rsid w:val="00C22DAC"/>
    <w:rsid w:val="00C2352A"/>
    <w:rsid w:val="00C23BD1"/>
    <w:rsid w:val="00C24FD5"/>
    <w:rsid w:val="00C300E4"/>
    <w:rsid w:val="00C303A9"/>
    <w:rsid w:val="00C306A7"/>
    <w:rsid w:val="00C30CD3"/>
    <w:rsid w:val="00C31569"/>
    <w:rsid w:val="00C318E1"/>
    <w:rsid w:val="00C31905"/>
    <w:rsid w:val="00C31AF7"/>
    <w:rsid w:val="00C33CFA"/>
    <w:rsid w:val="00C344E9"/>
    <w:rsid w:val="00C35F90"/>
    <w:rsid w:val="00C36BFD"/>
    <w:rsid w:val="00C407A6"/>
    <w:rsid w:val="00C42588"/>
    <w:rsid w:val="00C43563"/>
    <w:rsid w:val="00C443EA"/>
    <w:rsid w:val="00C449C8"/>
    <w:rsid w:val="00C451D8"/>
    <w:rsid w:val="00C4636A"/>
    <w:rsid w:val="00C4663F"/>
    <w:rsid w:val="00C51B85"/>
    <w:rsid w:val="00C51EEC"/>
    <w:rsid w:val="00C52CB2"/>
    <w:rsid w:val="00C549F3"/>
    <w:rsid w:val="00C55A51"/>
    <w:rsid w:val="00C55A71"/>
    <w:rsid w:val="00C57F3C"/>
    <w:rsid w:val="00C608B8"/>
    <w:rsid w:val="00C610FD"/>
    <w:rsid w:val="00C632AD"/>
    <w:rsid w:val="00C6348B"/>
    <w:rsid w:val="00C63620"/>
    <w:rsid w:val="00C63905"/>
    <w:rsid w:val="00C63D9C"/>
    <w:rsid w:val="00C6586D"/>
    <w:rsid w:val="00C65C60"/>
    <w:rsid w:val="00C66BC5"/>
    <w:rsid w:val="00C67434"/>
    <w:rsid w:val="00C70176"/>
    <w:rsid w:val="00C704AA"/>
    <w:rsid w:val="00C71652"/>
    <w:rsid w:val="00C7184D"/>
    <w:rsid w:val="00C72DC0"/>
    <w:rsid w:val="00C76AC4"/>
    <w:rsid w:val="00C773B8"/>
    <w:rsid w:val="00C779B2"/>
    <w:rsid w:val="00C77F54"/>
    <w:rsid w:val="00C80798"/>
    <w:rsid w:val="00C818BD"/>
    <w:rsid w:val="00C81B55"/>
    <w:rsid w:val="00C822E1"/>
    <w:rsid w:val="00C82687"/>
    <w:rsid w:val="00C82A5B"/>
    <w:rsid w:val="00C8517B"/>
    <w:rsid w:val="00C85CAB"/>
    <w:rsid w:val="00C85F05"/>
    <w:rsid w:val="00C865A9"/>
    <w:rsid w:val="00C872A0"/>
    <w:rsid w:val="00C90EE5"/>
    <w:rsid w:val="00C93677"/>
    <w:rsid w:val="00C94FA3"/>
    <w:rsid w:val="00C9589E"/>
    <w:rsid w:val="00C95F1F"/>
    <w:rsid w:val="00C95FC8"/>
    <w:rsid w:val="00C97809"/>
    <w:rsid w:val="00C97DDC"/>
    <w:rsid w:val="00CA1905"/>
    <w:rsid w:val="00CA396C"/>
    <w:rsid w:val="00CA3D17"/>
    <w:rsid w:val="00CA5380"/>
    <w:rsid w:val="00CA5C2E"/>
    <w:rsid w:val="00CA61D3"/>
    <w:rsid w:val="00CB04A3"/>
    <w:rsid w:val="00CB0B25"/>
    <w:rsid w:val="00CB1B3B"/>
    <w:rsid w:val="00CB5186"/>
    <w:rsid w:val="00CB5257"/>
    <w:rsid w:val="00CB52E3"/>
    <w:rsid w:val="00CB540B"/>
    <w:rsid w:val="00CB7600"/>
    <w:rsid w:val="00CB7F77"/>
    <w:rsid w:val="00CC014E"/>
    <w:rsid w:val="00CC1054"/>
    <w:rsid w:val="00CC22A8"/>
    <w:rsid w:val="00CC4104"/>
    <w:rsid w:val="00CC4C6A"/>
    <w:rsid w:val="00CC665E"/>
    <w:rsid w:val="00CC6E87"/>
    <w:rsid w:val="00CC79E0"/>
    <w:rsid w:val="00CD011B"/>
    <w:rsid w:val="00CD059B"/>
    <w:rsid w:val="00CD1748"/>
    <w:rsid w:val="00CD251B"/>
    <w:rsid w:val="00CD5E06"/>
    <w:rsid w:val="00CD670F"/>
    <w:rsid w:val="00CE0290"/>
    <w:rsid w:val="00CE0BF0"/>
    <w:rsid w:val="00CE0EF4"/>
    <w:rsid w:val="00CE0FA9"/>
    <w:rsid w:val="00CE1258"/>
    <w:rsid w:val="00CE2BEB"/>
    <w:rsid w:val="00CE3842"/>
    <w:rsid w:val="00CE4800"/>
    <w:rsid w:val="00CE57AA"/>
    <w:rsid w:val="00CE7F54"/>
    <w:rsid w:val="00CF0BB6"/>
    <w:rsid w:val="00CF2BA3"/>
    <w:rsid w:val="00CF317C"/>
    <w:rsid w:val="00CF3423"/>
    <w:rsid w:val="00CF4C38"/>
    <w:rsid w:val="00CF504D"/>
    <w:rsid w:val="00CF57EA"/>
    <w:rsid w:val="00D00330"/>
    <w:rsid w:val="00D0089D"/>
    <w:rsid w:val="00D00FD6"/>
    <w:rsid w:val="00D012B0"/>
    <w:rsid w:val="00D01BA1"/>
    <w:rsid w:val="00D027E6"/>
    <w:rsid w:val="00D02E83"/>
    <w:rsid w:val="00D03079"/>
    <w:rsid w:val="00D03616"/>
    <w:rsid w:val="00D03F7E"/>
    <w:rsid w:val="00D05619"/>
    <w:rsid w:val="00D05841"/>
    <w:rsid w:val="00D05D30"/>
    <w:rsid w:val="00D05F8E"/>
    <w:rsid w:val="00D07BB7"/>
    <w:rsid w:val="00D10BDF"/>
    <w:rsid w:val="00D110CF"/>
    <w:rsid w:val="00D1186B"/>
    <w:rsid w:val="00D11C10"/>
    <w:rsid w:val="00D12DCB"/>
    <w:rsid w:val="00D132FA"/>
    <w:rsid w:val="00D144D9"/>
    <w:rsid w:val="00D1582D"/>
    <w:rsid w:val="00D15D33"/>
    <w:rsid w:val="00D1749C"/>
    <w:rsid w:val="00D17D8D"/>
    <w:rsid w:val="00D202A1"/>
    <w:rsid w:val="00D20CE3"/>
    <w:rsid w:val="00D214C1"/>
    <w:rsid w:val="00D228CE"/>
    <w:rsid w:val="00D22BED"/>
    <w:rsid w:val="00D23477"/>
    <w:rsid w:val="00D23754"/>
    <w:rsid w:val="00D24728"/>
    <w:rsid w:val="00D25027"/>
    <w:rsid w:val="00D254BA"/>
    <w:rsid w:val="00D303A6"/>
    <w:rsid w:val="00D305E7"/>
    <w:rsid w:val="00D31519"/>
    <w:rsid w:val="00D31E7C"/>
    <w:rsid w:val="00D32C28"/>
    <w:rsid w:val="00D3428F"/>
    <w:rsid w:val="00D3493F"/>
    <w:rsid w:val="00D34D18"/>
    <w:rsid w:val="00D35071"/>
    <w:rsid w:val="00D37B8F"/>
    <w:rsid w:val="00D37D8A"/>
    <w:rsid w:val="00D40574"/>
    <w:rsid w:val="00D41A52"/>
    <w:rsid w:val="00D44789"/>
    <w:rsid w:val="00D453B8"/>
    <w:rsid w:val="00D46800"/>
    <w:rsid w:val="00D46C7E"/>
    <w:rsid w:val="00D46D6E"/>
    <w:rsid w:val="00D4786B"/>
    <w:rsid w:val="00D50711"/>
    <w:rsid w:val="00D50B41"/>
    <w:rsid w:val="00D50E0E"/>
    <w:rsid w:val="00D519B7"/>
    <w:rsid w:val="00D51D7E"/>
    <w:rsid w:val="00D53174"/>
    <w:rsid w:val="00D54C49"/>
    <w:rsid w:val="00D55598"/>
    <w:rsid w:val="00D557BF"/>
    <w:rsid w:val="00D56517"/>
    <w:rsid w:val="00D56E86"/>
    <w:rsid w:val="00D571B4"/>
    <w:rsid w:val="00D57AAB"/>
    <w:rsid w:val="00D60A29"/>
    <w:rsid w:val="00D60C9C"/>
    <w:rsid w:val="00D6289E"/>
    <w:rsid w:val="00D6337A"/>
    <w:rsid w:val="00D63C8B"/>
    <w:rsid w:val="00D641D6"/>
    <w:rsid w:val="00D65888"/>
    <w:rsid w:val="00D66301"/>
    <w:rsid w:val="00D701DD"/>
    <w:rsid w:val="00D70B1F"/>
    <w:rsid w:val="00D717AD"/>
    <w:rsid w:val="00D723F0"/>
    <w:rsid w:val="00D72659"/>
    <w:rsid w:val="00D72C6E"/>
    <w:rsid w:val="00D72DDD"/>
    <w:rsid w:val="00D7419B"/>
    <w:rsid w:val="00D742B5"/>
    <w:rsid w:val="00D80209"/>
    <w:rsid w:val="00D8047B"/>
    <w:rsid w:val="00D81445"/>
    <w:rsid w:val="00D82509"/>
    <w:rsid w:val="00D825EA"/>
    <w:rsid w:val="00D82A17"/>
    <w:rsid w:val="00D83995"/>
    <w:rsid w:val="00D83CC0"/>
    <w:rsid w:val="00D83D8F"/>
    <w:rsid w:val="00D84607"/>
    <w:rsid w:val="00D84901"/>
    <w:rsid w:val="00D85D0B"/>
    <w:rsid w:val="00D86250"/>
    <w:rsid w:val="00D8651C"/>
    <w:rsid w:val="00D86879"/>
    <w:rsid w:val="00D87E6A"/>
    <w:rsid w:val="00D87EFC"/>
    <w:rsid w:val="00D91654"/>
    <w:rsid w:val="00D920AD"/>
    <w:rsid w:val="00D9291F"/>
    <w:rsid w:val="00D95665"/>
    <w:rsid w:val="00D96D6A"/>
    <w:rsid w:val="00D96F97"/>
    <w:rsid w:val="00D97481"/>
    <w:rsid w:val="00D97C66"/>
    <w:rsid w:val="00DA10A4"/>
    <w:rsid w:val="00DA1B90"/>
    <w:rsid w:val="00DA290E"/>
    <w:rsid w:val="00DA2A60"/>
    <w:rsid w:val="00DA42B5"/>
    <w:rsid w:val="00DA5B20"/>
    <w:rsid w:val="00DA70B4"/>
    <w:rsid w:val="00DA78F5"/>
    <w:rsid w:val="00DB0CC6"/>
    <w:rsid w:val="00DB1109"/>
    <w:rsid w:val="00DB2A6A"/>
    <w:rsid w:val="00DB32BF"/>
    <w:rsid w:val="00DB3ABE"/>
    <w:rsid w:val="00DB5B03"/>
    <w:rsid w:val="00DB6078"/>
    <w:rsid w:val="00DB63A4"/>
    <w:rsid w:val="00DB76D9"/>
    <w:rsid w:val="00DB7A60"/>
    <w:rsid w:val="00DC0E99"/>
    <w:rsid w:val="00DC162F"/>
    <w:rsid w:val="00DC2D0C"/>
    <w:rsid w:val="00DC2E09"/>
    <w:rsid w:val="00DC330A"/>
    <w:rsid w:val="00DC3364"/>
    <w:rsid w:val="00DC4A62"/>
    <w:rsid w:val="00DC6A5E"/>
    <w:rsid w:val="00DC7221"/>
    <w:rsid w:val="00DC7E4E"/>
    <w:rsid w:val="00DD0F62"/>
    <w:rsid w:val="00DD20B7"/>
    <w:rsid w:val="00DD233A"/>
    <w:rsid w:val="00DD254F"/>
    <w:rsid w:val="00DD2820"/>
    <w:rsid w:val="00DD4ABA"/>
    <w:rsid w:val="00DD54CA"/>
    <w:rsid w:val="00DD57EB"/>
    <w:rsid w:val="00DD5DE3"/>
    <w:rsid w:val="00DD5F50"/>
    <w:rsid w:val="00DD7206"/>
    <w:rsid w:val="00DD7D54"/>
    <w:rsid w:val="00DE04F8"/>
    <w:rsid w:val="00DE096C"/>
    <w:rsid w:val="00DE17D5"/>
    <w:rsid w:val="00DE1FFC"/>
    <w:rsid w:val="00DE2AF7"/>
    <w:rsid w:val="00DE2D03"/>
    <w:rsid w:val="00DE368D"/>
    <w:rsid w:val="00DE38DF"/>
    <w:rsid w:val="00DE3B47"/>
    <w:rsid w:val="00DE3D20"/>
    <w:rsid w:val="00DE4028"/>
    <w:rsid w:val="00DE43D9"/>
    <w:rsid w:val="00DE6CFB"/>
    <w:rsid w:val="00DE6E65"/>
    <w:rsid w:val="00DE7017"/>
    <w:rsid w:val="00DE76B9"/>
    <w:rsid w:val="00DF0540"/>
    <w:rsid w:val="00DF1356"/>
    <w:rsid w:val="00DF505B"/>
    <w:rsid w:val="00DF5739"/>
    <w:rsid w:val="00DF631B"/>
    <w:rsid w:val="00DF78FB"/>
    <w:rsid w:val="00E005BB"/>
    <w:rsid w:val="00E006CC"/>
    <w:rsid w:val="00E019D5"/>
    <w:rsid w:val="00E02095"/>
    <w:rsid w:val="00E03166"/>
    <w:rsid w:val="00E04989"/>
    <w:rsid w:val="00E05350"/>
    <w:rsid w:val="00E05851"/>
    <w:rsid w:val="00E0589A"/>
    <w:rsid w:val="00E11F9C"/>
    <w:rsid w:val="00E125C6"/>
    <w:rsid w:val="00E12DFB"/>
    <w:rsid w:val="00E162B6"/>
    <w:rsid w:val="00E1739F"/>
    <w:rsid w:val="00E1762B"/>
    <w:rsid w:val="00E24AAC"/>
    <w:rsid w:val="00E258BC"/>
    <w:rsid w:val="00E25EE0"/>
    <w:rsid w:val="00E25FA3"/>
    <w:rsid w:val="00E30C19"/>
    <w:rsid w:val="00E3116D"/>
    <w:rsid w:val="00E3662F"/>
    <w:rsid w:val="00E37663"/>
    <w:rsid w:val="00E3787C"/>
    <w:rsid w:val="00E37E61"/>
    <w:rsid w:val="00E43E68"/>
    <w:rsid w:val="00E454E2"/>
    <w:rsid w:val="00E458FF"/>
    <w:rsid w:val="00E46472"/>
    <w:rsid w:val="00E4679F"/>
    <w:rsid w:val="00E46890"/>
    <w:rsid w:val="00E46E66"/>
    <w:rsid w:val="00E4787F"/>
    <w:rsid w:val="00E50592"/>
    <w:rsid w:val="00E50A96"/>
    <w:rsid w:val="00E50ECC"/>
    <w:rsid w:val="00E51F18"/>
    <w:rsid w:val="00E523AE"/>
    <w:rsid w:val="00E52E82"/>
    <w:rsid w:val="00E52F76"/>
    <w:rsid w:val="00E537FF"/>
    <w:rsid w:val="00E556FA"/>
    <w:rsid w:val="00E557C1"/>
    <w:rsid w:val="00E565FB"/>
    <w:rsid w:val="00E56885"/>
    <w:rsid w:val="00E56AC9"/>
    <w:rsid w:val="00E577BF"/>
    <w:rsid w:val="00E60DC6"/>
    <w:rsid w:val="00E65DDE"/>
    <w:rsid w:val="00E669C4"/>
    <w:rsid w:val="00E66EAD"/>
    <w:rsid w:val="00E6740C"/>
    <w:rsid w:val="00E70DF0"/>
    <w:rsid w:val="00E70E21"/>
    <w:rsid w:val="00E70FCB"/>
    <w:rsid w:val="00E71027"/>
    <w:rsid w:val="00E71691"/>
    <w:rsid w:val="00E71D99"/>
    <w:rsid w:val="00E72466"/>
    <w:rsid w:val="00E72ED0"/>
    <w:rsid w:val="00E7313A"/>
    <w:rsid w:val="00E759AB"/>
    <w:rsid w:val="00E75ACD"/>
    <w:rsid w:val="00E76ADF"/>
    <w:rsid w:val="00E77216"/>
    <w:rsid w:val="00E77F65"/>
    <w:rsid w:val="00E81AA1"/>
    <w:rsid w:val="00E821BF"/>
    <w:rsid w:val="00E835E9"/>
    <w:rsid w:val="00E83AB1"/>
    <w:rsid w:val="00E840AA"/>
    <w:rsid w:val="00E84BF5"/>
    <w:rsid w:val="00E84E6C"/>
    <w:rsid w:val="00E85252"/>
    <w:rsid w:val="00E85665"/>
    <w:rsid w:val="00E858C0"/>
    <w:rsid w:val="00E8692D"/>
    <w:rsid w:val="00E87299"/>
    <w:rsid w:val="00E909DF"/>
    <w:rsid w:val="00E90EE0"/>
    <w:rsid w:val="00E92647"/>
    <w:rsid w:val="00E940B0"/>
    <w:rsid w:val="00E95510"/>
    <w:rsid w:val="00E95FC7"/>
    <w:rsid w:val="00EA044A"/>
    <w:rsid w:val="00EA120A"/>
    <w:rsid w:val="00EA1480"/>
    <w:rsid w:val="00EA2ABA"/>
    <w:rsid w:val="00EA2E7A"/>
    <w:rsid w:val="00EA2F3B"/>
    <w:rsid w:val="00EA3BAC"/>
    <w:rsid w:val="00EA5046"/>
    <w:rsid w:val="00EA546C"/>
    <w:rsid w:val="00EA5653"/>
    <w:rsid w:val="00EA5B26"/>
    <w:rsid w:val="00EA5B42"/>
    <w:rsid w:val="00EA70FF"/>
    <w:rsid w:val="00EA7911"/>
    <w:rsid w:val="00EA7C36"/>
    <w:rsid w:val="00EA7F30"/>
    <w:rsid w:val="00EB11F2"/>
    <w:rsid w:val="00EB139B"/>
    <w:rsid w:val="00EB1EB7"/>
    <w:rsid w:val="00EB264B"/>
    <w:rsid w:val="00EB30C9"/>
    <w:rsid w:val="00EB31F4"/>
    <w:rsid w:val="00EB37BB"/>
    <w:rsid w:val="00EB4370"/>
    <w:rsid w:val="00EB5A71"/>
    <w:rsid w:val="00EB6D36"/>
    <w:rsid w:val="00EC26B0"/>
    <w:rsid w:val="00EC3897"/>
    <w:rsid w:val="00EC3E42"/>
    <w:rsid w:val="00EC4FED"/>
    <w:rsid w:val="00EC5A36"/>
    <w:rsid w:val="00EC6B24"/>
    <w:rsid w:val="00EC7073"/>
    <w:rsid w:val="00EC7093"/>
    <w:rsid w:val="00ED1876"/>
    <w:rsid w:val="00ED3388"/>
    <w:rsid w:val="00ED440C"/>
    <w:rsid w:val="00ED6F8F"/>
    <w:rsid w:val="00EE0C20"/>
    <w:rsid w:val="00EE15CE"/>
    <w:rsid w:val="00EE1C69"/>
    <w:rsid w:val="00EE2BC4"/>
    <w:rsid w:val="00EE3379"/>
    <w:rsid w:val="00EE52D6"/>
    <w:rsid w:val="00EE77F7"/>
    <w:rsid w:val="00EE7DB4"/>
    <w:rsid w:val="00EE7FE0"/>
    <w:rsid w:val="00EF0435"/>
    <w:rsid w:val="00EF11AE"/>
    <w:rsid w:val="00EF1969"/>
    <w:rsid w:val="00EF2589"/>
    <w:rsid w:val="00EF25EC"/>
    <w:rsid w:val="00EF34B9"/>
    <w:rsid w:val="00EF383F"/>
    <w:rsid w:val="00EF3DEC"/>
    <w:rsid w:val="00EF573C"/>
    <w:rsid w:val="00EF6541"/>
    <w:rsid w:val="00F02B7B"/>
    <w:rsid w:val="00F0311C"/>
    <w:rsid w:val="00F03292"/>
    <w:rsid w:val="00F056EE"/>
    <w:rsid w:val="00F0678A"/>
    <w:rsid w:val="00F074BF"/>
    <w:rsid w:val="00F077A8"/>
    <w:rsid w:val="00F07B5E"/>
    <w:rsid w:val="00F07B87"/>
    <w:rsid w:val="00F102CD"/>
    <w:rsid w:val="00F1048B"/>
    <w:rsid w:val="00F10951"/>
    <w:rsid w:val="00F10B61"/>
    <w:rsid w:val="00F142FD"/>
    <w:rsid w:val="00F14AF4"/>
    <w:rsid w:val="00F177C2"/>
    <w:rsid w:val="00F20167"/>
    <w:rsid w:val="00F201B9"/>
    <w:rsid w:val="00F21493"/>
    <w:rsid w:val="00F21A48"/>
    <w:rsid w:val="00F23EDB"/>
    <w:rsid w:val="00F24E6F"/>
    <w:rsid w:val="00F25BBC"/>
    <w:rsid w:val="00F26294"/>
    <w:rsid w:val="00F31BDD"/>
    <w:rsid w:val="00F33550"/>
    <w:rsid w:val="00F338E7"/>
    <w:rsid w:val="00F33973"/>
    <w:rsid w:val="00F35F68"/>
    <w:rsid w:val="00F3765A"/>
    <w:rsid w:val="00F40E31"/>
    <w:rsid w:val="00F42E3D"/>
    <w:rsid w:val="00F5030C"/>
    <w:rsid w:val="00F51168"/>
    <w:rsid w:val="00F519F0"/>
    <w:rsid w:val="00F52C95"/>
    <w:rsid w:val="00F5367B"/>
    <w:rsid w:val="00F5387B"/>
    <w:rsid w:val="00F5467E"/>
    <w:rsid w:val="00F54BA5"/>
    <w:rsid w:val="00F54FF0"/>
    <w:rsid w:val="00F57CFE"/>
    <w:rsid w:val="00F60A49"/>
    <w:rsid w:val="00F60F45"/>
    <w:rsid w:val="00F63864"/>
    <w:rsid w:val="00F6407E"/>
    <w:rsid w:val="00F64C92"/>
    <w:rsid w:val="00F66AFB"/>
    <w:rsid w:val="00F66D2D"/>
    <w:rsid w:val="00F71596"/>
    <w:rsid w:val="00F7399D"/>
    <w:rsid w:val="00F73E5E"/>
    <w:rsid w:val="00F74C40"/>
    <w:rsid w:val="00F76033"/>
    <w:rsid w:val="00F7699A"/>
    <w:rsid w:val="00F76CC4"/>
    <w:rsid w:val="00F8252F"/>
    <w:rsid w:val="00F8391F"/>
    <w:rsid w:val="00F83B13"/>
    <w:rsid w:val="00F84339"/>
    <w:rsid w:val="00F846A9"/>
    <w:rsid w:val="00F856E9"/>
    <w:rsid w:val="00F862D0"/>
    <w:rsid w:val="00F86355"/>
    <w:rsid w:val="00F869A4"/>
    <w:rsid w:val="00F90909"/>
    <w:rsid w:val="00F931B1"/>
    <w:rsid w:val="00F93B5C"/>
    <w:rsid w:val="00F94116"/>
    <w:rsid w:val="00F95126"/>
    <w:rsid w:val="00F95B7B"/>
    <w:rsid w:val="00F95D6A"/>
    <w:rsid w:val="00F962F3"/>
    <w:rsid w:val="00F96371"/>
    <w:rsid w:val="00F96718"/>
    <w:rsid w:val="00FA04AD"/>
    <w:rsid w:val="00FA19CC"/>
    <w:rsid w:val="00FA1DC6"/>
    <w:rsid w:val="00FA2035"/>
    <w:rsid w:val="00FA296B"/>
    <w:rsid w:val="00FA2C37"/>
    <w:rsid w:val="00FA41CF"/>
    <w:rsid w:val="00FA467D"/>
    <w:rsid w:val="00FA4CFB"/>
    <w:rsid w:val="00FA4E44"/>
    <w:rsid w:val="00FA69A5"/>
    <w:rsid w:val="00FA6B86"/>
    <w:rsid w:val="00FA759D"/>
    <w:rsid w:val="00FB2C32"/>
    <w:rsid w:val="00FB37FF"/>
    <w:rsid w:val="00FB38D2"/>
    <w:rsid w:val="00FB5436"/>
    <w:rsid w:val="00FB57A6"/>
    <w:rsid w:val="00FB5905"/>
    <w:rsid w:val="00FC0D89"/>
    <w:rsid w:val="00FC0FA3"/>
    <w:rsid w:val="00FC1E77"/>
    <w:rsid w:val="00FC41C1"/>
    <w:rsid w:val="00FC4360"/>
    <w:rsid w:val="00FC6328"/>
    <w:rsid w:val="00FC67DA"/>
    <w:rsid w:val="00FC6FB3"/>
    <w:rsid w:val="00FC7044"/>
    <w:rsid w:val="00FD0709"/>
    <w:rsid w:val="00FD094F"/>
    <w:rsid w:val="00FD0B7B"/>
    <w:rsid w:val="00FD1787"/>
    <w:rsid w:val="00FD20F9"/>
    <w:rsid w:val="00FD2772"/>
    <w:rsid w:val="00FD31FF"/>
    <w:rsid w:val="00FD658D"/>
    <w:rsid w:val="00FD6B45"/>
    <w:rsid w:val="00FE00B5"/>
    <w:rsid w:val="00FE027F"/>
    <w:rsid w:val="00FE0E89"/>
    <w:rsid w:val="00FE2EE5"/>
    <w:rsid w:val="00FE32C0"/>
    <w:rsid w:val="00FE6F63"/>
    <w:rsid w:val="00FE71B9"/>
    <w:rsid w:val="00FE76F1"/>
    <w:rsid w:val="00FF01BC"/>
    <w:rsid w:val="00FF15AD"/>
    <w:rsid w:val="00FF15DB"/>
    <w:rsid w:val="00FF1BB7"/>
    <w:rsid w:val="00FF1F48"/>
    <w:rsid w:val="00FF2778"/>
    <w:rsid w:val="00FF27A4"/>
    <w:rsid w:val="00FF2BC5"/>
    <w:rsid w:val="00FF3188"/>
    <w:rsid w:val="00FF50FC"/>
    <w:rsid w:val="00FF6828"/>
    <w:rsid w:val="00FF6E62"/>
    <w:rsid w:val="00FF7058"/>
    <w:rsid w:val="00FF738C"/>
    <w:rsid w:val="00FF7B28"/>
    <w:rsid w:val="00FF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0673BE"/>
  <w15:docId w15:val="{50B3150F-15AB-42B7-A8E8-7AB253EA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C20"/>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locked/>
    <w:rsid w:val="00216621"/>
    <w:pPr>
      <w:keepNext/>
      <w:keepLines/>
      <w:widowControl/>
      <w:autoSpaceDE/>
      <w:autoSpaceDN/>
      <w:adjustRightInd/>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9"/>
    <w:qFormat/>
    <w:locked/>
    <w:rsid w:val="00600F93"/>
    <w:pPr>
      <w:keepNext/>
      <w:keepLines/>
      <w:spacing w:before="200"/>
      <w:outlineLvl w:val="1"/>
    </w:pPr>
    <w:rPr>
      <w:rFonts w:ascii="Cambria" w:hAnsi="Cambria"/>
      <w:b/>
      <w:bCs/>
      <w:color w:val="1D1B11" w:themeColor="background2" w:themeShade="1A"/>
      <w:sz w:val="26"/>
      <w:szCs w:val="26"/>
    </w:rPr>
  </w:style>
  <w:style w:type="paragraph" w:styleId="Heading3">
    <w:name w:val="heading 3"/>
    <w:basedOn w:val="Normal"/>
    <w:next w:val="Normal"/>
    <w:link w:val="Heading3Char"/>
    <w:uiPriority w:val="99"/>
    <w:qFormat/>
    <w:locked/>
    <w:rsid w:val="00296B1E"/>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6621"/>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00F93"/>
    <w:rPr>
      <w:rFonts w:ascii="Cambria" w:hAnsi="Cambria"/>
      <w:b/>
      <w:bCs/>
      <w:color w:val="1D1B11" w:themeColor="background2" w:themeShade="1A"/>
      <w:sz w:val="26"/>
      <w:szCs w:val="26"/>
    </w:rPr>
  </w:style>
  <w:style w:type="character" w:customStyle="1" w:styleId="Heading3Char">
    <w:name w:val="Heading 3 Char"/>
    <w:basedOn w:val="DefaultParagraphFont"/>
    <w:link w:val="Heading3"/>
    <w:uiPriority w:val="99"/>
    <w:semiHidden/>
    <w:locked/>
    <w:rsid w:val="00296B1E"/>
    <w:rPr>
      <w:rFonts w:ascii="Cambria" w:hAnsi="Cambria" w:cs="Times New Roman"/>
      <w:b/>
      <w:bCs/>
      <w:color w:val="4F81BD"/>
      <w:sz w:val="24"/>
      <w:szCs w:val="24"/>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99"/>
    <w:rsid w:val="006B4C20"/>
    <w:pPr>
      <w:spacing w:before="120" w:after="120"/>
    </w:pPr>
    <w:rPr>
      <w:rFonts w:ascii="Calibri" w:hAnsi="Calibri" w:cs="Calibri"/>
      <w:b/>
      <w:bCs/>
      <w:caps/>
      <w:sz w:val="20"/>
      <w:szCs w:val="20"/>
    </w:rPr>
  </w:style>
  <w:style w:type="paragraph" w:styleId="TOC2">
    <w:name w:val="toc 2"/>
    <w:basedOn w:val="Normal"/>
    <w:next w:val="Normal"/>
    <w:uiPriority w:val="99"/>
    <w:rsid w:val="006B4C20"/>
    <w:pPr>
      <w:ind w:left="240"/>
    </w:pPr>
    <w:rPr>
      <w:rFonts w:ascii="Calibri" w:hAnsi="Calibri" w:cs="Calibri"/>
      <w:smallCaps/>
      <w:sz w:val="20"/>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99"/>
    <w:qFormat/>
    <w:rsid w:val="00F5367B"/>
    <w:pPr>
      <w:widowControl/>
      <w:autoSpaceDE/>
      <w:autoSpaceDN/>
      <w:adjustRightInd/>
      <w:spacing w:after="200" w:line="276" w:lineRule="auto"/>
      <w:ind w:left="720"/>
      <w:contextualSpacing/>
    </w:pPr>
    <w:rPr>
      <w:rFonts w:ascii="Calibri" w:hAnsi="Calibri"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9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ascii="Calibri" w:hAnsi="Calibri"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99"/>
    <w:locked/>
    <w:rsid w:val="003C664A"/>
    <w:pPr>
      <w:ind w:left="480"/>
    </w:pPr>
    <w:rPr>
      <w:rFonts w:ascii="Calibri" w:hAnsi="Calibri" w:cs="Calibri"/>
      <w:i/>
      <w:iCs/>
      <w:sz w:val="20"/>
      <w:szCs w:val="20"/>
    </w:rPr>
  </w:style>
  <w:style w:type="paragraph" w:styleId="TOC4">
    <w:name w:val="toc 4"/>
    <w:basedOn w:val="Normal"/>
    <w:next w:val="Normal"/>
    <w:autoRedefine/>
    <w:uiPriority w:val="99"/>
    <w:locked/>
    <w:rsid w:val="003C664A"/>
    <w:pPr>
      <w:ind w:left="720"/>
    </w:pPr>
    <w:rPr>
      <w:rFonts w:ascii="Calibri" w:hAnsi="Calibri" w:cs="Calibri"/>
      <w:sz w:val="18"/>
      <w:szCs w:val="18"/>
    </w:rPr>
  </w:style>
  <w:style w:type="paragraph" w:styleId="TOC5">
    <w:name w:val="toc 5"/>
    <w:basedOn w:val="Normal"/>
    <w:next w:val="Normal"/>
    <w:autoRedefine/>
    <w:uiPriority w:val="99"/>
    <w:locked/>
    <w:rsid w:val="003C664A"/>
    <w:pPr>
      <w:ind w:left="960"/>
    </w:pPr>
    <w:rPr>
      <w:rFonts w:ascii="Calibri" w:hAnsi="Calibri" w:cs="Calibri"/>
      <w:sz w:val="18"/>
      <w:szCs w:val="18"/>
    </w:rPr>
  </w:style>
  <w:style w:type="paragraph" w:styleId="TOC6">
    <w:name w:val="toc 6"/>
    <w:basedOn w:val="Normal"/>
    <w:next w:val="Normal"/>
    <w:autoRedefine/>
    <w:uiPriority w:val="99"/>
    <w:locked/>
    <w:rsid w:val="003C664A"/>
    <w:pPr>
      <w:ind w:left="1200"/>
    </w:pPr>
    <w:rPr>
      <w:rFonts w:ascii="Calibri" w:hAnsi="Calibri" w:cs="Calibri"/>
      <w:sz w:val="18"/>
      <w:szCs w:val="18"/>
    </w:rPr>
  </w:style>
  <w:style w:type="paragraph" w:styleId="TOC7">
    <w:name w:val="toc 7"/>
    <w:basedOn w:val="Normal"/>
    <w:next w:val="Normal"/>
    <w:autoRedefine/>
    <w:uiPriority w:val="99"/>
    <w:locked/>
    <w:rsid w:val="003C664A"/>
    <w:pPr>
      <w:ind w:left="1440"/>
    </w:pPr>
    <w:rPr>
      <w:rFonts w:ascii="Calibri" w:hAnsi="Calibri" w:cs="Calibri"/>
      <w:sz w:val="18"/>
      <w:szCs w:val="18"/>
    </w:rPr>
  </w:style>
  <w:style w:type="paragraph" w:styleId="TOC8">
    <w:name w:val="toc 8"/>
    <w:basedOn w:val="Normal"/>
    <w:next w:val="Normal"/>
    <w:autoRedefine/>
    <w:uiPriority w:val="99"/>
    <w:locked/>
    <w:rsid w:val="003C664A"/>
    <w:pPr>
      <w:ind w:left="1680"/>
    </w:pPr>
    <w:rPr>
      <w:rFonts w:ascii="Calibri" w:hAnsi="Calibri" w:cs="Calibri"/>
      <w:sz w:val="18"/>
      <w:szCs w:val="18"/>
    </w:rPr>
  </w:style>
  <w:style w:type="paragraph" w:styleId="TOC9">
    <w:name w:val="toc 9"/>
    <w:basedOn w:val="Normal"/>
    <w:next w:val="Normal"/>
    <w:autoRedefine/>
    <w:uiPriority w:val="99"/>
    <w:locked/>
    <w:rsid w:val="003C664A"/>
    <w:pPr>
      <w:ind w:left="1920"/>
    </w:pPr>
    <w:rPr>
      <w:rFonts w:ascii="Calibri" w:hAnsi="Calibri" w:cs="Calibri"/>
      <w:sz w:val="18"/>
      <w:szCs w:val="18"/>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1F5249"/>
  </w:style>
  <w:style w:type="table" w:customStyle="1" w:styleId="TableGrid5">
    <w:name w:val="Table Grid5"/>
    <w:basedOn w:val="TableNormal"/>
    <w:next w:val="TableGrid"/>
    <w:rsid w:val="00770948"/>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C47D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A0422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
    <w:name w:val="paragraph"/>
    <w:basedOn w:val="Normal"/>
    <w:rsid w:val="00D303A6"/>
    <w:pPr>
      <w:widowControl/>
      <w:autoSpaceDE/>
      <w:autoSpaceDN/>
      <w:adjustRightInd/>
      <w:spacing w:before="100" w:beforeAutospacing="1" w:after="100" w:afterAutospacing="1"/>
    </w:pPr>
  </w:style>
  <w:style w:type="character" w:customStyle="1" w:styleId="normaltextrun">
    <w:name w:val="normaltextrun"/>
    <w:basedOn w:val="DefaultParagraphFont"/>
    <w:rsid w:val="00D303A6"/>
  </w:style>
  <w:style w:type="character" w:customStyle="1" w:styleId="eop">
    <w:name w:val="eop"/>
    <w:basedOn w:val="DefaultParagraphFont"/>
    <w:rsid w:val="00D30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6694">
      <w:bodyDiv w:val="1"/>
      <w:marLeft w:val="0"/>
      <w:marRight w:val="0"/>
      <w:marTop w:val="0"/>
      <w:marBottom w:val="0"/>
      <w:divBdr>
        <w:top w:val="none" w:sz="0" w:space="0" w:color="auto"/>
        <w:left w:val="none" w:sz="0" w:space="0" w:color="auto"/>
        <w:bottom w:val="none" w:sz="0" w:space="0" w:color="auto"/>
        <w:right w:val="none" w:sz="0" w:space="0" w:color="auto"/>
      </w:divBdr>
    </w:div>
    <w:div w:id="211576009">
      <w:bodyDiv w:val="1"/>
      <w:marLeft w:val="0"/>
      <w:marRight w:val="0"/>
      <w:marTop w:val="0"/>
      <w:marBottom w:val="0"/>
      <w:divBdr>
        <w:top w:val="none" w:sz="0" w:space="0" w:color="auto"/>
        <w:left w:val="none" w:sz="0" w:space="0" w:color="auto"/>
        <w:bottom w:val="none" w:sz="0" w:space="0" w:color="auto"/>
        <w:right w:val="none" w:sz="0" w:space="0" w:color="auto"/>
      </w:divBdr>
      <w:divsChild>
        <w:div w:id="671105476">
          <w:marLeft w:val="0"/>
          <w:marRight w:val="0"/>
          <w:marTop w:val="0"/>
          <w:marBottom w:val="0"/>
          <w:divBdr>
            <w:top w:val="none" w:sz="0" w:space="0" w:color="auto"/>
            <w:left w:val="none" w:sz="0" w:space="0" w:color="auto"/>
            <w:bottom w:val="none" w:sz="0" w:space="0" w:color="auto"/>
            <w:right w:val="none" w:sz="0" w:space="0" w:color="auto"/>
          </w:divBdr>
        </w:div>
        <w:div w:id="711270173">
          <w:marLeft w:val="0"/>
          <w:marRight w:val="0"/>
          <w:marTop w:val="0"/>
          <w:marBottom w:val="0"/>
          <w:divBdr>
            <w:top w:val="none" w:sz="0" w:space="0" w:color="auto"/>
            <w:left w:val="none" w:sz="0" w:space="0" w:color="auto"/>
            <w:bottom w:val="none" w:sz="0" w:space="0" w:color="auto"/>
            <w:right w:val="none" w:sz="0" w:space="0" w:color="auto"/>
          </w:divBdr>
        </w:div>
        <w:div w:id="1525434721">
          <w:marLeft w:val="0"/>
          <w:marRight w:val="0"/>
          <w:marTop w:val="0"/>
          <w:marBottom w:val="0"/>
          <w:divBdr>
            <w:top w:val="none" w:sz="0" w:space="0" w:color="auto"/>
            <w:left w:val="none" w:sz="0" w:space="0" w:color="auto"/>
            <w:bottom w:val="none" w:sz="0" w:space="0" w:color="auto"/>
            <w:right w:val="none" w:sz="0" w:space="0" w:color="auto"/>
          </w:divBdr>
        </w:div>
      </w:divsChild>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427698110">
      <w:bodyDiv w:val="1"/>
      <w:marLeft w:val="0"/>
      <w:marRight w:val="0"/>
      <w:marTop w:val="0"/>
      <w:marBottom w:val="0"/>
      <w:divBdr>
        <w:top w:val="none" w:sz="0" w:space="0" w:color="auto"/>
        <w:left w:val="none" w:sz="0" w:space="0" w:color="auto"/>
        <w:bottom w:val="none" w:sz="0" w:space="0" w:color="auto"/>
        <w:right w:val="none" w:sz="0" w:space="0" w:color="auto"/>
      </w:divBdr>
    </w:div>
    <w:div w:id="650595599">
      <w:bodyDiv w:val="1"/>
      <w:marLeft w:val="0"/>
      <w:marRight w:val="0"/>
      <w:marTop w:val="0"/>
      <w:marBottom w:val="0"/>
      <w:divBdr>
        <w:top w:val="none" w:sz="0" w:space="0" w:color="auto"/>
        <w:left w:val="none" w:sz="0" w:space="0" w:color="auto"/>
        <w:bottom w:val="none" w:sz="0" w:space="0" w:color="auto"/>
        <w:right w:val="none" w:sz="0" w:space="0" w:color="auto"/>
      </w:divBdr>
      <w:divsChild>
        <w:div w:id="526329607">
          <w:marLeft w:val="0"/>
          <w:marRight w:val="0"/>
          <w:marTop w:val="0"/>
          <w:marBottom w:val="0"/>
          <w:divBdr>
            <w:top w:val="none" w:sz="0" w:space="0" w:color="auto"/>
            <w:left w:val="none" w:sz="0" w:space="0" w:color="auto"/>
            <w:bottom w:val="none" w:sz="0" w:space="0" w:color="auto"/>
            <w:right w:val="none" w:sz="0" w:space="0" w:color="auto"/>
          </w:divBdr>
        </w:div>
        <w:div w:id="1102460571">
          <w:marLeft w:val="0"/>
          <w:marRight w:val="0"/>
          <w:marTop w:val="0"/>
          <w:marBottom w:val="0"/>
          <w:divBdr>
            <w:top w:val="none" w:sz="0" w:space="0" w:color="auto"/>
            <w:left w:val="none" w:sz="0" w:space="0" w:color="auto"/>
            <w:bottom w:val="none" w:sz="0" w:space="0" w:color="auto"/>
            <w:right w:val="none" w:sz="0" w:space="0" w:color="auto"/>
          </w:divBdr>
        </w:div>
        <w:div w:id="2064329962">
          <w:marLeft w:val="0"/>
          <w:marRight w:val="0"/>
          <w:marTop w:val="0"/>
          <w:marBottom w:val="0"/>
          <w:divBdr>
            <w:top w:val="none" w:sz="0" w:space="0" w:color="auto"/>
            <w:left w:val="none" w:sz="0" w:space="0" w:color="auto"/>
            <w:bottom w:val="none" w:sz="0" w:space="0" w:color="auto"/>
            <w:right w:val="none" w:sz="0" w:space="0" w:color="auto"/>
          </w:divBdr>
        </w:div>
      </w:divsChild>
    </w:div>
    <w:div w:id="680275428">
      <w:bodyDiv w:val="1"/>
      <w:marLeft w:val="0"/>
      <w:marRight w:val="0"/>
      <w:marTop w:val="0"/>
      <w:marBottom w:val="0"/>
      <w:divBdr>
        <w:top w:val="none" w:sz="0" w:space="0" w:color="auto"/>
        <w:left w:val="none" w:sz="0" w:space="0" w:color="auto"/>
        <w:bottom w:val="none" w:sz="0" w:space="0" w:color="auto"/>
        <w:right w:val="none" w:sz="0" w:space="0" w:color="auto"/>
      </w:divBdr>
      <w:divsChild>
        <w:div w:id="1128279331">
          <w:marLeft w:val="0"/>
          <w:marRight w:val="0"/>
          <w:marTop w:val="0"/>
          <w:marBottom w:val="0"/>
          <w:divBdr>
            <w:top w:val="none" w:sz="0" w:space="0" w:color="auto"/>
            <w:left w:val="none" w:sz="0" w:space="0" w:color="auto"/>
            <w:bottom w:val="none" w:sz="0" w:space="0" w:color="auto"/>
            <w:right w:val="none" w:sz="0" w:space="0" w:color="auto"/>
          </w:divBdr>
        </w:div>
        <w:div w:id="1194149254">
          <w:marLeft w:val="0"/>
          <w:marRight w:val="0"/>
          <w:marTop w:val="0"/>
          <w:marBottom w:val="0"/>
          <w:divBdr>
            <w:top w:val="none" w:sz="0" w:space="0" w:color="auto"/>
            <w:left w:val="none" w:sz="0" w:space="0" w:color="auto"/>
            <w:bottom w:val="none" w:sz="0" w:space="0" w:color="auto"/>
            <w:right w:val="none" w:sz="0" w:space="0" w:color="auto"/>
          </w:divBdr>
        </w:div>
        <w:div w:id="1282957661">
          <w:marLeft w:val="0"/>
          <w:marRight w:val="0"/>
          <w:marTop w:val="0"/>
          <w:marBottom w:val="0"/>
          <w:divBdr>
            <w:top w:val="none" w:sz="0" w:space="0" w:color="auto"/>
            <w:left w:val="none" w:sz="0" w:space="0" w:color="auto"/>
            <w:bottom w:val="none" w:sz="0" w:space="0" w:color="auto"/>
            <w:right w:val="none" w:sz="0" w:space="0" w:color="auto"/>
          </w:divBdr>
        </w:div>
      </w:divsChild>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99845-78ED-48A3-9E3A-BBC154305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38</Pages>
  <Words>10483</Words>
  <Characters>59755</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70098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Gibbs, Danielle - OSHA;dgibbs</dc:creator>
  <cp:keywords/>
  <dc:description/>
  <cp:lastModifiedBy>Gibbs, Danielle - OSHA</cp:lastModifiedBy>
  <cp:revision>4</cp:revision>
  <cp:lastPrinted>2019-10-03T16:35:00Z</cp:lastPrinted>
  <dcterms:created xsi:type="dcterms:W3CDTF">2024-06-07T13:25:00Z</dcterms:created>
  <dcterms:modified xsi:type="dcterms:W3CDTF">2024-06-07T17:47:00Z</dcterms:modified>
</cp:coreProperties>
</file>