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4BB" w14:textId="5CACBF1F" w:rsidR="001567A4" w:rsidRPr="000A1781" w:rsidRDefault="008F1EF6" w:rsidP="0048154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r w:rsidRPr="000A1781">
        <w:rPr>
          <w:rFonts w:eastAsia="PMingLiU"/>
          <w:b/>
        </w:rPr>
        <w:t xml:space="preserve"> </w:t>
      </w:r>
    </w:p>
    <w:p w14:paraId="156B332C" w14:textId="0CB7734A" w:rsidR="001567A4" w:rsidRPr="000A1781" w:rsidRDefault="001567A4" w:rsidP="00002D71">
      <w:pPr>
        <w:tabs>
          <w:tab w:val="left" w:pos="3870"/>
          <w:tab w:val="center" w:pos="4680"/>
        </w:tabs>
        <w:jc w:val="center"/>
        <w:rPr>
          <w:b/>
          <w:bCs/>
          <w:iCs/>
          <w:sz w:val="32"/>
          <w:szCs w:val="32"/>
        </w:rPr>
      </w:pPr>
      <w:r w:rsidRPr="000A1781">
        <w:rPr>
          <w:b/>
          <w:bCs/>
          <w:iCs/>
          <w:sz w:val="32"/>
          <w:szCs w:val="32"/>
        </w:rPr>
        <w:t>FY 20</w:t>
      </w:r>
      <w:r w:rsidR="00E80F74" w:rsidRPr="000A1781">
        <w:rPr>
          <w:b/>
          <w:bCs/>
          <w:iCs/>
          <w:sz w:val="32"/>
          <w:szCs w:val="32"/>
        </w:rPr>
        <w:t>23</w:t>
      </w:r>
      <w:r w:rsidRPr="000A1781">
        <w:rPr>
          <w:b/>
          <w:bCs/>
          <w:iCs/>
          <w:sz w:val="32"/>
          <w:szCs w:val="32"/>
        </w:rPr>
        <w:t xml:space="preserve"> Comprehensive</w:t>
      </w:r>
    </w:p>
    <w:p w14:paraId="4C96CE6A" w14:textId="77777777" w:rsidR="001567A4" w:rsidRPr="000A1781" w:rsidRDefault="001567A4" w:rsidP="00002D71">
      <w:pPr>
        <w:jc w:val="center"/>
        <w:rPr>
          <w:b/>
          <w:bCs/>
          <w:sz w:val="32"/>
          <w:szCs w:val="32"/>
        </w:rPr>
      </w:pPr>
      <w:r w:rsidRPr="000A1781">
        <w:rPr>
          <w:b/>
          <w:bCs/>
          <w:sz w:val="32"/>
          <w:szCs w:val="32"/>
        </w:rPr>
        <w:t>Federal Annual Monitoring Evaluation (FAME) Report</w:t>
      </w:r>
    </w:p>
    <w:p w14:paraId="76B49CF4" w14:textId="77777777" w:rsidR="001567A4" w:rsidRPr="000A1781" w:rsidRDefault="001567A4" w:rsidP="00002D71">
      <w:pPr>
        <w:jc w:val="center"/>
        <w:rPr>
          <w:b/>
          <w:sz w:val="32"/>
          <w:szCs w:val="32"/>
        </w:rPr>
      </w:pPr>
    </w:p>
    <w:p w14:paraId="09F62D1D" w14:textId="0444C4D3" w:rsidR="001567A4" w:rsidRPr="000A1781" w:rsidRDefault="00E80F74" w:rsidP="00002D71">
      <w:pPr>
        <w:jc w:val="center"/>
        <w:rPr>
          <w:b/>
          <w:sz w:val="32"/>
          <w:szCs w:val="32"/>
        </w:rPr>
      </w:pPr>
      <w:r w:rsidRPr="000A1781">
        <w:rPr>
          <w:b/>
          <w:sz w:val="32"/>
          <w:szCs w:val="32"/>
        </w:rPr>
        <w:t>New Mexico Occupational Health and Safety Bureau (OHSB)</w:t>
      </w:r>
    </w:p>
    <w:p w14:paraId="2F3287C2" w14:textId="77777777" w:rsidR="001567A4" w:rsidRPr="000A1781" w:rsidRDefault="001567A4" w:rsidP="00002D71">
      <w:pPr>
        <w:jc w:val="center"/>
        <w:rPr>
          <w:bCs/>
        </w:rPr>
      </w:pPr>
    </w:p>
    <w:p w14:paraId="408EDDFD" w14:textId="77777777" w:rsidR="001567A4" w:rsidRPr="000A1781" w:rsidRDefault="001567A4" w:rsidP="00002D71">
      <w:pPr>
        <w:jc w:val="center"/>
        <w:rPr>
          <w:bCs/>
        </w:rPr>
      </w:pPr>
    </w:p>
    <w:p w14:paraId="43E71BCF" w14:textId="6046F7EF" w:rsidR="001567A4" w:rsidRPr="000A1781" w:rsidRDefault="00E80F74" w:rsidP="00002D71">
      <w:pPr>
        <w:jc w:val="center"/>
        <w:rPr>
          <w:bCs/>
        </w:rPr>
      </w:pPr>
      <w:r w:rsidRPr="000A1781">
        <w:rPr>
          <w:noProof/>
        </w:rPr>
        <w:drawing>
          <wp:inline distT="0" distB="0" distL="0" distR="0" wp14:anchorId="1C5F7C0C" wp14:editId="16268E50">
            <wp:extent cx="3160775" cy="3279648"/>
            <wp:effectExtent l="0" t="0" r="1905" b="0"/>
            <wp:docPr id="1" name="Picture 1" descr="1912 Great Seal of the State of New Mexic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912 Great Seal of the State of New Mexic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0775" cy="3279648"/>
                    </a:xfrm>
                    <a:prstGeom prst="rect">
                      <a:avLst/>
                    </a:prstGeom>
                  </pic:spPr>
                </pic:pic>
              </a:graphicData>
            </a:graphic>
          </wp:inline>
        </w:drawing>
      </w:r>
      <w:r w:rsidRPr="000A1781">
        <w:rPr>
          <w:bCs/>
        </w:rPr>
        <w:t xml:space="preserve"> </w:t>
      </w:r>
    </w:p>
    <w:p w14:paraId="1422B96E" w14:textId="77777777" w:rsidR="001567A4" w:rsidRPr="000A1781" w:rsidRDefault="001567A4" w:rsidP="00002D71">
      <w:pPr>
        <w:jc w:val="center"/>
        <w:rPr>
          <w:bCs/>
        </w:rPr>
      </w:pPr>
    </w:p>
    <w:p w14:paraId="737F4396" w14:textId="77777777" w:rsidR="00E80F74" w:rsidRPr="000A1781" w:rsidRDefault="00E80F74" w:rsidP="00002D71">
      <w:pPr>
        <w:jc w:val="center"/>
        <w:rPr>
          <w:b/>
          <w:color w:val="3333CC"/>
        </w:rPr>
      </w:pPr>
    </w:p>
    <w:p w14:paraId="4ACA260B" w14:textId="5A2AE6FB" w:rsidR="001567A4" w:rsidRPr="000A1781" w:rsidRDefault="001567A4" w:rsidP="00002D71">
      <w:pPr>
        <w:tabs>
          <w:tab w:val="left" w:pos="720"/>
          <w:tab w:val="left" w:pos="1440"/>
          <w:tab w:val="left" w:pos="2160"/>
        </w:tabs>
        <w:jc w:val="center"/>
        <w:rPr>
          <w:rFonts w:eastAsia="Batang"/>
          <w:b/>
          <w:color w:val="4472C4" w:themeColor="accent1"/>
          <w:sz w:val="28"/>
          <w:szCs w:val="28"/>
        </w:rPr>
      </w:pPr>
      <w:r w:rsidRPr="000A1781">
        <w:rPr>
          <w:rFonts w:eastAsia="Batang"/>
          <w:b/>
          <w:color w:val="4472C4" w:themeColor="accent1"/>
          <w:sz w:val="28"/>
          <w:szCs w:val="28"/>
        </w:rPr>
        <w:t>Evaluation Period: October 1, 2</w:t>
      </w:r>
      <w:r w:rsidR="00E80F74" w:rsidRPr="000A1781">
        <w:rPr>
          <w:rFonts w:eastAsia="Batang"/>
          <w:b/>
          <w:color w:val="4472C4" w:themeColor="accent1"/>
          <w:sz w:val="28"/>
          <w:szCs w:val="28"/>
        </w:rPr>
        <w:t>022</w:t>
      </w:r>
      <w:r w:rsidRPr="000A1781">
        <w:rPr>
          <w:rFonts w:eastAsia="Batang"/>
          <w:b/>
          <w:color w:val="4472C4" w:themeColor="accent1"/>
          <w:sz w:val="28"/>
          <w:szCs w:val="28"/>
        </w:rPr>
        <w:t xml:space="preserve"> – September 30, 20</w:t>
      </w:r>
      <w:r w:rsidR="00E80F74" w:rsidRPr="000A1781">
        <w:rPr>
          <w:rFonts w:eastAsia="Batang"/>
          <w:b/>
          <w:color w:val="4472C4" w:themeColor="accent1"/>
          <w:sz w:val="28"/>
          <w:szCs w:val="28"/>
        </w:rPr>
        <w:t>23</w:t>
      </w:r>
    </w:p>
    <w:p w14:paraId="20D2A7D3" w14:textId="77777777" w:rsidR="001567A4" w:rsidRPr="000A1781" w:rsidRDefault="001567A4" w:rsidP="00002D7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7D03DF" w14:textId="0291DF6F" w:rsidR="001567A4" w:rsidRPr="000A1781" w:rsidRDefault="001567A4" w:rsidP="00002D7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0A1781">
        <w:rPr>
          <w:rFonts w:eastAsia="Batang"/>
        </w:rPr>
        <w:t xml:space="preserve">Initial Approval Date: </w:t>
      </w:r>
      <w:r w:rsidR="0029385C" w:rsidRPr="000A1781">
        <w:rPr>
          <w:rFonts w:eastAsia="Batang"/>
        </w:rPr>
        <w:t>December 10, 1976</w:t>
      </w:r>
    </w:p>
    <w:p w14:paraId="730A6105" w14:textId="22C359BB" w:rsidR="001567A4" w:rsidRPr="000A1781" w:rsidRDefault="001567A4" w:rsidP="00002D7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0A1781">
        <w:rPr>
          <w:rFonts w:eastAsia="Batang"/>
        </w:rPr>
        <w:t xml:space="preserve">State Plan Certification Date: </w:t>
      </w:r>
      <w:r w:rsidR="0029385C" w:rsidRPr="000A1781">
        <w:rPr>
          <w:rFonts w:eastAsia="Batang"/>
        </w:rPr>
        <w:t>December 4, 1984</w:t>
      </w:r>
    </w:p>
    <w:p w14:paraId="7038E2F1" w14:textId="4A35FEB3" w:rsidR="001567A4" w:rsidRPr="000A1781" w:rsidRDefault="001567A4" w:rsidP="00002D71">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A1781">
        <w:rPr>
          <w:rFonts w:eastAsia="Batang"/>
        </w:rPr>
        <w:t xml:space="preserve">Final Approval Date: </w:t>
      </w:r>
      <w:r w:rsidR="0029385C" w:rsidRPr="000A1781">
        <w:rPr>
          <w:rFonts w:eastAsia="Batang"/>
        </w:rPr>
        <w:t>None</w:t>
      </w:r>
    </w:p>
    <w:p w14:paraId="62F17FFF" w14:textId="77777777" w:rsidR="00F65B56" w:rsidRPr="000A1781" w:rsidRDefault="00F65B56" w:rsidP="00002D71">
      <w:pPr>
        <w:jc w:val="center"/>
        <w:rPr>
          <w:b/>
        </w:rPr>
      </w:pPr>
    </w:p>
    <w:p w14:paraId="46A157E5" w14:textId="4CB8A728" w:rsidR="001567A4" w:rsidRPr="000A1781" w:rsidRDefault="001567A4" w:rsidP="00002D71">
      <w:pPr>
        <w:jc w:val="center"/>
        <w:rPr>
          <w:b/>
        </w:rPr>
      </w:pPr>
      <w:r w:rsidRPr="000A1781">
        <w:rPr>
          <w:b/>
        </w:rPr>
        <w:t>Prepared by:</w:t>
      </w:r>
    </w:p>
    <w:p w14:paraId="36B5D89D" w14:textId="77777777" w:rsidR="001567A4" w:rsidRPr="000A1781" w:rsidRDefault="001567A4" w:rsidP="00002D71">
      <w:pPr>
        <w:jc w:val="center"/>
        <w:rPr>
          <w:b/>
        </w:rPr>
      </w:pPr>
      <w:r w:rsidRPr="000A1781">
        <w:rPr>
          <w:b/>
        </w:rPr>
        <w:t xml:space="preserve">U. S. Department of Labor </w:t>
      </w:r>
    </w:p>
    <w:p w14:paraId="7943D281" w14:textId="77777777" w:rsidR="001567A4" w:rsidRPr="000A1781" w:rsidRDefault="001567A4" w:rsidP="00002D71">
      <w:pPr>
        <w:jc w:val="center"/>
        <w:rPr>
          <w:b/>
        </w:rPr>
      </w:pPr>
      <w:r w:rsidRPr="000A1781">
        <w:rPr>
          <w:b/>
        </w:rPr>
        <w:t>Occupational Safety and Health Administration</w:t>
      </w:r>
    </w:p>
    <w:p w14:paraId="39EF860A" w14:textId="345E25D9" w:rsidR="001567A4" w:rsidRPr="000A1781" w:rsidRDefault="001567A4" w:rsidP="00002D71">
      <w:pPr>
        <w:jc w:val="center"/>
        <w:rPr>
          <w:b/>
          <w:lang w:val="es-US"/>
        </w:rPr>
      </w:pPr>
      <w:proofErr w:type="spellStart"/>
      <w:r w:rsidRPr="000A1781">
        <w:rPr>
          <w:b/>
          <w:lang w:val="es-US"/>
        </w:rPr>
        <w:t>Region</w:t>
      </w:r>
      <w:proofErr w:type="spellEnd"/>
      <w:r w:rsidRPr="000A1781">
        <w:rPr>
          <w:b/>
          <w:bCs/>
          <w:lang w:val="es-US"/>
        </w:rPr>
        <w:t xml:space="preserve"> </w:t>
      </w:r>
      <w:r w:rsidR="0029385C" w:rsidRPr="000A1781">
        <w:rPr>
          <w:b/>
          <w:bCs/>
          <w:lang w:val="es-US"/>
        </w:rPr>
        <w:t>VI, Dallas TX</w:t>
      </w:r>
    </w:p>
    <w:p w14:paraId="5E3BB69C" w14:textId="77777777" w:rsidR="001567A4" w:rsidRPr="000A1781" w:rsidRDefault="001567A4" w:rsidP="00002D71">
      <w:pPr>
        <w:ind w:left="360"/>
        <w:rPr>
          <w:lang w:val="es-US"/>
        </w:rPr>
      </w:pPr>
    </w:p>
    <w:p w14:paraId="33D9651A" w14:textId="77777777" w:rsidR="001567A4" w:rsidRPr="000A1781" w:rsidRDefault="001567A4" w:rsidP="00002D71">
      <w:pPr>
        <w:ind w:left="360"/>
        <w:rPr>
          <w:lang w:val="es-US"/>
        </w:rPr>
      </w:pPr>
    </w:p>
    <w:p w14:paraId="78C6405C" w14:textId="77777777" w:rsidR="001567A4" w:rsidRPr="000A1781" w:rsidRDefault="001567A4" w:rsidP="00002D71">
      <w:pPr>
        <w:ind w:left="360"/>
        <w:jc w:val="center"/>
      </w:pPr>
      <w:r w:rsidRPr="000A1781">
        <w:rPr>
          <w:noProof/>
        </w:rPr>
        <w:drawing>
          <wp:inline distT="0" distB="0" distL="0" distR="0" wp14:anchorId="4EF8FBEE" wp14:editId="40E5C043">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sdt>
      <w:sdtPr>
        <w:rPr>
          <w:rFonts w:ascii="Times New Roman" w:hAnsi="Times New Roman" w:cs="Calibri"/>
          <w:b w:val="0"/>
          <w:bCs w:val="0"/>
          <w:i/>
          <w:iCs/>
          <w:color w:val="auto"/>
          <w:sz w:val="20"/>
          <w:szCs w:val="20"/>
          <w:lang w:eastAsia="en-US"/>
        </w:rPr>
        <w:id w:val="-220673887"/>
        <w:docPartObj>
          <w:docPartGallery w:val="Table of Contents"/>
          <w:docPartUnique/>
        </w:docPartObj>
      </w:sdtPr>
      <w:sdtEndPr/>
      <w:sdtContent>
        <w:sdt>
          <w:sdtPr>
            <w:rPr>
              <w:rFonts w:ascii="Times New Roman" w:hAnsi="Times New Roman" w:cs="Calibri"/>
              <w:b w:val="0"/>
              <w:bCs w:val="0"/>
              <w:i/>
              <w:iCs/>
              <w:color w:val="auto"/>
              <w:sz w:val="20"/>
              <w:szCs w:val="20"/>
              <w:lang w:eastAsia="en-US"/>
            </w:rPr>
            <w:id w:val="1671679858"/>
            <w:docPartObj>
              <w:docPartGallery w:val="Table of Contents"/>
              <w:docPartUnique/>
            </w:docPartObj>
          </w:sdtPr>
          <w:sdtEndPr/>
          <w:sdtContent>
            <w:p w14:paraId="5432EA23" w14:textId="77777777" w:rsidR="00C90E3A" w:rsidRPr="000A1781" w:rsidRDefault="00C90E3A" w:rsidP="00C90E3A">
              <w:pPr>
                <w:pStyle w:val="TOCHeading"/>
                <w:jc w:val="center"/>
                <w:rPr>
                  <w:rFonts w:ascii="Times New Roman" w:hAnsi="Times New Roman"/>
                  <w:color w:val="4472C4" w:themeColor="accent1"/>
                  <w:sz w:val="32"/>
                  <w:szCs w:val="32"/>
                </w:rPr>
              </w:pPr>
              <w:r w:rsidRPr="000A1781">
                <w:rPr>
                  <w:rFonts w:ascii="Times New Roman" w:hAnsi="Times New Roman"/>
                  <w:color w:val="4472C4" w:themeColor="accent1"/>
                  <w:sz w:val="32"/>
                  <w:szCs w:val="32"/>
                </w:rPr>
                <w:t>Contents</w:t>
              </w:r>
            </w:p>
            <w:p w14:paraId="404D330E" w14:textId="77777777" w:rsidR="00C90E3A" w:rsidRPr="000A1781" w:rsidRDefault="00C90E3A" w:rsidP="00B779B7">
              <w:pPr>
                <w:pStyle w:val="TOC1"/>
                <w:numPr>
                  <w:ilvl w:val="0"/>
                  <w:numId w:val="13"/>
                </w:numPr>
                <w:rPr>
                  <w:rFonts w:ascii="Times New Roman" w:hAnsi="Times New Roman" w:cs="Times New Roman"/>
                  <w:b w:val="0"/>
                  <w:bCs w:val="0"/>
                  <w:caps w:val="0"/>
                  <w:sz w:val="28"/>
                  <w:szCs w:val="28"/>
                </w:rPr>
              </w:pPr>
              <w:r w:rsidRPr="000A1781">
                <w:rPr>
                  <w:rFonts w:ascii="Times New Roman" w:hAnsi="Times New Roman" w:cs="Times New Roman"/>
                  <w:b w:val="0"/>
                  <w:bCs w:val="0"/>
                  <w:caps w:val="0"/>
                  <w:sz w:val="28"/>
                  <w:szCs w:val="28"/>
                </w:rPr>
                <w:t>Executive Summary</w:t>
              </w:r>
              <w:r w:rsidRPr="000A1781">
                <w:rPr>
                  <w:rFonts w:ascii="Times New Roman" w:hAnsi="Times New Roman" w:cs="Times New Roman"/>
                  <w:b w:val="0"/>
                  <w:bCs w:val="0"/>
                  <w:caps w:val="0"/>
                  <w:sz w:val="28"/>
                  <w:szCs w:val="28"/>
                </w:rPr>
                <w:ptab w:relativeTo="margin" w:alignment="right" w:leader="dot"/>
              </w:r>
              <w:r w:rsidRPr="000A1781">
                <w:rPr>
                  <w:rFonts w:ascii="Times New Roman" w:hAnsi="Times New Roman" w:cs="Times New Roman"/>
                  <w:b w:val="0"/>
                  <w:bCs w:val="0"/>
                  <w:caps w:val="0"/>
                  <w:sz w:val="28"/>
                  <w:szCs w:val="28"/>
                </w:rPr>
                <w:t>3</w:t>
              </w:r>
            </w:p>
            <w:p w14:paraId="6CAC80F7" w14:textId="77777777" w:rsidR="00C90E3A" w:rsidRPr="000A1781" w:rsidRDefault="00C90E3A" w:rsidP="00C90E3A"/>
            <w:p w14:paraId="30DC7E9D" w14:textId="77777777" w:rsidR="00C90E3A" w:rsidRPr="000A1781" w:rsidRDefault="00C90E3A" w:rsidP="00B779B7">
              <w:pPr>
                <w:pStyle w:val="ListParagraph"/>
                <w:numPr>
                  <w:ilvl w:val="0"/>
                  <w:numId w:val="13"/>
                </w:numPr>
                <w:rPr>
                  <w:rFonts w:ascii="Times New Roman" w:hAnsi="Times New Roman" w:cs="Times New Roman"/>
                  <w:sz w:val="28"/>
                  <w:szCs w:val="28"/>
                </w:rPr>
              </w:pPr>
              <w:r w:rsidRPr="000A1781">
                <w:rPr>
                  <w:rFonts w:ascii="Times New Roman" w:hAnsi="Times New Roman" w:cs="Times New Roman"/>
                  <w:sz w:val="28"/>
                  <w:szCs w:val="28"/>
                </w:rPr>
                <w:t>State Plan Background</w:t>
              </w:r>
              <w:r w:rsidRPr="000A1781">
                <w:rPr>
                  <w:rFonts w:ascii="Times New Roman" w:hAnsi="Times New Roman" w:cs="Times New Roman"/>
                  <w:sz w:val="28"/>
                  <w:szCs w:val="28"/>
                </w:rPr>
                <w:ptab w:relativeTo="margin" w:alignment="right" w:leader="dot"/>
              </w:r>
              <w:r w:rsidRPr="000A1781">
                <w:rPr>
                  <w:rFonts w:ascii="Times New Roman" w:hAnsi="Times New Roman" w:cs="Times New Roman"/>
                  <w:sz w:val="28"/>
                  <w:szCs w:val="28"/>
                </w:rPr>
                <w:t>3</w:t>
              </w:r>
            </w:p>
            <w:p w14:paraId="15F222AE" w14:textId="348BADFA" w:rsidR="00C90E3A" w:rsidRPr="000A1781" w:rsidRDefault="005D7864" w:rsidP="00B779B7">
              <w:pPr>
                <w:pStyle w:val="ListParagraph"/>
                <w:numPr>
                  <w:ilvl w:val="0"/>
                  <w:numId w:val="14"/>
                </w:numPr>
                <w:rPr>
                  <w:rFonts w:ascii="Times New Roman" w:hAnsi="Times New Roman" w:cs="Times New Roman"/>
                  <w:sz w:val="24"/>
                  <w:szCs w:val="24"/>
                </w:rPr>
              </w:pPr>
              <w:r w:rsidRPr="000A1781">
                <w:rPr>
                  <w:rFonts w:ascii="Times New Roman" w:hAnsi="Times New Roman" w:cs="Times New Roman"/>
                  <w:sz w:val="24"/>
                  <w:szCs w:val="24"/>
                </w:rPr>
                <w:t xml:space="preserve">      </w:t>
              </w:r>
              <w:r w:rsidR="00C90E3A" w:rsidRPr="000A1781">
                <w:rPr>
                  <w:rFonts w:ascii="Times New Roman" w:hAnsi="Times New Roman" w:cs="Times New Roman"/>
                  <w:sz w:val="24"/>
                  <w:szCs w:val="24"/>
                </w:rPr>
                <w:t>Background</w:t>
              </w:r>
              <w:r w:rsidR="00C90E3A" w:rsidRPr="000A1781">
                <w:rPr>
                  <w:rFonts w:ascii="Times New Roman" w:hAnsi="Times New Roman" w:cs="Times New Roman"/>
                  <w:sz w:val="24"/>
                  <w:szCs w:val="24"/>
                </w:rPr>
                <w:ptab w:relativeTo="margin" w:alignment="right" w:leader="dot"/>
              </w:r>
              <w:r w:rsidR="00C90E3A" w:rsidRPr="000A1781">
                <w:rPr>
                  <w:rFonts w:ascii="Times New Roman" w:hAnsi="Times New Roman" w:cs="Times New Roman"/>
                  <w:sz w:val="24"/>
                  <w:szCs w:val="24"/>
                </w:rPr>
                <w:t>3</w:t>
              </w:r>
            </w:p>
            <w:p w14:paraId="0529384B" w14:textId="2850885A" w:rsidR="00C90E3A" w:rsidRPr="000A1781" w:rsidRDefault="005D7864" w:rsidP="00B779B7">
              <w:pPr>
                <w:pStyle w:val="ListParagraph"/>
                <w:numPr>
                  <w:ilvl w:val="0"/>
                  <w:numId w:val="14"/>
                </w:numPr>
                <w:rPr>
                  <w:rFonts w:ascii="Times New Roman" w:hAnsi="Times New Roman" w:cs="Times New Roman"/>
                  <w:sz w:val="24"/>
                  <w:szCs w:val="24"/>
                </w:rPr>
              </w:pPr>
              <w:r w:rsidRPr="000A1781">
                <w:rPr>
                  <w:rFonts w:ascii="Times New Roman" w:hAnsi="Times New Roman" w:cs="Times New Roman"/>
                  <w:sz w:val="24"/>
                  <w:szCs w:val="24"/>
                </w:rPr>
                <w:t xml:space="preserve">      </w:t>
              </w:r>
              <w:r w:rsidR="00C90E3A" w:rsidRPr="000A1781">
                <w:rPr>
                  <w:rFonts w:ascii="Times New Roman" w:hAnsi="Times New Roman" w:cs="Times New Roman"/>
                  <w:sz w:val="24"/>
                  <w:szCs w:val="24"/>
                </w:rPr>
                <w:t>New Issues</w:t>
              </w:r>
              <w:r w:rsidR="00C90E3A" w:rsidRPr="000A1781">
                <w:rPr>
                  <w:rFonts w:ascii="Times New Roman" w:hAnsi="Times New Roman" w:cs="Times New Roman"/>
                  <w:sz w:val="24"/>
                  <w:szCs w:val="24"/>
                </w:rPr>
                <w:ptab w:relativeTo="margin" w:alignment="right" w:leader="dot"/>
              </w:r>
              <w:r w:rsidR="00C90E3A" w:rsidRPr="000A1781">
                <w:rPr>
                  <w:rFonts w:ascii="Times New Roman" w:hAnsi="Times New Roman" w:cs="Times New Roman"/>
                  <w:sz w:val="24"/>
                  <w:szCs w:val="24"/>
                </w:rPr>
                <w:t>4</w:t>
              </w:r>
            </w:p>
            <w:p w14:paraId="196148E0" w14:textId="77777777" w:rsidR="00C90E3A" w:rsidRPr="000A1781" w:rsidRDefault="00C90E3A" w:rsidP="00C90E3A">
              <w:pPr>
                <w:pStyle w:val="ListParagraph"/>
                <w:ind w:left="936"/>
                <w:rPr>
                  <w:rFonts w:ascii="Times New Roman" w:hAnsi="Times New Roman" w:cs="Times New Roman"/>
                  <w:sz w:val="24"/>
                  <w:szCs w:val="24"/>
                </w:rPr>
              </w:pPr>
            </w:p>
            <w:p w14:paraId="4435729F" w14:textId="77777777" w:rsidR="00C90E3A" w:rsidRPr="000A1781" w:rsidRDefault="00C90E3A" w:rsidP="00B779B7">
              <w:pPr>
                <w:pStyle w:val="ListParagraph"/>
                <w:numPr>
                  <w:ilvl w:val="0"/>
                  <w:numId w:val="13"/>
                </w:numPr>
                <w:rPr>
                  <w:rFonts w:ascii="Times New Roman" w:hAnsi="Times New Roman" w:cs="Times New Roman"/>
                  <w:sz w:val="28"/>
                  <w:szCs w:val="28"/>
                </w:rPr>
              </w:pPr>
              <w:r w:rsidRPr="000A1781">
                <w:rPr>
                  <w:rFonts w:ascii="Times New Roman" w:hAnsi="Times New Roman" w:cs="Times New Roman"/>
                  <w:sz w:val="28"/>
                  <w:szCs w:val="28"/>
                </w:rPr>
                <w:t>Assessment of State Plan Performance</w:t>
              </w:r>
              <w:r w:rsidRPr="000A1781">
                <w:rPr>
                  <w:rFonts w:ascii="Times New Roman" w:hAnsi="Times New Roman" w:cs="Times New Roman"/>
                  <w:sz w:val="28"/>
                  <w:szCs w:val="28"/>
                </w:rPr>
                <w:ptab w:relativeTo="margin" w:alignment="right" w:leader="dot"/>
              </w:r>
              <w:r w:rsidRPr="000A1781">
                <w:rPr>
                  <w:rFonts w:ascii="Times New Roman" w:hAnsi="Times New Roman" w:cs="Times New Roman"/>
                  <w:sz w:val="28"/>
                  <w:szCs w:val="28"/>
                </w:rPr>
                <w:t>5</w:t>
              </w:r>
            </w:p>
            <w:p w14:paraId="517B0EE9" w14:textId="6D9E1C05" w:rsidR="00C90E3A" w:rsidRPr="000A1781" w:rsidRDefault="005D7864" w:rsidP="00B779B7">
              <w:pPr>
                <w:pStyle w:val="ListParagraph"/>
                <w:numPr>
                  <w:ilvl w:val="1"/>
                  <w:numId w:val="13"/>
                </w:numPr>
                <w:rPr>
                  <w:rFonts w:ascii="Times New Roman" w:hAnsi="Times New Roman" w:cs="Times New Roman"/>
                  <w:sz w:val="24"/>
                  <w:szCs w:val="24"/>
                </w:rPr>
              </w:pPr>
              <w:r w:rsidRPr="000A1781">
                <w:rPr>
                  <w:rFonts w:ascii="Times New Roman" w:hAnsi="Times New Roman" w:cs="Times New Roman"/>
                  <w:sz w:val="24"/>
                  <w:szCs w:val="24"/>
                </w:rPr>
                <w:t xml:space="preserve">      </w:t>
              </w:r>
              <w:r w:rsidR="00C90E3A" w:rsidRPr="000A1781">
                <w:rPr>
                  <w:rFonts w:ascii="Times New Roman" w:hAnsi="Times New Roman" w:cs="Times New Roman"/>
                  <w:sz w:val="24"/>
                  <w:szCs w:val="24"/>
                </w:rPr>
                <w:t>Data and Methodology</w:t>
              </w:r>
              <w:r w:rsidR="00C90E3A" w:rsidRPr="000A1781">
                <w:rPr>
                  <w:rFonts w:ascii="Times New Roman" w:hAnsi="Times New Roman" w:cs="Times New Roman"/>
                  <w:sz w:val="24"/>
                  <w:szCs w:val="24"/>
                </w:rPr>
                <w:ptab w:relativeTo="margin" w:alignment="right" w:leader="dot"/>
              </w:r>
              <w:r w:rsidR="00C90E3A" w:rsidRPr="000A1781">
                <w:rPr>
                  <w:rFonts w:ascii="Times New Roman" w:hAnsi="Times New Roman" w:cs="Times New Roman"/>
                  <w:sz w:val="24"/>
                  <w:szCs w:val="24"/>
                </w:rPr>
                <w:t>5</w:t>
              </w:r>
            </w:p>
            <w:p w14:paraId="78F7CF9E" w14:textId="65A5E19A" w:rsidR="00C90E3A" w:rsidRPr="000A1781" w:rsidRDefault="005D7864" w:rsidP="00B779B7">
              <w:pPr>
                <w:pStyle w:val="ListParagraph"/>
                <w:numPr>
                  <w:ilvl w:val="1"/>
                  <w:numId w:val="13"/>
                </w:numPr>
                <w:rPr>
                  <w:rFonts w:ascii="Times New Roman" w:hAnsi="Times New Roman" w:cs="Times New Roman"/>
                  <w:sz w:val="24"/>
                  <w:szCs w:val="24"/>
                </w:rPr>
              </w:pPr>
              <w:r w:rsidRPr="000A1781">
                <w:rPr>
                  <w:rFonts w:ascii="Times New Roman" w:hAnsi="Times New Roman" w:cs="Times New Roman"/>
                  <w:sz w:val="24"/>
                  <w:szCs w:val="24"/>
                </w:rPr>
                <w:t xml:space="preserve">      </w:t>
              </w:r>
              <w:r w:rsidR="00C90E3A" w:rsidRPr="000A1781">
                <w:rPr>
                  <w:rFonts w:ascii="Times New Roman" w:hAnsi="Times New Roman" w:cs="Times New Roman"/>
                  <w:sz w:val="24"/>
                  <w:szCs w:val="24"/>
                </w:rPr>
                <w:t>Review of State Plan Performance</w:t>
              </w:r>
              <w:r w:rsidR="00C90E3A" w:rsidRPr="000A1781">
                <w:rPr>
                  <w:rFonts w:ascii="Times New Roman" w:hAnsi="Times New Roman" w:cs="Times New Roman"/>
                  <w:sz w:val="24"/>
                  <w:szCs w:val="24"/>
                </w:rPr>
                <w:ptab w:relativeTo="margin" w:alignment="right" w:leader="dot"/>
              </w:r>
              <w:r w:rsidR="00C90E3A" w:rsidRPr="000A1781">
                <w:rPr>
                  <w:rFonts w:ascii="Times New Roman" w:hAnsi="Times New Roman" w:cs="Times New Roman"/>
                  <w:sz w:val="24"/>
                  <w:szCs w:val="24"/>
                </w:rPr>
                <w:t>6</w:t>
              </w:r>
            </w:p>
            <w:p w14:paraId="55E4CB78" w14:textId="6C00AEF2"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Program Administration</w:t>
              </w:r>
              <w:r w:rsidRPr="000A1781">
                <w:rPr>
                  <w:rFonts w:ascii="Times New Roman" w:hAnsi="Times New Roman" w:cs="Times New Roman"/>
                  <w:sz w:val="24"/>
                  <w:szCs w:val="24"/>
                </w:rPr>
                <w:ptab w:relativeTo="margin" w:alignment="right" w:leader="dot"/>
              </w:r>
              <w:r w:rsidR="005D7864" w:rsidRPr="000A1781">
                <w:rPr>
                  <w:rFonts w:ascii="Times New Roman" w:hAnsi="Times New Roman" w:cs="Times New Roman"/>
                  <w:sz w:val="24"/>
                  <w:szCs w:val="24"/>
                </w:rPr>
                <w:t>6</w:t>
              </w:r>
            </w:p>
            <w:p w14:paraId="455EAA29" w14:textId="0B5E70D7"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Enforcement</w:t>
              </w:r>
              <w:r w:rsidRPr="000A1781">
                <w:rPr>
                  <w:rFonts w:ascii="Times New Roman" w:hAnsi="Times New Roman" w:cs="Times New Roman"/>
                  <w:sz w:val="24"/>
                  <w:szCs w:val="24"/>
                </w:rPr>
                <w:ptab w:relativeTo="margin" w:alignment="right" w:leader="dot"/>
              </w:r>
              <w:r w:rsidR="000A1781">
                <w:rPr>
                  <w:rFonts w:ascii="Times New Roman" w:hAnsi="Times New Roman" w:cs="Times New Roman"/>
                  <w:sz w:val="24"/>
                  <w:szCs w:val="24"/>
                </w:rPr>
                <w:t>8</w:t>
              </w:r>
            </w:p>
            <w:p w14:paraId="5BB2D27D" w14:textId="77777777"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Review Procedures</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14</w:t>
              </w:r>
            </w:p>
            <w:p w14:paraId="7641FF51" w14:textId="77777777"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Standards and Federal Program Changes (FPCs) Adoption</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15</w:t>
              </w:r>
            </w:p>
            <w:p w14:paraId="5CECB492" w14:textId="1202394B"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Variances</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1</w:t>
              </w:r>
              <w:r w:rsidR="000A1781" w:rsidRPr="000A1781">
                <w:rPr>
                  <w:rFonts w:ascii="Times New Roman" w:hAnsi="Times New Roman" w:cs="Times New Roman"/>
                  <w:sz w:val="24"/>
                  <w:szCs w:val="24"/>
                </w:rPr>
                <w:t>8</w:t>
              </w:r>
            </w:p>
            <w:p w14:paraId="7FD81F79" w14:textId="52E372A0"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State and Local Government Worker Program</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1</w:t>
              </w:r>
              <w:r w:rsidR="000A1781" w:rsidRPr="000A1781">
                <w:rPr>
                  <w:rFonts w:ascii="Times New Roman" w:hAnsi="Times New Roman" w:cs="Times New Roman"/>
                  <w:sz w:val="24"/>
                  <w:szCs w:val="24"/>
                </w:rPr>
                <w:t>8</w:t>
              </w:r>
            </w:p>
            <w:p w14:paraId="213C6E61" w14:textId="7B0AD0C3"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Whistleblower Program</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1</w:t>
              </w:r>
              <w:r w:rsidR="000A1781" w:rsidRPr="000A1781">
                <w:rPr>
                  <w:rFonts w:ascii="Times New Roman" w:hAnsi="Times New Roman" w:cs="Times New Roman"/>
                  <w:sz w:val="24"/>
                  <w:szCs w:val="24"/>
                </w:rPr>
                <w:t>8</w:t>
              </w:r>
            </w:p>
            <w:p w14:paraId="266337D0" w14:textId="064CECB6"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 xml:space="preserve">Complaint About State Program Administration (CASPA) </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2</w:t>
              </w:r>
              <w:r w:rsidR="000A1781" w:rsidRPr="000A1781">
                <w:rPr>
                  <w:rFonts w:ascii="Times New Roman" w:hAnsi="Times New Roman" w:cs="Times New Roman"/>
                  <w:sz w:val="24"/>
                  <w:szCs w:val="24"/>
                </w:rPr>
                <w:t>1</w:t>
              </w:r>
            </w:p>
            <w:p w14:paraId="4760DF5C" w14:textId="376303D9"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Voluntary Compliance Program</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2</w:t>
              </w:r>
              <w:r w:rsidR="000A1781" w:rsidRPr="000A1781">
                <w:rPr>
                  <w:rFonts w:ascii="Times New Roman" w:hAnsi="Times New Roman" w:cs="Times New Roman"/>
                  <w:sz w:val="24"/>
                  <w:szCs w:val="24"/>
                </w:rPr>
                <w:t>1</w:t>
              </w:r>
            </w:p>
            <w:p w14:paraId="6A659A1F" w14:textId="0B0867F6"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State and Local Government 23(g) On-Site Consultation Program</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2</w:t>
              </w:r>
              <w:r w:rsidR="000A1781" w:rsidRPr="000A1781">
                <w:rPr>
                  <w:rFonts w:ascii="Times New Roman" w:hAnsi="Times New Roman" w:cs="Times New Roman"/>
                  <w:sz w:val="24"/>
                  <w:szCs w:val="24"/>
                </w:rPr>
                <w:t>4</w:t>
              </w:r>
            </w:p>
            <w:p w14:paraId="56D67EF6" w14:textId="0C7D72CD" w:rsidR="00C90E3A" w:rsidRPr="000A1781" w:rsidRDefault="00C90E3A" w:rsidP="00B779B7">
              <w:pPr>
                <w:pStyle w:val="ListParagraph"/>
                <w:numPr>
                  <w:ilvl w:val="0"/>
                  <w:numId w:val="15"/>
                </w:numPr>
                <w:rPr>
                  <w:rFonts w:ascii="Times New Roman" w:hAnsi="Times New Roman" w:cs="Times New Roman"/>
                  <w:sz w:val="24"/>
                  <w:szCs w:val="24"/>
                </w:rPr>
              </w:pPr>
              <w:r w:rsidRPr="000A1781">
                <w:rPr>
                  <w:rFonts w:ascii="Times New Roman" w:hAnsi="Times New Roman" w:cs="Times New Roman"/>
                  <w:sz w:val="24"/>
                  <w:szCs w:val="24"/>
                </w:rPr>
                <w:t>Private Sector 23(g) On-Site Consultation Program</w:t>
              </w:r>
              <w:r w:rsidRPr="000A1781">
                <w:rPr>
                  <w:rFonts w:ascii="Times New Roman" w:hAnsi="Times New Roman" w:cs="Times New Roman"/>
                  <w:sz w:val="24"/>
                  <w:szCs w:val="24"/>
                </w:rPr>
                <w:ptab w:relativeTo="margin" w:alignment="right" w:leader="dot"/>
              </w:r>
              <w:r w:rsidRPr="000A1781">
                <w:rPr>
                  <w:rFonts w:ascii="Times New Roman" w:hAnsi="Times New Roman" w:cs="Times New Roman"/>
                  <w:sz w:val="24"/>
                  <w:szCs w:val="24"/>
                </w:rPr>
                <w:t>2</w:t>
              </w:r>
              <w:r w:rsidR="000A1781" w:rsidRPr="000A1781">
                <w:rPr>
                  <w:rFonts w:ascii="Times New Roman" w:hAnsi="Times New Roman" w:cs="Times New Roman"/>
                  <w:sz w:val="24"/>
                  <w:szCs w:val="24"/>
                </w:rPr>
                <w:t>6</w:t>
              </w:r>
            </w:p>
            <w:p w14:paraId="7DD18C30" w14:textId="2915E1A4" w:rsidR="00C90E3A" w:rsidRPr="000A1781" w:rsidRDefault="007C4A25" w:rsidP="00C90E3A">
              <w:pPr>
                <w:pStyle w:val="TOCHeading"/>
                <w:jc w:val="center"/>
                <w:rPr>
                  <w:rFonts w:ascii="Times New Roman" w:hAnsi="Times New Roman"/>
                  <w:color w:val="4472C4" w:themeColor="accent1"/>
                  <w:sz w:val="32"/>
                  <w:szCs w:val="32"/>
                </w:rPr>
              </w:pPr>
              <w:r w:rsidRPr="000A1781">
                <w:rPr>
                  <w:rFonts w:ascii="Times New Roman" w:hAnsi="Times New Roman"/>
                  <w:color w:val="4472C4" w:themeColor="accent1"/>
                  <w:sz w:val="32"/>
                  <w:szCs w:val="32"/>
                </w:rPr>
                <w:t>Appendices</w:t>
              </w:r>
            </w:p>
            <w:p w14:paraId="6AFC120F" w14:textId="77777777" w:rsidR="00C90E3A" w:rsidRPr="000A1781" w:rsidRDefault="00C90E3A" w:rsidP="00C90E3A">
              <w:pPr>
                <w:pStyle w:val="TOC1"/>
                <w:rPr>
                  <w:rFonts w:ascii="Times New Roman" w:hAnsi="Times New Roman" w:cs="Times New Roman"/>
                  <w:b w:val="0"/>
                  <w:bCs w:val="0"/>
                  <w:caps w:val="0"/>
                  <w:sz w:val="28"/>
                  <w:szCs w:val="28"/>
                </w:rPr>
              </w:pPr>
              <w:r w:rsidRPr="000A1781">
                <w:rPr>
                  <w:rFonts w:ascii="Times New Roman" w:hAnsi="Times New Roman" w:cs="Times New Roman"/>
                  <w:b w:val="0"/>
                  <w:bCs w:val="0"/>
                  <w:caps w:val="0"/>
                  <w:sz w:val="28"/>
                  <w:szCs w:val="28"/>
                </w:rPr>
                <w:t xml:space="preserve">Appendix A – New and Continued Findings and Recommendations </w:t>
              </w:r>
              <w:r w:rsidRPr="000A1781">
                <w:rPr>
                  <w:rFonts w:ascii="Times New Roman" w:hAnsi="Times New Roman" w:cs="Times New Roman"/>
                  <w:b w:val="0"/>
                  <w:bCs w:val="0"/>
                  <w:caps w:val="0"/>
                  <w:sz w:val="28"/>
                  <w:szCs w:val="28"/>
                </w:rPr>
                <w:ptab w:relativeTo="margin" w:alignment="right" w:leader="dot"/>
              </w:r>
              <w:r w:rsidRPr="000A1781">
                <w:rPr>
                  <w:rFonts w:ascii="Times New Roman" w:hAnsi="Times New Roman" w:cs="Times New Roman"/>
                  <w:b w:val="0"/>
                  <w:bCs w:val="0"/>
                  <w:caps w:val="0"/>
                  <w:sz w:val="28"/>
                  <w:szCs w:val="28"/>
                </w:rPr>
                <w:t>A-1</w:t>
              </w:r>
            </w:p>
            <w:p w14:paraId="634DB6C5" w14:textId="77777777" w:rsidR="00C90E3A" w:rsidRPr="000A1781" w:rsidRDefault="00C90E3A" w:rsidP="00C90E3A">
              <w:pPr>
                <w:pStyle w:val="TOC1"/>
                <w:rPr>
                  <w:rFonts w:ascii="Times New Roman" w:hAnsi="Times New Roman" w:cs="Times New Roman"/>
                  <w:b w:val="0"/>
                  <w:bCs w:val="0"/>
                  <w:caps w:val="0"/>
                  <w:sz w:val="28"/>
                  <w:szCs w:val="28"/>
                </w:rPr>
              </w:pPr>
              <w:r w:rsidRPr="000A1781">
                <w:rPr>
                  <w:rFonts w:ascii="Times New Roman" w:hAnsi="Times New Roman" w:cs="Times New Roman"/>
                  <w:b w:val="0"/>
                  <w:bCs w:val="0"/>
                  <w:caps w:val="0"/>
                  <w:sz w:val="28"/>
                  <w:szCs w:val="28"/>
                </w:rPr>
                <w:t>Appendix B – Observations and Federal Monitoring Plans</w:t>
              </w:r>
              <w:r w:rsidRPr="000A1781">
                <w:rPr>
                  <w:rFonts w:ascii="Times New Roman" w:hAnsi="Times New Roman" w:cs="Times New Roman"/>
                  <w:b w:val="0"/>
                  <w:bCs w:val="0"/>
                  <w:caps w:val="0"/>
                  <w:sz w:val="28"/>
                  <w:szCs w:val="28"/>
                </w:rPr>
                <w:ptab w:relativeTo="margin" w:alignment="right" w:leader="dot"/>
              </w:r>
              <w:r w:rsidRPr="000A1781">
                <w:rPr>
                  <w:rFonts w:ascii="Times New Roman" w:hAnsi="Times New Roman" w:cs="Times New Roman"/>
                  <w:b w:val="0"/>
                  <w:bCs w:val="0"/>
                  <w:caps w:val="0"/>
                  <w:sz w:val="28"/>
                  <w:szCs w:val="28"/>
                </w:rPr>
                <w:t>B-1</w:t>
              </w:r>
            </w:p>
            <w:p w14:paraId="37697E01" w14:textId="77777777" w:rsidR="00C90E3A" w:rsidRPr="000A1781" w:rsidRDefault="00C90E3A" w:rsidP="00C90E3A">
              <w:pPr>
                <w:pStyle w:val="TOC1"/>
                <w:rPr>
                  <w:rFonts w:ascii="Times New Roman" w:hAnsi="Times New Roman" w:cs="Times New Roman"/>
                  <w:b w:val="0"/>
                  <w:bCs w:val="0"/>
                  <w:caps w:val="0"/>
                  <w:sz w:val="28"/>
                  <w:szCs w:val="28"/>
                </w:rPr>
              </w:pPr>
              <w:r w:rsidRPr="000A1781">
                <w:rPr>
                  <w:rFonts w:ascii="Times New Roman" w:hAnsi="Times New Roman" w:cs="Times New Roman"/>
                  <w:b w:val="0"/>
                  <w:bCs w:val="0"/>
                  <w:caps w:val="0"/>
                  <w:sz w:val="28"/>
                  <w:szCs w:val="28"/>
                </w:rPr>
                <w:t>Appendix C – Status of FY 2023 Findings and Recommendations</w:t>
              </w:r>
              <w:r w:rsidRPr="000A1781">
                <w:rPr>
                  <w:rFonts w:ascii="Times New Roman" w:hAnsi="Times New Roman" w:cs="Times New Roman"/>
                  <w:b w:val="0"/>
                  <w:bCs w:val="0"/>
                  <w:caps w:val="0"/>
                  <w:sz w:val="28"/>
                  <w:szCs w:val="28"/>
                </w:rPr>
                <w:ptab w:relativeTo="margin" w:alignment="right" w:leader="dot"/>
              </w:r>
              <w:r w:rsidRPr="000A1781">
                <w:rPr>
                  <w:rFonts w:ascii="Times New Roman" w:hAnsi="Times New Roman" w:cs="Times New Roman"/>
                  <w:b w:val="0"/>
                  <w:bCs w:val="0"/>
                  <w:caps w:val="0"/>
                  <w:sz w:val="28"/>
                  <w:szCs w:val="28"/>
                </w:rPr>
                <w:t>C-1</w:t>
              </w:r>
            </w:p>
            <w:p w14:paraId="6513CF6B" w14:textId="77777777" w:rsidR="00C90E3A" w:rsidRPr="000A1781" w:rsidRDefault="00C90E3A" w:rsidP="00C90E3A">
              <w:pPr>
                <w:pStyle w:val="TOC1"/>
                <w:rPr>
                  <w:rFonts w:ascii="Times New Roman" w:hAnsi="Times New Roman" w:cs="Times New Roman"/>
                  <w:b w:val="0"/>
                  <w:bCs w:val="0"/>
                  <w:caps w:val="0"/>
                  <w:sz w:val="28"/>
                  <w:szCs w:val="28"/>
                </w:rPr>
              </w:pPr>
              <w:r w:rsidRPr="000A1781">
                <w:rPr>
                  <w:rFonts w:ascii="Times New Roman" w:hAnsi="Times New Roman" w:cs="Times New Roman"/>
                  <w:b w:val="0"/>
                  <w:bCs w:val="0"/>
                  <w:caps w:val="0"/>
                  <w:sz w:val="28"/>
                  <w:szCs w:val="28"/>
                </w:rPr>
                <w:t>Appendix D – FY 2023 State Activity Mandated Measures (SAMM) Report</w:t>
              </w:r>
              <w:r w:rsidRPr="000A1781">
                <w:rPr>
                  <w:rFonts w:ascii="Times New Roman" w:hAnsi="Times New Roman" w:cs="Times New Roman"/>
                  <w:b w:val="0"/>
                  <w:bCs w:val="0"/>
                  <w:caps w:val="0"/>
                  <w:sz w:val="28"/>
                  <w:szCs w:val="28"/>
                </w:rPr>
                <w:ptab w:relativeTo="margin" w:alignment="right" w:leader="dot"/>
              </w:r>
              <w:r w:rsidRPr="000A1781">
                <w:rPr>
                  <w:rFonts w:ascii="Times New Roman" w:hAnsi="Times New Roman" w:cs="Times New Roman"/>
                  <w:b w:val="0"/>
                  <w:bCs w:val="0"/>
                  <w:caps w:val="0"/>
                  <w:sz w:val="28"/>
                  <w:szCs w:val="28"/>
                </w:rPr>
                <w:t>D-1</w:t>
              </w:r>
            </w:p>
            <w:p w14:paraId="1D1E2021" w14:textId="26C6945F" w:rsidR="00DD6F3C" w:rsidRPr="000A1781" w:rsidRDefault="005F33D4" w:rsidP="00C90E3A">
              <w:pPr>
                <w:pStyle w:val="TOC3"/>
                <w:ind w:left="0"/>
                <w:rPr>
                  <w:rFonts w:ascii="Times New Roman" w:hAnsi="Times New Roman" w:cs="Times New Roman"/>
                  <w:i w:val="0"/>
                  <w:iCs w:val="0"/>
                  <w:sz w:val="24"/>
                  <w:szCs w:val="24"/>
                </w:rPr>
              </w:pPr>
            </w:p>
          </w:sdtContent>
        </w:sdt>
      </w:sdtContent>
    </w:sdt>
    <w:p w14:paraId="10F10EB5" w14:textId="77777777" w:rsidR="001567A4" w:rsidRPr="000A1781" w:rsidRDefault="001567A4" w:rsidP="00002D71">
      <w:pPr>
        <w:tabs>
          <w:tab w:val="left" w:pos="1125"/>
        </w:tabs>
        <w:rPr>
          <w:b/>
        </w:rPr>
      </w:pPr>
    </w:p>
    <w:p w14:paraId="0ACDDD2B" w14:textId="77777777" w:rsidR="001567A4" w:rsidRPr="000A1781" w:rsidRDefault="001567A4" w:rsidP="00002D71">
      <w:pPr>
        <w:tabs>
          <w:tab w:val="left" w:pos="1125"/>
        </w:tabs>
        <w:rPr>
          <w:b/>
        </w:rPr>
      </w:pPr>
    </w:p>
    <w:p w14:paraId="48E9D9BB" w14:textId="77777777" w:rsidR="00800DEF" w:rsidRPr="000A1781" w:rsidRDefault="00800DEF" w:rsidP="00002D71">
      <w:pPr>
        <w:tabs>
          <w:tab w:val="left" w:pos="1125"/>
        </w:tabs>
        <w:rPr>
          <w:b/>
        </w:rPr>
      </w:pPr>
    </w:p>
    <w:p w14:paraId="556C876C" w14:textId="77777777" w:rsidR="00800DEF" w:rsidRPr="000A1781" w:rsidRDefault="00800DEF" w:rsidP="00002D71">
      <w:pPr>
        <w:tabs>
          <w:tab w:val="left" w:pos="1125"/>
        </w:tabs>
        <w:rPr>
          <w:b/>
        </w:rPr>
      </w:pPr>
    </w:p>
    <w:p w14:paraId="2DCD5A58" w14:textId="77777777" w:rsidR="00800DEF" w:rsidRPr="000A1781" w:rsidRDefault="00800DEF" w:rsidP="00002D71">
      <w:pPr>
        <w:tabs>
          <w:tab w:val="left" w:pos="1125"/>
        </w:tabs>
        <w:rPr>
          <w:b/>
        </w:rPr>
      </w:pPr>
    </w:p>
    <w:p w14:paraId="0748F586" w14:textId="77777777" w:rsidR="00800DEF" w:rsidRPr="000A1781" w:rsidRDefault="00800DEF" w:rsidP="00002D71">
      <w:pPr>
        <w:tabs>
          <w:tab w:val="left" w:pos="1125"/>
        </w:tabs>
        <w:rPr>
          <w:b/>
        </w:rPr>
      </w:pPr>
    </w:p>
    <w:p w14:paraId="33C0B61C" w14:textId="77777777" w:rsidR="00800DEF" w:rsidRPr="000A1781" w:rsidRDefault="00800DEF" w:rsidP="00002D71">
      <w:pPr>
        <w:tabs>
          <w:tab w:val="left" w:pos="1125"/>
        </w:tabs>
        <w:rPr>
          <w:b/>
        </w:rPr>
      </w:pPr>
    </w:p>
    <w:p w14:paraId="50E22585" w14:textId="77777777" w:rsidR="004A7C46" w:rsidRPr="000A1781" w:rsidRDefault="004A7C46" w:rsidP="00002D71">
      <w:pPr>
        <w:tabs>
          <w:tab w:val="left" w:pos="1125"/>
        </w:tabs>
        <w:rPr>
          <w:b/>
        </w:rPr>
      </w:pPr>
    </w:p>
    <w:p w14:paraId="66C7B6FA" w14:textId="77777777" w:rsidR="004A7C46" w:rsidRPr="000A1781" w:rsidRDefault="004A7C46" w:rsidP="00002D71">
      <w:pPr>
        <w:tabs>
          <w:tab w:val="left" w:pos="1125"/>
        </w:tabs>
        <w:rPr>
          <w:b/>
        </w:rPr>
      </w:pPr>
    </w:p>
    <w:p w14:paraId="63760FAF" w14:textId="77777777" w:rsidR="004A7C46" w:rsidRPr="000A1781" w:rsidRDefault="004A7C46" w:rsidP="00002D71">
      <w:pPr>
        <w:tabs>
          <w:tab w:val="left" w:pos="1125"/>
        </w:tabs>
        <w:rPr>
          <w:b/>
        </w:rPr>
      </w:pPr>
    </w:p>
    <w:p w14:paraId="3B90FDDC" w14:textId="77777777" w:rsidR="00793845" w:rsidRPr="000A1781" w:rsidRDefault="00793845" w:rsidP="00002D71">
      <w:pPr>
        <w:tabs>
          <w:tab w:val="left" w:pos="1125"/>
        </w:tabs>
        <w:rPr>
          <w:b/>
        </w:rPr>
      </w:pPr>
    </w:p>
    <w:p w14:paraId="293537F7" w14:textId="77777777" w:rsidR="00800DEF" w:rsidRPr="000A1781" w:rsidRDefault="00800DEF" w:rsidP="00002D71">
      <w:pPr>
        <w:tabs>
          <w:tab w:val="left" w:pos="1125"/>
        </w:tabs>
        <w:rPr>
          <w:b/>
        </w:rPr>
      </w:pPr>
    </w:p>
    <w:p w14:paraId="35C7A504" w14:textId="77777777" w:rsidR="001567A4" w:rsidRPr="000A1781" w:rsidRDefault="001567A4" w:rsidP="00002D71">
      <w:pPr>
        <w:widowControl/>
        <w:numPr>
          <w:ilvl w:val="0"/>
          <w:numId w:val="3"/>
        </w:numPr>
        <w:autoSpaceDE/>
        <w:autoSpaceDN/>
        <w:adjustRightInd/>
        <w:spacing w:after="200"/>
        <w:ind w:left="360" w:hanging="450"/>
        <w:rPr>
          <w:color w:val="4472C4" w:themeColor="accent1"/>
          <w:sz w:val="32"/>
          <w:szCs w:val="32"/>
        </w:rPr>
      </w:pPr>
      <w:r w:rsidRPr="000A1781">
        <w:rPr>
          <w:b/>
          <w:color w:val="4472C4" w:themeColor="accent1"/>
          <w:sz w:val="32"/>
          <w:szCs w:val="32"/>
        </w:rPr>
        <w:lastRenderedPageBreak/>
        <w:t>Executive Summary</w:t>
      </w:r>
    </w:p>
    <w:p w14:paraId="6C9635E8" w14:textId="6949C069" w:rsidR="004D0472" w:rsidRPr="000A1781" w:rsidRDefault="000A7BD3" w:rsidP="00002D71">
      <w:pPr>
        <w:widowControl/>
        <w:autoSpaceDE/>
        <w:autoSpaceDN/>
        <w:adjustRightInd/>
        <w:ind w:left="360"/>
      </w:pPr>
      <w:r w:rsidRPr="000A1781">
        <w:t>T</w:t>
      </w:r>
      <w:r w:rsidR="00FD53C2" w:rsidRPr="000A1781">
        <w:t>his is a biannual</w:t>
      </w:r>
      <w:r w:rsidRPr="000A1781">
        <w:t xml:space="preserve"> </w:t>
      </w:r>
      <w:r w:rsidRPr="000A1781">
        <w:rPr>
          <w:iCs/>
        </w:rPr>
        <w:t xml:space="preserve">comprehensive Federal Annual Monitoring Evaluation (FAME) </w:t>
      </w:r>
      <w:r w:rsidRPr="000A1781">
        <w:t>re</w:t>
      </w:r>
      <w:r w:rsidR="00682496" w:rsidRPr="000A1781">
        <w:t>view of the New Mexico Occupational Health and Safety Bureau (OHSB)</w:t>
      </w:r>
      <w:r w:rsidR="008269EE" w:rsidRPr="000A1781">
        <w:t xml:space="preserve"> under the 23(g) State Plan grant.</w:t>
      </w:r>
      <w:r w:rsidR="008B3B8A" w:rsidRPr="000A1781">
        <w:t xml:space="preserve"> This report was prepared under the direction of Eric S. Harbin, Regional </w:t>
      </w:r>
      <w:r w:rsidR="00B259A6" w:rsidRPr="000A1781">
        <w:t>Administrator</w:t>
      </w:r>
      <w:r w:rsidR="008B3B8A" w:rsidRPr="000A1781">
        <w:t>, Region VI, Occupational Safety and Health Administration</w:t>
      </w:r>
      <w:r w:rsidR="00B259A6" w:rsidRPr="000A1781">
        <w:t xml:space="preserve"> (OSHA), U.S. Department of Labor</w:t>
      </w:r>
      <w:r w:rsidR="00EE55D9" w:rsidRPr="000A1781">
        <w:t xml:space="preserve">. The report </w:t>
      </w:r>
      <w:r w:rsidR="00F825C6" w:rsidRPr="000A1781">
        <w:t>covers</w:t>
      </w:r>
      <w:r w:rsidR="00B259A6" w:rsidRPr="000A1781">
        <w:t xml:space="preserve"> </w:t>
      </w:r>
      <w:r w:rsidR="00F51EB5" w:rsidRPr="000A1781">
        <w:t>fiscal year (FY) 2023</w:t>
      </w:r>
      <w:r w:rsidR="002F7BC9" w:rsidRPr="000A1781">
        <w:t xml:space="preserve"> </w:t>
      </w:r>
      <w:r w:rsidR="00175FFA" w:rsidRPr="000A1781">
        <w:t>which is the</w:t>
      </w:r>
      <w:r w:rsidR="002F7BC9" w:rsidRPr="000A1781">
        <w:t xml:space="preserve"> period</w:t>
      </w:r>
      <w:r w:rsidR="00F51EB5" w:rsidRPr="000A1781">
        <w:t xml:space="preserve"> </w:t>
      </w:r>
      <w:r w:rsidR="00B259A6" w:rsidRPr="000A1781">
        <w:t>from October 1, 2022, to September 30, 2023.</w:t>
      </w:r>
    </w:p>
    <w:p w14:paraId="18D02B88" w14:textId="77777777" w:rsidR="00105351" w:rsidRPr="000A1781" w:rsidRDefault="00105351" w:rsidP="00002D71">
      <w:pPr>
        <w:widowControl/>
        <w:autoSpaceDE/>
        <w:autoSpaceDN/>
        <w:adjustRightInd/>
      </w:pPr>
    </w:p>
    <w:p w14:paraId="33B4AC5E" w14:textId="5471C602" w:rsidR="0089257B" w:rsidRPr="000A1781" w:rsidRDefault="001567A4" w:rsidP="00002D71">
      <w:pPr>
        <w:widowControl/>
        <w:autoSpaceDE/>
        <w:autoSpaceDN/>
        <w:adjustRightInd/>
        <w:ind w:left="360"/>
      </w:pPr>
      <w:r w:rsidRPr="000A1781">
        <w:t xml:space="preserve">The purpose of this </w:t>
      </w:r>
      <w:r w:rsidR="006B274C" w:rsidRPr="000A1781">
        <w:rPr>
          <w:iCs/>
        </w:rPr>
        <w:t xml:space="preserve">comprehensive </w:t>
      </w:r>
      <w:r w:rsidR="00B259A6" w:rsidRPr="000A1781">
        <w:rPr>
          <w:iCs/>
        </w:rPr>
        <w:t>FAME</w:t>
      </w:r>
      <w:r w:rsidR="006B274C" w:rsidRPr="000A1781">
        <w:rPr>
          <w:iCs/>
        </w:rPr>
        <w:t xml:space="preserve"> </w:t>
      </w:r>
      <w:r w:rsidRPr="000A1781">
        <w:t>report is to</w:t>
      </w:r>
      <w:r w:rsidR="008523C4" w:rsidRPr="000A1781">
        <w:t xml:space="preserve"> evaluate</w:t>
      </w:r>
      <w:r w:rsidRPr="000A1781">
        <w:t xml:space="preserve"> the State Plan’s performance for Fiscal Year (FY) 20</w:t>
      </w:r>
      <w:r w:rsidR="00E80F74" w:rsidRPr="000A1781">
        <w:t>23</w:t>
      </w:r>
      <w:r w:rsidRPr="000A1781">
        <w:t xml:space="preserve">, and its progress in resolving outstanding findings from </w:t>
      </w:r>
      <w:r w:rsidR="00E74032" w:rsidRPr="000A1781">
        <w:t xml:space="preserve">the </w:t>
      </w:r>
      <w:r w:rsidRPr="000A1781">
        <w:t>previous</w:t>
      </w:r>
      <w:r w:rsidR="0089257B" w:rsidRPr="000A1781">
        <w:t xml:space="preserve"> follow-up FAME report for FY 2022</w:t>
      </w:r>
      <w:r w:rsidR="00E74032" w:rsidRPr="000A1781">
        <w:t xml:space="preserve"> and comprehensive FAME report for FY 2021</w:t>
      </w:r>
      <w:r w:rsidRPr="000A1781">
        <w:t>.</w:t>
      </w:r>
      <w:r w:rsidR="006B274C" w:rsidRPr="000A1781">
        <w:t xml:space="preserve"> The </w:t>
      </w:r>
      <w:r w:rsidR="002F7BC9" w:rsidRPr="000A1781">
        <w:t>NM OHSB</w:t>
      </w:r>
      <w:r w:rsidR="006B274C" w:rsidRPr="000A1781">
        <w:t xml:space="preserve"> </w:t>
      </w:r>
      <w:r w:rsidR="00E74032" w:rsidRPr="000A1781">
        <w:t>is</w:t>
      </w:r>
      <w:r w:rsidR="006B274C" w:rsidRPr="000A1781">
        <w:t xml:space="preserve"> generally</w:t>
      </w:r>
      <w:r w:rsidR="00E74032" w:rsidRPr="000A1781">
        <w:t xml:space="preserve"> </w:t>
      </w:r>
      <w:r w:rsidR="006B274C" w:rsidRPr="000A1781">
        <w:t xml:space="preserve">responsive to the identified findings and recommendations from previous FAME reports. While many of the findings and observations have been carried over from the FY 2022 follow-up FAME, improvements have been made. The </w:t>
      </w:r>
      <w:r w:rsidR="00E74032" w:rsidRPr="000A1781">
        <w:t xml:space="preserve">NM OHSB </w:t>
      </w:r>
      <w:r w:rsidR="006B274C" w:rsidRPr="000A1781">
        <w:t xml:space="preserve">program administration continues to strive towards maintaining high levels of program performance. </w:t>
      </w:r>
    </w:p>
    <w:p w14:paraId="3F4A68C0" w14:textId="77777777" w:rsidR="0089257B" w:rsidRPr="000A1781" w:rsidRDefault="0089257B" w:rsidP="00002D71">
      <w:pPr>
        <w:widowControl/>
        <w:autoSpaceDE/>
        <w:autoSpaceDN/>
        <w:adjustRightInd/>
      </w:pPr>
    </w:p>
    <w:p w14:paraId="722D8F01" w14:textId="35547F6A" w:rsidR="0089257B" w:rsidRPr="000A1781" w:rsidRDefault="0089257B" w:rsidP="007D0749">
      <w:pPr>
        <w:widowControl/>
        <w:autoSpaceDE/>
        <w:autoSpaceDN/>
        <w:adjustRightInd/>
        <w:ind w:left="360"/>
      </w:pPr>
      <w:r w:rsidRPr="000A1781">
        <w:t xml:space="preserve">The State Plan made progress to address the previous </w:t>
      </w:r>
      <w:r w:rsidR="00E74032" w:rsidRPr="000A1781">
        <w:t>eight</w:t>
      </w:r>
      <w:r w:rsidRPr="000A1781">
        <w:t xml:space="preserve"> findings and</w:t>
      </w:r>
      <w:r w:rsidR="00E74032" w:rsidRPr="000A1781">
        <w:t xml:space="preserve"> seven</w:t>
      </w:r>
      <w:r w:rsidRPr="000A1781">
        <w:t xml:space="preserve"> observations from the FY 2022 </w:t>
      </w:r>
      <w:r w:rsidR="00B30F31" w:rsidRPr="000A1781">
        <w:t>f</w:t>
      </w:r>
      <w:r w:rsidRPr="000A1781">
        <w:t xml:space="preserve">ollow-up FAME Report. </w:t>
      </w:r>
      <w:r w:rsidR="00B56EF4" w:rsidRPr="000A1781">
        <w:t xml:space="preserve">While some performance improvements were made, </w:t>
      </w:r>
      <w:r w:rsidR="00942ECC" w:rsidRPr="000A1781">
        <w:t>seven of the</w:t>
      </w:r>
      <w:r w:rsidR="0025610F" w:rsidRPr="000A1781">
        <w:t xml:space="preserve"> eight findings from </w:t>
      </w:r>
      <w:r w:rsidR="00665CA4" w:rsidRPr="000A1781">
        <w:t xml:space="preserve">the </w:t>
      </w:r>
      <w:r w:rsidR="0025610F" w:rsidRPr="000A1781">
        <w:t>FY 2022</w:t>
      </w:r>
      <w:r w:rsidR="00665CA4" w:rsidRPr="000A1781">
        <w:t xml:space="preserve"> follow-up FAME</w:t>
      </w:r>
      <w:r w:rsidR="0025610F" w:rsidRPr="000A1781">
        <w:t xml:space="preserve"> remain</w:t>
      </w:r>
      <w:r w:rsidR="00000AA9" w:rsidRPr="000A1781">
        <w:t>, one finding was converted into an observation</w:t>
      </w:r>
      <w:r w:rsidR="00665CA4" w:rsidRPr="000A1781">
        <w:t xml:space="preserve">, </w:t>
      </w:r>
      <w:r w:rsidR="00F33567" w:rsidRPr="000A1781">
        <w:t>four</w:t>
      </w:r>
      <w:r w:rsidR="00665CA4" w:rsidRPr="000A1781">
        <w:t xml:space="preserve"> observations were closed, </w:t>
      </w:r>
      <w:r w:rsidR="00000AA9" w:rsidRPr="000A1781">
        <w:t xml:space="preserve">one </w:t>
      </w:r>
      <w:r w:rsidR="00665CA4" w:rsidRPr="000A1781">
        <w:t>new finding</w:t>
      </w:r>
      <w:r w:rsidR="00000AA9" w:rsidRPr="000A1781">
        <w:t xml:space="preserve"> and two new observations were </w:t>
      </w:r>
      <w:r w:rsidR="00665CA4" w:rsidRPr="000A1781">
        <w:t xml:space="preserve">established. </w:t>
      </w:r>
      <w:r w:rsidRPr="000A1781">
        <w:t xml:space="preserve">The State Plan is working to improve program performance based on the findings and observations </w:t>
      </w:r>
      <w:r w:rsidR="007703FE" w:rsidRPr="000A1781">
        <w:t>OSHA</w:t>
      </w:r>
      <w:r w:rsidR="00416B3C" w:rsidRPr="000A1781">
        <w:t xml:space="preserve"> has determined</w:t>
      </w:r>
      <w:r w:rsidRPr="000A1781">
        <w:t>. OSHA will follow up on the corrective action plan (CAP) to ensure</w:t>
      </w:r>
      <w:r w:rsidR="00416B3C" w:rsidRPr="000A1781">
        <w:t xml:space="preserve"> that the</w:t>
      </w:r>
      <w:r w:rsidRPr="000A1781">
        <w:t xml:space="preserve"> necessary changes are</w:t>
      </w:r>
      <w:r w:rsidR="00416B3C" w:rsidRPr="000A1781">
        <w:t xml:space="preserve"> executed</w:t>
      </w:r>
      <w:r w:rsidRPr="000A1781">
        <w:t>.</w:t>
      </w:r>
    </w:p>
    <w:p w14:paraId="5D1995DC" w14:textId="77777777" w:rsidR="0089257B" w:rsidRPr="000A1781" w:rsidRDefault="0089257B" w:rsidP="00002D71">
      <w:pPr>
        <w:widowControl/>
        <w:autoSpaceDE/>
        <w:autoSpaceDN/>
        <w:adjustRightInd/>
      </w:pPr>
    </w:p>
    <w:p w14:paraId="40B16182" w14:textId="46F324CD" w:rsidR="0089257B" w:rsidRPr="000A1781" w:rsidRDefault="0089257B" w:rsidP="00002D71">
      <w:pPr>
        <w:widowControl/>
        <w:autoSpaceDE/>
        <w:autoSpaceDN/>
        <w:adjustRightInd/>
        <w:ind w:left="360"/>
      </w:pPr>
      <w:r w:rsidRPr="000A1781">
        <w:t xml:space="preserve">Appendix A describes the new and continued findings and recommendations.  Appendix B describes the observations and the related federal monitoring plans. Appendix C describes the </w:t>
      </w:r>
      <w:r w:rsidRPr="000A1781">
        <w:rPr>
          <w:bCs/>
        </w:rPr>
        <w:t>status of previous findings with associated completed corrective actions.</w:t>
      </w:r>
    </w:p>
    <w:p w14:paraId="3E79E94B" w14:textId="77777777" w:rsidR="006B274C" w:rsidRPr="000A1781" w:rsidRDefault="006B274C" w:rsidP="00002D71">
      <w:pPr>
        <w:widowControl/>
        <w:autoSpaceDE/>
        <w:autoSpaceDN/>
        <w:adjustRightInd/>
      </w:pPr>
    </w:p>
    <w:p w14:paraId="3D51CF5A" w14:textId="5224F206" w:rsidR="001567A4" w:rsidRPr="000A1781" w:rsidRDefault="001567A4" w:rsidP="00002D71">
      <w:pPr>
        <w:widowControl/>
        <w:tabs>
          <w:tab w:val="left" w:pos="540"/>
          <w:tab w:val="num" w:pos="1080"/>
        </w:tabs>
        <w:autoSpaceDE/>
        <w:autoSpaceDN/>
        <w:adjustRightInd/>
        <w:rPr>
          <w:b/>
          <w:color w:val="4472C4" w:themeColor="accent1"/>
          <w:sz w:val="32"/>
          <w:szCs w:val="32"/>
        </w:rPr>
      </w:pPr>
      <w:r w:rsidRPr="000A1781">
        <w:rPr>
          <w:b/>
          <w:color w:val="4472C4" w:themeColor="accent1"/>
          <w:sz w:val="32"/>
          <w:szCs w:val="32"/>
        </w:rPr>
        <w:t xml:space="preserve">II. </w:t>
      </w:r>
      <w:r w:rsidR="001211A8" w:rsidRPr="000A1781">
        <w:rPr>
          <w:b/>
          <w:color w:val="4472C4" w:themeColor="accent1"/>
          <w:sz w:val="32"/>
          <w:szCs w:val="32"/>
        </w:rPr>
        <w:t xml:space="preserve"> </w:t>
      </w:r>
      <w:r w:rsidRPr="000A1781">
        <w:rPr>
          <w:b/>
          <w:color w:val="4472C4" w:themeColor="accent1"/>
          <w:sz w:val="32"/>
          <w:szCs w:val="32"/>
        </w:rPr>
        <w:t>State Plan Background</w:t>
      </w:r>
    </w:p>
    <w:p w14:paraId="068C959A" w14:textId="77777777" w:rsidR="001567A4" w:rsidRPr="000A1781" w:rsidRDefault="001567A4" w:rsidP="00002D71">
      <w:pPr>
        <w:widowControl/>
        <w:autoSpaceDE/>
        <w:autoSpaceDN/>
        <w:adjustRightInd/>
        <w:rPr>
          <w:i/>
        </w:rPr>
      </w:pPr>
    </w:p>
    <w:p w14:paraId="5A53E99E" w14:textId="77777777" w:rsidR="001567A4" w:rsidRPr="000A1781" w:rsidRDefault="001567A4" w:rsidP="00B779B7">
      <w:pPr>
        <w:pStyle w:val="ListParagraph"/>
        <w:numPr>
          <w:ilvl w:val="0"/>
          <w:numId w:val="5"/>
        </w:numPr>
        <w:spacing w:line="240" w:lineRule="auto"/>
        <w:rPr>
          <w:rFonts w:ascii="Times New Roman" w:hAnsi="Times New Roman" w:cs="Times New Roman"/>
          <w:b/>
          <w:sz w:val="24"/>
          <w:szCs w:val="24"/>
        </w:rPr>
      </w:pPr>
      <w:r w:rsidRPr="000A1781">
        <w:rPr>
          <w:rFonts w:ascii="Times New Roman" w:hAnsi="Times New Roman" w:cs="Times New Roman"/>
          <w:b/>
          <w:sz w:val="24"/>
          <w:szCs w:val="24"/>
        </w:rPr>
        <w:t>Background</w:t>
      </w:r>
    </w:p>
    <w:p w14:paraId="79B7E755" w14:textId="77777777" w:rsidR="00FB4192" w:rsidRPr="000A1781" w:rsidRDefault="00FB4192" w:rsidP="00FB4192">
      <w:pPr>
        <w:pStyle w:val="Default"/>
        <w:ind w:left="720"/>
      </w:pPr>
      <w:r w:rsidRPr="000A1781">
        <w:t xml:space="preserve">The New Mexico Occupational Health and Safety Program is administered by the Occupational Health and Safety Bureau (OHSB), which is part of the Environmental Health Division of the New Mexico Environment Department. The State Plan designee is Secretary of the New Mexico Environment Department James C. Kenney, and the OHSB Bureau Chief is Robert Genoway. </w:t>
      </w:r>
    </w:p>
    <w:p w14:paraId="1F329AAC" w14:textId="77777777" w:rsidR="00FB4192" w:rsidRPr="000A1781" w:rsidRDefault="00FB4192" w:rsidP="00FB4192">
      <w:pPr>
        <w:pStyle w:val="Default"/>
        <w:ind w:left="360"/>
      </w:pPr>
    </w:p>
    <w:p w14:paraId="73647672" w14:textId="77777777" w:rsidR="00FB4192" w:rsidRPr="000A1781" w:rsidRDefault="00FB4192" w:rsidP="00FB4192">
      <w:pPr>
        <w:pStyle w:val="Default"/>
        <w:ind w:left="720"/>
      </w:pPr>
      <w:r w:rsidRPr="000A1781">
        <w:t xml:space="preserve">The New Mexico program covers all private sector industries and state and local government workers within the state, except maritime (longshoring, ship building, and ship breaking), federal workers, Tribal lands, military installations, US Postal Service, and other areas of exclusive federal jurisdiction. </w:t>
      </w:r>
    </w:p>
    <w:p w14:paraId="7020FBEE" w14:textId="77777777" w:rsidR="00FB4192" w:rsidRPr="000A1781" w:rsidRDefault="00FB4192" w:rsidP="00FB4192">
      <w:pPr>
        <w:pStyle w:val="Default"/>
        <w:ind w:left="360"/>
      </w:pPr>
    </w:p>
    <w:p w14:paraId="3C6DD7DE" w14:textId="660E9D84" w:rsidR="00FB4192" w:rsidRPr="000A1781" w:rsidRDefault="00FB4192" w:rsidP="00FB4192">
      <w:pPr>
        <w:pStyle w:val="Default"/>
        <w:ind w:left="720"/>
        <w:rPr>
          <w:color w:val="auto"/>
        </w:rPr>
      </w:pPr>
      <w:r w:rsidRPr="000A1781">
        <w:t xml:space="preserve">The State Plan has a total work force of 688,800 private sector and 190,800 state and local government workers. Total nonagricultural employment grew by 20,500 (2.4%) jobs between December 2022 and December 2023. The private sector service providing industries grew by 12,600 jobs (1.7%) percent, while the goods producing industries grew by 7,900 jobs (7.9%). In the state and local government agencies, there was a loss of 3,400 jobs (6.2%) in state government, though this was offset in part by with an additional gain of 2,900 jobs (2.9%) in local </w:t>
      </w:r>
      <w:r w:rsidRPr="000A1781">
        <w:lastRenderedPageBreak/>
        <w:t>government. Construction reported the largest employment increase, with a gain of 4,900 jobs (10.1%)</w:t>
      </w:r>
      <w:r w:rsidRPr="000A1781">
        <w:rPr>
          <w:color w:val="auto"/>
        </w:rPr>
        <w:t xml:space="preserve">. (Source: New Mexico Department of Workforce Solutions Employment News Release) </w:t>
      </w:r>
    </w:p>
    <w:p w14:paraId="5CFF239B" w14:textId="77777777" w:rsidR="00FB4192" w:rsidRPr="000A1781" w:rsidRDefault="00FB4192" w:rsidP="00FB4192">
      <w:pPr>
        <w:pStyle w:val="Default"/>
        <w:ind w:left="360"/>
      </w:pPr>
    </w:p>
    <w:p w14:paraId="4305E7D8" w14:textId="77777777" w:rsidR="00FB4192" w:rsidRPr="000A1781" w:rsidRDefault="00FB4192" w:rsidP="00FB4192">
      <w:pPr>
        <w:pStyle w:val="Default"/>
        <w:ind w:left="720"/>
      </w:pPr>
      <w:r w:rsidRPr="000A1781">
        <w:t>Private sector employers reported 12,400 nonfatal workplace injuries and illnesses in New Mexico in 2022. This resulted in a Total Case Incident Rate (TCIR) of 2.3 cases per 100 full-time equivalent workers, which is lower than the national average of 2.7. Workplace fatalities were up slightly to 57 from 53 in 2021. In New Mexico, the education and health services sector had a significant decrease in its TCIR from the previous year, falling from 4.3 in 2021 to 2.8 in 2022.</w:t>
      </w:r>
    </w:p>
    <w:p w14:paraId="549C30F2" w14:textId="77777777" w:rsidR="00FB4192" w:rsidRPr="000A1781" w:rsidRDefault="00FB4192" w:rsidP="00FB4192">
      <w:pPr>
        <w:pStyle w:val="Default"/>
        <w:ind w:left="360"/>
      </w:pPr>
    </w:p>
    <w:p w14:paraId="070E87D6" w14:textId="77777777" w:rsidR="00FB4192" w:rsidRPr="000A1781" w:rsidRDefault="00FB4192" w:rsidP="00FB4192">
      <w:pPr>
        <w:pStyle w:val="Default"/>
        <w:ind w:left="720"/>
      </w:pPr>
      <w:r w:rsidRPr="000A1781">
        <w:t xml:space="preserve">New Mexico administers a combined onsite consultation program under Section 21(d) for the private sector and 23(g) for public. OHSB’s five consultant positions are funded from a variety of sources, including the 21(d) and 23(g) grants and state funds. Private sector consultation is provided by the Bureau under a 21(d) Cooperative Agreement, while public sector consultation is provided under the 23(g) grant. </w:t>
      </w:r>
    </w:p>
    <w:p w14:paraId="537DE100" w14:textId="77777777" w:rsidR="00FB4192" w:rsidRPr="000A1781" w:rsidRDefault="00FB4192" w:rsidP="00FB4192">
      <w:pPr>
        <w:pStyle w:val="Default"/>
        <w:ind w:left="360"/>
      </w:pPr>
    </w:p>
    <w:p w14:paraId="1F2DA90D" w14:textId="77777777" w:rsidR="00FB4192" w:rsidRPr="000A1781" w:rsidRDefault="00FB4192" w:rsidP="00FB4192">
      <w:pPr>
        <w:pStyle w:val="Default"/>
        <w:ind w:left="720"/>
      </w:pPr>
      <w:r w:rsidRPr="000A1781">
        <w:t xml:space="preserve">The federal share of the FY 2023 23(g) grant was $1,291,700 and the state plan match was $1,291,700. The state also provided an overmatch of $1,130,100, for total program funding of $3,713,500, and did not </w:t>
      </w:r>
      <w:proofErr w:type="spellStart"/>
      <w:r w:rsidRPr="000A1781">
        <w:t>deobligate</w:t>
      </w:r>
      <w:proofErr w:type="spellEnd"/>
      <w:r w:rsidRPr="000A1781">
        <w:t xml:space="preserve"> or lapse any funds under the 23(g) Grant in FY 2023.</w:t>
      </w:r>
    </w:p>
    <w:p w14:paraId="35BB085A" w14:textId="77777777" w:rsidR="00FB4192" w:rsidRPr="000A1781" w:rsidRDefault="00FB4192" w:rsidP="00FB4192">
      <w:pPr>
        <w:pStyle w:val="Default"/>
        <w:ind w:left="360"/>
      </w:pPr>
    </w:p>
    <w:p w14:paraId="633C3A1D" w14:textId="77777777" w:rsidR="00FB4192" w:rsidRPr="000A1781" w:rsidRDefault="00FB4192" w:rsidP="00FB4192">
      <w:pPr>
        <w:pStyle w:val="Default"/>
        <w:ind w:left="720"/>
      </w:pPr>
      <w:r w:rsidRPr="000A1781">
        <w:t xml:space="preserve">New Mexico transmitted a five-year Strategic Plan and corresponding Annual Performance Plan during the FY 2024 grant application process. State Emphasis Programs remain for construction, oil and gas well drilling and servicing, primary and fabricated metals, silica, hospitals, and nursing care. </w:t>
      </w:r>
    </w:p>
    <w:p w14:paraId="188E4713" w14:textId="77777777" w:rsidR="00FB4192" w:rsidRPr="000A1781" w:rsidRDefault="00FB4192" w:rsidP="00FB4192">
      <w:pPr>
        <w:pStyle w:val="Default"/>
        <w:ind w:left="360"/>
      </w:pPr>
    </w:p>
    <w:p w14:paraId="3331D468" w14:textId="7C885B0F" w:rsidR="00942ECC" w:rsidRPr="000A1781" w:rsidRDefault="00942ECC" w:rsidP="00FB4192">
      <w:pPr>
        <w:pStyle w:val="Default"/>
        <w:ind w:left="720"/>
      </w:pPr>
      <w:r w:rsidRPr="000A1781">
        <w:t xml:space="preserve">NM OSHB has a total of </w:t>
      </w:r>
      <w:r w:rsidR="00FB4192" w:rsidRPr="000A1781">
        <w:t>51 total positions. The Bureau has three sections</w:t>
      </w:r>
      <w:r w:rsidRPr="000A1781">
        <w:t xml:space="preserve"> which report to the bureau chief,</w:t>
      </w:r>
      <w:r w:rsidR="00FB4192" w:rsidRPr="000A1781">
        <w:t xml:space="preserve"> </w:t>
      </w:r>
      <w:r w:rsidRPr="000A1781">
        <w:t>including the Compliance and Enforcement Section, the Certification and Assistance Section, and the Operations and Planning Section. In addition to these sections, there are three dedicated financial positions and one attorney position which are funded by OHSB and allocated fully to bureau support.</w:t>
      </w:r>
    </w:p>
    <w:p w14:paraId="0B8A0051" w14:textId="77777777" w:rsidR="00FB4192" w:rsidRPr="000A1781" w:rsidRDefault="00FB4192" w:rsidP="00942ECC">
      <w:pPr>
        <w:pStyle w:val="Default"/>
      </w:pPr>
    </w:p>
    <w:p w14:paraId="483AD8C6" w14:textId="3085481A" w:rsidR="00FB4192" w:rsidRPr="000A1781" w:rsidRDefault="00FB4192" w:rsidP="00FB4192">
      <w:pPr>
        <w:pStyle w:val="Default"/>
        <w:ind w:left="720"/>
      </w:pPr>
      <w:r w:rsidRPr="000A1781">
        <w:t xml:space="preserve">Most OHSB staff members work </w:t>
      </w:r>
      <w:r w:rsidR="00942ECC" w:rsidRPr="000A1781">
        <w:t>in</w:t>
      </w:r>
      <w:r w:rsidRPr="000A1781">
        <w:t xml:space="preserve"> the Santa Fe or Albuquerque offices. Six positions </w:t>
      </w:r>
      <w:r w:rsidR="00942ECC" w:rsidRPr="000A1781">
        <w:t>work</w:t>
      </w:r>
      <w:r w:rsidRPr="000A1781">
        <w:t xml:space="preserve"> in a Las Cruces office, while two COs are </w:t>
      </w:r>
      <w:r w:rsidR="00942ECC" w:rsidRPr="000A1781">
        <w:t>work</w:t>
      </w:r>
      <w:r w:rsidRPr="000A1781">
        <w:t xml:space="preserve"> in Roswell and one in Farmington. This distribution has allowed OHSB to provide more rapid response to reports of hazards, including imminent danger situations and accidents across a wide geographical area, as detailed in this report.</w:t>
      </w:r>
    </w:p>
    <w:p w14:paraId="00741C72" w14:textId="77777777" w:rsidR="00C41AFB" w:rsidRPr="000A1781" w:rsidRDefault="00C41AFB" w:rsidP="00002D71">
      <w:pPr>
        <w:ind w:left="360"/>
      </w:pPr>
    </w:p>
    <w:p w14:paraId="3F60298B" w14:textId="77777777" w:rsidR="001567A4" w:rsidRPr="000A1781" w:rsidRDefault="001567A4" w:rsidP="00B779B7">
      <w:pPr>
        <w:pStyle w:val="ListParagraph"/>
        <w:numPr>
          <w:ilvl w:val="0"/>
          <w:numId w:val="5"/>
        </w:numPr>
        <w:spacing w:after="0" w:line="240" w:lineRule="auto"/>
        <w:rPr>
          <w:rFonts w:ascii="Times New Roman" w:hAnsi="Times New Roman" w:cs="Times New Roman"/>
        </w:rPr>
      </w:pPr>
      <w:r w:rsidRPr="000A1781">
        <w:rPr>
          <w:rFonts w:ascii="Times New Roman" w:hAnsi="Times New Roman" w:cs="Times New Roman"/>
          <w:b/>
          <w:sz w:val="24"/>
          <w:szCs w:val="24"/>
        </w:rPr>
        <w:t>New Issues</w:t>
      </w:r>
    </w:p>
    <w:p w14:paraId="58EBB370" w14:textId="77777777" w:rsidR="00623CE9" w:rsidRPr="000A1781" w:rsidRDefault="00623CE9" w:rsidP="00002D71">
      <w:pPr>
        <w:ind w:left="720"/>
        <w:rPr>
          <w:i/>
        </w:rPr>
      </w:pPr>
    </w:p>
    <w:p w14:paraId="14652BC1" w14:textId="740316C5" w:rsidR="009C3BD2" w:rsidRPr="000A1781" w:rsidRDefault="00623CE9" w:rsidP="00002D71">
      <w:pPr>
        <w:ind w:left="720"/>
        <w:rPr>
          <w:iCs/>
        </w:rPr>
      </w:pPr>
      <w:r w:rsidRPr="000A1781">
        <w:t>I</w:t>
      </w:r>
      <w:r w:rsidR="009C3BD2" w:rsidRPr="000A1781">
        <w:t xml:space="preserve">n FY </w:t>
      </w:r>
      <w:r w:rsidR="009C3BD2" w:rsidRPr="000A1781">
        <w:rPr>
          <w:iCs/>
        </w:rPr>
        <w:t xml:space="preserve">2023, </w:t>
      </w:r>
      <w:r w:rsidR="0019526F" w:rsidRPr="000A1781">
        <w:rPr>
          <w:iCs/>
        </w:rPr>
        <w:t xml:space="preserve">OSHA received </w:t>
      </w:r>
      <w:r w:rsidR="00296A3E" w:rsidRPr="000A1781">
        <w:rPr>
          <w:iCs/>
        </w:rPr>
        <w:t>one</w:t>
      </w:r>
      <w:r w:rsidR="009C3BD2" w:rsidRPr="000A1781">
        <w:rPr>
          <w:iCs/>
        </w:rPr>
        <w:t xml:space="preserve"> </w:t>
      </w:r>
      <w:r w:rsidR="00EA2A76" w:rsidRPr="000A1781">
        <w:rPr>
          <w:iCs/>
        </w:rPr>
        <w:t>Complaint Against State Plan</w:t>
      </w:r>
      <w:r w:rsidR="003679EF" w:rsidRPr="000A1781">
        <w:rPr>
          <w:iCs/>
        </w:rPr>
        <w:t xml:space="preserve"> Administration (</w:t>
      </w:r>
      <w:r w:rsidR="009C3BD2" w:rsidRPr="000A1781">
        <w:rPr>
          <w:iCs/>
        </w:rPr>
        <w:t>CASPA</w:t>
      </w:r>
      <w:r w:rsidR="003679EF" w:rsidRPr="000A1781">
        <w:rPr>
          <w:iCs/>
        </w:rPr>
        <w:t>)</w:t>
      </w:r>
      <w:r w:rsidR="009C3BD2" w:rsidRPr="000A1781">
        <w:rPr>
          <w:iCs/>
        </w:rPr>
        <w:t xml:space="preserve"> concerning New Mexico OHSB not following their policies and procedures for handling complaints and/or referrals alleging safety hazards </w:t>
      </w:r>
      <w:r w:rsidR="00A3412A" w:rsidRPr="000A1781">
        <w:rPr>
          <w:iCs/>
        </w:rPr>
        <w:t xml:space="preserve">at </w:t>
      </w:r>
      <w:r w:rsidR="00CF4EB2" w:rsidRPr="000A1781">
        <w:rPr>
          <w:iCs/>
        </w:rPr>
        <w:t xml:space="preserve">a construction </w:t>
      </w:r>
      <w:r w:rsidR="009C3BD2" w:rsidRPr="000A1781">
        <w:rPr>
          <w:iCs/>
        </w:rPr>
        <w:t>job site.</w:t>
      </w:r>
      <w:r w:rsidR="0093199F" w:rsidRPr="000A1781">
        <w:rPr>
          <w:iCs/>
        </w:rPr>
        <w:t xml:space="preserve"> An investigation was opened to </w:t>
      </w:r>
      <w:r w:rsidR="00CE7344" w:rsidRPr="000A1781">
        <w:rPr>
          <w:iCs/>
        </w:rPr>
        <w:t>evaluate NM OHSB’s</w:t>
      </w:r>
      <w:r w:rsidR="00D1029B" w:rsidRPr="000A1781">
        <w:rPr>
          <w:iCs/>
        </w:rPr>
        <w:t xml:space="preserve"> complaint and referral program. Upon investigation, </w:t>
      </w:r>
      <w:r w:rsidR="0019526F" w:rsidRPr="000A1781">
        <w:rPr>
          <w:iCs/>
        </w:rPr>
        <w:t xml:space="preserve">OSHA </w:t>
      </w:r>
      <w:r w:rsidR="00D1029B" w:rsidRPr="000A1781">
        <w:rPr>
          <w:iCs/>
        </w:rPr>
        <w:t xml:space="preserve">determined that NM OHSB did follow their policies and procedures for </w:t>
      </w:r>
      <w:r w:rsidR="00C2049D" w:rsidRPr="000A1781">
        <w:rPr>
          <w:iCs/>
        </w:rPr>
        <w:t xml:space="preserve">handling </w:t>
      </w:r>
      <w:proofErr w:type="gramStart"/>
      <w:r w:rsidR="00C2049D" w:rsidRPr="000A1781">
        <w:rPr>
          <w:iCs/>
        </w:rPr>
        <w:t>the majority of</w:t>
      </w:r>
      <w:proofErr w:type="gramEnd"/>
      <w:r w:rsidR="00C2049D" w:rsidRPr="000A1781">
        <w:rPr>
          <w:iCs/>
        </w:rPr>
        <w:t xml:space="preserve"> complaints and/or referrals and provided additional training to staff to ensure proper </w:t>
      </w:r>
      <w:r w:rsidR="00CA3495" w:rsidRPr="000A1781">
        <w:rPr>
          <w:iCs/>
        </w:rPr>
        <w:t>handling</w:t>
      </w:r>
      <w:r w:rsidR="00C2049D" w:rsidRPr="000A1781">
        <w:rPr>
          <w:iCs/>
        </w:rPr>
        <w:t xml:space="preserve"> of future complaints and referrals. This CASPA was closed on January 31, 2024. Additional</w:t>
      </w:r>
      <w:r w:rsidR="0040751C" w:rsidRPr="000A1781">
        <w:rPr>
          <w:iCs/>
        </w:rPr>
        <w:t xml:space="preserve"> </w:t>
      </w:r>
      <w:r w:rsidR="0003236D" w:rsidRPr="000A1781">
        <w:rPr>
          <w:iCs/>
        </w:rPr>
        <w:t xml:space="preserve">safety and health </w:t>
      </w:r>
      <w:r w:rsidR="0040751C" w:rsidRPr="000A1781">
        <w:rPr>
          <w:iCs/>
        </w:rPr>
        <w:t>concerns were raised by the complainant on January 31, 2024</w:t>
      </w:r>
      <w:r w:rsidR="0003236D" w:rsidRPr="000A1781">
        <w:rPr>
          <w:iCs/>
        </w:rPr>
        <w:t>;</w:t>
      </w:r>
      <w:r w:rsidR="00CA3495" w:rsidRPr="000A1781">
        <w:rPr>
          <w:iCs/>
        </w:rPr>
        <w:t xml:space="preserve"> however, du</w:t>
      </w:r>
      <w:r w:rsidR="00513564" w:rsidRPr="000A1781">
        <w:rPr>
          <w:iCs/>
        </w:rPr>
        <w:t>e to</w:t>
      </w:r>
      <w:r w:rsidR="00934983" w:rsidRPr="000A1781">
        <w:rPr>
          <w:iCs/>
        </w:rPr>
        <w:t xml:space="preserve"> OSHA’s statute of limitations, 6 months from the date of exposure</w:t>
      </w:r>
      <w:r w:rsidR="00513564" w:rsidRPr="000A1781">
        <w:rPr>
          <w:iCs/>
        </w:rPr>
        <w:t xml:space="preserve">, OSHA is prohibited from further investigating the events surrounding the </w:t>
      </w:r>
      <w:r w:rsidR="0003236D" w:rsidRPr="000A1781">
        <w:rPr>
          <w:iCs/>
        </w:rPr>
        <w:t>safety and health concerns</w:t>
      </w:r>
      <w:r w:rsidR="00513564" w:rsidRPr="000A1781">
        <w:rPr>
          <w:iCs/>
        </w:rPr>
        <w:t xml:space="preserve">. The </w:t>
      </w:r>
      <w:r w:rsidR="00CA3495" w:rsidRPr="000A1781">
        <w:rPr>
          <w:iCs/>
        </w:rPr>
        <w:t xml:space="preserve">matter on the </w:t>
      </w:r>
      <w:r w:rsidR="00513564" w:rsidRPr="000A1781">
        <w:rPr>
          <w:iCs/>
        </w:rPr>
        <w:t>additional concerns w</w:t>
      </w:r>
      <w:r w:rsidR="00CA3495" w:rsidRPr="000A1781">
        <w:rPr>
          <w:iCs/>
        </w:rPr>
        <w:t>as</w:t>
      </w:r>
      <w:r w:rsidR="00513564" w:rsidRPr="000A1781">
        <w:rPr>
          <w:iCs/>
        </w:rPr>
        <w:t xml:space="preserve"> closed on February 6, 2024.</w:t>
      </w:r>
    </w:p>
    <w:p w14:paraId="58FE7FAB" w14:textId="77777777" w:rsidR="008572D0" w:rsidRPr="000A1781" w:rsidRDefault="008572D0" w:rsidP="00002D71">
      <w:pPr>
        <w:ind w:left="720"/>
        <w:rPr>
          <w:iCs/>
        </w:rPr>
      </w:pPr>
    </w:p>
    <w:p w14:paraId="53E56C90" w14:textId="4673CEFD" w:rsidR="00A21555" w:rsidRPr="000A1781" w:rsidRDefault="009E20C1" w:rsidP="00002D71">
      <w:pPr>
        <w:ind w:left="720"/>
        <w:rPr>
          <w:rStyle w:val="cf01"/>
          <w:rFonts w:ascii="Times New Roman" w:hAnsi="Times New Roman" w:cs="Times New Roman"/>
        </w:rPr>
      </w:pPr>
      <w:r w:rsidRPr="000A1781">
        <w:rPr>
          <w:rStyle w:val="cf01"/>
          <w:rFonts w:ascii="Times New Roman" w:hAnsi="Times New Roman" w:cs="Times New Roman"/>
        </w:rPr>
        <w:lastRenderedPageBreak/>
        <w:t>Cooperative and State Programs reviewed the Cooperative Programs under the 23(g)-grant program during the FY 2023 review period including review of New Mexico’s Zia Star Voluntary Protection Program, Compliance Assistance Activities, New Mexico’s Strategic Partnership for Construction and Public Sector Consultation Files.  The review resulted in three (3) observations and two (2) findings. Observations include ensuring comparison injury rates are included in consultation visit reports and evaluating, documenting all attributes of the employers Safety and Health Program Assessment Worksheet (OSHA Form-33) and ensuring the procurement processes allow for timely acquisition of PPE and technical equipment for consultants.  Findings include ensuring that New Mexico follows the New Mexico OSHB Directive for their Strategic Partnership program, to include conducting verification audits and ensuring that upon completion of a consultation visit the list of hazards identified during the visit is sent to the bargaining union.</w:t>
      </w:r>
    </w:p>
    <w:p w14:paraId="068C10F9" w14:textId="77777777" w:rsidR="009E20C1" w:rsidRPr="000A1781" w:rsidRDefault="009E20C1" w:rsidP="00002D71">
      <w:pPr>
        <w:ind w:left="720"/>
        <w:rPr>
          <w:iCs/>
        </w:rPr>
      </w:pPr>
    </w:p>
    <w:p w14:paraId="171B59AD" w14:textId="042BF2EA" w:rsidR="008572D0" w:rsidRPr="000A1781" w:rsidRDefault="008572D0" w:rsidP="008572D0">
      <w:pPr>
        <w:pStyle w:val="xmsonormal"/>
        <w:autoSpaceDE w:val="0"/>
        <w:autoSpaceDN w:val="0"/>
        <w:ind w:left="720"/>
        <w:rPr>
          <w:rFonts w:ascii="Times New Roman" w:hAnsi="Times New Roman" w:cs="Times New Roman"/>
          <w:sz w:val="24"/>
          <w:szCs w:val="24"/>
        </w:rPr>
      </w:pPr>
      <w:r w:rsidRPr="000A1781">
        <w:rPr>
          <w:rFonts w:ascii="Times New Roman" w:hAnsi="Times New Roman" w:cs="Times New Roman"/>
          <w:sz w:val="24"/>
          <w:szCs w:val="24"/>
        </w:rPr>
        <w:t xml:space="preserve">There are no significant, or new major issues for the evaluation period for </w:t>
      </w:r>
      <w:r w:rsidR="00104D93" w:rsidRPr="000A1781">
        <w:rPr>
          <w:rFonts w:ascii="Times New Roman" w:hAnsi="Times New Roman" w:cs="Times New Roman"/>
          <w:sz w:val="24"/>
          <w:szCs w:val="24"/>
        </w:rPr>
        <w:t xml:space="preserve">the Enforcement and </w:t>
      </w:r>
      <w:r w:rsidRPr="000A1781">
        <w:rPr>
          <w:rFonts w:ascii="Times New Roman" w:hAnsi="Times New Roman" w:cs="Times New Roman"/>
          <w:sz w:val="24"/>
          <w:szCs w:val="24"/>
        </w:rPr>
        <w:t xml:space="preserve">Whistleblower Programs. </w:t>
      </w:r>
    </w:p>
    <w:p w14:paraId="35AD38E6" w14:textId="77777777" w:rsidR="008572D0" w:rsidRPr="000A1781" w:rsidRDefault="008572D0" w:rsidP="00002D71">
      <w:pPr>
        <w:ind w:left="720"/>
        <w:rPr>
          <w:iCs/>
        </w:rPr>
      </w:pPr>
    </w:p>
    <w:p w14:paraId="0E0CE168" w14:textId="7F8B3C52" w:rsidR="001567A4" w:rsidRPr="000A1781" w:rsidRDefault="001567A4" w:rsidP="00002D71">
      <w:pPr>
        <w:widowControl/>
        <w:autoSpaceDE/>
        <w:autoSpaceDN/>
        <w:adjustRightInd/>
        <w:spacing w:after="200"/>
        <w:rPr>
          <w:b/>
          <w:color w:val="4472C4" w:themeColor="accent1"/>
          <w:sz w:val="32"/>
          <w:szCs w:val="32"/>
        </w:rPr>
      </w:pPr>
      <w:r w:rsidRPr="000A1781">
        <w:rPr>
          <w:b/>
          <w:color w:val="4472C4" w:themeColor="accent1"/>
          <w:sz w:val="32"/>
          <w:szCs w:val="32"/>
        </w:rPr>
        <w:t>III.   Assessment of State Plan Progress and Performance</w:t>
      </w:r>
    </w:p>
    <w:p w14:paraId="7EB522D5" w14:textId="538258CA" w:rsidR="001211A8" w:rsidRPr="000A1781" w:rsidRDefault="00B325B3" w:rsidP="00B779B7">
      <w:pPr>
        <w:pStyle w:val="ListParagraph"/>
        <w:numPr>
          <w:ilvl w:val="0"/>
          <w:numId w:val="7"/>
        </w:numPr>
        <w:spacing w:line="240" w:lineRule="auto"/>
        <w:rPr>
          <w:rFonts w:ascii="Times New Roman" w:hAnsi="Times New Roman" w:cs="Times New Roman"/>
          <w:b/>
          <w:bCs/>
          <w:sz w:val="24"/>
          <w:szCs w:val="24"/>
        </w:rPr>
      </w:pPr>
      <w:r w:rsidRPr="000A1781">
        <w:rPr>
          <w:rFonts w:ascii="Times New Roman" w:hAnsi="Times New Roman" w:cs="Times New Roman"/>
          <w:b/>
          <w:bCs/>
          <w:sz w:val="24"/>
          <w:szCs w:val="24"/>
        </w:rPr>
        <w:t>Data and Methodology</w:t>
      </w:r>
    </w:p>
    <w:p w14:paraId="06F53DD9" w14:textId="0F859611" w:rsidR="00750FB7" w:rsidRPr="000A1781" w:rsidRDefault="00750FB7" w:rsidP="00002D71">
      <w:pPr>
        <w:ind w:left="720"/>
        <w:rPr>
          <w:bCs/>
        </w:rPr>
      </w:pPr>
      <w:r w:rsidRPr="000A1781">
        <w:rPr>
          <w:bCs/>
        </w:rPr>
        <w:t>OSHA established a two-year cycle for the FAME process including a comprehensive and follow-up cycles. The comprehensive cycle consists of an onsite evaluation and casefile review to ensure the state plan policies and procedures are being followed. The purpose of the comprehensive cycle is to identify and inform the state plan of areas needing improvement, and to develop a corrective action plan (CAP) to ensure the necessary changes are implemented. The follow-up cycle consists of ensuring corrections were made based on CAP developed during the previous comprehensive FAME cycle. FY 2023 is a comprehensive year</w:t>
      </w:r>
      <w:r w:rsidR="0003236D" w:rsidRPr="000A1781">
        <w:rPr>
          <w:bCs/>
        </w:rPr>
        <w:t>,</w:t>
      </w:r>
      <w:r w:rsidRPr="000A1781">
        <w:rPr>
          <w:bCs/>
        </w:rPr>
        <w:t xml:space="preserve"> and as such, OSHA was required to conduct an on-site evaluation and case file review. A seven-person OSHA team was assembled to conduct a full on-site case file review to evaluate the Voluntary Compliance Programs, the Whistleblower Program, and Enforcement Programs. The FY 2023 comprehensive case file review was conducted at the New Mexico State Plan office in Albuquerque, New Mexico, in a span of five days from November 27, 2023, to December 1, 2023.  </w:t>
      </w:r>
    </w:p>
    <w:p w14:paraId="09526E6D" w14:textId="77777777" w:rsidR="00750FB7" w:rsidRPr="000A1781" w:rsidRDefault="00750FB7" w:rsidP="00002D71">
      <w:pPr>
        <w:widowControl/>
        <w:autoSpaceDE/>
        <w:autoSpaceDN/>
        <w:adjustRightInd/>
        <w:rPr>
          <w:bCs/>
        </w:rPr>
      </w:pPr>
    </w:p>
    <w:p w14:paraId="3A62EEBD" w14:textId="77777777" w:rsidR="00750FB7" w:rsidRPr="000A1781" w:rsidRDefault="00750FB7" w:rsidP="00002D71">
      <w:pPr>
        <w:widowControl/>
        <w:autoSpaceDE/>
        <w:autoSpaceDN/>
        <w:adjustRightInd/>
        <w:ind w:left="720"/>
        <w:rPr>
          <w:bCs/>
        </w:rPr>
      </w:pPr>
      <w:r w:rsidRPr="000A1781">
        <w:rPr>
          <w:bCs/>
        </w:rPr>
        <w:t>The following data was evaluated during the FY 2023 onsite comprehensive FAME casefile review:</w:t>
      </w:r>
    </w:p>
    <w:p w14:paraId="701CF9A2" w14:textId="77777777" w:rsidR="0003236D" w:rsidRPr="000A1781" w:rsidRDefault="0003236D" w:rsidP="00002D71">
      <w:pPr>
        <w:widowControl/>
        <w:autoSpaceDE/>
        <w:autoSpaceDN/>
        <w:adjustRightInd/>
        <w:ind w:left="720"/>
        <w:rPr>
          <w:bCs/>
        </w:rPr>
      </w:pPr>
    </w:p>
    <w:p w14:paraId="0A16ADA1" w14:textId="77777777" w:rsidR="00750FB7" w:rsidRPr="000A1781" w:rsidRDefault="00750FB7" w:rsidP="00002D71">
      <w:pPr>
        <w:widowControl/>
        <w:autoSpaceDE/>
        <w:autoSpaceDN/>
        <w:adjustRightInd/>
        <w:ind w:firstLine="720"/>
        <w:rPr>
          <w:b/>
        </w:rPr>
      </w:pPr>
      <w:r w:rsidRPr="000A1781">
        <w:rPr>
          <w:b/>
        </w:rPr>
        <w:t>Enforcement Program</w:t>
      </w:r>
    </w:p>
    <w:p w14:paraId="230FC2C5" w14:textId="77777777" w:rsidR="00750FB7" w:rsidRPr="000A1781" w:rsidRDefault="00750FB7" w:rsidP="00002D71">
      <w:pPr>
        <w:widowControl/>
        <w:autoSpaceDE/>
        <w:autoSpaceDN/>
        <w:adjustRightInd/>
        <w:rPr>
          <w:b/>
          <w:highlight w:val="yellow"/>
        </w:rPr>
      </w:pPr>
    </w:p>
    <w:p w14:paraId="2EAFD745" w14:textId="747ACA85" w:rsidR="00750FB7" w:rsidRPr="000A1781" w:rsidRDefault="00750FB7" w:rsidP="00002D71">
      <w:pPr>
        <w:widowControl/>
        <w:autoSpaceDE/>
        <w:autoSpaceDN/>
        <w:adjustRightInd/>
        <w:ind w:left="720"/>
        <w:rPr>
          <w:bCs/>
        </w:rPr>
      </w:pPr>
      <w:r w:rsidRPr="000A1781">
        <w:rPr>
          <w:bCs/>
        </w:rPr>
        <w:t>The enforcement program reviewed a total of 52 safety and health inspection case files</w:t>
      </w:r>
      <w:r w:rsidR="001D6DC7" w:rsidRPr="000A1781">
        <w:rPr>
          <w:bCs/>
        </w:rPr>
        <w:t xml:space="preserve"> from FY 2023</w:t>
      </w:r>
      <w:r w:rsidRPr="000A1781">
        <w:rPr>
          <w:bCs/>
        </w:rPr>
        <w:t xml:space="preserve">. Of </w:t>
      </w:r>
      <w:r w:rsidR="0003236D" w:rsidRPr="000A1781">
        <w:rPr>
          <w:bCs/>
        </w:rPr>
        <w:t xml:space="preserve">the </w:t>
      </w:r>
      <w:r w:rsidRPr="000A1781">
        <w:rPr>
          <w:bCs/>
        </w:rPr>
        <w:t>52 case files, three were fatalities, three were accidents, 20 were</w:t>
      </w:r>
      <w:r w:rsidR="00B85F88" w:rsidRPr="000A1781">
        <w:rPr>
          <w:bCs/>
        </w:rPr>
        <w:t xml:space="preserve"> c</w:t>
      </w:r>
      <w:r w:rsidRPr="000A1781">
        <w:rPr>
          <w:bCs/>
        </w:rPr>
        <w:t>omplaints/referrals, and 26 were programmed. In addition to the case file review, three employees were interviewed to gain insight of the enforcement program performance.</w:t>
      </w:r>
    </w:p>
    <w:p w14:paraId="28FBE6D4" w14:textId="77777777" w:rsidR="00B85F88" w:rsidRPr="000A1781" w:rsidRDefault="00B85F88" w:rsidP="00002D71">
      <w:pPr>
        <w:widowControl/>
        <w:autoSpaceDE/>
        <w:autoSpaceDN/>
        <w:adjustRightInd/>
        <w:ind w:left="720"/>
        <w:rPr>
          <w:bCs/>
        </w:rPr>
      </w:pPr>
    </w:p>
    <w:p w14:paraId="47293DA5" w14:textId="77777777" w:rsidR="00750FB7" w:rsidRPr="000A1781" w:rsidRDefault="00750FB7" w:rsidP="00002D71">
      <w:pPr>
        <w:ind w:firstLine="720"/>
        <w:rPr>
          <w:b/>
          <w:bCs/>
        </w:rPr>
      </w:pPr>
      <w:r w:rsidRPr="000A1781">
        <w:rPr>
          <w:b/>
          <w:bCs/>
        </w:rPr>
        <w:t>Whistleblower Program</w:t>
      </w:r>
    </w:p>
    <w:p w14:paraId="142ECCDB" w14:textId="77777777" w:rsidR="00750FB7" w:rsidRPr="000A1781" w:rsidRDefault="00750FB7" w:rsidP="00002D71">
      <w:pPr>
        <w:rPr>
          <w:b/>
          <w:bCs/>
        </w:rPr>
      </w:pPr>
    </w:p>
    <w:p w14:paraId="6275AA8C" w14:textId="77777777" w:rsidR="00750FB7" w:rsidRPr="000A1781" w:rsidRDefault="00750FB7" w:rsidP="00002D71">
      <w:pPr>
        <w:ind w:left="720"/>
      </w:pPr>
      <w:r w:rsidRPr="000A1781">
        <w:t>The whistleblower program reviewed 54 complaint case files from FY 2023 to evaluate the whistleblower program policies, procedures, and investigative files. Of the 54 case files reviewed, 50 were administratively closed complaints and four were docketed cases. Data analysis was conducted of OIS, OITSS and OHSB reports and personnel responsible for the program were interviewed.</w:t>
      </w:r>
    </w:p>
    <w:p w14:paraId="03B92A0F" w14:textId="77777777" w:rsidR="00750FB7" w:rsidRPr="000A1781" w:rsidRDefault="00750FB7" w:rsidP="00002D71">
      <w:pPr>
        <w:ind w:firstLine="720"/>
        <w:rPr>
          <w:b/>
          <w:bCs/>
        </w:rPr>
      </w:pPr>
      <w:r w:rsidRPr="000A1781">
        <w:rPr>
          <w:b/>
          <w:bCs/>
        </w:rPr>
        <w:lastRenderedPageBreak/>
        <w:t>Voluntary Compliance Programs</w:t>
      </w:r>
    </w:p>
    <w:p w14:paraId="718F3286" w14:textId="77777777" w:rsidR="00750FB7" w:rsidRPr="000A1781" w:rsidRDefault="00750FB7" w:rsidP="00002D71">
      <w:pPr>
        <w:rPr>
          <w:b/>
          <w:bCs/>
        </w:rPr>
      </w:pPr>
    </w:p>
    <w:p w14:paraId="1D923DE9" w14:textId="1FA27938" w:rsidR="00750FB7" w:rsidRPr="000A1781" w:rsidRDefault="00750FB7" w:rsidP="00002D71">
      <w:pPr>
        <w:ind w:left="720"/>
      </w:pPr>
      <w:r w:rsidRPr="000A1781">
        <w:t xml:space="preserve">During the onsite </w:t>
      </w:r>
      <w:r w:rsidR="001D6DC7" w:rsidRPr="000A1781">
        <w:t xml:space="preserve">FY 2023 </w:t>
      </w:r>
      <w:r w:rsidRPr="000A1781">
        <w:t>comprehensive FAME review, the Voluntary Compliance Program reviewed all three public sector consultation files, all VPP annual self-evaluations reports, OHSB VPP onsite evaluation reports, VPP reapprovals reports, VPP withdrawal documentation, Alliances, and all Partnership agreements. The</w:t>
      </w:r>
      <w:r w:rsidRPr="000A1781">
        <w:rPr>
          <w:spacing w:val="-5"/>
        </w:rPr>
        <w:t xml:space="preserve"> </w:t>
      </w:r>
      <w:r w:rsidRPr="000A1781">
        <w:t>onsite review yielded t</w:t>
      </w:r>
      <w:r w:rsidR="00C15955" w:rsidRPr="000A1781">
        <w:t xml:space="preserve">hree </w:t>
      </w:r>
      <w:r w:rsidRPr="000A1781">
        <w:t>new observations and t</w:t>
      </w:r>
      <w:r w:rsidR="00C15955" w:rsidRPr="000A1781">
        <w:t>wo</w:t>
      </w:r>
      <w:r w:rsidRPr="000A1781">
        <w:t xml:space="preserve"> new findings discovered over the course of the monitoring evaluation for FY </w:t>
      </w:r>
      <w:r w:rsidR="001D6DC7" w:rsidRPr="000A1781">
        <w:t>20</w:t>
      </w:r>
      <w:r w:rsidRPr="000A1781">
        <w:t>23.</w:t>
      </w:r>
    </w:p>
    <w:p w14:paraId="0E5DD79C" w14:textId="77777777" w:rsidR="00750FB7" w:rsidRPr="000A1781" w:rsidRDefault="00750FB7" w:rsidP="00002D71"/>
    <w:p w14:paraId="4125257B" w14:textId="77777777" w:rsidR="00750FB7" w:rsidRPr="000A1781" w:rsidRDefault="00750FB7" w:rsidP="00002D71">
      <w:pPr>
        <w:widowControl/>
        <w:autoSpaceDE/>
        <w:autoSpaceDN/>
        <w:adjustRightInd/>
        <w:ind w:left="720"/>
        <w:rPr>
          <w:bCs/>
        </w:rPr>
      </w:pPr>
      <w:r w:rsidRPr="000A1781">
        <w:rPr>
          <w:bCs/>
        </w:rPr>
        <w:t>The analyses and conclusions described in this report are based on information obtained from a variety of monitoring sources, including the:</w:t>
      </w:r>
    </w:p>
    <w:p w14:paraId="491BC729" w14:textId="77777777" w:rsidR="00750FB7" w:rsidRPr="000A1781" w:rsidRDefault="00750FB7" w:rsidP="00002D71">
      <w:pPr>
        <w:widowControl/>
        <w:autoSpaceDE/>
        <w:autoSpaceDN/>
        <w:adjustRightInd/>
        <w:rPr>
          <w:bCs/>
        </w:rPr>
      </w:pPr>
    </w:p>
    <w:p w14:paraId="49B443D0" w14:textId="1A3A2EBE"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rPr>
        <w:t>State Activity Mandated Measures (SAMM) Report / Appendix D</w:t>
      </w:r>
    </w:p>
    <w:p w14:paraId="239A6D30" w14:textId="77777777" w:rsidR="00750FB7" w:rsidRPr="000A1781" w:rsidRDefault="00750FB7" w:rsidP="00B779B7">
      <w:pPr>
        <w:pStyle w:val="ListParagraph"/>
        <w:numPr>
          <w:ilvl w:val="0"/>
          <w:numId w:val="8"/>
        </w:numPr>
        <w:spacing w:line="240" w:lineRule="auto"/>
        <w:rPr>
          <w:rFonts w:ascii="Times New Roman" w:hAnsi="Times New Roman" w:cs="Times New Roman"/>
          <w:sz w:val="24"/>
          <w:szCs w:val="24"/>
        </w:rPr>
      </w:pPr>
      <w:r w:rsidRPr="000A1781">
        <w:rPr>
          <w:rFonts w:ascii="Times New Roman" w:hAnsi="Times New Roman" w:cs="Times New Roman"/>
          <w:sz w:val="24"/>
          <w:szCs w:val="24"/>
        </w:rPr>
        <w:t>State Information Report (SIR)</w:t>
      </w:r>
    </w:p>
    <w:p w14:paraId="765B901E"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Mandated Activities Report for Consultation (MARC)</w:t>
      </w:r>
    </w:p>
    <w:p w14:paraId="31B4CC41"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State OSHA Annual Report (SOAR)</w:t>
      </w:r>
    </w:p>
    <w:p w14:paraId="000CAF1C"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State Plan Annual Performance Plan (APP)</w:t>
      </w:r>
    </w:p>
    <w:p w14:paraId="01A68251"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 xml:space="preserve">State Plan Grant Application </w:t>
      </w:r>
    </w:p>
    <w:p w14:paraId="6BE2194B"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Quarterly monitoring meetings between OSHA and the State Plan</w:t>
      </w:r>
    </w:p>
    <w:p w14:paraId="5BF13EC2" w14:textId="77777777" w:rsidR="00750FB7" w:rsidRPr="000A1781" w:rsidRDefault="00750FB7" w:rsidP="00B779B7">
      <w:pPr>
        <w:pStyle w:val="ListParagraph"/>
        <w:numPr>
          <w:ilvl w:val="0"/>
          <w:numId w:val="8"/>
        </w:numPr>
        <w:spacing w:line="240" w:lineRule="auto"/>
        <w:rPr>
          <w:rFonts w:ascii="Times New Roman" w:hAnsi="Times New Roman" w:cs="Times New Roman"/>
          <w:bCs/>
          <w:sz w:val="24"/>
          <w:szCs w:val="24"/>
        </w:rPr>
      </w:pPr>
      <w:r w:rsidRPr="000A1781">
        <w:rPr>
          <w:rFonts w:ascii="Times New Roman" w:hAnsi="Times New Roman" w:cs="Times New Roman"/>
          <w:bCs/>
          <w:sz w:val="24"/>
          <w:szCs w:val="24"/>
        </w:rPr>
        <w:t>Limited case file review</w:t>
      </w:r>
    </w:p>
    <w:p w14:paraId="510185F2" w14:textId="73825418" w:rsidR="00750FB7" w:rsidRPr="000A1781" w:rsidRDefault="00750FB7" w:rsidP="00002D71">
      <w:pPr>
        <w:tabs>
          <w:tab w:val="left" w:pos="0"/>
        </w:tabs>
        <w:ind w:left="720"/>
      </w:pPr>
      <w:r w:rsidRPr="000A1781">
        <w:t xml:space="preserve">Each </w:t>
      </w:r>
      <w:r w:rsidRPr="000A1781">
        <w:rPr>
          <w:bCs/>
        </w:rPr>
        <w:t>State Activity Mandated Measures (</w:t>
      </w:r>
      <w:r w:rsidRPr="000A1781">
        <w:t xml:space="preserve">SAMM) </w:t>
      </w:r>
      <w:r w:rsidRPr="000A1781">
        <w:rPr>
          <w:bCs/>
        </w:rPr>
        <w:t xml:space="preserve">Report </w:t>
      </w:r>
      <w:r w:rsidRPr="000A1781">
        <w:t>has an agreed-upon Further Review Level (FRL) which can be either a single number, or a range of numbers above and below the national average.  State Plan SAMM data that falls outside the FRL triggers a closer look at the underlying performance of the mandatory activity. Appendix D presents the State Plan’s FY 2023 State Activity Mandated Measures Report and includes the FRL for each measure.</w:t>
      </w:r>
    </w:p>
    <w:p w14:paraId="2D2B9656" w14:textId="77777777" w:rsidR="00750FB7" w:rsidRPr="000A1781" w:rsidRDefault="00750FB7" w:rsidP="00002D71">
      <w:pPr>
        <w:rPr>
          <w:b/>
          <w:bCs/>
        </w:rPr>
      </w:pPr>
    </w:p>
    <w:p w14:paraId="794EEE7B" w14:textId="77777777" w:rsidR="00750FB7" w:rsidRPr="000A1781" w:rsidRDefault="00750FB7" w:rsidP="00B779B7">
      <w:pPr>
        <w:pStyle w:val="ListParagraph"/>
        <w:numPr>
          <w:ilvl w:val="0"/>
          <w:numId w:val="7"/>
        </w:numPr>
        <w:tabs>
          <w:tab w:val="left" w:pos="360"/>
        </w:tabs>
        <w:spacing w:after="0" w:line="240" w:lineRule="auto"/>
        <w:rPr>
          <w:rFonts w:ascii="Times New Roman" w:hAnsi="Times New Roman" w:cs="Times New Roman"/>
          <w:b/>
          <w:sz w:val="24"/>
          <w:szCs w:val="24"/>
        </w:rPr>
      </w:pPr>
      <w:r w:rsidRPr="000A1781">
        <w:rPr>
          <w:rFonts w:ascii="Times New Roman" w:hAnsi="Times New Roman" w:cs="Times New Roman"/>
          <w:b/>
          <w:sz w:val="24"/>
          <w:szCs w:val="24"/>
        </w:rPr>
        <w:t xml:space="preserve">Review of State Plan Performance </w:t>
      </w:r>
    </w:p>
    <w:p w14:paraId="2D3BEE76" w14:textId="77777777" w:rsidR="00F47186" w:rsidRPr="000A1781" w:rsidRDefault="00F47186" w:rsidP="00002D71">
      <w:pPr>
        <w:pStyle w:val="ListParagraph"/>
        <w:tabs>
          <w:tab w:val="left" w:pos="360"/>
        </w:tabs>
        <w:spacing w:after="0" w:line="240" w:lineRule="auto"/>
        <w:rPr>
          <w:rFonts w:ascii="Times New Roman" w:hAnsi="Times New Roman" w:cs="Times New Roman"/>
          <w:b/>
          <w:sz w:val="24"/>
          <w:szCs w:val="24"/>
        </w:rPr>
      </w:pPr>
    </w:p>
    <w:p w14:paraId="5552B304" w14:textId="010884D3" w:rsidR="008360C0" w:rsidRPr="000A1781" w:rsidRDefault="008360C0" w:rsidP="00002D71">
      <w:pPr>
        <w:pStyle w:val="NormalWeb"/>
        <w:ind w:left="720"/>
        <w:rPr>
          <w:iCs/>
        </w:rPr>
      </w:pPr>
      <w:r w:rsidRPr="000A1781">
        <w:rPr>
          <w:iCs/>
        </w:rPr>
        <w:t xml:space="preserve">There are </w:t>
      </w:r>
      <w:r w:rsidR="004B652F" w:rsidRPr="000A1781">
        <w:rPr>
          <w:iCs/>
        </w:rPr>
        <w:t xml:space="preserve">11 </w:t>
      </w:r>
      <w:r w:rsidRPr="000A1781">
        <w:rPr>
          <w:iCs/>
        </w:rPr>
        <w:t xml:space="preserve">mandated activities and programs that are evaluated during the comprehensive FAME. These mandated activities and programs include Program Administration, Enforcement, Review Procedures, Standards and Federal Program Change (FPC) Adoption, Variances, State and Local Government Worker Program, Whistleblower Program, Complaint About State Program Administration (CASPA), Voluntary Compliance Program, State and Local Government 23(g) On-Site Consultation Program, and the Private Sector 23(g) On-Site Consultation Program. </w:t>
      </w:r>
    </w:p>
    <w:p w14:paraId="2FC54DF9" w14:textId="77777777" w:rsidR="001567A4" w:rsidRPr="000A1781" w:rsidRDefault="001567A4" w:rsidP="00002D71">
      <w:pPr>
        <w:pStyle w:val="NormalWeb"/>
        <w:rPr>
          <w:rFonts w:eastAsia="Calibri"/>
          <w:color w:val="FF0000"/>
          <w:sz w:val="22"/>
          <w:szCs w:val="22"/>
        </w:rPr>
      </w:pPr>
    </w:p>
    <w:p w14:paraId="3F4D0ADF" w14:textId="3291C0F2" w:rsidR="001567A4" w:rsidRPr="000A1781" w:rsidRDefault="001567A4" w:rsidP="00002D71">
      <w:pPr>
        <w:tabs>
          <w:tab w:val="left" w:pos="900"/>
        </w:tabs>
        <w:ind w:left="1260" w:hanging="540"/>
        <w:rPr>
          <w:b/>
          <w:caps/>
        </w:rPr>
      </w:pPr>
      <w:r w:rsidRPr="000A1781">
        <w:rPr>
          <w:b/>
          <w:caps/>
        </w:rPr>
        <w:t>1.</w:t>
      </w:r>
      <w:r w:rsidRPr="000A1781">
        <w:rPr>
          <w:b/>
          <w:caps/>
        </w:rPr>
        <w:tab/>
        <w:t>PROGRAM Administration</w:t>
      </w:r>
    </w:p>
    <w:p w14:paraId="4E7569AC" w14:textId="77777777" w:rsidR="00E207B4" w:rsidRPr="000A1781" w:rsidRDefault="00E207B4" w:rsidP="00002D71">
      <w:pPr>
        <w:tabs>
          <w:tab w:val="left" w:pos="900"/>
        </w:tabs>
        <w:ind w:left="1260" w:hanging="540"/>
        <w:rPr>
          <w:b/>
          <w:caps/>
          <w:highlight w:val="yellow"/>
        </w:rPr>
      </w:pPr>
    </w:p>
    <w:p w14:paraId="324477F5" w14:textId="1A4E198F" w:rsidR="003320A8" w:rsidRPr="000A1781" w:rsidRDefault="001567A4" w:rsidP="00002D71">
      <w:pPr>
        <w:pStyle w:val="ListParagraph"/>
        <w:numPr>
          <w:ilvl w:val="0"/>
          <w:numId w:val="4"/>
        </w:numPr>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Training </w:t>
      </w:r>
    </w:p>
    <w:p w14:paraId="1FB95A3E" w14:textId="77777777" w:rsidR="008D69AE" w:rsidRPr="000A1781" w:rsidRDefault="008D69AE" w:rsidP="008D69AE">
      <w:pPr>
        <w:pStyle w:val="ListParagraph"/>
        <w:spacing w:after="0" w:line="240" w:lineRule="auto"/>
        <w:ind w:left="1620"/>
        <w:rPr>
          <w:rFonts w:ascii="Times New Roman" w:hAnsi="Times New Roman" w:cs="Times New Roman"/>
          <w:sz w:val="24"/>
          <w:szCs w:val="24"/>
        </w:rPr>
      </w:pPr>
    </w:p>
    <w:p w14:paraId="24326687" w14:textId="7C8919C5" w:rsidR="00135972" w:rsidRPr="000A1781" w:rsidRDefault="00135972" w:rsidP="00002D71">
      <w:pPr>
        <w:ind w:left="1620"/>
      </w:pPr>
      <w:r w:rsidRPr="000A1781">
        <w:t xml:space="preserve">In FY 2023, NM OHSB developed staff skills and knowledge needed to effectively identify workplace hazards in various industries in its jurisdiction. OSHB provided job related guidance and training options to develop staff competencies and enforce </w:t>
      </w:r>
      <w:r w:rsidR="00C148E2" w:rsidRPr="000A1781">
        <w:t>the New Mexico Environmental Department’s (NMED)</w:t>
      </w:r>
      <w:r w:rsidRPr="000A1781">
        <w:t xml:space="preserve"> authority with a high degree of professionalism and expertise using OTI and </w:t>
      </w:r>
      <w:r w:rsidR="00C148E2" w:rsidRPr="000A1781">
        <w:t>on-</w:t>
      </w:r>
      <w:r w:rsidRPr="000A1781">
        <w:t>the</w:t>
      </w:r>
      <w:r w:rsidR="00C148E2" w:rsidRPr="000A1781">
        <w:t>-</w:t>
      </w:r>
      <w:r w:rsidRPr="000A1781">
        <w:t xml:space="preserve">job training programs. </w:t>
      </w:r>
      <w:r w:rsidR="00C148E2" w:rsidRPr="000A1781">
        <w:t>Supervisors and c</w:t>
      </w:r>
      <w:r w:rsidRPr="000A1781">
        <w:t>ompliance officer</w:t>
      </w:r>
      <w:r w:rsidR="00C148E2" w:rsidRPr="000A1781">
        <w:t>s</w:t>
      </w:r>
      <w:r w:rsidRPr="000A1781">
        <w:t xml:space="preserve"> participated in various educational activities with coursework and field experiences to develop both safety and health career paths. The competency-based curriculum along with experimental and field training initiatives were maintained for each member of OSHB’s compliance and enforcement team.</w:t>
      </w:r>
    </w:p>
    <w:p w14:paraId="06F5F130" w14:textId="77777777" w:rsidR="00135972" w:rsidRPr="000A1781" w:rsidRDefault="00135972" w:rsidP="00002D71">
      <w:pPr>
        <w:pStyle w:val="ListParagraph"/>
        <w:spacing w:after="0" w:line="240" w:lineRule="auto"/>
        <w:ind w:left="1620"/>
        <w:rPr>
          <w:rFonts w:ascii="Times New Roman" w:hAnsi="Times New Roman" w:cs="Times New Roman"/>
          <w:iCs/>
          <w:sz w:val="24"/>
          <w:szCs w:val="24"/>
        </w:rPr>
      </w:pPr>
    </w:p>
    <w:p w14:paraId="07F89EDC" w14:textId="1A2E8DB1" w:rsidR="003320A8" w:rsidRPr="000A1781" w:rsidRDefault="00D54C83" w:rsidP="00002D71">
      <w:pPr>
        <w:pStyle w:val="ListParagraph"/>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lastRenderedPageBreak/>
        <w:t>NM O</w:t>
      </w:r>
      <w:r w:rsidR="00F4410A" w:rsidRPr="000A1781">
        <w:rPr>
          <w:rFonts w:ascii="Times New Roman" w:hAnsi="Times New Roman" w:cs="Times New Roman"/>
          <w:sz w:val="24"/>
          <w:szCs w:val="24"/>
        </w:rPr>
        <w:t>HS</w:t>
      </w:r>
      <w:r w:rsidRPr="000A1781">
        <w:rPr>
          <w:rFonts w:ascii="Times New Roman" w:hAnsi="Times New Roman" w:cs="Times New Roman"/>
          <w:sz w:val="24"/>
          <w:szCs w:val="24"/>
        </w:rPr>
        <w:t>B scheduled over 90 courses and over 4,000 hours of combined OSHA Training Institute (OTI), University of Texas Arlington (UTA) and other supplemental training for enforcement, consultation, compliance assistance, whistleblower protection, and administrative staff to improve performance and services to keep New Mexico workers safe</w:t>
      </w:r>
      <w:r w:rsidR="00D37869" w:rsidRPr="000A1781">
        <w:rPr>
          <w:rFonts w:ascii="Times New Roman" w:hAnsi="Times New Roman" w:cs="Times New Roman"/>
          <w:sz w:val="24"/>
          <w:szCs w:val="24"/>
        </w:rPr>
        <w:t xml:space="preserve"> in FY 2023</w:t>
      </w:r>
      <w:r w:rsidRPr="000A1781">
        <w:rPr>
          <w:rFonts w:ascii="Times New Roman" w:hAnsi="Times New Roman" w:cs="Times New Roman"/>
          <w:sz w:val="24"/>
          <w:szCs w:val="24"/>
        </w:rPr>
        <w:t>.</w:t>
      </w:r>
    </w:p>
    <w:p w14:paraId="02A2A632" w14:textId="77777777" w:rsidR="00284B23" w:rsidRPr="000A1781" w:rsidRDefault="00284B23" w:rsidP="00002D71">
      <w:pPr>
        <w:rPr>
          <w:iCs/>
        </w:rPr>
      </w:pPr>
    </w:p>
    <w:p w14:paraId="06052EB5" w14:textId="7F27B088" w:rsidR="00E9467C" w:rsidRPr="000A1781" w:rsidRDefault="001567A4" w:rsidP="00002D71">
      <w:pPr>
        <w:pStyle w:val="ListParagraph"/>
        <w:numPr>
          <w:ilvl w:val="0"/>
          <w:numId w:val="4"/>
        </w:numPr>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OSHA Information System</w:t>
      </w:r>
      <w:r w:rsidR="00E9467C" w:rsidRPr="000A1781">
        <w:rPr>
          <w:rFonts w:ascii="Times New Roman" w:hAnsi="Times New Roman" w:cs="Times New Roman"/>
          <w:sz w:val="24"/>
          <w:szCs w:val="24"/>
        </w:rPr>
        <w:t xml:space="preserve"> (OIS)</w:t>
      </w:r>
      <w:r w:rsidRPr="000A1781">
        <w:rPr>
          <w:rFonts w:ascii="Times New Roman" w:hAnsi="Times New Roman" w:cs="Times New Roman"/>
          <w:sz w:val="24"/>
          <w:szCs w:val="24"/>
        </w:rPr>
        <w:t xml:space="preserve"> </w:t>
      </w:r>
    </w:p>
    <w:p w14:paraId="3D5C5DDA" w14:textId="59CD76C3" w:rsidR="00F14DC6" w:rsidRPr="000A1781" w:rsidRDefault="00F14DC6" w:rsidP="00002D71">
      <w:pPr>
        <w:ind w:left="1620"/>
      </w:pPr>
      <w:r w:rsidRPr="000A1781">
        <w:t>NM OHSB and the Compliance Program Man</w:t>
      </w:r>
      <w:r w:rsidR="00BE36E8" w:rsidRPr="000A1781">
        <w:t>a</w:t>
      </w:r>
      <w:r w:rsidRPr="000A1781">
        <w:t>gers (CPM) use OIS reports</w:t>
      </w:r>
      <w:r w:rsidR="003901EF" w:rsidRPr="000A1781">
        <w:t>, such as the State Activity Mandated Measures Report (SAMM) and State Information Report (SIR)</w:t>
      </w:r>
      <w:r w:rsidRPr="000A1781">
        <w:t xml:space="preserve"> to manage enforcement activities. The enforcement reports are run weekly.</w:t>
      </w:r>
    </w:p>
    <w:p w14:paraId="51E44833" w14:textId="77777777" w:rsidR="00F4410A" w:rsidRPr="000A1781" w:rsidRDefault="00F4410A" w:rsidP="00002D71">
      <w:pPr>
        <w:ind w:left="1620"/>
      </w:pPr>
    </w:p>
    <w:p w14:paraId="23F576BF" w14:textId="1AD932BD" w:rsidR="00F4410A" w:rsidRPr="000A1781" w:rsidRDefault="00F4410A" w:rsidP="00F4410A">
      <w:pPr>
        <w:ind w:left="1620"/>
      </w:pPr>
      <w:r w:rsidRPr="000A1781">
        <w:t>OIS is a supplemental database used by the OHSB to input inspection information however their official casefiles are maintained electronically apart from OIS. NM OHSBs efforts to standardize electronic casefiles systems will remain a high priority to improve C&amp;E team efficiency in FY 2024.</w:t>
      </w:r>
    </w:p>
    <w:p w14:paraId="447C5DD1" w14:textId="77777777" w:rsidR="00F14DC6" w:rsidRPr="000A1781" w:rsidRDefault="00F14DC6" w:rsidP="00002D71">
      <w:pPr>
        <w:ind w:left="1620"/>
      </w:pPr>
    </w:p>
    <w:p w14:paraId="1B89427F" w14:textId="197C3CBA" w:rsidR="00F14DC6" w:rsidRPr="000A1781" w:rsidRDefault="00805570" w:rsidP="00002D71">
      <w:pPr>
        <w:ind w:left="1620"/>
      </w:pPr>
      <w:r w:rsidRPr="000A1781">
        <w:t xml:space="preserve">When entering data into OIS, there </w:t>
      </w:r>
      <w:r w:rsidR="00B97826" w:rsidRPr="000A1781">
        <w:t xml:space="preserve">were </w:t>
      </w:r>
      <w:r w:rsidR="00F4410A" w:rsidRPr="000A1781">
        <w:t>a few</w:t>
      </w:r>
      <w:r w:rsidR="00B97826" w:rsidRPr="000A1781">
        <w:t xml:space="preserve"> instances where </w:t>
      </w:r>
      <w:r w:rsidR="00F14DC6" w:rsidRPr="000A1781">
        <w:t>OHSB staff members did not enter data</w:t>
      </w:r>
      <w:r w:rsidR="00B97826" w:rsidRPr="000A1781">
        <w:t xml:space="preserve"> in </w:t>
      </w:r>
      <w:r w:rsidR="00F14DC6" w:rsidRPr="000A1781">
        <w:t xml:space="preserve">a timely and accurate manner. </w:t>
      </w:r>
      <w:r w:rsidR="00B97826" w:rsidRPr="000A1781">
        <w:t>Some of the</w:t>
      </w:r>
      <w:r w:rsidRPr="000A1781">
        <w:t xml:space="preserve"> inaccuracies in</w:t>
      </w:r>
      <w:r w:rsidR="00B97826" w:rsidRPr="000A1781">
        <w:t xml:space="preserve"> </w:t>
      </w:r>
      <w:r w:rsidRPr="000A1781">
        <w:t>data entry</w:t>
      </w:r>
      <w:r w:rsidR="00F14DC6" w:rsidRPr="000A1781">
        <w:t xml:space="preserve"> included complaints </w:t>
      </w:r>
      <w:r w:rsidRPr="000A1781">
        <w:t>being</w:t>
      </w:r>
      <w:r w:rsidR="00F14DC6" w:rsidRPr="000A1781">
        <w:t xml:space="preserve"> entered as referrals, non-covered fatali</w:t>
      </w:r>
      <w:r w:rsidR="00F4410A" w:rsidRPr="000A1781">
        <w:t>ty cases being entered improperly</w:t>
      </w:r>
      <w:r w:rsidR="00F14DC6" w:rsidRPr="000A1781">
        <w:t xml:space="preserve">, abatement information </w:t>
      </w:r>
      <w:r w:rsidR="00F4410A" w:rsidRPr="000A1781">
        <w:t>not being updated</w:t>
      </w:r>
      <w:r w:rsidR="00C148E2" w:rsidRPr="000A1781">
        <w:t>,</w:t>
      </w:r>
      <w:r w:rsidR="00F14DC6" w:rsidRPr="000A1781">
        <w:t xml:space="preserve"> and </w:t>
      </w:r>
      <w:r w:rsidR="00F4410A" w:rsidRPr="000A1781">
        <w:t xml:space="preserve">lack of accuracy in </w:t>
      </w:r>
      <w:r w:rsidR="00F14DC6" w:rsidRPr="000A1781">
        <w:t>interview documentation. The CPM</w:t>
      </w:r>
      <w:r w:rsidR="006113F8" w:rsidRPr="000A1781">
        <w:t>s</w:t>
      </w:r>
      <w:r w:rsidR="00F14DC6" w:rsidRPr="000A1781">
        <w:t xml:space="preserve"> continue to follow up on data entry errors since</w:t>
      </w:r>
      <w:r w:rsidR="00BE36E8" w:rsidRPr="000A1781">
        <w:t xml:space="preserve"> OSHB </w:t>
      </w:r>
      <w:r w:rsidR="00F14DC6" w:rsidRPr="000A1781">
        <w:t>transitioned to OIS.</w:t>
      </w:r>
    </w:p>
    <w:p w14:paraId="01EC36DE" w14:textId="77777777" w:rsidR="00F14DC6" w:rsidRPr="000A1781" w:rsidRDefault="00F14DC6" w:rsidP="00002D71"/>
    <w:p w14:paraId="2698BD1C" w14:textId="5DBE80D6" w:rsidR="00F14DC6" w:rsidRPr="000A1781" w:rsidRDefault="00F14DC6" w:rsidP="00002D71">
      <w:pPr>
        <w:pStyle w:val="ListParagraph"/>
        <w:numPr>
          <w:ilvl w:val="0"/>
          <w:numId w:val="4"/>
        </w:numPr>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State Internal Evaluation Program </w:t>
      </w:r>
      <w:r w:rsidR="00F760DF" w:rsidRPr="000A1781">
        <w:rPr>
          <w:rFonts w:ascii="Times New Roman" w:hAnsi="Times New Roman" w:cs="Times New Roman"/>
          <w:sz w:val="24"/>
          <w:szCs w:val="24"/>
        </w:rPr>
        <w:t xml:space="preserve">(SIEP) </w:t>
      </w:r>
      <w:r w:rsidRPr="000A1781">
        <w:rPr>
          <w:rFonts w:ascii="Times New Roman" w:hAnsi="Times New Roman" w:cs="Times New Roman"/>
          <w:sz w:val="24"/>
          <w:szCs w:val="24"/>
        </w:rPr>
        <w:t>Report</w:t>
      </w:r>
    </w:p>
    <w:p w14:paraId="30F95BDA" w14:textId="77777777" w:rsidR="00F760DF" w:rsidRPr="000A1781" w:rsidRDefault="00F760DF" w:rsidP="00002D71">
      <w:pPr>
        <w:pStyle w:val="ListParagraph"/>
        <w:spacing w:line="240" w:lineRule="auto"/>
        <w:ind w:left="1620"/>
        <w:rPr>
          <w:rFonts w:ascii="Times New Roman" w:hAnsi="Times New Roman" w:cs="Times New Roman"/>
          <w:sz w:val="24"/>
          <w:szCs w:val="24"/>
        </w:rPr>
      </w:pPr>
    </w:p>
    <w:p w14:paraId="63A5B5C3" w14:textId="59B6ADDC" w:rsidR="00F760DF" w:rsidRPr="000A1781" w:rsidRDefault="0008026C"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New Mexico’s S</w:t>
      </w:r>
      <w:r w:rsidR="00A12AA4" w:rsidRPr="000A1781">
        <w:rPr>
          <w:rFonts w:ascii="Times New Roman" w:hAnsi="Times New Roman" w:cs="Times New Roman"/>
          <w:sz w:val="24"/>
          <w:szCs w:val="24"/>
        </w:rPr>
        <w:t xml:space="preserve">IEP was </w:t>
      </w:r>
      <w:r w:rsidR="00F760DF" w:rsidRPr="000A1781">
        <w:rPr>
          <w:rFonts w:ascii="Times New Roman" w:hAnsi="Times New Roman" w:cs="Times New Roman"/>
          <w:sz w:val="24"/>
          <w:szCs w:val="24"/>
        </w:rPr>
        <w:t xml:space="preserve">developed and implemented to </w:t>
      </w:r>
      <w:r w:rsidR="00A12AA4" w:rsidRPr="000A1781">
        <w:rPr>
          <w:rFonts w:ascii="Times New Roman" w:hAnsi="Times New Roman" w:cs="Times New Roman"/>
          <w:sz w:val="24"/>
          <w:szCs w:val="24"/>
        </w:rPr>
        <w:t>en</w:t>
      </w:r>
      <w:r w:rsidR="00F760DF" w:rsidRPr="000A1781">
        <w:rPr>
          <w:rFonts w:ascii="Times New Roman" w:hAnsi="Times New Roman" w:cs="Times New Roman"/>
          <w:sz w:val="24"/>
          <w:szCs w:val="24"/>
        </w:rPr>
        <w:t>sure that program operations conform to policies and procedures established by the State Plan.</w:t>
      </w:r>
      <w:r w:rsidR="00944CFF" w:rsidRPr="000A1781">
        <w:rPr>
          <w:rFonts w:ascii="Times New Roman" w:hAnsi="Times New Roman" w:cs="Times New Roman"/>
          <w:sz w:val="24"/>
          <w:szCs w:val="24"/>
        </w:rPr>
        <w:t xml:space="preserve"> The SIEP also identifies areas which additional procedures should be developed in response to</w:t>
      </w:r>
      <w:r w:rsidR="00121B4A" w:rsidRPr="000A1781">
        <w:rPr>
          <w:rFonts w:ascii="Times New Roman" w:hAnsi="Times New Roman" w:cs="Times New Roman"/>
          <w:sz w:val="24"/>
          <w:szCs w:val="24"/>
        </w:rPr>
        <w:t xml:space="preserve"> the demands of the organization.</w:t>
      </w:r>
    </w:p>
    <w:p w14:paraId="1B9DE2D7" w14:textId="77777777" w:rsidR="008D69AE" w:rsidRPr="000A1781" w:rsidRDefault="008D69AE" w:rsidP="00002D71">
      <w:pPr>
        <w:pStyle w:val="ListParagraph"/>
        <w:spacing w:line="240" w:lineRule="auto"/>
        <w:ind w:left="1620"/>
        <w:rPr>
          <w:rFonts w:ascii="Times New Roman" w:hAnsi="Times New Roman" w:cs="Times New Roman"/>
          <w:sz w:val="24"/>
          <w:szCs w:val="24"/>
        </w:rPr>
      </w:pPr>
    </w:p>
    <w:p w14:paraId="194CAB3F" w14:textId="3451B56F" w:rsidR="00121B4A" w:rsidRPr="000A1781" w:rsidRDefault="00121B4A"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The program was designed to encompass a five-year period. On an annual basis, areas of vulnerability for the OHSB are determined. The specific portions of this evaluation program</w:t>
      </w:r>
      <w:r w:rsidR="00C87AE0" w:rsidRPr="000A1781">
        <w:rPr>
          <w:rFonts w:ascii="Times New Roman" w:hAnsi="Times New Roman" w:cs="Times New Roman"/>
          <w:sz w:val="24"/>
          <w:szCs w:val="24"/>
        </w:rPr>
        <w:t xml:space="preserve"> pertaining to the areas of vulnerability will be implemented each year. Regardless of vulnerability determination, all areas o</w:t>
      </w:r>
      <w:r w:rsidR="006E78B3" w:rsidRPr="000A1781">
        <w:rPr>
          <w:rFonts w:ascii="Times New Roman" w:hAnsi="Times New Roman" w:cs="Times New Roman"/>
          <w:sz w:val="24"/>
          <w:szCs w:val="24"/>
        </w:rPr>
        <w:t>f</w:t>
      </w:r>
      <w:r w:rsidR="00C87AE0" w:rsidRPr="000A1781">
        <w:rPr>
          <w:rFonts w:ascii="Times New Roman" w:hAnsi="Times New Roman" w:cs="Times New Roman"/>
          <w:sz w:val="24"/>
          <w:szCs w:val="24"/>
        </w:rPr>
        <w:t xml:space="preserve"> the program will be executed at least once every five years.</w:t>
      </w:r>
    </w:p>
    <w:p w14:paraId="673AE775" w14:textId="77777777" w:rsidR="00F760DF" w:rsidRPr="000A1781" w:rsidRDefault="00F760DF" w:rsidP="00002D71">
      <w:pPr>
        <w:pStyle w:val="ListParagraph"/>
        <w:spacing w:line="240" w:lineRule="auto"/>
        <w:ind w:left="1260"/>
        <w:rPr>
          <w:rFonts w:ascii="Times New Roman" w:hAnsi="Times New Roman" w:cs="Times New Roman"/>
          <w:sz w:val="24"/>
          <w:szCs w:val="24"/>
        </w:rPr>
      </w:pPr>
    </w:p>
    <w:p w14:paraId="59CE69BD" w14:textId="77777777" w:rsidR="00F760DF" w:rsidRPr="000A1781" w:rsidRDefault="00F760DF"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OHSB’s SIEP Report provides an internal evaluation of its operations. This is a critical component of the monitoring system and highlights the State Plan’s flexibility to design and implement programs that will fit each individual state’s needs and personnel resources.</w:t>
      </w:r>
    </w:p>
    <w:p w14:paraId="43DFE9A0" w14:textId="77777777" w:rsidR="006E78B3" w:rsidRPr="000A1781" w:rsidRDefault="006E78B3" w:rsidP="00002D71">
      <w:pPr>
        <w:pStyle w:val="ListParagraph"/>
        <w:spacing w:line="240" w:lineRule="auto"/>
        <w:ind w:left="1620"/>
        <w:rPr>
          <w:rFonts w:ascii="Times New Roman" w:hAnsi="Times New Roman" w:cs="Times New Roman"/>
          <w:sz w:val="24"/>
          <w:szCs w:val="24"/>
        </w:rPr>
      </w:pPr>
    </w:p>
    <w:p w14:paraId="56D00387" w14:textId="77777777" w:rsidR="00F760DF" w:rsidRPr="000A1781" w:rsidRDefault="00F760DF" w:rsidP="00002D71">
      <w:pPr>
        <w:pStyle w:val="ListParagraph"/>
        <w:spacing w:line="240" w:lineRule="auto"/>
        <w:ind w:left="1440" w:firstLine="180"/>
        <w:rPr>
          <w:rFonts w:ascii="Times New Roman" w:hAnsi="Times New Roman" w:cs="Times New Roman"/>
          <w:sz w:val="24"/>
          <w:szCs w:val="24"/>
          <w:u w:val="single"/>
        </w:rPr>
      </w:pPr>
      <w:r w:rsidRPr="000A1781">
        <w:rPr>
          <w:rFonts w:ascii="Times New Roman" w:hAnsi="Times New Roman" w:cs="Times New Roman"/>
          <w:sz w:val="24"/>
          <w:szCs w:val="24"/>
          <w:u w:val="single"/>
        </w:rPr>
        <w:t>Areas of Emphasis for SIEP Program</w:t>
      </w:r>
    </w:p>
    <w:p w14:paraId="5FF07D3A" w14:textId="1EBBF600" w:rsidR="0023213F" w:rsidRPr="000A1781" w:rsidRDefault="0023213F" w:rsidP="00B779B7">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Fatality/catastrophe investigations</w:t>
      </w:r>
    </w:p>
    <w:p w14:paraId="0275F913" w14:textId="517F7649" w:rsidR="0023213F" w:rsidRPr="000A1781" w:rsidRDefault="0023213F" w:rsidP="00B779B7">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Assurance of abatement</w:t>
      </w:r>
    </w:p>
    <w:p w14:paraId="05243B2C" w14:textId="229E0CE6" w:rsidR="00F760DF" w:rsidRPr="000A1781" w:rsidRDefault="0023213F" w:rsidP="00B779B7">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 xml:space="preserve">Casefile </w:t>
      </w:r>
      <w:r w:rsidR="00F760DF" w:rsidRPr="000A1781">
        <w:rPr>
          <w:rFonts w:ascii="Times New Roman" w:hAnsi="Times New Roman" w:cs="Times New Roman"/>
          <w:sz w:val="24"/>
          <w:szCs w:val="24"/>
        </w:rPr>
        <w:t>documentation</w:t>
      </w:r>
    </w:p>
    <w:p w14:paraId="2223568A" w14:textId="77777777" w:rsidR="009146C4" w:rsidRPr="000A1781" w:rsidRDefault="009146C4" w:rsidP="00B779B7">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Casefile controls</w:t>
      </w:r>
    </w:p>
    <w:p w14:paraId="672AA8C3" w14:textId="77777777" w:rsidR="009146C4" w:rsidRPr="000A1781" w:rsidRDefault="009146C4" w:rsidP="00B779B7">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Complaints</w:t>
      </w:r>
    </w:p>
    <w:p w14:paraId="3A79367C" w14:textId="45CEE807" w:rsidR="00F760DF" w:rsidRDefault="009146C4" w:rsidP="00793845">
      <w:pPr>
        <w:pStyle w:val="ListParagraph"/>
        <w:numPr>
          <w:ilvl w:val="0"/>
          <w:numId w:val="10"/>
        </w:numPr>
        <w:spacing w:line="240" w:lineRule="auto"/>
        <w:rPr>
          <w:rFonts w:ascii="Times New Roman" w:hAnsi="Times New Roman" w:cs="Times New Roman"/>
          <w:sz w:val="24"/>
          <w:szCs w:val="24"/>
        </w:rPr>
      </w:pPr>
      <w:r w:rsidRPr="000A1781">
        <w:rPr>
          <w:rFonts w:ascii="Times New Roman" w:hAnsi="Times New Roman" w:cs="Times New Roman"/>
          <w:sz w:val="24"/>
          <w:szCs w:val="24"/>
        </w:rPr>
        <w:t>Referrals</w:t>
      </w:r>
    </w:p>
    <w:p w14:paraId="7AAD410E" w14:textId="5CDEF519" w:rsidR="00F760DF" w:rsidRPr="000A1781" w:rsidRDefault="00F760DF" w:rsidP="00002D71">
      <w:pPr>
        <w:pStyle w:val="ListParagraph"/>
        <w:numPr>
          <w:ilvl w:val="0"/>
          <w:numId w:val="4"/>
        </w:numPr>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lastRenderedPageBreak/>
        <w:t>Staffing</w:t>
      </w:r>
    </w:p>
    <w:p w14:paraId="06199685" w14:textId="2ABEABBD" w:rsidR="00D819BB" w:rsidRPr="000A1781" w:rsidRDefault="00D819BB" w:rsidP="00BE36E8">
      <w:pPr>
        <w:pStyle w:val="Default"/>
        <w:ind w:left="1620"/>
      </w:pPr>
      <w:r w:rsidRPr="000A1781">
        <w:t xml:space="preserve">The allocated NM OHSB staffing consists of 51 total positions including the bureau chief. The Bureau has three sections reporting to the bureau chief, each overseen by a section chief or program manager. The Compliance and Enforcement (C&amp;E) Section includes a section chief, program manager, three compliance supervisors, 19 compliance officers (CO), and two discrimination investigators. The Certification and Assistance </w:t>
      </w:r>
      <w:r w:rsidR="00BE36E8" w:rsidRPr="000A1781">
        <w:t xml:space="preserve">Section </w:t>
      </w:r>
      <w:r w:rsidRPr="000A1781">
        <w:t xml:space="preserve">has a program manager, </w:t>
      </w:r>
      <w:r w:rsidR="00BE36E8" w:rsidRPr="000A1781">
        <w:t xml:space="preserve">eight </w:t>
      </w:r>
      <w:r w:rsidRPr="000A1781">
        <w:t xml:space="preserve">consultation </w:t>
      </w:r>
      <w:r w:rsidR="00BE36E8" w:rsidRPr="000A1781">
        <w:t xml:space="preserve">positions including a supervisor and two consultants created in FY 2024, and two compliance assistance specialists (CAS) with one reporting directly to the Bureau Chief.  </w:t>
      </w:r>
      <w:r w:rsidRPr="000A1781">
        <w:t>The Operations and Planning Section consists of a program manager, management analyst supervisor, management analyst, five program support positions, and two labor statisticians. Additionally, three dedicated financial positions and one attorney position are funded by OHSB and allocated fully to bureau support.</w:t>
      </w:r>
    </w:p>
    <w:p w14:paraId="1EB00F4F" w14:textId="77777777" w:rsidR="00D819BB" w:rsidRPr="000A1781" w:rsidRDefault="00D819BB" w:rsidP="00D819BB">
      <w:pPr>
        <w:pStyle w:val="Default"/>
        <w:ind w:left="1620"/>
      </w:pPr>
    </w:p>
    <w:p w14:paraId="63481CDE" w14:textId="77777777" w:rsidR="00D819BB" w:rsidRPr="000A1781" w:rsidRDefault="00D819BB" w:rsidP="00D819BB">
      <w:pPr>
        <w:pStyle w:val="Default"/>
        <w:ind w:left="1620"/>
      </w:pPr>
      <w:r w:rsidRPr="000A1781">
        <w:t>Most OHSB staff members work out of the Santa Fe or Albuquerque offices. Six positions are in a Las Cruces office, while two COs are stationed in Roswell and one in Farmington. This distribution has allowed OHSB to provide more rapid response to reports of hazards, including imminent danger situations and accidents across a wide geographical area, as detailed in this report.</w:t>
      </w:r>
    </w:p>
    <w:p w14:paraId="0D6CF1BF" w14:textId="77777777" w:rsidR="008E4E13" w:rsidRPr="000A1781" w:rsidRDefault="008E4E13" w:rsidP="00002D71"/>
    <w:p w14:paraId="35203EDE" w14:textId="428F8B05" w:rsidR="001567A4" w:rsidRPr="000A1781" w:rsidRDefault="001567A4" w:rsidP="00002D71">
      <w:pPr>
        <w:ind w:left="1620" w:hanging="720"/>
        <w:contextualSpacing/>
        <w:rPr>
          <w:b/>
          <w:smallCaps/>
        </w:rPr>
      </w:pPr>
      <w:r w:rsidRPr="000A1781">
        <w:rPr>
          <w:b/>
          <w:smallCaps/>
        </w:rPr>
        <w:t>2.    ENFORCEMENT</w:t>
      </w:r>
    </w:p>
    <w:p w14:paraId="71EA39F2" w14:textId="77777777" w:rsidR="00EC21C7" w:rsidRPr="000A1781" w:rsidRDefault="00EC21C7" w:rsidP="00002D71">
      <w:pPr>
        <w:ind w:left="1620" w:hanging="720"/>
        <w:contextualSpacing/>
        <w:rPr>
          <w:b/>
          <w:smallCaps/>
        </w:rPr>
      </w:pPr>
    </w:p>
    <w:p w14:paraId="44F27B30" w14:textId="2B7C6C24" w:rsidR="00CC4C47" w:rsidRPr="000A1781" w:rsidRDefault="00CC4C47" w:rsidP="00002D71">
      <w:pPr>
        <w:ind w:left="1260"/>
        <w:contextualSpacing/>
      </w:pPr>
      <w:r w:rsidRPr="000A1781">
        <w:t>The NM OHSB</w:t>
      </w:r>
      <w:r w:rsidR="006907DE" w:rsidRPr="000A1781">
        <w:t xml:space="preserve"> </w:t>
      </w:r>
      <w:r w:rsidR="00351F08" w:rsidRPr="000A1781">
        <w:t>C&amp;E</w:t>
      </w:r>
      <w:r w:rsidR="006907DE" w:rsidRPr="000A1781">
        <w:t xml:space="preserve"> efforts were focused on conducting inspections</w:t>
      </w:r>
      <w:r w:rsidR="00050B4A" w:rsidRPr="000A1781">
        <w:t xml:space="preserve"> at industrial workplaces with high injury, illness, and fatality rates. NM OHSB </w:t>
      </w:r>
      <w:r w:rsidR="002E6595" w:rsidRPr="000A1781">
        <w:t>targeted</w:t>
      </w:r>
      <w:r w:rsidR="00050B4A" w:rsidRPr="000A1781">
        <w:t xml:space="preserve"> </w:t>
      </w:r>
      <w:r w:rsidR="002E6595" w:rsidRPr="000A1781">
        <w:t>industries</w:t>
      </w:r>
      <w:r w:rsidR="00050B4A" w:rsidRPr="000A1781">
        <w:t xml:space="preserve"> identified as having a high number of health and safety hazards with </w:t>
      </w:r>
      <w:r w:rsidR="002E6595" w:rsidRPr="000A1781">
        <w:t>ongoing</w:t>
      </w:r>
      <w:r w:rsidR="00050B4A" w:rsidRPr="000A1781">
        <w:t xml:space="preserve"> use of </w:t>
      </w:r>
      <w:r w:rsidR="002E6595" w:rsidRPr="000A1781">
        <w:t>State Emphasis Programs (SEPs)</w:t>
      </w:r>
      <w:r w:rsidR="00050B4A" w:rsidRPr="000A1781">
        <w:t>.</w:t>
      </w:r>
      <w:r w:rsidR="004F6EA1" w:rsidRPr="000A1781">
        <w:t xml:space="preserve"> </w:t>
      </w:r>
    </w:p>
    <w:p w14:paraId="0F919A37" w14:textId="77777777" w:rsidR="00CC4C47" w:rsidRPr="000A1781" w:rsidRDefault="00CC4C47" w:rsidP="00002D71">
      <w:pPr>
        <w:ind w:left="1260"/>
        <w:contextualSpacing/>
      </w:pPr>
    </w:p>
    <w:p w14:paraId="0D958E2E" w14:textId="46D486F4" w:rsidR="00633A02" w:rsidRPr="000A1781" w:rsidRDefault="00EC21C7" w:rsidP="00002D71">
      <w:pPr>
        <w:ind w:left="1260"/>
        <w:contextualSpacing/>
      </w:pPr>
      <w:r w:rsidRPr="000A1781">
        <w:t>M</w:t>
      </w:r>
      <w:r w:rsidR="00F90ABE" w:rsidRPr="000A1781">
        <w:t xml:space="preserve">ost of the issues addressed throughout this </w:t>
      </w:r>
      <w:r w:rsidR="00B26410" w:rsidRPr="000A1781">
        <w:t xml:space="preserve">report are measures in the </w:t>
      </w:r>
      <w:r w:rsidR="00DC32C4" w:rsidRPr="000A1781">
        <w:t xml:space="preserve">official end-of-year </w:t>
      </w:r>
      <w:r w:rsidR="00B26410" w:rsidRPr="000A1781">
        <w:t>SAMM Report</w:t>
      </w:r>
      <w:r w:rsidR="00DC32C4" w:rsidRPr="000A1781">
        <w:t xml:space="preserve"> run on November 14, 202</w:t>
      </w:r>
      <w:r w:rsidR="00124AA1" w:rsidRPr="000A1781">
        <w:t>3</w:t>
      </w:r>
      <w:r w:rsidR="00B26410" w:rsidRPr="000A1781">
        <w:t xml:space="preserve">. OHSB performance as indicated in </w:t>
      </w:r>
      <w:r w:rsidR="0046108D" w:rsidRPr="000A1781">
        <w:t xml:space="preserve">the </w:t>
      </w:r>
      <w:r w:rsidR="00B26410" w:rsidRPr="000A1781">
        <w:t>Appendix D</w:t>
      </w:r>
      <w:r w:rsidR="0046108D" w:rsidRPr="000A1781">
        <w:t>,</w:t>
      </w:r>
      <w:r w:rsidR="00DC32C4" w:rsidRPr="000A1781">
        <w:t xml:space="preserve"> SAMM</w:t>
      </w:r>
      <w:r w:rsidR="00B26410" w:rsidRPr="000A1781">
        <w:t xml:space="preserve"> </w:t>
      </w:r>
      <w:r w:rsidR="00324536" w:rsidRPr="000A1781">
        <w:t>is discussed during quarterly State Plan monitoring meetings and through ongoing communication throughout the year.</w:t>
      </w:r>
    </w:p>
    <w:p w14:paraId="18E66611" w14:textId="77777777" w:rsidR="005446D9" w:rsidRPr="000A1781" w:rsidRDefault="005446D9" w:rsidP="00002D71">
      <w:pPr>
        <w:ind w:left="1260"/>
        <w:contextualSpacing/>
      </w:pPr>
    </w:p>
    <w:p w14:paraId="7357B02C" w14:textId="13658E1F" w:rsidR="005446D9" w:rsidRPr="000A1781" w:rsidRDefault="00224A88" w:rsidP="00966D1D">
      <w:pPr>
        <w:ind w:left="1260"/>
        <w:contextualSpacing/>
      </w:pPr>
      <w:r w:rsidRPr="000A1781">
        <w:t>In FY 2023, NM OHSB conducted a total of 218 inspections which was</w:t>
      </w:r>
      <w:r w:rsidR="00225542" w:rsidRPr="000A1781">
        <w:t xml:space="preserve"> </w:t>
      </w:r>
      <w:r w:rsidR="00863C93" w:rsidRPr="000A1781">
        <w:t>83</w:t>
      </w:r>
      <w:r w:rsidR="00225542" w:rsidRPr="000A1781">
        <w:t xml:space="preserve">% of their yearly </w:t>
      </w:r>
      <w:r w:rsidR="00414269" w:rsidRPr="000A1781">
        <w:t xml:space="preserve">inspection </w:t>
      </w:r>
      <w:r w:rsidR="00225542" w:rsidRPr="000A1781">
        <w:t>goal of 264</w:t>
      </w:r>
      <w:r w:rsidR="00AC4857" w:rsidRPr="000A1781">
        <w:t xml:space="preserve"> (Appendix D, SAMM 7)</w:t>
      </w:r>
      <w:r w:rsidR="00200FB0" w:rsidRPr="000A1781">
        <w:t xml:space="preserve">, falling </w:t>
      </w:r>
      <w:r w:rsidR="00863C93" w:rsidRPr="000A1781">
        <w:t xml:space="preserve">short </w:t>
      </w:r>
      <w:r w:rsidR="00DF6994" w:rsidRPr="000A1781">
        <w:t xml:space="preserve">by </w:t>
      </w:r>
      <w:r w:rsidR="00863C93" w:rsidRPr="000A1781">
        <w:t>46 inspection</w:t>
      </w:r>
      <w:r w:rsidR="00200FB0" w:rsidRPr="000A1781">
        <w:t>s</w:t>
      </w:r>
      <w:r w:rsidR="00C71A4D" w:rsidRPr="000A1781">
        <w:t>, 17%</w:t>
      </w:r>
      <w:r w:rsidR="00863C93" w:rsidRPr="000A1781">
        <w:t>.</w:t>
      </w:r>
      <w:r w:rsidR="008204FF" w:rsidRPr="000A1781">
        <w:t xml:space="preserve"> Over the last few years, NM OHSB has not been meeting their inspection goal</w:t>
      </w:r>
      <w:r w:rsidR="00BE36E8" w:rsidRPr="000A1781">
        <w:t>s</w:t>
      </w:r>
      <w:r w:rsidR="008204FF" w:rsidRPr="000A1781">
        <w:t xml:space="preserve">. </w:t>
      </w:r>
      <w:r w:rsidR="00966D1D" w:rsidRPr="000A1781">
        <w:t>A contributing factor to this ongoing issue is the high turnover rates that OSHB continues to have.</w:t>
      </w:r>
    </w:p>
    <w:p w14:paraId="36089184" w14:textId="77777777" w:rsidR="00863C93" w:rsidRPr="000A1781" w:rsidRDefault="00863C93" w:rsidP="00002D71">
      <w:pPr>
        <w:ind w:left="1260"/>
        <w:contextualSpacing/>
      </w:pPr>
    </w:p>
    <w:p w14:paraId="4822B93E" w14:textId="3B33F052" w:rsidR="00673A8E" w:rsidRPr="000A1781" w:rsidRDefault="001F2A2F" w:rsidP="00002D71">
      <w:pPr>
        <w:ind w:left="1260"/>
        <w:contextualSpacing/>
      </w:pPr>
      <w:r w:rsidRPr="000A1781">
        <w:t>The table below shows</w:t>
      </w:r>
      <w:r w:rsidR="00FB0542" w:rsidRPr="000A1781">
        <w:t xml:space="preserve"> NM OHSB’s planned vs. actual inspections </w:t>
      </w:r>
      <w:r w:rsidR="004A43E1" w:rsidRPr="000A1781">
        <w:t>gathered from SAMM 7 on the Appendix D.</w:t>
      </w:r>
    </w:p>
    <w:p w14:paraId="0D9F472C" w14:textId="696A0E99" w:rsidR="00673A8E" w:rsidRPr="000A1781" w:rsidRDefault="00673A8E" w:rsidP="00002D71">
      <w:pPr>
        <w:ind w:left="1620" w:hanging="720"/>
        <w:contextualSpacing/>
      </w:pPr>
      <w:r w:rsidRPr="000A1781">
        <w:tab/>
      </w:r>
    </w:p>
    <w:tbl>
      <w:tblPr>
        <w:tblStyle w:val="TableGrid"/>
        <w:tblW w:w="8820" w:type="dxa"/>
        <w:tblInd w:w="1255" w:type="dxa"/>
        <w:tblLook w:val="04A0" w:firstRow="1" w:lastRow="0" w:firstColumn="1" w:lastColumn="0" w:noHBand="0" w:noVBand="1"/>
      </w:tblPr>
      <w:tblGrid>
        <w:gridCol w:w="2191"/>
        <w:gridCol w:w="1049"/>
        <w:gridCol w:w="1080"/>
        <w:gridCol w:w="1080"/>
        <w:gridCol w:w="1080"/>
        <w:gridCol w:w="1080"/>
        <w:gridCol w:w="1260"/>
      </w:tblGrid>
      <w:tr w:rsidR="007A75BB" w:rsidRPr="000A1781" w14:paraId="62E30EA9" w14:textId="7B5E53AE" w:rsidTr="00887129">
        <w:tc>
          <w:tcPr>
            <w:tcW w:w="2191" w:type="dxa"/>
            <w:shd w:val="clear" w:color="auto" w:fill="FFFFFF" w:themeFill="background1"/>
            <w:vAlign w:val="center"/>
          </w:tcPr>
          <w:p w14:paraId="1EEC80C5" w14:textId="38FC8263" w:rsidR="007A75BB" w:rsidRPr="00887129" w:rsidRDefault="00F32E71" w:rsidP="00F32E71">
            <w:pPr>
              <w:ind w:left="-468"/>
              <w:jc w:val="center"/>
              <w:rPr>
                <w:b/>
                <w:bCs/>
                <w:sz w:val="22"/>
                <w:szCs w:val="22"/>
              </w:rPr>
            </w:pPr>
            <w:bookmarkStart w:id="1" w:name="_Hlk159591396"/>
            <w:r w:rsidRPr="00887129">
              <w:rPr>
                <w:b/>
                <w:bCs/>
                <w:sz w:val="22"/>
                <w:szCs w:val="22"/>
              </w:rPr>
              <w:t xml:space="preserve">       </w:t>
            </w:r>
            <w:r w:rsidR="007A75BB" w:rsidRPr="00887129">
              <w:rPr>
                <w:b/>
                <w:bCs/>
                <w:sz w:val="22"/>
                <w:szCs w:val="22"/>
              </w:rPr>
              <w:t>Planned vs. Actual</w:t>
            </w:r>
          </w:p>
          <w:p w14:paraId="27F534AA" w14:textId="562FD519" w:rsidR="00F32E71" w:rsidRPr="00887129" w:rsidRDefault="007A75BB" w:rsidP="00F32E71">
            <w:pPr>
              <w:ind w:left="-108"/>
              <w:jc w:val="center"/>
              <w:rPr>
                <w:b/>
                <w:bCs/>
                <w:sz w:val="22"/>
                <w:szCs w:val="22"/>
              </w:rPr>
            </w:pPr>
            <w:r w:rsidRPr="00887129">
              <w:rPr>
                <w:b/>
                <w:bCs/>
                <w:sz w:val="22"/>
                <w:szCs w:val="22"/>
              </w:rPr>
              <w:t>Inspections</w:t>
            </w:r>
          </w:p>
          <w:p w14:paraId="6D050843" w14:textId="268A6FF1" w:rsidR="007A75BB" w:rsidRPr="00887129" w:rsidRDefault="007A75BB" w:rsidP="00F32E71">
            <w:pPr>
              <w:ind w:left="-108"/>
              <w:jc w:val="center"/>
              <w:rPr>
                <w:b/>
                <w:bCs/>
                <w:sz w:val="22"/>
                <w:szCs w:val="22"/>
              </w:rPr>
            </w:pPr>
            <w:r w:rsidRPr="00887129">
              <w:rPr>
                <w:b/>
                <w:bCs/>
                <w:sz w:val="22"/>
                <w:szCs w:val="22"/>
              </w:rPr>
              <w:t>(SAMM 7)</w:t>
            </w:r>
          </w:p>
        </w:tc>
        <w:tc>
          <w:tcPr>
            <w:tcW w:w="1049" w:type="dxa"/>
            <w:shd w:val="clear" w:color="auto" w:fill="FFFFFF" w:themeFill="background1"/>
            <w:vAlign w:val="center"/>
          </w:tcPr>
          <w:p w14:paraId="252DF7CD" w14:textId="052BE9E5" w:rsidR="007A75BB" w:rsidRPr="00887129" w:rsidRDefault="007A75BB" w:rsidP="00002D71">
            <w:pPr>
              <w:jc w:val="center"/>
              <w:rPr>
                <w:b/>
                <w:bCs/>
                <w:sz w:val="22"/>
                <w:szCs w:val="22"/>
              </w:rPr>
            </w:pPr>
            <w:r w:rsidRPr="00887129">
              <w:rPr>
                <w:b/>
                <w:bCs/>
                <w:sz w:val="22"/>
                <w:szCs w:val="22"/>
              </w:rPr>
              <w:t>FY 2023</w:t>
            </w:r>
          </w:p>
        </w:tc>
        <w:tc>
          <w:tcPr>
            <w:tcW w:w="1080" w:type="dxa"/>
            <w:shd w:val="clear" w:color="auto" w:fill="FFFFFF" w:themeFill="background1"/>
            <w:vAlign w:val="center"/>
          </w:tcPr>
          <w:p w14:paraId="73F1A457" w14:textId="0E60EF78" w:rsidR="007A75BB" w:rsidRPr="00887129" w:rsidRDefault="007A75BB" w:rsidP="00002D71">
            <w:pPr>
              <w:jc w:val="center"/>
              <w:rPr>
                <w:b/>
                <w:bCs/>
                <w:sz w:val="22"/>
                <w:szCs w:val="22"/>
              </w:rPr>
            </w:pPr>
            <w:r w:rsidRPr="00887129">
              <w:rPr>
                <w:b/>
                <w:bCs/>
                <w:sz w:val="22"/>
                <w:szCs w:val="22"/>
              </w:rPr>
              <w:t>FY2022</w:t>
            </w:r>
          </w:p>
        </w:tc>
        <w:tc>
          <w:tcPr>
            <w:tcW w:w="1080" w:type="dxa"/>
            <w:shd w:val="clear" w:color="auto" w:fill="FFFFFF" w:themeFill="background1"/>
            <w:vAlign w:val="center"/>
          </w:tcPr>
          <w:p w14:paraId="0AA73828" w14:textId="0360AF72" w:rsidR="007A75BB" w:rsidRPr="00887129" w:rsidRDefault="007A75BB" w:rsidP="00002D71">
            <w:pPr>
              <w:jc w:val="center"/>
              <w:rPr>
                <w:b/>
                <w:bCs/>
                <w:sz w:val="22"/>
                <w:szCs w:val="22"/>
              </w:rPr>
            </w:pPr>
            <w:r w:rsidRPr="00887129">
              <w:rPr>
                <w:b/>
                <w:bCs/>
                <w:sz w:val="22"/>
                <w:szCs w:val="22"/>
              </w:rPr>
              <w:t>FY 2021</w:t>
            </w:r>
          </w:p>
        </w:tc>
        <w:tc>
          <w:tcPr>
            <w:tcW w:w="1080" w:type="dxa"/>
            <w:shd w:val="clear" w:color="auto" w:fill="FFFFFF" w:themeFill="background1"/>
            <w:vAlign w:val="center"/>
          </w:tcPr>
          <w:p w14:paraId="50E100A8" w14:textId="67BF4EBD" w:rsidR="007A75BB" w:rsidRPr="00887129" w:rsidRDefault="007A75BB" w:rsidP="00002D71">
            <w:pPr>
              <w:jc w:val="center"/>
              <w:rPr>
                <w:b/>
                <w:bCs/>
                <w:sz w:val="22"/>
                <w:szCs w:val="22"/>
              </w:rPr>
            </w:pPr>
            <w:r w:rsidRPr="00887129">
              <w:rPr>
                <w:b/>
                <w:bCs/>
                <w:sz w:val="22"/>
                <w:szCs w:val="22"/>
              </w:rPr>
              <w:t>FY 2020</w:t>
            </w:r>
          </w:p>
        </w:tc>
        <w:tc>
          <w:tcPr>
            <w:tcW w:w="1080" w:type="dxa"/>
            <w:shd w:val="clear" w:color="auto" w:fill="FFFFFF" w:themeFill="background1"/>
            <w:vAlign w:val="center"/>
          </w:tcPr>
          <w:p w14:paraId="78FE9023" w14:textId="3A785BE2" w:rsidR="007A75BB" w:rsidRPr="00887129" w:rsidRDefault="007A75BB" w:rsidP="00002D71">
            <w:pPr>
              <w:jc w:val="center"/>
              <w:rPr>
                <w:b/>
                <w:bCs/>
                <w:sz w:val="22"/>
                <w:szCs w:val="22"/>
              </w:rPr>
            </w:pPr>
            <w:r w:rsidRPr="00887129">
              <w:rPr>
                <w:b/>
                <w:bCs/>
                <w:sz w:val="22"/>
                <w:szCs w:val="22"/>
              </w:rPr>
              <w:t>FY 2019</w:t>
            </w:r>
          </w:p>
        </w:tc>
        <w:tc>
          <w:tcPr>
            <w:tcW w:w="1260" w:type="dxa"/>
            <w:shd w:val="clear" w:color="auto" w:fill="FFFFFF" w:themeFill="background1"/>
            <w:vAlign w:val="center"/>
          </w:tcPr>
          <w:p w14:paraId="6CBD4520" w14:textId="57400478" w:rsidR="007A75BB" w:rsidRPr="00887129" w:rsidRDefault="007A75BB" w:rsidP="00002D71">
            <w:pPr>
              <w:jc w:val="center"/>
              <w:rPr>
                <w:b/>
                <w:bCs/>
                <w:sz w:val="22"/>
                <w:szCs w:val="22"/>
              </w:rPr>
            </w:pPr>
            <w:r w:rsidRPr="00887129">
              <w:rPr>
                <w:b/>
                <w:bCs/>
                <w:sz w:val="22"/>
                <w:szCs w:val="22"/>
              </w:rPr>
              <w:t>FY 2018</w:t>
            </w:r>
          </w:p>
        </w:tc>
      </w:tr>
      <w:tr w:rsidR="007A75BB" w:rsidRPr="000A1781" w14:paraId="0FDCF417" w14:textId="343346BD" w:rsidTr="00887129">
        <w:trPr>
          <w:trHeight w:val="278"/>
        </w:trPr>
        <w:tc>
          <w:tcPr>
            <w:tcW w:w="2191" w:type="dxa"/>
            <w:shd w:val="clear" w:color="auto" w:fill="FFFFFF" w:themeFill="background1"/>
            <w:vAlign w:val="center"/>
          </w:tcPr>
          <w:p w14:paraId="3BB65D3C" w14:textId="0EE7AAE6" w:rsidR="007A75BB" w:rsidRPr="00887129" w:rsidRDefault="00F32E71" w:rsidP="00F32E71">
            <w:pPr>
              <w:ind w:left="-468"/>
              <w:jc w:val="center"/>
              <w:rPr>
                <w:b/>
                <w:bCs/>
                <w:sz w:val="22"/>
                <w:szCs w:val="22"/>
              </w:rPr>
            </w:pPr>
            <w:r w:rsidRPr="00887129">
              <w:rPr>
                <w:b/>
                <w:bCs/>
                <w:sz w:val="22"/>
                <w:szCs w:val="22"/>
              </w:rPr>
              <w:t xml:space="preserve">     </w:t>
            </w:r>
            <w:r w:rsidR="007A75BB" w:rsidRPr="00887129">
              <w:rPr>
                <w:b/>
                <w:bCs/>
                <w:sz w:val="22"/>
                <w:szCs w:val="22"/>
              </w:rPr>
              <w:t>Goal</w:t>
            </w:r>
          </w:p>
        </w:tc>
        <w:tc>
          <w:tcPr>
            <w:tcW w:w="1049" w:type="dxa"/>
            <w:shd w:val="clear" w:color="auto" w:fill="FFFFFF" w:themeFill="background1"/>
          </w:tcPr>
          <w:p w14:paraId="5E239997" w14:textId="33CC12BB" w:rsidR="007A75BB" w:rsidRPr="00887129" w:rsidRDefault="007A75BB" w:rsidP="00002D71">
            <w:pPr>
              <w:jc w:val="center"/>
              <w:rPr>
                <w:sz w:val="22"/>
                <w:szCs w:val="22"/>
              </w:rPr>
            </w:pPr>
            <w:r w:rsidRPr="00887129">
              <w:rPr>
                <w:sz w:val="22"/>
                <w:szCs w:val="22"/>
              </w:rPr>
              <w:t>264</w:t>
            </w:r>
          </w:p>
        </w:tc>
        <w:tc>
          <w:tcPr>
            <w:tcW w:w="1080" w:type="dxa"/>
            <w:shd w:val="clear" w:color="auto" w:fill="FFFFFF" w:themeFill="background1"/>
          </w:tcPr>
          <w:p w14:paraId="18A53824" w14:textId="3A05D663" w:rsidR="007A75BB" w:rsidRPr="00887129" w:rsidRDefault="007A75BB" w:rsidP="00002D71">
            <w:pPr>
              <w:jc w:val="center"/>
              <w:rPr>
                <w:sz w:val="22"/>
                <w:szCs w:val="22"/>
              </w:rPr>
            </w:pPr>
            <w:r w:rsidRPr="00887129">
              <w:rPr>
                <w:sz w:val="22"/>
                <w:szCs w:val="22"/>
              </w:rPr>
              <w:t>500</w:t>
            </w:r>
          </w:p>
        </w:tc>
        <w:tc>
          <w:tcPr>
            <w:tcW w:w="1080" w:type="dxa"/>
            <w:shd w:val="clear" w:color="auto" w:fill="FFFFFF" w:themeFill="background1"/>
          </w:tcPr>
          <w:p w14:paraId="18282222" w14:textId="38D906A6" w:rsidR="007A75BB" w:rsidRPr="00887129" w:rsidRDefault="007A75BB" w:rsidP="00002D71">
            <w:pPr>
              <w:jc w:val="center"/>
              <w:rPr>
                <w:sz w:val="22"/>
                <w:szCs w:val="22"/>
              </w:rPr>
            </w:pPr>
            <w:r w:rsidRPr="00887129">
              <w:rPr>
                <w:sz w:val="22"/>
                <w:szCs w:val="22"/>
              </w:rPr>
              <w:t>315</w:t>
            </w:r>
          </w:p>
        </w:tc>
        <w:tc>
          <w:tcPr>
            <w:tcW w:w="1080" w:type="dxa"/>
            <w:shd w:val="clear" w:color="auto" w:fill="FFFFFF" w:themeFill="background1"/>
          </w:tcPr>
          <w:p w14:paraId="56B243B9" w14:textId="537F3483" w:rsidR="007A75BB" w:rsidRPr="00887129" w:rsidRDefault="007A75BB" w:rsidP="00002D71">
            <w:pPr>
              <w:jc w:val="center"/>
              <w:rPr>
                <w:sz w:val="22"/>
                <w:szCs w:val="22"/>
              </w:rPr>
            </w:pPr>
            <w:r w:rsidRPr="00887129">
              <w:rPr>
                <w:sz w:val="22"/>
                <w:szCs w:val="22"/>
              </w:rPr>
              <w:t>345</w:t>
            </w:r>
          </w:p>
        </w:tc>
        <w:tc>
          <w:tcPr>
            <w:tcW w:w="1080" w:type="dxa"/>
            <w:shd w:val="clear" w:color="auto" w:fill="FFFFFF" w:themeFill="background1"/>
          </w:tcPr>
          <w:p w14:paraId="09F50E93" w14:textId="20FDC105" w:rsidR="007A75BB" w:rsidRPr="00887129" w:rsidRDefault="007A75BB" w:rsidP="00002D71">
            <w:pPr>
              <w:jc w:val="center"/>
              <w:rPr>
                <w:sz w:val="22"/>
                <w:szCs w:val="22"/>
              </w:rPr>
            </w:pPr>
            <w:r w:rsidRPr="00887129">
              <w:rPr>
                <w:sz w:val="22"/>
                <w:szCs w:val="22"/>
              </w:rPr>
              <w:t>360</w:t>
            </w:r>
          </w:p>
        </w:tc>
        <w:tc>
          <w:tcPr>
            <w:tcW w:w="1260" w:type="dxa"/>
            <w:shd w:val="clear" w:color="auto" w:fill="FFFFFF" w:themeFill="background1"/>
          </w:tcPr>
          <w:p w14:paraId="2E2D9F85" w14:textId="5E6C0A29" w:rsidR="007A75BB" w:rsidRPr="00887129" w:rsidRDefault="007A75BB" w:rsidP="00002D71">
            <w:pPr>
              <w:jc w:val="center"/>
              <w:rPr>
                <w:sz w:val="22"/>
                <w:szCs w:val="22"/>
              </w:rPr>
            </w:pPr>
            <w:r w:rsidRPr="00887129">
              <w:rPr>
                <w:sz w:val="22"/>
                <w:szCs w:val="22"/>
              </w:rPr>
              <w:t>400</w:t>
            </w:r>
          </w:p>
        </w:tc>
      </w:tr>
      <w:tr w:rsidR="007A75BB" w:rsidRPr="000A1781" w14:paraId="2837EBC5" w14:textId="123E3DB0" w:rsidTr="00887129">
        <w:tc>
          <w:tcPr>
            <w:tcW w:w="2191" w:type="dxa"/>
            <w:shd w:val="clear" w:color="auto" w:fill="FFFFFF" w:themeFill="background1"/>
            <w:vAlign w:val="center"/>
          </w:tcPr>
          <w:p w14:paraId="2A8CCEB4" w14:textId="6893F186" w:rsidR="007A75BB" w:rsidRPr="00887129" w:rsidRDefault="00F32E71" w:rsidP="00F32E71">
            <w:pPr>
              <w:ind w:left="-468"/>
              <w:jc w:val="center"/>
              <w:rPr>
                <w:b/>
                <w:bCs/>
                <w:sz w:val="22"/>
                <w:szCs w:val="22"/>
              </w:rPr>
            </w:pPr>
            <w:r w:rsidRPr="00887129">
              <w:rPr>
                <w:b/>
                <w:bCs/>
                <w:sz w:val="22"/>
                <w:szCs w:val="22"/>
              </w:rPr>
              <w:t xml:space="preserve">     </w:t>
            </w:r>
            <w:r w:rsidR="007A75BB" w:rsidRPr="00887129">
              <w:rPr>
                <w:b/>
                <w:bCs/>
                <w:sz w:val="22"/>
                <w:szCs w:val="22"/>
              </w:rPr>
              <w:t>Conducted</w:t>
            </w:r>
          </w:p>
        </w:tc>
        <w:tc>
          <w:tcPr>
            <w:tcW w:w="1049" w:type="dxa"/>
            <w:shd w:val="clear" w:color="auto" w:fill="FFFFFF" w:themeFill="background1"/>
          </w:tcPr>
          <w:p w14:paraId="76E299A4" w14:textId="1CFE32DF" w:rsidR="007A75BB" w:rsidRPr="00887129" w:rsidRDefault="007A75BB" w:rsidP="00002D71">
            <w:pPr>
              <w:jc w:val="center"/>
              <w:rPr>
                <w:sz w:val="22"/>
                <w:szCs w:val="22"/>
              </w:rPr>
            </w:pPr>
            <w:r w:rsidRPr="00887129">
              <w:rPr>
                <w:sz w:val="22"/>
                <w:szCs w:val="22"/>
              </w:rPr>
              <w:t>218</w:t>
            </w:r>
          </w:p>
        </w:tc>
        <w:tc>
          <w:tcPr>
            <w:tcW w:w="1080" w:type="dxa"/>
            <w:shd w:val="clear" w:color="auto" w:fill="FFFFFF" w:themeFill="background1"/>
          </w:tcPr>
          <w:p w14:paraId="056436B1" w14:textId="62F05172" w:rsidR="007A75BB" w:rsidRPr="00887129" w:rsidRDefault="007A75BB" w:rsidP="00002D71">
            <w:pPr>
              <w:jc w:val="center"/>
              <w:rPr>
                <w:sz w:val="22"/>
                <w:szCs w:val="22"/>
              </w:rPr>
            </w:pPr>
            <w:r w:rsidRPr="00887129">
              <w:rPr>
                <w:sz w:val="22"/>
                <w:szCs w:val="22"/>
              </w:rPr>
              <w:t>186</w:t>
            </w:r>
          </w:p>
        </w:tc>
        <w:tc>
          <w:tcPr>
            <w:tcW w:w="1080" w:type="dxa"/>
            <w:shd w:val="clear" w:color="auto" w:fill="FFFFFF" w:themeFill="background1"/>
          </w:tcPr>
          <w:p w14:paraId="558AF217" w14:textId="53E968E3" w:rsidR="007A75BB" w:rsidRPr="00887129" w:rsidRDefault="007A75BB" w:rsidP="00002D71">
            <w:pPr>
              <w:jc w:val="center"/>
              <w:rPr>
                <w:sz w:val="22"/>
                <w:szCs w:val="22"/>
              </w:rPr>
            </w:pPr>
            <w:r w:rsidRPr="00887129">
              <w:rPr>
                <w:sz w:val="22"/>
                <w:szCs w:val="22"/>
              </w:rPr>
              <w:t>140</w:t>
            </w:r>
          </w:p>
        </w:tc>
        <w:tc>
          <w:tcPr>
            <w:tcW w:w="1080" w:type="dxa"/>
            <w:shd w:val="clear" w:color="auto" w:fill="FFFFFF" w:themeFill="background1"/>
          </w:tcPr>
          <w:p w14:paraId="4E763765" w14:textId="7B7E0655" w:rsidR="007A75BB" w:rsidRPr="00887129" w:rsidRDefault="007A75BB" w:rsidP="00002D71">
            <w:pPr>
              <w:jc w:val="center"/>
              <w:rPr>
                <w:sz w:val="22"/>
                <w:szCs w:val="22"/>
              </w:rPr>
            </w:pPr>
            <w:r w:rsidRPr="00887129">
              <w:rPr>
                <w:sz w:val="22"/>
                <w:szCs w:val="22"/>
              </w:rPr>
              <w:t>183</w:t>
            </w:r>
          </w:p>
        </w:tc>
        <w:tc>
          <w:tcPr>
            <w:tcW w:w="1080" w:type="dxa"/>
            <w:shd w:val="clear" w:color="auto" w:fill="FFFFFF" w:themeFill="background1"/>
          </w:tcPr>
          <w:p w14:paraId="1AFCC961" w14:textId="47D44C49" w:rsidR="007A75BB" w:rsidRPr="00887129" w:rsidRDefault="007A75BB" w:rsidP="00002D71">
            <w:pPr>
              <w:jc w:val="center"/>
              <w:rPr>
                <w:sz w:val="22"/>
                <w:szCs w:val="22"/>
              </w:rPr>
            </w:pPr>
            <w:r w:rsidRPr="00887129">
              <w:rPr>
                <w:sz w:val="22"/>
                <w:szCs w:val="22"/>
              </w:rPr>
              <w:t>325</w:t>
            </w:r>
          </w:p>
        </w:tc>
        <w:tc>
          <w:tcPr>
            <w:tcW w:w="1260" w:type="dxa"/>
            <w:shd w:val="clear" w:color="auto" w:fill="FFFFFF" w:themeFill="background1"/>
          </w:tcPr>
          <w:p w14:paraId="78D14EEB" w14:textId="049DD706" w:rsidR="007A75BB" w:rsidRPr="00887129" w:rsidRDefault="007A75BB" w:rsidP="00002D71">
            <w:pPr>
              <w:jc w:val="center"/>
              <w:rPr>
                <w:sz w:val="22"/>
                <w:szCs w:val="22"/>
              </w:rPr>
            </w:pPr>
            <w:r w:rsidRPr="00887129">
              <w:rPr>
                <w:sz w:val="22"/>
                <w:szCs w:val="22"/>
              </w:rPr>
              <w:t>219</w:t>
            </w:r>
          </w:p>
        </w:tc>
      </w:tr>
      <w:tr w:rsidR="007A75BB" w:rsidRPr="000A1781" w14:paraId="52A450DD" w14:textId="77777777" w:rsidTr="00887129">
        <w:tc>
          <w:tcPr>
            <w:tcW w:w="2191" w:type="dxa"/>
            <w:shd w:val="clear" w:color="auto" w:fill="FFFFFF" w:themeFill="background1"/>
            <w:vAlign w:val="center"/>
          </w:tcPr>
          <w:p w14:paraId="2E1788F9" w14:textId="0EA595D2" w:rsidR="007A75BB" w:rsidRPr="00887129" w:rsidRDefault="00F32E71" w:rsidP="00F32E71">
            <w:pPr>
              <w:ind w:left="-468"/>
              <w:jc w:val="center"/>
              <w:rPr>
                <w:b/>
                <w:bCs/>
                <w:sz w:val="22"/>
                <w:szCs w:val="22"/>
              </w:rPr>
            </w:pPr>
            <w:r w:rsidRPr="00887129">
              <w:rPr>
                <w:b/>
                <w:bCs/>
                <w:sz w:val="22"/>
                <w:szCs w:val="22"/>
              </w:rPr>
              <w:t xml:space="preserve">     </w:t>
            </w:r>
            <w:r w:rsidR="007A75BB" w:rsidRPr="00887129">
              <w:rPr>
                <w:b/>
                <w:bCs/>
                <w:sz w:val="22"/>
                <w:szCs w:val="22"/>
              </w:rPr>
              <w:t>Differences</w:t>
            </w:r>
          </w:p>
        </w:tc>
        <w:tc>
          <w:tcPr>
            <w:tcW w:w="1049" w:type="dxa"/>
            <w:shd w:val="clear" w:color="auto" w:fill="FFFFFF" w:themeFill="background1"/>
          </w:tcPr>
          <w:p w14:paraId="57EE822F" w14:textId="399C3B00" w:rsidR="007A75BB" w:rsidRPr="00887129" w:rsidRDefault="007A75BB" w:rsidP="00002D71">
            <w:pPr>
              <w:jc w:val="center"/>
              <w:rPr>
                <w:sz w:val="22"/>
                <w:szCs w:val="22"/>
              </w:rPr>
            </w:pPr>
            <w:r w:rsidRPr="00887129">
              <w:rPr>
                <w:sz w:val="22"/>
                <w:szCs w:val="22"/>
              </w:rPr>
              <w:t>(46)</w:t>
            </w:r>
          </w:p>
        </w:tc>
        <w:tc>
          <w:tcPr>
            <w:tcW w:w="1080" w:type="dxa"/>
            <w:shd w:val="clear" w:color="auto" w:fill="FFFFFF" w:themeFill="background1"/>
          </w:tcPr>
          <w:p w14:paraId="14F73D1B" w14:textId="2B43FA05" w:rsidR="007A75BB" w:rsidRPr="00887129" w:rsidRDefault="007A75BB" w:rsidP="00002D71">
            <w:pPr>
              <w:jc w:val="center"/>
              <w:rPr>
                <w:sz w:val="22"/>
                <w:szCs w:val="22"/>
              </w:rPr>
            </w:pPr>
            <w:r w:rsidRPr="00887129">
              <w:rPr>
                <w:sz w:val="22"/>
                <w:szCs w:val="22"/>
              </w:rPr>
              <w:t>(314)</w:t>
            </w:r>
          </w:p>
        </w:tc>
        <w:tc>
          <w:tcPr>
            <w:tcW w:w="1080" w:type="dxa"/>
            <w:shd w:val="clear" w:color="auto" w:fill="FFFFFF" w:themeFill="background1"/>
          </w:tcPr>
          <w:p w14:paraId="07B8980F" w14:textId="198CABB8" w:rsidR="007A75BB" w:rsidRPr="00887129" w:rsidRDefault="007A75BB" w:rsidP="00002D71">
            <w:pPr>
              <w:jc w:val="center"/>
              <w:rPr>
                <w:sz w:val="22"/>
                <w:szCs w:val="22"/>
              </w:rPr>
            </w:pPr>
            <w:r w:rsidRPr="00887129">
              <w:rPr>
                <w:sz w:val="22"/>
                <w:szCs w:val="22"/>
              </w:rPr>
              <w:t>(175)</w:t>
            </w:r>
          </w:p>
        </w:tc>
        <w:tc>
          <w:tcPr>
            <w:tcW w:w="1080" w:type="dxa"/>
            <w:shd w:val="clear" w:color="auto" w:fill="FFFFFF" w:themeFill="background1"/>
          </w:tcPr>
          <w:p w14:paraId="4FAE1BA4" w14:textId="35780DC2" w:rsidR="007A75BB" w:rsidRPr="00887129" w:rsidRDefault="007A75BB" w:rsidP="00002D71">
            <w:pPr>
              <w:jc w:val="center"/>
              <w:rPr>
                <w:sz w:val="22"/>
                <w:szCs w:val="22"/>
              </w:rPr>
            </w:pPr>
            <w:r w:rsidRPr="00887129">
              <w:rPr>
                <w:sz w:val="22"/>
                <w:szCs w:val="22"/>
              </w:rPr>
              <w:t>(162)</w:t>
            </w:r>
          </w:p>
        </w:tc>
        <w:tc>
          <w:tcPr>
            <w:tcW w:w="1080" w:type="dxa"/>
            <w:shd w:val="clear" w:color="auto" w:fill="FFFFFF" w:themeFill="background1"/>
          </w:tcPr>
          <w:p w14:paraId="65673226" w14:textId="6C775EAF" w:rsidR="007A75BB" w:rsidRPr="00887129" w:rsidRDefault="007A75BB" w:rsidP="00002D71">
            <w:pPr>
              <w:jc w:val="center"/>
              <w:rPr>
                <w:sz w:val="22"/>
                <w:szCs w:val="22"/>
              </w:rPr>
            </w:pPr>
            <w:r w:rsidRPr="00887129">
              <w:rPr>
                <w:sz w:val="22"/>
                <w:szCs w:val="22"/>
              </w:rPr>
              <w:t>(35)</w:t>
            </w:r>
          </w:p>
        </w:tc>
        <w:tc>
          <w:tcPr>
            <w:tcW w:w="1260" w:type="dxa"/>
            <w:shd w:val="clear" w:color="auto" w:fill="FFFFFF" w:themeFill="background1"/>
          </w:tcPr>
          <w:p w14:paraId="42FBD843" w14:textId="5B5A4430" w:rsidR="007A75BB" w:rsidRPr="00887129" w:rsidRDefault="007A75BB" w:rsidP="00002D71">
            <w:pPr>
              <w:jc w:val="center"/>
              <w:rPr>
                <w:sz w:val="22"/>
                <w:szCs w:val="22"/>
              </w:rPr>
            </w:pPr>
            <w:r w:rsidRPr="00887129">
              <w:rPr>
                <w:sz w:val="22"/>
                <w:szCs w:val="22"/>
              </w:rPr>
              <w:t>(181)</w:t>
            </w:r>
          </w:p>
        </w:tc>
      </w:tr>
      <w:bookmarkEnd w:id="1"/>
    </w:tbl>
    <w:p w14:paraId="5C9E85F4" w14:textId="77777777" w:rsidR="00F32E71" w:rsidRDefault="00F32E71" w:rsidP="00F32E71">
      <w:pPr>
        <w:pStyle w:val="ListParagraph"/>
        <w:spacing w:line="240" w:lineRule="auto"/>
        <w:ind w:left="1620"/>
        <w:rPr>
          <w:rFonts w:ascii="Times New Roman" w:hAnsi="Times New Roman" w:cs="Times New Roman"/>
          <w:sz w:val="24"/>
          <w:szCs w:val="24"/>
        </w:rPr>
      </w:pPr>
    </w:p>
    <w:p w14:paraId="74C17A86" w14:textId="77777777" w:rsidR="00F32E71" w:rsidRDefault="00F32E71" w:rsidP="00F32E71">
      <w:pPr>
        <w:pStyle w:val="ListParagraph"/>
        <w:spacing w:line="240" w:lineRule="auto"/>
        <w:ind w:left="1620"/>
        <w:rPr>
          <w:rFonts w:ascii="Times New Roman" w:hAnsi="Times New Roman" w:cs="Times New Roman"/>
          <w:sz w:val="24"/>
          <w:szCs w:val="24"/>
        </w:rPr>
      </w:pPr>
    </w:p>
    <w:p w14:paraId="67F7BFEA" w14:textId="77777777" w:rsidR="00F32E71" w:rsidRDefault="00F32E71" w:rsidP="00F32E71">
      <w:pPr>
        <w:pStyle w:val="ListParagraph"/>
        <w:spacing w:line="240" w:lineRule="auto"/>
        <w:ind w:left="1620"/>
        <w:rPr>
          <w:rFonts w:ascii="Times New Roman" w:hAnsi="Times New Roman" w:cs="Times New Roman"/>
          <w:sz w:val="24"/>
          <w:szCs w:val="24"/>
        </w:rPr>
      </w:pPr>
    </w:p>
    <w:p w14:paraId="31188851" w14:textId="625E743F" w:rsidR="001567A4" w:rsidRPr="000A1781" w:rsidRDefault="001567A4" w:rsidP="00B779B7">
      <w:pPr>
        <w:pStyle w:val="ListParagraph"/>
        <w:numPr>
          <w:ilvl w:val="0"/>
          <w:numId w:val="9"/>
        </w:numPr>
        <w:spacing w:line="240" w:lineRule="auto"/>
        <w:rPr>
          <w:rFonts w:ascii="Times New Roman" w:hAnsi="Times New Roman" w:cs="Times New Roman"/>
          <w:sz w:val="24"/>
          <w:szCs w:val="24"/>
        </w:rPr>
      </w:pPr>
      <w:r w:rsidRPr="000A1781">
        <w:rPr>
          <w:rFonts w:ascii="Times New Roman" w:hAnsi="Times New Roman" w:cs="Times New Roman"/>
          <w:sz w:val="24"/>
          <w:szCs w:val="24"/>
        </w:rPr>
        <w:lastRenderedPageBreak/>
        <w:t>Complaints</w:t>
      </w:r>
    </w:p>
    <w:p w14:paraId="67F73187" w14:textId="245944A1" w:rsidR="003C2C8D" w:rsidRPr="000A1781" w:rsidRDefault="00D028F3" w:rsidP="00002D71">
      <w:pPr>
        <w:widowControl/>
        <w:tabs>
          <w:tab w:val="left" w:pos="1800"/>
        </w:tabs>
        <w:autoSpaceDE/>
        <w:autoSpaceDN/>
        <w:adjustRightInd/>
        <w:ind w:left="1620"/>
        <w:contextualSpacing/>
        <w:rPr>
          <w:iCs/>
        </w:rPr>
      </w:pPr>
      <w:r w:rsidRPr="000A1781">
        <w:rPr>
          <w:iCs/>
        </w:rPr>
        <w:t>Complain</w:t>
      </w:r>
      <w:r w:rsidR="00966D1D" w:rsidRPr="000A1781">
        <w:rPr>
          <w:iCs/>
        </w:rPr>
        <w:t>t</w:t>
      </w:r>
      <w:r w:rsidRPr="000A1781">
        <w:rPr>
          <w:iCs/>
        </w:rPr>
        <w:t>s are defined as notices of alleged hazards filed by current workers or their representatives.</w:t>
      </w:r>
      <w:r w:rsidR="003C2C8D" w:rsidRPr="000A1781">
        <w:rPr>
          <w:iCs/>
        </w:rPr>
        <w:t xml:space="preserve"> All other notices of alleged hazards, including those from former workers and unsigned notices from current workers or employee representatives are classified as referrals. </w:t>
      </w:r>
      <w:r w:rsidR="003C0D74" w:rsidRPr="000A1781">
        <w:rPr>
          <w:iCs/>
        </w:rPr>
        <w:t>Complaints are responded to by inspection in accordance with the New Mexico</w:t>
      </w:r>
      <w:r w:rsidR="00B74964" w:rsidRPr="000A1781">
        <w:rPr>
          <w:iCs/>
        </w:rPr>
        <w:t xml:space="preserve"> OHS Act and regulations. Referrals may be handled by phone and fax, letter, or inspection, as determined by the CPM.</w:t>
      </w:r>
      <w:r w:rsidR="001277F6" w:rsidRPr="000A1781">
        <w:rPr>
          <w:iCs/>
        </w:rPr>
        <w:t xml:space="preserve"> </w:t>
      </w:r>
    </w:p>
    <w:p w14:paraId="6F75630F" w14:textId="77777777" w:rsidR="004D0A68" w:rsidRPr="000A1781" w:rsidRDefault="004D0A68" w:rsidP="00002D71">
      <w:pPr>
        <w:widowControl/>
        <w:tabs>
          <w:tab w:val="left" w:pos="1800"/>
        </w:tabs>
        <w:autoSpaceDE/>
        <w:autoSpaceDN/>
        <w:adjustRightInd/>
        <w:ind w:left="1620"/>
        <w:contextualSpacing/>
        <w:rPr>
          <w:iCs/>
        </w:rPr>
      </w:pPr>
    </w:p>
    <w:p w14:paraId="5BB0C5C3" w14:textId="021D3256" w:rsidR="00C71A4D" w:rsidRPr="000A1781" w:rsidRDefault="00C71A4D" w:rsidP="00C71A4D">
      <w:pPr>
        <w:widowControl/>
        <w:tabs>
          <w:tab w:val="left" w:pos="1800"/>
        </w:tabs>
        <w:autoSpaceDE/>
        <w:autoSpaceDN/>
        <w:adjustRightInd/>
        <w:ind w:left="1620"/>
        <w:contextualSpacing/>
        <w:rPr>
          <w:spacing w:val="-2"/>
        </w:rPr>
      </w:pPr>
      <w:r w:rsidRPr="000A1781">
        <w:rPr>
          <w:spacing w:val="-2"/>
        </w:rPr>
        <w:t xml:space="preserve">According to the NM OSHB </w:t>
      </w:r>
      <w:r w:rsidR="00EB429D" w:rsidRPr="000A1781">
        <w:rPr>
          <w:spacing w:val="-2"/>
        </w:rPr>
        <w:t>Field Operations Manual (</w:t>
      </w:r>
      <w:r w:rsidRPr="000A1781">
        <w:rPr>
          <w:spacing w:val="-2"/>
        </w:rPr>
        <w:t>FOM</w:t>
      </w:r>
      <w:r w:rsidR="00EB429D" w:rsidRPr="000A1781">
        <w:rPr>
          <w:spacing w:val="-2"/>
        </w:rPr>
        <w:t>)</w:t>
      </w:r>
      <w:r w:rsidRPr="000A1781">
        <w:rPr>
          <w:spacing w:val="-2"/>
        </w:rPr>
        <w:t xml:space="preserve">, the timeframe for response by inspection to complaints of serious and/or other than serious hazards is five working days. </w:t>
      </w:r>
      <w:r w:rsidRPr="000A1781">
        <w:rPr>
          <w:iCs/>
        </w:rPr>
        <w:t xml:space="preserve">The goal for responding to imminent danger complaints and referrals is one working day. </w:t>
      </w:r>
      <w:r w:rsidRPr="000A1781">
        <w:rPr>
          <w:spacing w:val="-2"/>
        </w:rPr>
        <w:t>It is important to comply with this guidance to ensure that all complaints and referrals are being addressed and the appropriate citations are issued.</w:t>
      </w:r>
    </w:p>
    <w:p w14:paraId="7C8758C4" w14:textId="77777777" w:rsidR="004D0A68" w:rsidRPr="000A1781" w:rsidRDefault="004D0A68" w:rsidP="00002D71">
      <w:pPr>
        <w:widowControl/>
        <w:tabs>
          <w:tab w:val="left" w:pos="1800"/>
        </w:tabs>
        <w:autoSpaceDE/>
        <w:autoSpaceDN/>
        <w:adjustRightInd/>
        <w:ind w:left="1620"/>
        <w:contextualSpacing/>
        <w:rPr>
          <w:iCs/>
        </w:rPr>
      </w:pPr>
    </w:p>
    <w:p w14:paraId="782C503B" w14:textId="59F006D3" w:rsidR="00C71A4D" w:rsidRPr="000A1781" w:rsidRDefault="004D0A68" w:rsidP="00C71A4D">
      <w:pPr>
        <w:widowControl/>
        <w:tabs>
          <w:tab w:val="left" w:pos="1800"/>
        </w:tabs>
        <w:autoSpaceDE/>
        <w:autoSpaceDN/>
        <w:adjustRightInd/>
        <w:ind w:left="1620"/>
        <w:contextualSpacing/>
        <w:rPr>
          <w:spacing w:val="-2"/>
        </w:rPr>
      </w:pPr>
      <w:r w:rsidRPr="000A1781">
        <w:rPr>
          <w:iCs/>
        </w:rPr>
        <w:t xml:space="preserve">NM OSHB received one Complaint Against State Plan Administration (CASPA) during FY 23 regarding the way complaints are handled. To address this concern, NM OHSB </w:t>
      </w:r>
      <w:r w:rsidR="00EB429D" w:rsidRPr="000A1781">
        <w:rPr>
          <w:iCs/>
        </w:rPr>
        <w:t xml:space="preserve">reviewed </w:t>
      </w:r>
      <w:r w:rsidR="00C71A4D" w:rsidRPr="000A1781">
        <w:rPr>
          <w:spacing w:val="-2"/>
        </w:rPr>
        <w:t>the working definition of a complaint and</w:t>
      </w:r>
      <w:r w:rsidR="00EB429D" w:rsidRPr="000A1781">
        <w:rPr>
          <w:spacing w:val="-2"/>
        </w:rPr>
        <w:t xml:space="preserve"> updated</w:t>
      </w:r>
      <w:r w:rsidR="00C71A4D" w:rsidRPr="000A1781">
        <w:rPr>
          <w:spacing w:val="-2"/>
        </w:rPr>
        <w:t xml:space="preserve"> Chapter </w:t>
      </w:r>
      <w:r w:rsidR="00EB429D" w:rsidRPr="000A1781">
        <w:rPr>
          <w:spacing w:val="-2"/>
        </w:rPr>
        <w:t>nine</w:t>
      </w:r>
      <w:r w:rsidR="00C71A4D" w:rsidRPr="000A1781">
        <w:rPr>
          <w:spacing w:val="-2"/>
        </w:rPr>
        <w:t xml:space="preserve"> of the NM OHSB FOM to be at least as effective </w:t>
      </w:r>
      <w:r w:rsidR="00EB429D" w:rsidRPr="000A1781">
        <w:rPr>
          <w:spacing w:val="-2"/>
        </w:rPr>
        <w:t xml:space="preserve">(ALAE) </w:t>
      </w:r>
      <w:r w:rsidR="00C71A4D" w:rsidRPr="000A1781">
        <w:rPr>
          <w:spacing w:val="-2"/>
        </w:rPr>
        <w:t>as the federal definition of a complaint to ensure all complaints are being handled appropriately.</w:t>
      </w:r>
    </w:p>
    <w:p w14:paraId="7E0A9CBF" w14:textId="77777777" w:rsidR="00C71A4D" w:rsidRPr="000A1781" w:rsidRDefault="00C71A4D" w:rsidP="00002D71">
      <w:pPr>
        <w:widowControl/>
        <w:tabs>
          <w:tab w:val="left" w:pos="1800"/>
        </w:tabs>
        <w:autoSpaceDE/>
        <w:autoSpaceDN/>
        <w:adjustRightInd/>
        <w:ind w:left="1620"/>
        <w:contextualSpacing/>
        <w:rPr>
          <w:b/>
          <w:bCs/>
          <w:iCs/>
        </w:rPr>
      </w:pPr>
    </w:p>
    <w:p w14:paraId="0984AF74" w14:textId="3AC2D008" w:rsidR="002C68BD" w:rsidRPr="000A1781" w:rsidRDefault="00EB4FEA" w:rsidP="00002D71">
      <w:pPr>
        <w:widowControl/>
        <w:tabs>
          <w:tab w:val="left" w:pos="1800"/>
        </w:tabs>
        <w:autoSpaceDE/>
        <w:autoSpaceDN/>
        <w:adjustRightInd/>
        <w:ind w:left="1620"/>
        <w:contextualSpacing/>
        <w:rPr>
          <w:iCs/>
        </w:rPr>
      </w:pPr>
      <w:r w:rsidRPr="000A1781">
        <w:rPr>
          <w:iCs/>
        </w:rPr>
        <w:t>Appendix D</w:t>
      </w:r>
      <w:r w:rsidR="00C52FB4" w:rsidRPr="000A1781">
        <w:rPr>
          <w:iCs/>
        </w:rPr>
        <w:t>, SAMM 1</w:t>
      </w:r>
      <w:r w:rsidR="000B2EBC" w:rsidRPr="000A1781">
        <w:rPr>
          <w:iCs/>
        </w:rPr>
        <w:t>a</w:t>
      </w:r>
      <w:r w:rsidR="00C52FB4" w:rsidRPr="000A1781">
        <w:rPr>
          <w:iCs/>
        </w:rPr>
        <w:t>,</w:t>
      </w:r>
      <w:r w:rsidRPr="000A1781">
        <w:rPr>
          <w:iCs/>
        </w:rPr>
        <w:t xml:space="preserve"> shows that </w:t>
      </w:r>
      <w:r w:rsidR="00B5469D" w:rsidRPr="000A1781">
        <w:rPr>
          <w:iCs/>
        </w:rPr>
        <w:t>the average number of days to initiate complaint inspections is 13.85 days</w:t>
      </w:r>
      <w:r w:rsidR="00366A29" w:rsidRPr="000A1781">
        <w:rPr>
          <w:iCs/>
        </w:rPr>
        <w:t>. The FRL is 5 days. SAMM</w:t>
      </w:r>
      <w:r w:rsidR="00C52FB4" w:rsidRPr="000A1781">
        <w:rPr>
          <w:iCs/>
        </w:rPr>
        <w:t xml:space="preserve"> 1</w:t>
      </w:r>
      <w:r w:rsidR="000B2EBC" w:rsidRPr="000A1781">
        <w:rPr>
          <w:iCs/>
        </w:rPr>
        <w:t>b</w:t>
      </w:r>
      <w:r w:rsidR="00C52FB4" w:rsidRPr="000A1781">
        <w:rPr>
          <w:iCs/>
        </w:rPr>
        <w:t xml:space="preserve"> </w:t>
      </w:r>
      <w:r w:rsidR="000B2EBC" w:rsidRPr="000A1781">
        <w:rPr>
          <w:iCs/>
        </w:rPr>
        <w:t>show</w:t>
      </w:r>
      <w:r w:rsidR="00C52FB4" w:rsidRPr="000A1781">
        <w:rPr>
          <w:iCs/>
        </w:rPr>
        <w:t xml:space="preserve">s that </w:t>
      </w:r>
      <w:r w:rsidRPr="000A1781">
        <w:rPr>
          <w:iCs/>
        </w:rPr>
        <w:t xml:space="preserve">NM OSHB responded to all complaints and </w:t>
      </w:r>
      <w:r w:rsidR="00D61AD7" w:rsidRPr="000A1781">
        <w:rPr>
          <w:iCs/>
        </w:rPr>
        <w:t>referrals related to imminent danger within one day</w:t>
      </w:r>
      <w:r w:rsidR="00C52FB4" w:rsidRPr="000A1781">
        <w:rPr>
          <w:iCs/>
        </w:rPr>
        <w:t xml:space="preserve"> </w:t>
      </w:r>
      <w:r w:rsidR="00D61AD7" w:rsidRPr="000A1781">
        <w:rPr>
          <w:iCs/>
        </w:rPr>
        <w:t>(100%).</w:t>
      </w:r>
    </w:p>
    <w:p w14:paraId="6AEB4F45" w14:textId="77777777" w:rsidR="009C64A8" w:rsidRPr="000A1781" w:rsidRDefault="009C64A8" w:rsidP="00002D71">
      <w:pPr>
        <w:widowControl/>
        <w:tabs>
          <w:tab w:val="left" w:pos="1800"/>
        </w:tabs>
        <w:autoSpaceDE/>
        <w:autoSpaceDN/>
        <w:adjustRightInd/>
        <w:ind w:left="1620"/>
        <w:contextualSpacing/>
        <w:rPr>
          <w:iCs/>
        </w:rPr>
      </w:pPr>
    </w:p>
    <w:p w14:paraId="2E82A750" w14:textId="5384D7D2" w:rsidR="00811DE8" w:rsidRPr="000A1781" w:rsidRDefault="009C64A8" w:rsidP="00002D71">
      <w:pPr>
        <w:widowControl/>
        <w:tabs>
          <w:tab w:val="left" w:pos="1800"/>
        </w:tabs>
        <w:autoSpaceDE/>
        <w:autoSpaceDN/>
        <w:adjustRightInd/>
        <w:ind w:left="1620"/>
        <w:contextualSpacing/>
        <w:rPr>
          <w:spacing w:val="-2"/>
        </w:rPr>
      </w:pPr>
      <w:r w:rsidRPr="000A1781">
        <w:rPr>
          <w:b/>
          <w:bCs/>
        </w:rPr>
        <w:t>Observation FY 2023-03</w:t>
      </w:r>
      <w:r w:rsidRPr="000A1781">
        <w:t xml:space="preserve">: </w:t>
      </w:r>
      <w:r w:rsidR="00811DE8" w:rsidRPr="000A1781">
        <w:t xml:space="preserve">In FY 2023, there were 12 valid complaint </w:t>
      </w:r>
      <w:r w:rsidR="001C12AB" w:rsidRPr="000A1781">
        <w:t>unprogrammed activities</w:t>
      </w:r>
      <w:r w:rsidR="00D819BB" w:rsidRPr="000A1781">
        <w:t xml:space="preserve"> (UPAs)</w:t>
      </w:r>
      <w:r w:rsidR="00811DE8" w:rsidRPr="000A1781">
        <w:t xml:space="preserve"> handled as an inspection which</w:t>
      </w:r>
      <w:r w:rsidR="00811DE8" w:rsidRPr="000A1781">
        <w:rPr>
          <w:spacing w:val="-6"/>
        </w:rPr>
        <w:t xml:space="preserve"> </w:t>
      </w:r>
      <w:r w:rsidR="00811DE8" w:rsidRPr="000A1781">
        <w:t>have</w:t>
      </w:r>
      <w:r w:rsidR="00811DE8" w:rsidRPr="000A1781">
        <w:rPr>
          <w:spacing w:val="-6"/>
        </w:rPr>
        <w:t xml:space="preserve"> </w:t>
      </w:r>
      <w:r w:rsidR="00811DE8" w:rsidRPr="000A1781">
        <w:t>been</w:t>
      </w:r>
      <w:r w:rsidR="00811DE8" w:rsidRPr="000A1781">
        <w:rPr>
          <w:spacing w:val="-7"/>
        </w:rPr>
        <w:t xml:space="preserve"> </w:t>
      </w:r>
      <w:r w:rsidR="00811DE8" w:rsidRPr="000A1781">
        <w:t>open</w:t>
      </w:r>
      <w:r w:rsidR="00811DE8" w:rsidRPr="000A1781">
        <w:rPr>
          <w:spacing w:val="-6"/>
        </w:rPr>
        <w:t xml:space="preserve"> </w:t>
      </w:r>
      <w:r w:rsidR="00811DE8" w:rsidRPr="000A1781">
        <w:rPr>
          <w:spacing w:val="-5"/>
        </w:rPr>
        <w:t>for</w:t>
      </w:r>
      <w:r w:rsidR="00811DE8" w:rsidRPr="000A1781">
        <w:t xml:space="preserve"> more</w:t>
      </w:r>
      <w:r w:rsidR="00811DE8" w:rsidRPr="000A1781">
        <w:rPr>
          <w:spacing w:val="-5"/>
        </w:rPr>
        <w:t xml:space="preserve"> </w:t>
      </w:r>
      <w:r w:rsidR="00811DE8" w:rsidRPr="000A1781">
        <w:t>than</w:t>
      </w:r>
      <w:r w:rsidR="00811DE8" w:rsidRPr="000A1781">
        <w:rPr>
          <w:spacing w:val="-6"/>
        </w:rPr>
        <w:t xml:space="preserve"> </w:t>
      </w:r>
      <w:r w:rsidR="00811DE8" w:rsidRPr="000A1781">
        <w:t>60</w:t>
      </w:r>
      <w:r w:rsidR="00811DE8" w:rsidRPr="000A1781">
        <w:rPr>
          <w:spacing w:val="-4"/>
        </w:rPr>
        <w:t xml:space="preserve"> </w:t>
      </w:r>
      <w:r w:rsidR="00811DE8" w:rsidRPr="000A1781">
        <w:rPr>
          <w:spacing w:val="-2"/>
        </w:rPr>
        <w:t>calendar</w:t>
      </w:r>
      <w:r w:rsidR="00811DE8" w:rsidRPr="000A1781">
        <w:t xml:space="preserve"> days</w:t>
      </w:r>
      <w:r w:rsidR="00811DE8" w:rsidRPr="000A1781">
        <w:rPr>
          <w:spacing w:val="-5"/>
        </w:rPr>
        <w:t xml:space="preserve"> </w:t>
      </w:r>
      <w:r w:rsidR="00811DE8" w:rsidRPr="000A1781">
        <w:t>and</w:t>
      </w:r>
      <w:r w:rsidR="00811DE8" w:rsidRPr="000A1781">
        <w:rPr>
          <w:spacing w:val="-6"/>
        </w:rPr>
        <w:t xml:space="preserve"> 138 </w:t>
      </w:r>
      <w:r w:rsidR="00811DE8" w:rsidRPr="000A1781">
        <w:rPr>
          <w:spacing w:val="-2"/>
        </w:rPr>
        <w:t>valid</w:t>
      </w:r>
      <w:r w:rsidR="00811DE8" w:rsidRPr="000A1781">
        <w:t xml:space="preserve"> complaints</w:t>
      </w:r>
      <w:r w:rsidR="00811DE8" w:rsidRPr="000A1781">
        <w:rPr>
          <w:spacing w:val="-9"/>
        </w:rPr>
        <w:t xml:space="preserve"> </w:t>
      </w:r>
      <w:r w:rsidR="00811DE8" w:rsidRPr="000A1781">
        <w:t>handled</w:t>
      </w:r>
      <w:r w:rsidR="00811DE8" w:rsidRPr="000A1781">
        <w:rPr>
          <w:spacing w:val="-8"/>
        </w:rPr>
        <w:t xml:space="preserve"> </w:t>
      </w:r>
      <w:r w:rsidR="00811DE8" w:rsidRPr="000A1781">
        <w:rPr>
          <w:spacing w:val="-5"/>
        </w:rPr>
        <w:t>as</w:t>
      </w:r>
      <w:r w:rsidR="00811DE8" w:rsidRPr="000A1781">
        <w:t xml:space="preserve"> a</w:t>
      </w:r>
      <w:r w:rsidR="00811DE8" w:rsidRPr="000A1781">
        <w:rPr>
          <w:spacing w:val="-8"/>
        </w:rPr>
        <w:t xml:space="preserve"> </w:t>
      </w:r>
      <w:r w:rsidR="00811DE8" w:rsidRPr="000A1781">
        <w:t>phone/fax</w:t>
      </w:r>
      <w:r w:rsidR="00811DE8" w:rsidRPr="000A1781">
        <w:rPr>
          <w:spacing w:val="-6"/>
        </w:rPr>
        <w:t xml:space="preserve"> </w:t>
      </w:r>
      <w:r w:rsidR="00811DE8" w:rsidRPr="000A1781">
        <w:t>which</w:t>
      </w:r>
      <w:r w:rsidR="00811DE8" w:rsidRPr="000A1781">
        <w:rPr>
          <w:spacing w:val="-6"/>
        </w:rPr>
        <w:t xml:space="preserve"> </w:t>
      </w:r>
      <w:r w:rsidR="00811DE8" w:rsidRPr="000A1781">
        <w:rPr>
          <w:spacing w:val="-4"/>
        </w:rPr>
        <w:t>have</w:t>
      </w:r>
      <w:r w:rsidR="00811DE8" w:rsidRPr="000A1781">
        <w:t xml:space="preserve"> been</w:t>
      </w:r>
      <w:r w:rsidR="00811DE8" w:rsidRPr="000A1781">
        <w:rPr>
          <w:spacing w:val="-6"/>
        </w:rPr>
        <w:t xml:space="preserve"> </w:t>
      </w:r>
      <w:r w:rsidR="00811DE8" w:rsidRPr="000A1781">
        <w:t>open</w:t>
      </w:r>
      <w:r w:rsidR="00811DE8" w:rsidRPr="000A1781">
        <w:rPr>
          <w:spacing w:val="-5"/>
        </w:rPr>
        <w:t xml:space="preserve"> </w:t>
      </w:r>
      <w:r w:rsidR="00811DE8" w:rsidRPr="000A1781">
        <w:t>more</w:t>
      </w:r>
      <w:r w:rsidR="00811DE8" w:rsidRPr="000A1781">
        <w:rPr>
          <w:spacing w:val="-6"/>
        </w:rPr>
        <w:t xml:space="preserve"> </w:t>
      </w:r>
      <w:r w:rsidR="00811DE8" w:rsidRPr="000A1781">
        <w:t>than</w:t>
      </w:r>
      <w:r w:rsidR="00811DE8" w:rsidRPr="000A1781">
        <w:rPr>
          <w:spacing w:val="-5"/>
        </w:rPr>
        <w:t xml:space="preserve"> 30</w:t>
      </w:r>
      <w:r w:rsidR="00811DE8" w:rsidRPr="000A1781">
        <w:t xml:space="preserve"> calendar</w:t>
      </w:r>
      <w:r w:rsidR="00811DE8" w:rsidRPr="000A1781">
        <w:rPr>
          <w:spacing w:val="-8"/>
        </w:rPr>
        <w:t xml:space="preserve"> </w:t>
      </w:r>
      <w:r w:rsidR="00811DE8" w:rsidRPr="000A1781">
        <w:rPr>
          <w:spacing w:val="-2"/>
        </w:rPr>
        <w:t>days</w:t>
      </w:r>
      <w:r w:rsidR="00E42C9A" w:rsidRPr="000A1781">
        <w:rPr>
          <w:spacing w:val="-2"/>
        </w:rPr>
        <w:t>.</w:t>
      </w:r>
    </w:p>
    <w:p w14:paraId="1F6398D0" w14:textId="77777777" w:rsidR="00811DE8" w:rsidRPr="000A1781" w:rsidRDefault="00811DE8" w:rsidP="00DF3252">
      <w:pPr>
        <w:widowControl/>
        <w:tabs>
          <w:tab w:val="left" w:pos="1800"/>
        </w:tabs>
        <w:autoSpaceDE/>
        <w:autoSpaceDN/>
        <w:adjustRightInd/>
        <w:contextualSpacing/>
        <w:rPr>
          <w:b/>
          <w:bCs/>
          <w:spacing w:val="-2"/>
        </w:rPr>
      </w:pPr>
    </w:p>
    <w:p w14:paraId="6C09C7B5" w14:textId="1A20ADF0" w:rsidR="009C64A8" w:rsidRPr="000A1781" w:rsidRDefault="00747F66" w:rsidP="00002D71">
      <w:pPr>
        <w:widowControl/>
        <w:tabs>
          <w:tab w:val="left" w:pos="1800"/>
        </w:tabs>
        <w:autoSpaceDE/>
        <w:autoSpaceDN/>
        <w:adjustRightInd/>
        <w:ind w:left="1620"/>
        <w:contextualSpacing/>
        <w:rPr>
          <w:spacing w:val="-2"/>
        </w:rPr>
      </w:pPr>
      <w:r w:rsidRPr="000A1781">
        <w:rPr>
          <w:b/>
          <w:bCs/>
          <w:spacing w:val="-2"/>
        </w:rPr>
        <w:t>Federal</w:t>
      </w:r>
      <w:r w:rsidR="009C64A8" w:rsidRPr="000A1781">
        <w:rPr>
          <w:b/>
          <w:bCs/>
          <w:spacing w:val="-2"/>
        </w:rPr>
        <w:t xml:space="preserve"> </w:t>
      </w:r>
      <w:r w:rsidRPr="000A1781">
        <w:rPr>
          <w:b/>
          <w:bCs/>
          <w:spacing w:val="-2"/>
        </w:rPr>
        <w:t>Monitoring Plan</w:t>
      </w:r>
      <w:r w:rsidR="009C64A8" w:rsidRPr="000A1781">
        <w:rPr>
          <w:spacing w:val="-2"/>
        </w:rPr>
        <w:t>:</w:t>
      </w:r>
      <w:r w:rsidR="003531B6" w:rsidRPr="000A1781">
        <w:rPr>
          <w:spacing w:val="-2"/>
        </w:rPr>
        <w:t xml:space="preserve"> </w:t>
      </w:r>
      <w:r w:rsidR="003531B6" w:rsidRPr="000A1781">
        <w:t>OSHA will continue to monitor performance in this</w:t>
      </w:r>
      <w:r w:rsidR="003531B6" w:rsidRPr="000A1781">
        <w:rPr>
          <w:spacing w:val="-13"/>
        </w:rPr>
        <w:t xml:space="preserve"> </w:t>
      </w:r>
      <w:r w:rsidR="003531B6" w:rsidRPr="000A1781">
        <w:t>area</w:t>
      </w:r>
      <w:r w:rsidR="003531B6" w:rsidRPr="000A1781">
        <w:rPr>
          <w:spacing w:val="-12"/>
        </w:rPr>
        <w:t xml:space="preserve"> </w:t>
      </w:r>
      <w:r w:rsidR="003531B6" w:rsidRPr="000A1781">
        <w:t>during</w:t>
      </w:r>
      <w:r w:rsidR="003531B6" w:rsidRPr="000A1781">
        <w:rPr>
          <w:spacing w:val="-12"/>
        </w:rPr>
        <w:t xml:space="preserve"> </w:t>
      </w:r>
      <w:r w:rsidR="003531B6" w:rsidRPr="000A1781">
        <w:t xml:space="preserve">quarterly </w:t>
      </w:r>
      <w:r w:rsidR="003531B6" w:rsidRPr="000A1781">
        <w:rPr>
          <w:spacing w:val="-2"/>
        </w:rPr>
        <w:t>meeting.</w:t>
      </w:r>
    </w:p>
    <w:p w14:paraId="6449AD72" w14:textId="77777777" w:rsidR="00DF4101" w:rsidRPr="000A1781" w:rsidRDefault="00DF4101" w:rsidP="00C71A4D">
      <w:pPr>
        <w:widowControl/>
        <w:tabs>
          <w:tab w:val="left" w:pos="1800"/>
        </w:tabs>
        <w:autoSpaceDE/>
        <w:autoSpaceDN/>
        <w:adjustRightInd/>
        <w:contextualSpacing/>
        <w:rPr>
          <w:spacing w:val="-2"/>
        </w:rPr>
      </w:pPr>
    </w:p>
    <w:p w14:paraId="13933E46" w14:textId="18B261E9" w:rsidR="00DC4FC5" w:rsidRPr="000A1781" w:rsidRDefault="00DC4FC5" w:rsidP="00002D71">
      <w:pPr>
        <w:widowControl/>
        <w:tabs>
          <w:tab w:val="left" w:pos="1800"/>
        </w:tabs>
        <w:autoSpaceDE/>
        <w:autoSpaceDN/>
        <w:adjustRightInd/>
        <w:ind w:left="1620"/>
        <w:contextualSpacing/>
      </w:pPr>
      <w:r w:rsidRPr="000A1781">
        <w:rPr>
          <w:b/>
        </w:rPr>
        <w:t>Observation FY 202</w:t>
      </w:r>
      <w:r w:rsidR="005B2565" w:rsidRPr="000A1781">
        <w:rPr>
          <w:b/>
        </w:rPr>
        <w:t>2</w:t>
      </w:r>
      <w:r w:rsidR="00131A76" w:rsidRPr="000A1781">
        <w:rPr>
          <w:b/>
        </w:rPr>
        <w:t>-OB</w:t>
      </w:r>
      <w:r w:rsidRPr="000A1781">
        <w:rPr>
          <w:b/>
        </w:rPr>
        <w:t>-0</w:t>
      </w:r>
      <w:r w:rsidR="006108A8" w:rsidRPr="000A1781">
        <w:rPr>
          <w:b/>
        </w:rPr>
        <w:t>4</w:t>
      </w:r>
      <w:r w:rsidR="006108A8" w:rsidRPr="000A1781">
        <w:t xml:space="preserve">: </w:t>
      </w:r>
      <w:r w:rsidRPr="000A1781">
        <w:t>OHSB</w:t>
      </w:r>
      <w:r w:rsidRPr="000A1781">
        <w:rPr>
          <w:spacing w:val="-2"/>
        </w:rPr>
        <w:t xml:space="preserve"> </w:t>
      </w:r>
      <w:r w:rsidRPr="000A1781">
        <w:t>working</w:t>
      </w:r>
      <w:r w:rsidRPr="000A1781">
        <w:rPr>
          <w:spacing w:val="-3"/>
        </w:rPr>
        <w:t xml:space="preserve"> </w:t>
      </w:r>
      <w:r w:rsidRPr="000A1781">
        <w:t>definition</w:t>
      </w:r>
      <w:r w:rsidRPr="000A1781">
        <w:rPr>
          <w:spacing w:val="-2"/>
        </w:rPr>
        <w:t xml:space="preserve"> </w:t>
      </w:r>
      <w:r w:rsidRPr="000A1781">
        <w:t>of</w:t>
      </w:r>
      <w:r w:rsidRPr="000A1781">
        <w:rPr>
          <w:spacing w:val="-3"/>
        </w:rPr>
        <w:t xml:space="preserve"> </w:t>
      </w:r>
      <w:r w:rsidRPr="000A1781">
        <w:t>a</w:t>
      </w:r>
      <w:r w:rsidRPr="000A1781">
        <w:rPr>
          <w:spacing w:val="-3"/>
        </w:rPr>
        <w:t xml:space="preserve"> </w:t>
      </w:r>
      <w:r w:rsidRPr="000A1781">
        <w:t>complaint</w:t>
      </w:r>
      <w:r w:rsidRPr="000A1781">
        <w:rPr>
          <w:spacing w:val="-3"/>
        </w:rPr>
        <w:t xml:space="preserve"> </w:t>
      </w:r>
      <w:r w:rsidRPr="000A1781">
        <w:t>is</w:t>
      </w:r>
      <w:r w:rsidRPr="000A1781">
        <w:rPr>
          <w:spacing w:val="-3"/>
        </w:rPr>
        <w:t xml:space="preserve"> </w:t>
      </w:r>
      <w:r w:rsidRPr="000A1781">
        <w:t>not</w:t>
      </w:r>
      <w:r w:rsidRPr="000A1781">
        <w:rPr>
          <w:spacing w:val="-3"/>
        </w:rPr>
        <w:t xml:space="preserve"> </w:t>
      </w:r>
      <w:r w:rsidRPr="000A1781">
        <w:t>at</w:t>
      </w:r>
      <w:r w:rsidRPr="000A1781">
        <w:rPr>
          <w:spacing w:val="-3"/>
        </w:rPr>
        <w:t xml:space="preserve"> </w:t>
      </w:r>
      <w:r w:rsidRPr="000A1781">
        <w:t>least</w:t>
      </w:r>
      <w:r w:rsidRPr="000A1781">
        <w:rPr>
          <w:spacing w:val="-2"/>
        </w:rPr>
        <w:t xml:space="preserve"> </w:t>
      </w:r>
      <w:r w:rsidRPr="000A1781">
        <w:t>as</w:t>
      </w:r>
      <w:r w:rsidRPr="000A1781">
        <w:rPr>
          <w:spacing w:val="-3"/>
        </w:rPr>
        <w:t xml:space="preserve"> </w:t>
      </w:r>
      <w:r w:rsidRPr="000A1781">
        <w:t>effective</w:t>
      </w:r>
      <w:r w:rsidRPr="000A1781">
        <w:rPr>
          <w:spacing w:val="-3"/>
        </w:rPr>
        <w:t xml:space="preserve"> </w:t>
      </w:r>
      <w:r w:rsidR="00E9429B" w:rsidRPr="000A1781">
        <w:rPr>
          <w:spacing w:val="-3"/>
        </w:rPr>
        <w:t>(ALAE)</w:t>
      </w:r>
      <w:r w:rsidR="001C12AB" w:rsidRPr="000A1781">
        <w:rPr>
          <w:spacing w:val="-3"/>
        </w:rPr>
        <w:t xml:space="preserve"> </w:t>
      </w:r>
      <w:r w:rsidRPr="000A1781">
        <w:t>as the federal program and results in fewer complaints. OHSB categorizes more of their unprogrammed activities as referrals as opposed to complaints</w:t>
      </w:r>
      <w:r w:rsidR="00D13988" w:rsidRPr="000A1781">
        <w:t xml:space="preserve">, which </w:t>
      </w:r>
      <w:r w:rsidRPr="000A1781">
        <w:t>allows for a longer time to respond.</w:t>
      </w:r>
    </w:p>
    <w:p w14:paraId="4BC270EC" w14:textId="77777777" w:rsidR="00EB429D" w:rsidRPr="000A1781" w:rsidRDefault="00EB429D" w:rsidP="00002D71">
      <w:pPr>
        <w:widowControl/>
        <w:tabs>
          <w:tab w:val="left" w:pos="1800"/>
        </w:tabs>
        <w:autoSpaceDE/>
        <w:autoSpaceDN/>
        <w:adjustRightInd/>
        <w:ind w:left="1620"/>
        <w:contextualSpacing/>
      </w:pPr>
    </w:p>
    <w:p w14:paraId="5A713488" w14:textId="77777777" w:rsidR="00EB429D" w:rsidRPr="000A1781" w:rsidRDefault="00EB429D" w:rsidP="00EB429D">
      <w:pPr>
        <w:widowControl/>
        <w:tabs>
          <w:tab w:val="left" w:pos="1800"/>
        </w:tabs>
        <w:autoSpaceDE/>
        <w:autoSpaceDN/>
        <w:adjustRightInd/>
        <w:ind w:left="1620"/>
        <w:contextualSpacing/>
        <w:rPr>
          <w:spacing w:val="-2"/>
        </w:rPr>
      </w:pPr>
      <w:r w:rsidRPr="000A1781">
        <w:rPr>
          <w:b/>
          <w:bCs/>
          <w:spacing w:val="-2"/>
        </w:rPr>
        <w:t>Federal Monitoring Plan</w:t>
      </w:r>
      <w:r w:rsidRPr="000A1781">
        <w:rPr>
          <w:spacing w:val="-2"/>
        </w:rPr>
        <w:t xml:space="preserve">: </w:t>
      </w:r>
      <w:r w:rsidRPr="000A1781">
        <w:t>OSHA will continue to monitor performance in this</w:t>
      </w:r>
      <w:r w:rsidRPr="000A1781">
        <w:rPr>
          <w:spacing w:val="-13"/>
        </w:rPr>
        <w:t xml:space="preserve"> </w:t>
      </w:r>
      <w:r w:rsidRPr="000A1781">
        <w:t>area</w:t>
      </w:r>
      <w:r w:rsidRPr="000A1781">
        <w:rPr>
          <w:spacing w:val="-12"/>
        </w:rPr>
        <w:t xml:space="preserve"> </w:t>
      </w:r>
      <w:r w:rsidRPr="000A1781">
        <w:t>during</w:t>
      </w:r>
      <w:r w:rsidRPr="000A1781">
        <w:rPr>
          <w:spacing w:val="-12"/>
        </w:rPr>
        <w:t xml:space="preserve"> </w:t>
      </w:r>
      <w:r w:rsidRPr="000A1781">
        <w:t xml:space="preserve">quarterly </w:t>
      </w:r>
      <w:r w:rsidRPr="000A1781">
        <w:rPr>
          <w:spacing w:val="-2"/>
        </w:rPr>
        <w:t>meeting.</w:t>
      </w:r>
    </w:p>
    <w:p w14:paraId="04622AEE" w14:textId="7EE5068D" w:rsidR="00B91EC5" w:rsidRPr="000A1781" w:rsidRDefault="00B91EC5" w:rsidP="00C71A4D">
      <w:pPr>
        <w:widowControl/>
        <w:tabs>
          <w:tab w:val="left" w:pos="1800"/>
        </w:tabs>
        <w:autoSpaceDE/>
        <w:autoSpaceDN/>
        <w:adjustRightInd/>
        <w:contextualSpacing/>
        <w:rPr>
          <w:spacing w:val="-2"/>
        </w:rPr>
      </w:pPr>
    </w:p>
    <w:p w14:paraId="1DBBC3E8" w14:textId="77777777" w:rsidR="001567A4" w:rsidRPr="000A1781" w:rsidRDefault="001567A4" w:rsidP="00B779B7">
      <w:pPr>
        <w:pStyle w:val="ListParagraph"/>
        <w:numPr>
          <w:ilvl w:val="0"/>
          <w:numId w:val="6"/>
        </w:numPr>
        <w:spacing w:line="240" w:lineRule="auto"/>
        <w:ind w:left="1620"/>
        <w:rPr>
          <w:rFonts w:ascii="Times New Roman" w:hAnsi="Times New Roman" w:cs="Times New Roman"/>
        </w:rPr>
      </w:pPr>
      <w:r w:rsidRPr="000A1781">
        <w:rPr>
          <w:rFonts w:ascii="Times New Roman" w:hAnsi="Times New Roman" w:cs="Times New Roman"/>
          <w:sz w:val="24"/>
          <w:szCs w:val="24"/>
        </w:rPr>
        <w:t xml:space="preserve">Fatalities </w:t>
      </w:r>
    </w:p>
    <w:p w14:paraId="0FA364A3" w14:textId="2EC82AF6" w:rsidR="002C1067" w:rsidRPr="000A1781" w:rsidRDefault="002C1067" w:rsidP="00DF4101">
      <w:pPr>
        <w:ind w:left="1620"/>
      </w:pPr>
      <w:r w:rsidRPr="000A1781">
        <w:t xml:space="preserve">Fatalities involve a death resulting from a work-related incident or exposure. Per the NM FOM, all fatalities withing OHSB’s jurisdiction are to be thoroughly investigated </w:t>
      </w:r>
      <w:proofErr w:type="gramStart"/>
      <w:r w:rsidRPr="000A1781">
        <w:t>in an attempt to</w:t>
      </w:r>
      <w:proofErr w:type="gramEnd"/>
      <w:r w:rsidRPr="000A1781">
        <w:t xml:space="preserve"> determine the cause of the event. An investigation will also determine any effect the violation(s) had on the accident. The investigation should be initiated as soon as possible after receiving report of the incident, ideally within one working day, by an appropriately trained and experienced compliance officer, assigned by the Compliance </w:t>
      </w:r>
      <w:r w:rsidRPr="000A1781">
        <w:lastRenderedPageBreak/>
        <w:t xml:space="preserve">Program Manager. </w:t>
      </w:r>
    </w:p>
    <w:p w14:paraId="2DC14FB1" w14:textId="77777777" w:rsidR="002C1067" w:rsidRPr="000A1781" w:rsidRDefault="002C1067" w:rsidP="00DF4101">
      <w:pPr>
        <w:ind w:left="1620"/>
      </w:pPr>
    </w:p>
    <w:p w14:paraId="1840DFED" w14:textId="1A992A55" w:rsidR="00DF4101" w:rsidRPr="000A1781" w:rsidRDefault="00DF4101" w:rsidP="00DF4101">
      <w:pPr>
        <w:ind w:left="1620"/>
      </w:pPr>
      <w:r w:rsidRPr="000A1781">
        <w:t xml:space="preserve">During the </w:t>
      </w:r>
      <w:r w:rsidR="002C1067" w:rsidRPr="000A1781">
        <w:t xml:space="preserve">FY </w:t>
      </w:r>
      <w:r w:rsidR="00EB429D" w:rsidRPr="000A1781">
        <w:t>20</w:t>
      </w:r>
      <w:r w:rsidR="002C1067" w:rsidRPr="000A1781">
        <w:t xml:space="preserve">23 </w:t>
      </w:r>
      <w:r w:rsidRPr="000A1781">
        <w:t>on-site review, all three closed fatality inspections were reviewed. During the review, documentation for initial contact with family members was missing for one of the three (30%) fatality inspections</w:t>
      </w:r>
      <w:r w:rsidR="009A6108" w:rsidRPr="000A1781">
        <w:t xml:space="preserve">. </w:t>
      </w:r>
    </w:p>
    <w:p w14:paraId="33E6CA08" w14:textId="77777777" w:rsidR="002C1067" w:rsidRPr="000A1781" w:rsidRDefault="002C1067" w:rsidP="00DF4101">
      <w:pPr>
        <w:ind w:left="1620"/>
      </w:pPr>
    </w:p>
    <w:p w14:paraId="5E8AA53F" w14:textId="0E45CF47" w:rsidR="002C1067" w:rsidRPr="000A1781" w:rsidRDefault="002C1067" w:rsidP="00DF4101">
      <w:pPr>
        <w:ind w:left="1620"/>
      </w:pPr>
      <w:r w:rsidRPr="000A1781">
        <w:t>The NM FOM states that family members of employees involved in fatal or catastrophic occupational incidents shall be contacted early in the investigation and a standard information letter shall be sent to the individual(s) listed as the emergency contact on the victim’s employment records or the next of kin.</w:t>
      </w:r>
    </w:p>
    <w:p w14:paraId="29644603" w14:textId="77777777" w:rsidR="00DF4101" w:rsidRPr="000A1781" w:rsidRDefault="00DF4101" w:rsidP="00DF4101"/>
    <w:p w14:paraId="64F2DED5" w14:textId="0A8C87CB" w:rsidR="00D51DF1" w:rsidRPr="000A1781" w:rsidRDefault="00747F66" w:rsidP="00002D71">
      <w:pPr>
        <w:ind w:left="1620"/>
      </w:pPr>
      <w:bookmarkStart w:id="2" w:name="_Hlk162251376"/>
      <w:r w:rsidRPr="000A1781">
        <w:rPr>
          <w:b/>
          <w:bCs/>
        </w:rPr>
        <w:t>Observation FY 2023-OB-0</w:t>
      </w:r>
      <w:r w:rsidR="0069739F" w:rsidRPr="000A1781">
        <w:rPr>
          <w:b/>
          <w:bCs/>
        </w:rPr>
        <w:t>4</w:t>
      </w:r>
      <w:r w:rsidR="00D51DF1" w:rsidRPr="000A1781">
        <w:rPr>
          <w:b/>
          <w:bCs/>
        </w:rPr>
        <w:t xml:space="preserve">: </w:t>
      </w:r>
      <w:r w:rsidR="00D51DF1" w:rsidRPr="000A1781">
        <w:t xml:space="preserve">In FY 2023, </w:t>
      </w:r>
      <w:r w:rsidR="006E6CBC" w:rsidRPr="000A1781">
        <w:t xml:space="preserve">one </w:t>
      </w:r>
      <w:r w:rsidR="00D51DF1" w:rsidRPr="000A1781">
        <w:t>of</w:t>
      </w:r>
      <w:r w:rsidR="00D51DF1" w:rsidRPr="000A1781">
        <w:rPr>
          <w:spacing w:val="-6"/>
        </w:rPr>
        <w:t xml:space="preserve"> </w:t>
      </w:r>
      <w:r w:rsidR="00D51DF1" w:rsidRPr="000A1781">
        <w:t>the</w:t>
      </w:r>
      <w:r w:rsidR="00D51DF1" w:rsidRPr="000A1781">
        <w:rPr>
          <w:spacing w:val="-5"/>
        </w:rPr>
        <w:t xml:space="preserve"> </w:t>
      </w:r>
      <w:r w:rsidR="00CD0CDD" w:rsidRPr="000A1781">
        <w:t>three</w:t>
      </w:r>
      <w:r w:rsidR="00D51DF1" w:rsidRPr="000A1781">
        <w:rPr>
          <w:spacing w:val="-5"/>
        </w:rPr>
        <w:t xml:space="preserve"> </w:t>
      </w:r>
      <w:r w:rsidR="00D51DF1" w:rsidRPr="000A1781">
        <w:t>(3</w:t>
      </w:r>
      <w:r w:rsidR="00DC30C6" w:rsidRPr="000A1781">
        <w:t>0</w:t>
      </w:r>
      <w:r w:rsidR="00D51DF1" w:rsidRPr="000A1781">
        <w:t>%)</w:t>
      </w:r>
      <w:r w:rsidR="00D51DF1" w:rsidRPr="000A1781">
        <w:rPr>
          <w:spacing w:val="-5"/>
        </w:rPr>
        <w:t xml:space="preserve"> </w:t>
      </w:r>
      <w:r w:rsidR="00D51DF1" w:rsidRPr="000A1781">
        <w:t>fatality</w:t>
      </w:r>
      <w:r w:rsidR="00D51DF1" w:rsidRPr="000A1781">
        <w:rPr>
          <w:spacing w:val="-5"/>
        </w:rPr>
        <w:t xml:space="preserve"> </w:t>
      </w:r>
      <w:r w:rsidR="00D51DF1" w:rsidRPr="000A1781">
        <w:t>inspections</w:t>
      </w:r>
      <w:r w:rsidR="0035608A" w:rsidRPr="000A1781">
        <w:t xml:space="preserve"> reviewed</w:t>
      </w:r>
      <w:r w:rsidR="00D51DF1" w:rsidRPr="000A1781">
        <w:rPr>
          <w:spacing w:val="-5"/>
        </w:rPr>
        <w:t xml:space="preserve"> </w:t>
      </w:r>
      <w:r w:rsidR="00D51DF1" w:rsidRPr="000A1781">
        <w:t>lacked documentation for initial contact with family members.</w:t>
      </w:r>
      <w:bookmarkEnd w:id="2"/>
    </w:p>
    <w:p w14:paraId="53FFAFEF" w14:textId="77777777" w:rsidR="00FF34B0" w:rsidRPr="000A1781" w:rsidRDefault="00FF34B0" w:rsidP="00002D71">
      <w:pPr>
        <w:ind w:left="1620"/>
        <w:rPr>
          <w:b/>
          <w:bCs/>
        </w:rPr>
      </w:pPr>
    </w:p>
    <w:p w14:paraId="373599CF" w14:textId="663C4A1F" w:rsidR="00A863A7" w:rsidRPr="000A1781" w:rsidRDefault="00A863A7" w:rsidP="00002D71">
      <w:pPr>
        <w:ind w:left="1620"/>
      </w:pPr>
      <w:r w:rsidRPr="000A1781">
        <w:rPr>
          <w:b/>
          <w:bCs/>
        </w:rPr>
        <w:t xml:space="preserve">Federal Monitoring Plan: </w:t>
      </w:r>
      <w:r w:rsidRPr="000A1781">
        <w:t>OSHA will continue to monitor performance in this area during quarterly meetings and during the next follow-up FAME cycle.</w:t>
      </w:r>
    </w:p>
    <w:p w14:paraId="45AD7A5B" w14:textId="77777777" w:rsidR="006E12FC" w:rsidRPr="000A1781" w:rsidRDefault="006E12FC" w:rsidP="00D05446">
      <w:pPr>
        <w:widowControl/>
        <w:tabs>
          <w:tab w:val="left" w:pos="1800"/>
        </w:tabs>
        <w:autoSpaceDE/>
        <w:autoSpaceDN/>
        <w:adjustRightInd/>
        <w:contextualSpacing/>
        <w:rPr>
          <w:spacing w:val="-2"/>
        </w:rPr>
      </w:pPr>
    </w:p>
    <w:p w14:paraId="2B9C884C" w14:textId="3954FCB4" w:rsidR="001567A4" w:rsidRPr="000A1781" w:rsidRDefault="001567A4" w:rsidP="00002D71">
      <w:pPr>
        <w:widowControl/>
        <w:tabs>
          <w:tab w:val="left" w:pos="1260"/>
        </w:tabs>
        <w:autoSpaceDE/>
        <w:autoSpaceDN/>
        <w:adjustRightInd/>
        <w:spacing w:after="200"/>
        <w:ind w:left="2250" w:hanging="990"/>
        <w:contextualSpacing/>
        <w:rPr>
          <w:i/>
        </w:rPr>
      </w:pPr>
      <w:r w:rsidRPr="000A1781">
        <w:t xml:space="preserve">c)  Targeting and Programmed Inspection </w:t>
      </w:r>
    </w:p>
    <w:p w14:paraId="640590C8" w14:textId="77777777" w:rsidR="006568DD" w:rsidRPr="000A1781" w:rsidRDefault="006568DD" w:rsidP="00002D71">
      <w:pPr>
        <w:widowControl/>
        <w:tabs>
          <w:tab w:val="left" w:pos="1800"/>
        </w:tabs>
        <w:autoSpaceDE/>
        <w:autoSpaceDN/>
        <w:adjustRightInd/>
        <w:ind w:left="1620"/>
        <w:contextualSpacing/>
        <w:rPr>
          <w:b/>
          <w:bCs/>
          <w:spacing w:val="-2"/>
        </w:rPr>
      </w:pPr>
    </w:p>
    <w:p w14:paraId="420481DA" w14:textId="41DC438E" w:rsidR="00B52A2C" w:rsidRPr="000A1781" w:rsidRDefault="00B52A2C" w:rsidP="00002D71">
      <w:pPr>
        <w:widowControl/>
        <w:tabs>
          <w:tab w:val="left" w:pos="1800"/>
        </w:tabs>
        <w:autoSpaceDE/>
        <w:autoSpaceDN/>
        <w:adjustRightInd/>
        <w:ind w:left="1620"/>
        <w:contextualSpacing/>
        <w:rPr>
          <w:iCs/>
        </w:rPr>
      </w:pPr>
      <w:r w:rsidRPr="000A1781">
        <w:rPr>
          <w:iCs/>
        </w:rPr>
        <w:t xml:space="preserve">Chapter </w:t>
      </w:r>
      <w:r w:rsidR="00EB429D" w:rsidRPr="000A1781">
        <w:rPr>
          <w:iCs/>
        </w:rPr>
        <w:t>two</w:t>
      </w:r>
      <w:r w:rsidRPr="000A1781">
        <w:rPr>
          <w:iCs/>
        </w:rPr>
        <w:t xml:space="preserve"> of the NM FOM </w:t>
      </w:r>
      <w:r w:rsidR="00EB429D" w:rsidRPr="000A1781">
        <w:rPr>
          <w:iCs/>
        </w:rPr>
        <w:t>directs</w:t>
      </w:r>
      <w:r w:rsidRPr="000A1781">
        <w:rPr>
          <w:iCs/>
        </w:rPr>
        <w:t xml:space="preserve"> OSHB personnel to establish </w:t>
      </w:r>
      <w:r w:rsidR="00EB429D" w:rsidRPr="000A1781">
        <w:rPr>
          <w:iCs/>
        </w:rPr>
        <w:t>targeting</w:t>
      </w:r>
      <w:r w:rsidRPr="000A1781">
        <w:rPr>
          <w:iCs/>
        </w:rPr>
        <w:t xml:space="preserve"> based on annual projections of inspection activity as determined through annual performance planning.</w:t>
      </w:r>
    </w:p>
    <w:p w14:paraId="23556DDE" w14:textId="77777777" w:rsidR="00B52A2C" w:rsidRPr="000A1781" w:rsidRDefault="00B52A2C" w:rsidP="00002D71">
      <w:pPr>
        <w:widowControl/>
        <w:tabs>
          <w:tab w:val="left" w:pos="1800"/>
        </w:tabs>
        <w:autoSpaceDE/>
        <w:autoSpaceDN/>
        <w:adjustRightInd/>
        <w:ind w:left="1620"/>
        <w:contextualSpacing/>
        <w:rPr>
          <w:iCs/>
        </w:rPr>
      </w:pPr>
    </w:p>
    <w:p w14:paraId="377C7B6E" w14:textId="0B4BD203" w:rsidR="00E42C9A" w:rsidRPr="000A1781" w:rsidRDefault="00ED2269" w:rsidP="00002D71">
      <w:pPr>
        <w:widowControl/>
        <w:tabs>
          <w:tab w:val="left" w:pos="1800"/>
        </w:tabs>
        <w:autoSpaceDE/>
        <w:autoSpaceDN/>
        <w:adjustRightInd/>
        <w:ind w:left="1620"/>
        <w:contextualSpacing/>
        <w:rPr>
          <w:iCs/>
        </w:rPr>
      </w:pPr>
      <w:r w:rsidRPr="000A1781">
        <w:rPr>
          <w:iCs/>
        </w:rPr>
        <w:t>NM OSHB</w:t>
      </w:r>
      <w:r w:rsidR="006E12FC" w:rsidRPr="000A1781">
        <w:rPr>
          <w:iCs/>
        </w:rPr>
        <w:t xml:space="preserve"> participated in the Nation Emphasis Program</w:t>
      </w:r>
      <w:r w:rsidR="0095566B" w:rsidRPr="000A1781">
        <w:rPr>
          <w:iCs/>
        </w:rPr>
        <w:t>s</w:t>
      </w:r>
      <w:r w:rsidR="00E42C9A" w:rsidRPr="000A1781">
        <w:rPr>
          <w:iCs/>
        </w:rPr>
        <w:t xml:space="preserve"> (NEPs)</w:t>
      </w:r>
      <w:r w:rsidR="006E12FC" w:rsidRPr="000A1781">
        <w:rPr>
          <w:iCs/>
        </w:rPr>
        <w:t xml:space="preserve">. </w:t>
      </w:r>
      <w:r w:rsidR="00994EAB" w:rsidRPr="000A1781">
        <w:rPr>
          <w:iCs/>
        </w:rPr>
        <w:t xml:space="preserve">Chapter two of the OHSB </w:t>
      </w:r>
      <w:r w:rsidR="00EB429D" w:rsidRPr="000A1781">
        <w:rPr>
          <w:iCs/>
        </w:rPr>
        <w:t>FOM</w:t>
      </w:r>
      <w:r w:rsidR="00994EAB" w:rsidRPr="000A1781">
        <w:rPr>
          <w:iCs/>
        </w:rPr>
        <w:t xml:space="preserve"> directs OHSB personnel to establish targeting based on annual projections of inspection activity as determined through annual performance planning.</w:t>
      </w:r>
    </w:p>
    <w:p w14:paraId="60339544" w14:textId="36034BB7" w:rsidR="006568DD" w:rsidRPr="000A1781" w:rsidRDefault="00CC15C3" w:rsidP="00002D71">
      <w:pPr>
        <w:widowControl/>
        <w:tabs>
          <w:tab w:val="left" w:pos="1800"/>
        </w:tabs>
        <w:autoSpaceDE/>
        <w:autoSpaceDN/>
        <w:adjustRightInd/>
        <w:ind w:left="1620"/>
        <w:contextualSpacing/>
        <w:rPr>
          <w:iCs/>
        </w:rPr>
      </w:pPr>
      <w:r w:rsidRPr="000A1781">
        <w:rPr>
          <w:iCs/>
        </w:rPr>
        <w:t xml:space="preserve"> </w:t>
      </w:r>
    </w:p>
    <w:p w14:paraId="40A2C504" w14:textId="70214321" w:rsidR="006568DD" w:rsidRPr="000A1781" w:rsidRDefault="00DA56CB" w:rsidP="00C7304A">
      <w:pPr>
        <w:widowControl/>
        <w:tabs>
          <w:tab w:val="left" w:pos="1800"/>
        </w:tabs>
        <w:autoSpaceDE/>
        <w:autoSpaceDN/>
        <w:adjustRightInd/>
        <w:ind w:left="1620"/>
        <w:contextualSpacing/>
        <w:rPr>
          <w:iCs/>
        </w:rPr>
      </w:pPr>
      <w:r w:rsidRPr="000A1781">
        <w:rPr>
          <w:iCs/>
        </w:rPr>
        <w:t xml:space="preserve">NM </w:t>
      </w:r>
      <w:r w:rsidR="000C5294" w:rsidRPr="000A1781">
        <w:rPr>
          <w:iCs/>
        </w:rPr>
        <w:t xml:space="preserve">OHSB uses the high hazard industry list based on Dunn and Bradstreet listings, which is provided by OSHA’s </w:t>
      </w:r>
      <w:r w:rsidR="0043786C" w:rsidRPr="000A1781">
        <w:rPr>
          <w:iCs/>
        </w:rPr>
        <w:t>Directorate</w:t>
      </w:r>
      <w:r w:rsidR="000C5294" w:rsidRPr="000A1781">
        <w:rPr>
          <w:iCs/>
        </w:rPr>
        <w:t xml:space="preserve"> of Technical Support and Emergency Management (DTSEM), to target high hazard manufacturing and general industry</w:t>
      </w:r>
      <w:r w:rsidR="001908EB" w:rsidRPr="000A1781">
        <w:rPr>
          <w:iCs/>
        </w:rPr>
        <w:t xml:space="preserve"> sites.</w:t>
      </w:r>
      <w:r w:rsidR="00705369" w:rsidRPr="000A1781">
        <w:rPr>
          <w:iCs/>
        </w:rPr>
        <w:t xml:space="preserve"> </w:t>
      </w:r>
      <w:r w:rsidR="0043786C" w:rsidRPr="000A1781">
        <w:rPr>
          <w:iCs/>
        </w:rPr>
        <w:t>Programmed construction inspections are targeted through Dodge reports</w:t>
      </w:r>
      <w:r w:rsidR="001908EB" w:rsidRPr="000A1781">
        <w:rPr>
          <w:iCs/>
        </w:rPr>
        <w:t>.</w:t>
      </w:r>
    </w:p>
    <w:p w14:paraId="19B9510C" w14:textId="77777777" w:rsidR="00860055" w:rsidRPr="000A1781" w:rsidRDefault="00860055" w:rsidP="00002D71">
      <w:pPr>
        <w:widowControl/>
        <w:tabs>
          <w:tab w:val="left" w:pos="1800"/>
        </w:tabs>
        <w:autoSpaceDE/>
        <w:autoSpaceDN/>
        <w:adjustRightInd/>
        <w:ind w:left="1620"/>
        <w:contextualSpacing/>
        <w:rPr>
          <w:iCs/>
        </w:rPr>
      </w:pPr>
    </w:p>
    <w:p w14:paraId="68D3F92D" w14:textId="09F516D9" w:rsidR="0090624E" w:rsidRPr="000A1781" w:rsidRDefault="00615C9A" w:rsidP="00002D71">
      <w:pPr>
        <w:widowControl/>
        <w:tabs>
          <w:tab w:val="left" w:pos="1800"/>
        </w:tabs>
        <w:autoSpaceDE/>
        <w:autoSpaceDN/>
        <w:adjustRightInd/>
        <w:ind w:left="1620"/>
        <w:contextualSpacing/>
        <w:rPr>
          <w:iCs/>
        </w:rPr>
      </w:pPr>
      <w:r w:rsidRPr="000A1781">
        <w:rPr>
          <w:iCs/>
        </w:rPr>
        <w:t>In FY 2023, t</w:t>
      </w:r>
      <w:r w:rsidR="00E64619" w:rsidRPr="000A1781">
        <w:rPr>
          <w:iCs/>
        </w:rPr>
        <w:t xml:space="preserve">he </w:t>
      </w:r>
      <w:r w:rsidR="00920B48" w:rsidRPr="000A1781">
        <w:rPr>
          <w:iCs/>
        </w:rPr>
        <w:t xml:space="preserve">State Plan continued to implement State Emphasis Programs (SEPs) </w:t>
      </w:r>
      <w:r w:rsidR="00226975" w:rsidRPr="000A1781">
        <w:rPr>
          <w:iCs/>
        </w:rPr>
        <w:t xml:space="preserve">within the industries </w:t>
      </w:r>
      <w:r w:rsidR="00BF6EA2" w:rsidRPr="000A1781">
        <w:rPr>
          <w:iCs/>
        </w:rPr>
        <w:t xml:space="preserve">of </w:t>
      </w:r>
      <w:r w:rsidR="003A745E" w:rsidRPr="000A1781">
        <w:rPr>
          <w:iCs/>
        </w:rPr>
        <w:t>primary and fabricated metal manufacturing</w:t>
      </w:r>
      <w:r w:rsidR="00F042D8" w:rsidRPr="000A1781">
        <w:rPr>
          <w:iCs/>
        </w:rPr>
        <w:t>,</w:t>
      </w:r>
      <w:r w:rsidR="003A745E" w:rsidRPr="000A1781">
        <w:rPr>
          <w:iCs/>
        </w:rPr>
        <w:t xml:space="preserve"> oil and gas well drilling and servicing operations, commercial</w:t>
      </w:r>
      <w:r w:rsidR="004D0FAE" w:rsidRPr="000A1781">
        <w:rPr>
          <w:iCs/>
        </w:rPr>
        <w:t xml:space="preserve"> and residential construction, work </w:t>
      </w:r>
      <w:r w:rsidR="00A55090" w:rsidRPr="000A1781">
        <w:rPr>
          <w:iCs/>
        </w:rPr>
        <w:t>processes</w:t>
      </w:r>
      <w:r w:rsidR="004D0FAE" w:rsidRPr="000A1781">
        <w:rPr>
          <w:iCs/>
        </w:rPr>
        <w:t xml:space="preserve"> with silica exposures, </w:t>
      </w:r>
      <w:r w:rsidR="00F32056" w:rsidRPr="000A1781">
        <w:rPr>
          <w:iCs/>
        </w:rPr>
        <w:t>hospitals,</w:t>
      </w:r>
      <w:r w:rsidR="004D0FAE" w:rsidRPr="000A1781">
        <w:rPr>
          <w:iCs/>
        </w:rPr>
        <w:t xml:space="preserve"> and nursing care facilities, and placed of employment where exposure to COVID exist.</w:t>
      </w:r>
      <w:r w:rsidR="00A55090" w:rsidRPr="000A1781">
        <w:rPr>
          <w:iCs/>
        </w:rPr>
        <w:t xml:space="preserve"> N</w:t>
      </w:r>
      <w:r w:rsidR="009B0EF3" w:rsidRPr="000A1781">
        <w:rPr>
          <w:iCs/>
        </w:rPr>
        <w:t xml:space="preserve">M OHSB has also adopted and participated in </w:t>
      </w:r>
      <w:r w:rsidR="00B77EE4" w:rsidRPr="000A1781">
        <w:rPr>
          <w:iCs/>
        </w:rPr>
        <w:t xml:space="preserve">several OSHA </w:t>
      </w:r>
      <w:r w:rsidR="002F20A8" w:rsidRPr="000A1781">
        <w:rPr>
          <w:iCs/>
        </w:rPr>
        <w:t>N</w:t>
      </w:r>
      <w:r w:rsidR="00920B48" w:rsidRPr="000A1781">
        <w:rPr>
          <w:iCs/>
        </w:rPr>
        <w:t xml:space="preserve">ational </w:t>
      </w:r>
      <w:r w:rsidR="002F20A8" w:rsidRPr="000A1781">
        <w:rPr>
          <w:iCs/>
        </w:rPr>
        <w:t>E</w:t>
      </w:r>
      <w:r w:rsidR="00920B48" w:rsidRPr="000A1781">
        <w:rPr>
          <w:iCs/>
        </w:rPr>
        <w:t xml:space="preserve">mphasis </w:t>
      </w:r>
      <w:r w:rsidR="002F20A8" w:rsidRPr="000A1781">
        <w:rPr>
          <w:iCs/>
        </w:rPr>
        <w:t>P</w:t>
      </w:r>
      <w:r w:rsidR="00920B48" w:rsidRPr="000A1781">
        <w:rPr>
          <w:iCs/>
        </w:rPr>
        <w:t>rograms</w:t>
      </w:r>
      <w:r w:rsidRPr="000A1781">
        <w:rPr>
          <w:iCs/>
        </w:rPr>
        <w:t xml:space="preserve"> (NEPs)</w:t>
      </w:r>
      <w:r w:rsidR="00B77EE4" w:rsidRPr="000A1781">
        <w:rPr>
          <w:iCs/>
        </w:rPr>
        <w:t xml:space="preserve"> </w:t>
      </w:r>
      <w:r w:rsidR="00DE15DA" w:rsidRPr="000A1781">
        <w:rPr>
          <w:iCs/>
        </w:rPr>
        <w:t xml:space="preserve">including primary metals, hexavalent </w:t>
      </w:r>
      <w:r w:rsidR="002E1238" w:rsidRPr="000A1781">
        <w:rPr>
          <w:iCs/>
        </w:rPr>
        <w:t>chromium</w:t>
      </w:r>
      <w:r w:rsidR="00DE15DA" w:rsidRPr="000A1781">
        <w:rPr>
          <w:iCs/>
        </w:rPr>
        <w:t xml:space="preserve">, process safety management in chemical processing facilities, and heat-related hazards. </w:t>
      </w:r>
      <w:r w:rsidR="00A1734D" w:rsidRPr="000A1781">
        <w:rPr>
          <w:iCs/>
        </w:rPr>
        <w:t xml:space="preserve">NEPs provided guidance to enforce the NM Occupation Health and Safety Act within work sites identified by planning guides to </w:t>
      </w:r>
      <w:r w:rsidR="00491084" w:rsidRPr="000A1781">
        <w:rPr>
          <w:iCs/>
        </w:rPr>
        <w:t>contain</w:t>
      </w:r>
      <w:r w:rsidR="00A1734D" w:rsidRPr="000A1781">
        <w:rPr>
          <w:iCs/>
        </w:rPr>
        <w:t xml:space="preserve"> hazards associated with</w:t>
      </w:r>
      <w:r w:rsidR="008C6DCA" w:rsidRPr="000A1781">
        <w:rPr>
          <w:iCs/>
        </w:rPr>
        <w:t xml:space="preserve"> primary metals processing, hexavalent chromium, process safety management PSM covered chemical facilities, trenching and excavation, heat related illness, and </w:t>
      </w:r>
      <w:r w:rsidR="00491084" w:rsidRPr="000A1781">
        <w:rPr>
          <w:iCs/>
        </w:rPr>
        <w:t>combustible</w:t>
      </w:r>
      <w:r w:rsidR="008C6DCA" w:rsidRPr="000A1781">
        <w:rPr>
          <w:iCs/>
        </w:rPr>
        <w:t xml:space="preserve"> dusts.</w:t>
      </w:r>
      <w:r w:rsidR="001C73C3" w:rsidRPr="000A1781">
        <w:rPr>
          <w:iCs/>
        </w:rPr>
        <w:t xml:space="preserve"> In FY 2023, </w:t>
      </w:r>
      <w:r w:rsidR="00807CC7" w:rsidRPr="000A1781">
        <w:rPr>
          <w:iCs/>
        </w:rPr>
        <w:t>NM OHSB</w:t>
      </w:r>
      <w:r w:rsidR="001C73C3" w:rsidRPr="000A1781">
        <w:rPr>
          <w:iCs/>
        </w:rPr>
        <w:t xml:space="preserve">, began implementing the NEP for </w:t>
      </w:r>
      <w:r w:rsidR="00491084" w:rsidRPr="000A1781">
        <w:rPr>
          <w:iCs/>
        </w:rPr>
        <w:t xml:space="preserve">outdoor and indoor heat-related hazards </w:t>
      </w:r>
      <w:r w:rsidR="002E1238" w:rsidRPr="000A1781">
        <w:rPr>
          <w:iCs/>
        </w:rPr>
        <w:t>that will further protect workers in New Mexico.</w:t>
      </w:r>
      <w:r w:rsidR="007A70E4" w:rsidRPr="000A1781">
        <w:rPr>
          <w:iCs/>
        </w:rPr>
        <w:t xml:space="preserve"> Additionally, the growing cannabis and hemp industry with produce</w:t>
      </w:r>
      <w:r w:rsidR="00961E5D" w:rsidRPr="000A1781">
        <w:rPr>
          <w:iCs/>
        </w:rPr>
        <w:t>r</w:t>
      </w:r>
      <w:r w:rsidR="007A70E4" w:rsidRPr="000A1781">
        <w:rPr>
          <w:iCs/>
        </w:rPr>
        <w:t xml:space="preserve">s and product manufacturers continued as an emerging sector requiring </w:t>
      </w:r>
      <w:r w:rsidR="006B56E8" w:rsidRPr="000A1781">
        <w:rPr>
          <w:iCs/>
        </w:rPr>
        <w:t>enforcement activity.</w:t>
      </w:r>
    </w:p>
    <w:p w14:paraId="731901A7" w14:textId="77777777" w:rsidR="0090624E" w:rsidRPr="000A1781" w:rsidRDefault="0090624E" w:rsidP="00002D71">
      <w:pPr>
        <w:widowControl/>
        <w:tabs>
          <w:tab w:val="left" w:pos="1800"/>
        </w:tabs>
        <w:autoSpaceDE/>
        <w:autoSpaceDN/>
        <w:adjustRightInd/>
        <w:ind w:left="1620"/>
        <w:contextualSpacing/>
        <w:rPr>
          <w:iCs/>
        </w:rPr>
      </w:pPr>
    </w:p>
    <w:p w14:paraId="3FFD4E9A" w14:textId="7648E504" w:rsidR="00C5143F" w:rsidRPr="000A1781" w:rsidRDefault="002F20A8" w:rsidP="00002D71">
      <w:pPr>
        <w:widowControl/>
        <w:tabs>
          <w:tab w:val="left" w:pos="1800"/>
        </w:tabs>
        <w:autoSpaceDE/>
        <w:autoSpaceDN/>
        <w:adjustRightInd/>
        <w:ind w:left="1620"/>
        <w:contextualSpacing/>
        <w:rPr>
          <w:iCs/>
        </w:rPr>
      </w:pPr>
      <w:r w:rsidRPr="000A1781">
        <w:rPr>
          <w:iCs/>
        </w:rPr>
        <w:lastRenderedPageBreak/>
        <w:t xml:space="preserve">The OHSB Strategic </w:t>
      </w:r>
      <w:r w:rsidR="00910B0B" w:rsidRPr="000A1781">
        <w:rPr>
          <w:iCs/>
        </w:rPr>
        <w:t>Partnership for Construction (OSPC) and alliance programs were integral to the overall successes in sustaining low state injury rates</w:t>
      </w:r>
      <w:r w:rsidR="00C5143F" w:rsidRPr="000A1781">
        <w:rPr>
          <w:iCs/>
        </w:rPr>
        <w:t xml:space="preserve">. OHSB and the New Mexico Construction Safety Coalition (CSC) continued to improve </w:t>
      </w:r>
      <w:r w:rsidR="003A7EDA" w:rsidRPr="000A1781">
        <w:rPr>
          <w:iCs/>
        </w:rPr>
        <w:t>partnership</w:t>
      </w:r>
      <w:r w:rsidR="00C5143F" w:rsidRPr="000A1781">
        <w:rPr>
          <w:iCs/>
        </w:rPr>
        <w:t xml:space="preserve"> processes in the </w:t>
      </w:r>
      <w:r w:rsidR="00283DFD" w:rsidRPr="000A1781">
        <w:rPr>
          <w:iCs/>
        </w:rPr>
        <w:t>construction</w:t>
      </w:r>
      <w:r w:rsidR="00C5143F" w:rsidRPr="000A1781">
        <w:rPr>
          <w:iCs/>
        </w:rPr>
        <w:t xml:space="preserve"> industry with sharing of information and ideas to promote worksite health and safety. The CSC is comprised of </w:t>
      </w:r>
      <w:r w:rsidR="000C1DF3" w:rsidRPr="000A1781">
        <w:rPr>
          <w:iCs/>
        </w:rPr>
        <w:t xml:space="preserve">the </w:t>
      </w:r>
      <w:r w:rsidR="00C5143F" w:rsidRPr="000A1781">
        <w:rPr>
          <w:iCs/>
        </w:rPr>
        <w:t>OHSB, the Associated Building C</w:t>
      </w:r>
      <w:r w:rsidR="00BF280E" w:rsidRPr="000A1781">
        <w:rPr>
          <w:iCs/>
        </w:rPr>
        <w:t>ontractors</w:t>
      </w:r>
      <w:r w:rsidR="00192CC3" w:rsidRPr="000A1781">
        <w:rPr>
          <w:iCs/>
        </w:rPr>
        <w:t xml:space="preserve"> </w:t>
      </w:r>
      <w:r w:rsidR="00C5143F" w:rsidRPr="000A1781">
        <w:rPr>
          <w:iCs/>
        </w:rPr>
        <w:t xml:space="preserve">(ABC), Associated </w:t>
      </w:r>
      <w:r w:rsidR="000C1DF3" w:rsidRPr="000A1781">
        <w:rPr>
          <w:iCs/>
        </w:rPr>
        <w:t>Contractors</w:t>
      </w:r>
      <w:r w:rsidR="00C5143F" w:rsidRPr="000A1781">
        <w:rPr>
          <w:iCs/>
        </w:rPr>
        <w:t xml:space="preserve"> of New Mexico</w:t>
      </w:r>
      <w:r w:rsidR="00662D31" w:rsidRPr="000A1781">
        <w:rPr>
          <w:iCs/>
        </w:rPr>
        <w:t xml:space="preserve"> (ACNM), Associated General Contractors (AGC), American </w:t>
      </w:r>
      <w:r w:rsidR="000C1DF3" w:rsidRPr="000A1781">
        <w:rPr>
          <w:iCs/>
        </w:rPr>
        <w:t>Subcontractors</w:t>
      </w:r>
      <w:r w:rsidR="00662D31" w:rsidRPr="000A1781">
        <w:rPr>
          <w:iCs/>
        </w:rPr>
        <w:t xml:space="preserve"> Associat</w:t>
      </w:r>
      <w:r w:rsidR="006E5110" w:rsidRPr="000A1781">
        <w:rPr>
          <w:iCs/>
        </w:rPr>
        <w:t>ion</w:t>
      </w:r>
      <w:r w:rsidR="00662D31" w:rsidRPr="000A1781">
        <w:rPr>
          <w:iCs/>
        </w:rPr>
        <w:t xml:space="preserve"> of New </w:t>
      </w:r>
      <w:r w:rsidR="000C1DF3" w:rsidRPr="000A1781">
        <w:rPr>
          <w:iCs/>
        </w:rPr>
        <w:t>Mexico</w:t>
      </w:r>
      <w:r w:rsidR="00662D31" w:rsidRPr="000A1781">
        <w:rPr>
          <w:iCs/>
        </w:rPr>
        <w:t>, Mechanical</w:t>
      </w:r>
      <w:r w:rsidR="00303407" w:rsidRPr="000A1781">
        <w:rPr>
          <w:iCs/>
        </w:rPr>
        <w:t xml:space="preserve"> </w:t>
      </w:r>
      <w:r w:rsidR="006E5110" w:rsidRPr="000A1781">
        <w:rPr>
          <w:iCs/>
        </w:rPr>
        <w:t>Contractors</w:t>
      </w:r>
      <w:r w:rsidR="00303407" w:rsidRPr="000A1781">
        <w:rPr>
          <w:iCs/>
        </w:rPr>
        <w:t xml:space="preserve"> Associat</w:t>
      </w:r>
      <w:r w:rsidR="00DB131B" w:rsidRPr="000A1781">
        <w:rPr>
          <w:iCs/>
        </w:rPr>
        <w:t>ion</w:t>
      </w:r>
      <w:r w:rsidR="00303407" w:rsidRPr="000A1781">
        <w:rPr>
          <w:iCs/>
        </w:rPr>
        <w:t xml:space="preserve"> of New Mexico, and the New Mexico Utilities Contractors </w:t>
      </w:r>
      <w:r w:rsidR="00DB131B" w:rsidRPr="000A1781">
        <w:rPr>
          <w:iCs/>
        </w:rPr>
        <w:t>Association</w:t>
      </w:r>
      <w:r w:rsidR="00303407" w:rsidRPr="000A1781">
        <w:rPr>
          <w:iCs/>
        </w:rPr>
        <w:t xml:space="preserve"> (NMUCA). OHSB worked with established Alliances including</w:t>
      </w:r>
      <w:r w:rsidR="00721120" w:rsidRPr="000A1781">
        <w:rPr>
          <w:iCs/>
        </w:rPr>
        <w:t xml:space="preserve"> the Southeast New Mexico Service, Transmission, Exploration and Production Safety </w:t>
      </w:r>
      <w:r w:rsidR="00DB131B" w:rsidRPr="000A1781">
        <w:rPr>
          <w:iCs/>
        </w:rPr>
        <w:t>Network</w:t>
      </w:r>
      <w:r w:rsidR="00721120" w:rsidRPr="000A1781">
        <w:rPr>
          <w:iCs/>
        </w:rPr>
        <w:t xml:space="preserve"> and renewed and existing Alliance with the Mexican Consulate in Albuquerque, New Mexico.</w:t>
      </w:r>
    </w:p>
    <w:p w14:paraId="3C04288A" w14:textId="77777777" w:rsidR="00C5143F" w:rsidRPr="000A1781" w:rsidRDefault="00C5143F" w:rsidP="00002D71">
      <w:pPr>
        <w:widowControl/>
        <w:tabs>
          <w:tab w:val="left" w:pos="1800"/>
        </w:tabs>
        <w:autoSpaceDE/>
        <w:autoSpaceDN/>
        <w:adjustRightInd/>
        <w:ind w:left="1620"/>
        <w:contextualSpacing/>
        <w:rPr>
          <w:iCs/>
        </w:rPr>
      </w:pPr>
    </w:p>
    <w:p w14:paraId="12043F3C" w14:textId="51179699" w:rsidR="00FF52E1" w:rsidRPr="000A1781" w:rsidRDefault="00BF280E" w:rsidP="00002D71">
      <w:pPr>
        <w:widowControl/>
        <w:tabs>
          <w:tab w:val="left" w:pos="1800"/>
        </w:tabs>
        <w:autoSpaceDE/>
        <w:autoSpaceDN/>
        <w:adjustRightInd/>
        <w:ind w:left="1620"/>
        <w:contextualSpacing/>
        <w:rPr>
          <w:iCs/>
        </w:rPr>
      </w:pPr>
      <w:r w:rsidRPr="000A1781">
        <w:rPr>
          <w:iCs/>
        </w:rPr>
        <w:t xml:space="preserve">As shown in SAMM 17, in the Appendix D, </w:t>
      </w:r>
      <w:r w:rsidR="00D75D0B" w:rsidRPr="000A1781">
        <w:rPr>
          <w:iCs/>
        </w:rPr>
        <w:t>NM OHSB had .56% enforcement presence</w:t>
      </w:r>
      <w:r w:rsidR="008C0187" w:rsidRPr="000A1781">
        <w:rPr>
          <w:iCs/>
        </w:rPr>
        <w:t xml:space="preserve"> in FY 2023. The FRL was +/-</w:t>
      </w:r>
      <w:r w:rsidR="00FF52E1" w:rsidRPr="000A1781">
        <w:rPr>
          <w:iCs/>
        </w:rPr>
        <w:t xml:space="preserve"> 25% of .93% (0.70 % to 1.17%)</w:t>
      </w:r>
      <w:r w:rsidR="00200FB0" w:rsidRPr="000A1781">
        <w:rPr>
          <w:iCs/>
        </w:rPr>
        <w:t>.</w:t>
      </w:r>
    </w:p>
    <w:p w14:paraId="1CF11514" w14:textId="099E1E7C" w:rsidR="006568DD" w:rsidRPr="000A1781" w:rsidRDefault="00D75D0B" w:rsidP="00002D71">
      <w:pPr>
        <w:widowControl/>
        <w:tabs>
          <w:tab w:val="left" w:pos="1800"/>
        </w:tabs>
        <w:autoSpaceDE/>
        <w:autoSpaceDN/>
        <w:adjustRightInd/>
        <w:ind w:left="1620"/>
        <w:contextualSpacing/>
        <w:rPr>
          <w:iCs/>
        </w:rPr>
      </w:pPr>
      <w:r w:rsidRPr="000A1781">
        <w:rPr>
          <w:iCs/>
        </w:rPr>
        <w:t xml:space="preserve"> </w:t>
      </w:r>
    </w:p>
    <w:p w14:paraId="602D1E31" w14:textId="2A1D6376" w:rsidR="006568DD" w:rsidRPr="000A1781" w:rsidRDefault="0074410C" w:rsidP="00002D71">
      <w:pPr>
        <w:widowControl/>
        <w:tabs>
          <w:tab w:val="left" w:pos="1800"/>
        </w:tabs>
        <w:autoSpaceDE/>
        <w:autoSpaceDN/>
        <w:adjustRightInd/>
        <w:ind w:left="1620"/>
        <w:contextualSpacing/>
        <w:rPr>
          <w:iCs/>
        </w:rPr>
      </w:pPr>
      <w:r w:rsidRPr="000A1781">
        <w:rPr>
          <w:iCs/>
        </w:rPr>
        <w:t xml:space="preserve">The NM State Plan’s percent in-compliance for safety is </w:t>
      </w:r>
      <w:r w:rsidR="002375D1" w:rsidRPr="000A1781">
        <w:rPr>
          <w:iCs/>
        </w:rPr>
        <w:t>39.25%</w:t>
      </w:r>
      <w:r w:rsidRPr="000A1781">
        <w:rPr>
          <w:iCs/>
        </w:rPr>
        <w:t xml:space="preserve"> which is higher than the </w:t>
      </w:r>
      <w:r w:rsidR="00A85B60" w:rsidRPr="000A1781">
        <w:rPr>
          <w:iCs/>
        </w:rPr>
        <w:t xml:space="preserve">FRL of </w:t>
      </w:r>
      <w:r w:rsidR="002375D1" w:rsidRPr="000A1781">
        <w:rPr>
          <w:iCs/>
        </w:rPr>
        <w:t>+/-20% of 31.73% (25.38% to 38.08%)</w:t>
      </w:r>
      <w:r w:rsidR="00A85B60" w:rsidRPr="000A1781">
        <w:rPr>
          <w:iCs/>
        </w:rPr>
        <w:t xml:space="preserve">. Their percent in-compliance </w:t>
      </w:r>
      <w:r w:rsidR="00301C3F" w:rsidRPr="000A1781">
        <w:rPr>
          <w:iCs/>
        </w:rPr>
        <w:t>health</w:t>
      </w:r>
      <w:r w:rsidR="003C798E" w:rsidRPr="000A1781">
        <w:rPr>
          <w:iCs/>
        </w:rPr>
        <w:t xml:space="preserve"> is 30.77%</w:t>
      </w:r>
      <w:r w:rsidR="00301C3F" w:rsidRPr="000A1781">
        <w:rPr>
          <w:iCs/>
        </w:rPr>
        <w:t xml:space="preserve"> </w:t>
      </w:r>
      <w:r w:rsidR="00A85B60" w:rsidRPr="000A1781">
        <w:rPr>
          <w:iCs/>
        </w:rPr>
        <w:t xml:space="preserve">which is lower than the </w:t>
      </w:r>
      <w:r w:rsidR="002375D1" w:rsidRPr="000A1781">
        <w:rPr>
          <w:iCs/>
        </w:rPr>
        <w:t>FRL +/- 20% of 43.82 (35.06% to 52.58%)</w:t>
      </w:r>
      <w:r w:rsidR="00A85B60" w:rsidRPr="000A1781">
        <w:rPr>
          <w:iCs/>
        </w:rPr>
        <w:t xml:space="preserve"> based on </w:t>
      </w:r>
      <w:r w:rsidR="002375D1" w:rsidRPr="000A1781">
        <w:rPr>
          <w:iCs/>
        </w:rPr>
        <w:t xml:space="preserve">SAMM </w:t>
      </w:r>
      <w:r w:rsidR="00ED2269" w:rsidRPr="000A1781">
        <w:rPr>
          <w:iCs/>
        </w:rPr>
        <w:t>9</w:t>
      </w:r>
      <w:r w:rsidR="006568DD" w:rsidRPr="000A1781">
        <w:rPr>
          <w:iCs/>
        </w:rPr>
        <w:t>a-9b</w:t>
      </w:r>
      <w:r w:rsidR="00A85B60" w:rsidRPr="000A1781">
        <w:rPr>
          <w:iCs/>
        </w:rPr>
        <w:t>.</w:t>
      </w:r>
    </w:p>
    <w:p w14:paraId="289BD99C" w14:textId="77777777" w:rsidR="003C798E" w:rsidRPr="000A1781" w:rsidRDefault="003C798E" w:rsidP="00002D71">
      <w:pPr>
        <w:widowControl/>
        <w:tabs>
          <w:tab w:val="left" w:pos="1800"/>
        </w:tabs>
        <w:autoSpaceDE/>
        <w:autoSpaceDN/>
        <w:adjustRightInd/>
        <w:ind w:left="1620"/>
        <w:contextualSpacing/>
        <w:rPr>
          <w:iCs/>
        </w:rPr>
      </w:pPr>
    </w:p>
    <w:p w14:paraId="3A5F21C2" w14:textId="1D3FD4B2" w:rsidR="00DF5C22" w:rsidRPr="000A1781" w:rsidRDefault="00AC17D9" w:rsidP="00002D71">
      <w:pPr>
        <w:widowControl/>
        <w:tabs>
          <w:tab w:val="left" w:pos="1800"/>
        </w:tabs>
        <w:autoSpaceDE/>
        <w:autoSpaceDN/>
        <w:adjustRightInd/>
        <w:ind w:left="1620"/>
        <w:contextualSpacing/>
        <w:rPr>
          <w:iCs/>
        </w:rPr>
      </w:pPr>
      <w:bookmarkStart w:id="3" w:name="_Hlk162251491"/>
      <w:r w:rsidRPr="000A1781">
        <w:rPr>
          <w:iCs/>
        </w:rPr>
        <w:t xml:space="preserve">Some contributing factors </w:t>
      </w:r>
      <w:r w:rsidR="002C6FFB" w:rsidRPr="000A1781">
        <w:rPr>
          <w:iCs/>
        </w:rPr>
        <w:t>for NM OHSB</w:t>
      </w:r>
      <w:r w:rsidR="0080514D" w:rsidRPr="000A1781">
        <w:rPr>
          <w:iCs/>
        </w:rPr>
        <w:t>’</w:t>
      </w:r>
      <w:r w:rsidR="002C6FFB" w:rsidRPr="000A1781">
        <w:rPr>
          <w:iCs/>
        </w:rPr>
        <w:t>s high in-compliance rates for safety</w:t>
      </w:r>
      <w:r w:rsidR="00DF5C22" w:rsidRPr="000A1781">
        <w:rPr>
          <w:iCs/>
        </w:rPr>
        <w:t xml:space="preserve"> </w:t>
      </w:r>
      <w:r w:rsidRPr="000A1781">
        <w:rPr>
          <w:iCs/>
        </w:rPr>
        <w:t xml:space="preserve">are </w:t>
      </w:r>
      <w:r w:rsidR="00DF5C22" w:rsidRPr="000A1781">
        <w:rPr>
          <w:iCs/>
        </w:rPr>
        <w:t xml:space="preserve">due to </w:t>
      </w:r>
      <w:r w:rsidRPr="000A1781">
        <w:rPr>
          <w:iCs/>
        </w:rPr>
        <w:t xml:space="preserve">the Bureau’s </w:t>
      </w:r>
      <w:r w:rsidR="00F66D84" w:rsidRPr="000A1781">
        <w:rPr>
          <w:iCs/>
        </w:rPr>
        <w:t xml:space="preserve">high staff turnover and low number of experienced staff, </w:t>
      </w:r>
      <w:r w:rsidRPr="000A1781">
        <w:rPr>
          <w:iCs/>
        </w:rPr>
        <w:t xml:space="preserve">deficiencies in employee training, and New Mexico’s lack of adoption of </w:t>
      </w:r>
      <w:r w:rsidR="00DF5C22" w:rsidRPr="000A1781">
        <w:rPr>
          <w:iCs/>
        </w:rPr>
        <w:t>the focused inspection policy for the construction industry</w:t>
      </w:r>
      <w:r w:rsidRPr="000A1781">
        <w:rPr>
          <w:iCs/>
        </w:rPr>
        <w:t>.</w:t>
      </w:r>
    </w:p>
    <w:bookmarkEnd w:id="3"/>
    <w:p w14:paraId="48484FDD" w14:textId="77777777" w:rsidR="000D1AE2" w:rsidRPr="000A1781" w:rsidRDefault="000D1AE2" w:rsidP="00AC17D9">
      <w:pPr>
        <w:widowControl/>
        <w:tabs>
          <w:tab w:val="left" w:pos="1800"/>
        </w:tabs>
        <w:autoSpaceDE/>
        <w:autoSpaceDN/>
        <w:adjustRightInd/>
        <w:contextualSpacing/>
        <w:rPr>
          <w:iCs/>
        </w:rPr>
      </w:pPr>
    </w:p>
    <w:p w14:paraId="45A16CBF" w14:textId="676517AA" w:rsidR="006D4286" w:rsidRPr="000A1781" w:rsidRDefault="006D4286" w:rsidP="00002D71">
      <w:pPr>
        <w:ind w:left="1620"/>
        <w:contextualSpacing/>
      </w:pPr>
      <w:bookmarkStart w:id="4" w:name="_Hlk162252601"/>
      <w:r w:rsidRPr="000A1781">
        <w:rPr>
          <w:b/>
          <w:bCs/>
        </w:rPr>
        <w:t>Finding FY 2023-02</w:t>
      </w:r>
      <w:r w:rsidRPr="000A1781">
        <w:t>: In FY 2023, OHSB conducted 218</w:t>
      </w:r>
      <w:r w:rsidR="00124AA1" w:rsidRPr="000A1781">
        <w:t xml:space="preserve"> (83%)</w:t>
      </w:r>
      <w:r w:rsidRPr="000A1781">
        <w:t xml:space="preserve"> out of their project goal of 264 (SAMM 7).</w:t>
      </w:r>
    </w:p>
    <w:bookmarkEnd w:id="4"/>
    <w:p w14:paraId="72834434" w14:textId="77777777" w:rsidR="006D4286" w:rsidRPr="000A1781" w:rsidRDefault="006D4286" w:rsidP="00002D71">
      <w:pPr>
        <w:ind w:left="1260"/>
        <w:rPr>
          <w:spacing w:val="-2"/>
        </w:rPr>
      </w:pPr>
    </w:p>
    <w:p w14:paraId="30DC6E03" w14:textId="4D1FB781" w:rsidR="006D4286" w:rsidRPr="000A1781" w:rsidRDefault="006D4286" w:rsidP="00002D71">
      <w:pPr>
        <w:ind w:left="1620"/>
      </w:pPr>
      <w:r w:rsidRPr="000A1781">
        <w:rPr>
          <w:b/>
          <w:bCs/>
          <w:iCs/>
        </w:rPr>
        <w:t>Recommendation</w:t>
      </w:r>
      <w:r w:rsidRPr="000A1781">
        <w:rPr>
          <w:iCs/>
        </w:rPr>
        <w:t>: OSHB</w:t>
      </w:r>
      <w:r w:rsidRPr="000A1781">
        <w:rPr>
          <w:spacing w:val="-6"/>
        </w:rPr>
        <w:t xml:space="preserve"> </w:t>
      </w:r>
      <w:r w:rsidRPr="000A1781">
        <w:t>should</w:t>
      </w:r>
      <w:r w:rsidRPr="000A1781">
        <w:rPr>
          <w:spacing w:val="-7"/>
        </w:rPr>
        <w:t xml:space="preserve"> </w:t>
      </w:r>
      <w:r w:rsidRPr="000A1781">
        <w:t>implement</w:t>
      </w:r>
      <w:r w:rsidRPr="000A1781">
        <w:rPr>
          <w:spacing w:val="-6"/>
        </w:rPr>
        <w:t xml:space="preserve"> </w:t>
      </w:r>
      <w:r w:rsidRPr="000A1781">
        <w:t>a</w:t>
      </w:r>
      <w:r w:rsidRPr="000A1781">
        <w:rPr>
          <w:spacing w:val="-7"/>
        </w:rPr>
        <w:t xml:space="preserve"> </w:t>
      </w:r>
      <w:r w:rsidRPr="000A1781">
        <w:t>corrective</w:t>
      </w:r>
      <w:r w:rsidRPr="000A1781">
        <w:rPr>
          <w:spacing w:val="-7"/>
        </w:rPr>
        <w:t xml:space="preserve"> </w:t>
      </w:r>
      <w:r w:rsidRPr="000A1781">
        <w:t>action</w:t>
      </w:r>
      <w:r w:rsidRPr="000A1781">
        <w:rPr>
          <w:spacing w:val="-7"/>
        </w:rPr>
        <w:t xml:space="preserve"> </w:t>
      </w:r>
      <w:r w:rsidRPr="000A1781">
        <w:t>to ensure</w:t>
      </w:r>
      <w:r w:rsidRPr="000A1781">
        <w:rPr>
          <w:spacing w:val="-4"/>
        </w:rPr>
        <w:t xml:space="preserve"> </w:t>
      </w:r>
      <w:r w:rsidRPr="000A1781">
        <w:t>yearly</w:t>
      </w:r>
      <w:r w:rsidRPr="000A1781">
        <w:rPr>
          <w:spacing w:val="-3"/>
        </w:rPr>
        <w:t xml:space="preserve"> </w:t>
      </w:r>
      <w:r w:rsidRPr="000A1781">
        <w:t>goals</w:t>
      </w:r>
      <w:r w:rsidRPr="000A1781">
        <w:rPr>
          <w:spacing w:val="-4"/>
        </w:rPr>
        <w:t xml:space="preserve"> </w:t>
      </w:r>
      <w:r w:rsidRPr="000A1781">
        <w:t>are</w:t>
      </w:r>
      <w:r w:rsidRPr="000A1781">
        <w:rPr>
          <w:spacing w:val="-3"/>
        </w:rPr>
        <w:t xml:space="preserve"> </w:t>
      </w:r>
      <w:r w:rsidRPr="000A1781">
        <w:t>met.</w:t>
      </w:r>
      <w:r w:rsidRPr="000A1781">
        <w:rPr>
          <w:spacing w:val="-3"/>
        </w:rPr>
        <w:t xml:space="preserve"> </w:t>
      </w:r>
      <w:r w:rsidRPr="000A1781">
        <w:t>Managers</w:t>
      </w:r>
      <w:r w:rsidRPr="000A1781">
        <w:rPr>
          <w:spacing w:val="-4"/>
        </w:rPr>
        <w:t xml:space="preserve"> </w:t>
      </w:r>
      <w:r w:rsidRPr="000A1781">
        <w:t xml:space="preserve">should monitor and adjust </w:t>
      </w:r>
      <w:r w:rsidR="00ED4140" w:rsidRPr="000A1781">
        <w:t xml:space="preserve">inspection </w:t>
      </w:r>
      <w:r w:rsidR="00DE28F4" w:rsidRPr="000A1781">
        <w:t>assignments</w:t>
      </w:r>
      <w:r w:rsidRPr="000A1781">
        <w:t xml:space="preserve"> weekly </w:t>
      </w:r>
      <w:r w:rsidR="000D1AE2" w:rsidRPr="000A1781">
        <w:t>a</w:t>
      </w:r>
      <w:r w:rsidR="002C7A0D" w:rsidRPr="000A1781">
        <w:t xml:space="preserve">nd </w:t>
      </w:r>
      <w:r w:rsidRPr="000A1781">
        <w:t>monthly</w:t>
      </w:r>
      <w:r w:rsidR="002C7A0D" w:rsidRPr="000A1781">
        <w:t xml:space="preserve"> if </w:t>
      </w:r>
      <w:r w:rsidR="00E45278" w:rsidRPr="000A1781">
        <w:t>the current inspections are falling behind inspection goal pace</w:t>
      </w:r>
      <w:r w:rsidRPr="000A1781">
        <w:t>.</w:t>
      </w:r>
    </w:p>
    <w:p w14:paraId="6C5DC00F" w14:textId="77777777" w:rsidR="006568DD" w:rsidRPr="000A1781" w:rsidRDefault="006568DD" w:rsidP="00DF4101">
      <w:pPr>
        <w:widowControl/>
        <w:tabs>
          <w:tab w:val="left" w:pos="1800"/>
        </w:tabs>
        <w:autoSpaceDE/>
        <w:autoSpaceDN/>
        <w:adjustRightInd/>
        <w:contextualSpacing/>
        <w:rPr>
          <w:iCs/>
        </w:rPr>
      </w:pPr>
    </w:p>
    <w:p w14:paraId="6D69C7CC" w14:textId="5FF498DF" w:rsidR="006568DD" w:rsidRPr="000A1781" w:rsidRDefault="009C64A8" w:rsidP="00002D71">
      <w:pPr>
        <w:widowControl/>
        <w:tabs>
          <w:tab w:val="left" w:pos="1800"/>
        </w:tabs>
        <w:autoSpaceDE/>
        <w:autoSpaceDN/>
        <w:adjustRightInd/>
        <w:ind w:left="1620"/>
        <w:contextualSpacing/>
        <w:rPr>
          <w:spacing w:val="-5"/>
        </w:rPr>
      </w:pPr>
      <w:bookmarkStart w:id="5" w:name="_Hlk162251180"/>
      <w:r w:rsidRPr="000A1781">
        <w:rPr>
          <w:b/>
          <w:bCs/>
        </w:rPr>
        <w:t>Observation FY 2023-OB-02</w:t>
      </w:r>
      <w:r w:rsidRPr="000A1781">
        <w:t xml:space="preserve">: </w:t>
      </w:r>
      <w:bookmarkEnd w:id="5"/>
      <w:r w:rsidR="009774B7" w:rsidRPr="000A1781">
        <w:t>Of the 52 casefiles reviewed in FY 2023, 16 inspections had citations issued, 36 inspections were in-compliance, seven of the 36 (38.8%) were health inspections while 29 of the 36 (85%) were safety inspections. NM OSHB’s safety in-compliance rate was above the FRL range based on the official end-of-year SAMM 9.</w:t>
      </w:r>
    </w:p>
    <w:p w14:paraId="4EDC19E8" w14:textId="77777777" w:rsidR="00A863A7" w:rsidRPr="000A1781" w:rsidRDefault="00A863A7" w:rsidP="00002D71">
      <w:pPr>
        <w:widowControl/>
        <w:tabs>
          <w:tab w:val="left" w:pos="1800"/>
        </w:tabs>
        <w:autoSpaceDE/>
        <w:autoSpaceDN/>
        <w:adjustRightInd/>
        <w:ind w:left="1620"/>
        <w:contextualSpacing/>
        <w:rPr>
          <w:spacing w:val="-5"/>
        </w:rPr>
      </w:pPr>
    </w:p>
    <w:p w14:paraId="1FCE1EA4" w14:textId="6B831B68" w:rsidR="00A863A7" w:rsidRPr="000A1781" w:rsidRDefault="00A863A7" w:rsidP="00002D71">
      <w:pPr>
        <w:widowControl/>
        <w:tabs>
          <w:tab w:val="left" w:pos="1800"/>
        </w:tabs>
        <w:autoSpaceDE/>
        <w:autoSpaceDN/>
        <w:adjustRightInd/>
        <w:ind w:left="1620"/>
        <w:contextualSpacing/>
        <w:rPr>
          <w:spacing w:val="-5"/>
        </w:rPr>
      </w:pPr>
      <w:r w:rsidRPr="000A1781">
        <w:rPr>
          <w:spacing w:val="-5"/>
        </w:rPr>
        <w:t xml:space="preserve">OSHA identified a significant discrepancy </w:t>
      </w:r>
      <w:r w:rsidR="003B70DE" w:rsidRPr="000A1781">
        <w:rPr>
          <w:spacing w:val="-5"/>
        </w:rPr>
        <w:t>between the results of</w:t>
      </w:r>
      <w:r w:rsidRPr="000A1781">
        <w:rPr>
          <w:spacing w:val="-5"/>
        </w:rPr>
        <w:t xml:space="preserve"> the FY 2023 casefile review </w:t>
      </w:r>
      <w:r w:rsidR="003B70DE" w:rsidRPr="000A1781">
        <w:rPr>
          <w:spacing w:val="-5"/>
        </w:rPr>
        <w:t xml:space="preserve">versus the </w:t>
      </w:r>
      <w:r w:rsidRPr="000A1781">
        <w:rPr>
          <w:spacing w:val="-5"/>
        </w:rPr>
        <w:t>end-of-year SAMM report</w:t>
      </w:r>
      <w:r w:rsidR="003B70DE" w:rsidRPr="000A1781">
        <w:rPr>
          <w:spacing w:val="-5"/>
        </w:rPr>
        <w:t xml:space="preserve"> data</w:t>
      </w:r>
      <w:r w:rsidRPr="000A1781">
        <w:rPr>
          <w:spacing w:val="-5"/>
        </w:rPr>
        <w:t xml:space="preserve"> which was run on November 14, 2023. </w:t>
      </w:r>
      <w:r w:rsidR="00760F94" w:rsidRPr="000A1781">
        <w:rPr>
          <w:spacing w:val="-5"/>
        </w:rPr>
        <w:t>In FY 2023, NM OHSB’s percent in-compliance for safety inspections was 39.25% and 30.77% for health inspections. The table below represents the percent in-compliance over the past six years per the SAMM.</w:t>
      </w:r>
    </w:p>
    <w:p w14:paraId="10D66494" w14:textId="77777777" w:rsidR="00F60EAB" w:rsidRPr="000A1781" w:rsidRDefault="00F60EAB" w:rsidP="00002D71">
      <w:pPr>
        <w:widowControl/>
        <w:tabs>
          <w:tab w:val="left" w:pos="1800"/>
        </w:tabs>
        <w:autoSpaceDE/>
        <w:autoSpaceDN/>
        <w:adjustRightInd/>
        <w:ind w:left="1620"/>
        <w:contextualSpacing/>
        <w:rPr>
          <w:spacing w:val="-5"/>
        </w:rPr>
      </w:pPr>
    </w:p>
    <w:tbl>
      <w:tblPr>
        <w:tblStyle w:val="TableGrid"/>
        <w:tblW w:w="8640" w:type="dxa"/>
        <w:tblInd w:w="1615" w:type="dxa"/>
        <w:tblLook w:val="04A0" w:firstRow="1" w:lastRow="0" w:firstColumn="1" w:lastColumn="0" w:noHBand="0" w:noVBand="1"/>
      </w:tblPr>
      <w:tblGrid>
        <w:gridCol w:w="1800"/>
        <w:gridCol w:w="1170"/>
        <w:gridCol w:w="1170"/>
        <w:gridCol w:w="1080"/>
        <w:gridCol w:w="1170"/>
        <w:gridCol w:w="1170"/>
        <w:gridCol w:w="1080"/>
      </w:tblGrid>
      <w:tr w:rsidR="003B70DE" w:rsidRPr="000A1781" w14:paraId="46D6D878" w14:textId="77777777" w:rsidTr="00887129">
        <w:tc>
          <w:tcPr>
            <w:tcW w:w="1800" w:type="dxa"/>
            <w:shd w:val="clear" w:color="auto" w:fill="FFFFFF" w:themeFill="background1"/>
          </w:tcPr>
          <w:p w14:paraId="4F0EB082" w14:textId="77777777" w:rsidR="003B70DE" w:rsidRPr="00887129" w:rsidRDefault="003B70DE" w:rsidP="00414B29">
            <w:pPr>
              <w:jc w:val="center"/>
              <w:rPr>
                <w:b/>
                <w:bCs/>
                <w:sz w:val="22"/>
                <w:szCs w:val="22"/>
              </w:rPr>
            </w:pPr>
            <w:r w:rsidRPr="00887129">
              <w:rPr>
                <w:b/>
                <w:bCs/>
                <w:sz w:val="22"/>
                <w:szCs w:val="22"/>
              </w:rPr>
              <w:t>Percent In-Compliance (SAMM 9)</w:t>
            </w:r>
          </w:p>
        </w:tc>
        <w:tc>
          <w:tcPr>
            <w:tcW w:w="1170" w:type="dxa"/>
            <w:shd w:val="clear" w:color="auto" w:fill="FFFFFF" w:themeFill="background1"/>
          </w:tcPr>
          <w:p w14:paraId="01963928" w14:textId="77777777" w:rsidR="003B70DE" w:rsidRPr="00887129" w:rsidRDefault="003B70DE" w:rsidP="00414B29">
            <w:pPr>
              <w:jc w:val="center"/>
              <w:rPr>
                <w:b/>
                <w:bCs/>
                <w:sz w:val="22"/>
                <w:szCs w:val="22"/>
              </w:rPr>
            </w:pPr>
          </w:p>
          <w:p w14:paraId="7B1B6368" w14:textId="77777777" w:rsidR="003B70DE" w:rsidRPr="00887129" w:rsidRDefault="003B70DE" w:rsidP="00414B29">
            <w:pPr>
              <w:jc w:val="center"/>
              <w:rPr>
                <w:b/>
                <w:bCs/>
                <w:sz w:val="22"/>
                <w:szCs w:val="22"/>
              </w:rPr>
            </w:pPr>
            <w:r w:rsidRPr="00887129">
              <w:rPr>
                <w:b/>
                <w:bCs/>
                <w:sz w:val="22"/>
                <w:szCs w:val="22"/>
              </w:rPr>
              <w:t>FY 2023</w:t>
            </w:r>
          </w:p>
        </w:tc>
        <w:tc>
          <w:tcPr>
            <w:tcW w:w="1170" w:type="dxa"/>
            <w:shd w:val="clear" w:color="auto" w:fill="FFFFFF" w:themeFill="background1"/>
          </w:tcPr>
          <w:p w14:paraId="64C18F9B" w14:textId="77777777" w:rsidR="003B70DE" w:rsidRPr="00887129" w:rsidRDefault="003B70DE" w:rsidP="00414B29">
            <w:pPr>
              <w:jc w:val="center"/>
              <w:rPr>
                <w:b/>
                <w:bCs/>
                <w:sz w:val="22"/>
                <w:szCs w:val="22"/>
              </w:rPr>
            </w:pPr>
          </w:p>
          <w:p w14:paraId="70AF183B" w14:textId="77777777" w:rsidR="003B70DE" w:rsidRPr="00887129" w:rsidRDefault="003B70DE" w:rsidP="00414B29">
            <w:pPr>
              <w:jc w:val="center"/>
              <w:rPr>
                <w:b/>
                <w:bCs/>
                <w:sz w:val="22"/>
                <w:szCs w:val="22"/>
              </w:rPr>
            </w:pPr>
            <w:r w:rsidRPr="00887129">
              <w:rPr>
                <w:b/>
                <w:bCs/>
                <w:sz w:val="22"/>
                <w:szCs w:val="22"/>
              </w:rPr>
              <w:t>FY 2022</w:t>
            </w:r>
          </w:p>
        </w:tc>
        <w:tc>
          <w:tcPr>
            <w:tcW w:w="1080" w:type="dxa"/>
            <w:shd w:val="clear" w:color="auto" w:fill="FFFFFF" w:themeFill="background1"/>
          </w:tcPr>
          <w:p w14:paraId="084170FE" w14:textId="77777777" w:rsidR="003B70DE" w:rsidRPr="00887129" w:rsidRDefault="003B70DE" w:rsidP="00414B29">
            <w:pPr>
              <w:jc w:val="center"/>
              <w:rPr>
                <w:b/>
                <w:bCs/>
                <w:sz w:val="22"/>
                <w:szCs w:val="22"/>
              </w:rPr>
            </w:pPr>
          </w:p>
          <w:p w14:paraId="519886EE" w14:textId="77777777" w:rsidR="003B70DE" w:rsidRPr="00887129" w:rsidRDefault="003B70DE" w:rsidP="00414B29">
            <w:pPr>
              <w:jc w:val="center"/>
              <w:rPr>
                <w:b/>
                <w:bCs/>
                <w:sz w:val="22"/>
                <w:szCs w:val="22"/>
              </w:rPr>
            </w:pPr>
            <w:r w:rsidRPr="00887129">
              <w:rPr>
                <w:b/>
                <w:bCs/>
                <w:sz w:val="22"/>
                <w:szCs w:val="22"/>
              </w:rPr>
              <w:t>FY 2021</w:t>
            </w:r>
          </w:p>
        </w:tc>
        <w:tc>
          <w:tcPr>
            <w:tcW w:w="1170" w:type="dxa"/>
            <w:shd w:val="clear" w:color="auto" w:fill="FFFFFF" w:themeFill="background1"/>
          </w:tcPr>
          <w:p w14:paraId="637D3D50" w14:textId="77777777" w:rsidR="003B70DE" w:rsidRPr="00887129" w:rsidRDefault="003B70DE" w:rsidP="00414B29">
            <w:pPr>
              <w:jc w:val="center"/>
              <w:rPr>
                <w:b/>
                <w:bCs/>
                <w:sz w:val="22"/>
                <w:szCs w:val="22"/>
              </w:rPr>
            </w:pPr>
          </w:p>
          <w:p w14:paraId="56A612A2" w14:textId="77777777" w:rsidR="003B70DE" w:rsidRPr="00887129" w:rsidRDefault="003B70DE" w:rsidP="00414B29">
            <w:pPr>
              <w:jc w:val="center"/>
              <w:rPr>
                <w:b/>
                <w:bCs/>
                <w:sz w:val="22"/>
                <w:szCs w:val="22"/>
              </w:rPr>
            </w:pPr>
            <w:r w:rsidRPr="00887129">
              <w:rPr>
                <w:b/>
                <w:bCs/>
                <w:sz w:val="22"/>
                <w:szCs w:val="22"/>
              </w:rPr>
              <w:t>FY 2020</w:t>
            </w:r>
          </w:p>
        </w:tc>
        <w:tc>
          <w:tcPr>
            <w:tcW w:w="1170" w:type="dxa"/>
            <w:shd w:val="clear" w:color="auto" w:fill="FFFFFF" w:themeFill="background1"/>
          </w:tcPr>
          <w:p w14:paraId="3C25B242" w14:textId="77777777" w:rsidR="003B70DE" w:rsidRPr="00887129" w:rsidRDefault="003B70DE" w:rsidP="00414B29">
            <w:pPr>
              <w:jc w:val="center"/>
              <w:rPr>
                <w:b/>
                <w:bCs/>
                <w:sz w:val="22"/>
                <w:szCs w:val="22"/>
              </w:rPr>
            </w:pPr>
          </w:p>
          <w:p w14:paraId="0D346CEA" w14:textId="77777777" w:rsidR="003B70DE" w:rsidRPr="00887129" w:rsidRDefault="003B70DE" w:rsidP="00414B29">
            <w:pPr>
              <w:jc w:val="center"/>
              <w:rPr>
                <w:b/>
                <w:bCs/>
                <w:sz w:val="22"/>
                <w:szCs w:val="22"/>
              </w:rPr>
            </w:pPr>
            <w:r w:rsidRPr="00887129">
              <w:rPr>
                <w:b/>
                <w:bCs/>
                <w:sz w:val="22"/>
                <w:szCs w:val="22"/>
              </w:rPr>
              <w:t>FY 2019</w:t>
            </w:r>
          </w:p>
        </w:tc>
        <w:tc>
          <w:tcPr>
            <w:tcW w:w="1080" w:type="dxa"/>
            <w:shd w:val="clear" w:color="auto" w:fill="FFFFFF" w:themeFill="background1"/>
          </w:tcPr>
          <w:p w14:paraId="2F4305CE" w14:textId="77777777" w:rsidR="003B70DE" w:rsidRPr="00887129" w:rsidRDefault="003B70DE" w:rsidP="00414B29">
            <w:pPr>
              <w:jc w:val="center"/>
              <w:rPr>
                <w:b/>
                <w:bCs/>
                <w:sz w:val="22"/>
                <w:szCs w:val="22"/>
              </w:rPr>
            </w:pPr>
          </w:p>
          <w:p w14:paraId="39427D8A" w14:textId="77777777" w:rsidR="003B70DE" w:rsidRPr="00887129" w:rsidRDefault="003B70DE" w:rsidP="00414B29">
            <w:pPr>
              <w:jc w:val="center"/>
              <w:rPr>
                <w:b/>
                <w:bCs/>
                <w:sz w:val="22"/>
                <w:szCs w:val="22"/>
              </w:rPr>
            </w:pPr>
            <w:r w:rsidRPr="00887129">
              <w:rPr>
                <w:b/>
                <w:bCs/>
                <w:sz w:val="22"/>
                <w:szCs w:val="22"/>
              </w:rPr>
              <w:t>FY 2018</w:t>
            </w:r>
          </w:p>
        </w:tc>
      </w:tr>
      <w:tr w:rsidR="003B70DE" w:rsidRPr="000A1781" w14:paraId="2C12B881" w14:textId="77777777" w:rsidTr="00887129">
        <w:trPr>
          <w:trHeight w:val="278"/>
        </w:trPr>
        <w:tc>
          <w:tcPr>
            <w:tcW w:w="1800" w:type="dxa"/>
            <w:shd w:val="clear" w:color="auto" w:fill="FFFFFF" w:themeFill="background1"/>
          </w:tcPr>
          <w:p w14:paraId="3B3B5C6B" w14:textId="77777777" w:rsidR="003B70DE" w:rsidRPr="00887129" w:rsidRDefault="003B70DE" w:rsidP="00414B29">
            <w:pPr>
              <w:jc w:val="center"/>
              <w:rPr>
                <w:b/>
                <w:bCs/>
                <w:sz w:val="22"/>
                <w:szCs w:val="22"/>
              </w:rPr>
            </w:pPr>
            <w:r w:rsidRPr="00887129">
              <w:rPr>
                <w:b/>
                <w:bCs/>
                <w:sz w:val="22"/>
                <w:szCs w:val="22"/>
              </w:rPr>
              <w:t>Safety</w:t>
            </w:r>
          </w:p>
        </w:tc>
        <w:tc>
          <w:tcPr>
            <w:tcW w:w="1170" w:type="dxa"/>
            <w:shd w:val="clear" w:color="auto" w:fill="FFFFFF" w:themeFill="background1"/>
          </w:tcPr>
          <w:p w14:paraId="6F555321" w14:textId="77777777" w:rsidR="003B70DE" w:rsidRPr="00887129" w:rsidRDefault="003B70DE" w:rsidP="00414B29">
            <w:pPr>
              <w:jc w:val="center"/>
              <w:rPr>
                <w:sz w:val="22"/>
                <w:szCs w:val="22"/>
              </w:rPr>
            </w:pPr>
            <w:r w:rsidRPr="00887129">
              <w:rPr>
                <w:sz w:val="22"/>
                <w:szCs w:val="22"/>
              </w:rPr>
              <w:t>39.25%</w:t>
            </w:r>
          </w:p>
        </w:tc>
        <w:tc>
          <w:tcPr>
            <w:tcW w:w="1170" w:type="dxa"/>
            <w:shd w:val="clear" w:color="auto" w:fill="FFFFFF" w:themeFill="background1"/>
          </w:tcPr>
          <w:p w14:paraId="37630629" w14:textId="77777777" w:rsidR="003B70DE" w:rsidRPr="00887129" w:rsidRDefault="003B70DE" w:rsidP="00414B29">
            <w:pPr>
              <w:jc w:val="center"/>
              <w:rPr>
                <w:sz w:val="22"/>
                <w:szCs w:val="22"/>
              </w:rPr>
            </w:pPr>
            <w:r w:rsidRPr="00887129">
              <w:rPr>
                <w:sz w:val="22"/>
                <w:szCs w:val="22"/>
              </w:rPr>
              <w:t>49.23%</w:t>
            </w:r>
          </w:p>
        </w:tc>
        <w:tc>
          <w:tcPr>
            <w:tcW w:w="1080" w:type="dxa"/>
            <w:shd w:val="clear" w:color="auto" w:fill="FFFFFF" w:themeFill="background1"/>
          </w:tcPr>
          <w:p w14:paraId="6CF01F65" w14:textId="77777777" w:rsidR="003B70DE" w:rsidRPr="00887129" w:rsidRDefault="003B70DE" w:rsidP="00414B29">
            <w:pPr>
              <w:jc w:val="center"/>
              <w:rPr>
                <w:sz w:val="22"/>
                <w:szCs w:val="22"/>
              </w:rPr>
            </w:pPr>
            <w:r w:rsidRPr="00887129">
              <w:rPr>
                <w:sz w:val="22"/>
                <w:szCs w:val="22"/>
              </w:rPr>
              <w:t>33.33%</w:t>
            </w:r>
          </w:p>
        </w:tc>
        <w:tc>
          <w:tcPr>
            <w:tcW w:w="1170" w:type="dxa"/>
            <w:shd w:val="clear" w:color="auto" w:fill="FFFFFF" w:themeFill="background1"/>
          </w:tcPr>
          <w:p w14:paraId="52F150FD" w14:textId="77777777" w:rsidR="003B70DE" w:rsidRPr="00887129" w:rsidRDefault="003B70DE" w:rsidP="00414B29">
            <w:pPr>
              <w:jc w:val="center"/>
              <w:rPr>
                <w:sz w:val="22"/>
                <w:szCs w:val="22"/>
              </w:rPr>
            </w:pPr>
            <w:r w:rsidRPr="00887129">
              <w:rPr>
                <w:sz w:val="22"/>
                <w:szCs w:val="22"/>
              </w:rPr>
              <w:t>38.57%</w:t>
            </w:r>
          </w:p>
        </w:tc>
        <w:tc>
          <w:tcPr>
            <w:tcW w:w="1170" w:type="dxa"/>
            <w:shd w:val="clear" w:color="auto" w:fill="FFFFFF" w:themeFill="background1"/>
          </w:tcPr>
          <w:p w14:paraId="0EBCD7F3" w14:textId="77777777" w:rsidR="003B70DE" w:rsidRPr="00887129" w:rsidRDefault="003B70DE" w:rsidP="00414B29">
            <w:pPr>
              <w:jc w:val="center"/>
              <w:rPr>
                <w:sz w:val="22"/>
                <w:szCs w:val="22"/>
              </w:rPr>
            </w:pPr>
            <w:r w:rsidRPr="00887129">
              <w:rPr>
                <w:sz w:val="22"/>
                <w:szCs w:val="22"/>
              </w:rPr>
              <w:t>43.46%</w:t>
            </w:r>
          </w:p>
        </w:tc>
        <w:tc>
          <w:tcPr>
            <w:tcW w:w="1080" w:type="dxa"/>
            <w:shd w:val="clear" w:color="auto" w:fill="FFFFFF" w:themeFill="background1"/>
          </w:tcPr>
          <w:p w14:paraId="7DB5372D" w14:textId="77777777" w:rsidR="003B70DE" w:rsidRPr="00887129" w:rsidRDefault="003B70DE" w:rsidP="00414B29">
            <w:pPr>
              <w:jc w:val="center"/>
              <w:rPr>
                <w:sz w:val="22"/>
                <w:szCs w:val="22"/>
              </w:rPr>
            </w:pPr>
            <w:r w:rsidRPr="00887129">
              <w:rPr>
                <w:sz w:val="22"/>
                <w:szCs w:val="22"/>
              </w:rPr>
              <w:t>54.07%</w:t>
            </w:r>
          </w:p>
        </w:tc>
      </w:tr>
      <w:tr w:rsidR="003B70DE" w:rsidRPr="000A1781" w14:paraId="608E3527" w14:textId="77777777" w:rsidTr="00887129">
        <w:tc>
          <w:tcPr>
            <w:tcW w:w="1800" w:type="dxa"/>
            <w:shd w:val="clear" w:color="auto" w:fill="FFFFFF" w:themeFill="background1"/>
          </w:tcPr>
          <w:p w14:paraId="653CE9C7" w14:textId="77777777" w:rsidR="003B70DE" w:rsidRPr="00887129" w:rsidRDefault="003B70DE" w:rsidP="00414B29">
            <w:pPr>
              <w:jc w:val="center"/>
              <w:rPr>
                <w:b/>
                <w:bCs/>
                <w:sz w:val="22"/>
                <w:szCs w:val="22"/>
              </w:rPr>
            </w:pPr>
            <w:r w:rsidRPr="00887129">
              <w:rPr>
                <w:b/>
                <w:bCs/>
                <w:sz w:val="22"/>
                <w:szCs w:val="22"/>
              </w:rPr>
              <w:t>Health</w:t>
            </w:r>
          </w:p>
        </w:tc>
        <w:tc>
          <w:tcPr>
            <w:tcW w:w="1170" w:type="dxa"/>
            <w:shd w:val="clear" w:color="auto" w:fill="FFFFFF" w:themeFill="background1"/>
          </w:tcPr>
          <w:p w14:paraId="6CE16AFB" w14:textId="77777777" w:rsidR="003B70DE" w:rsidRPr="00887129" w:rsidRDefault="003B70DE" w:rsidP="00414B29">
            <w:pPr>
              <w:jc w:val="center"/>
              <w:rPr>
                <w:sz w:val="22"/>
                <w:szCs w:val="22"/>
              </w:rPr>
            </w:pPr>
            <w:r w:rsidRPr="00887129">
              <w:rPr>
                <w:sz w:val="22"/>
                <w:szCs w:val="22"/>
              </w:rPr>
              <w:t>30.77%</w:t>
            </w:r>
          </w:p>
        </w:tc>
        <w:tc>
          <w:tcPr>
            <w:tcW w:w="1170" w:type="dxa"/>
            <w:shd w:val="clear" w:color="auto" w:fill="FFFFFF" w:themeFill="background1"/>
          </w:tcPr>
          <w:p w14:paraId="1ED20A69" w14:textId="77777777" w:rsidR="003B70DE" w:rsidRPr="00887129" w:rsidRDefault="003B70DE" w:rsidP="00414B29">
            <w:pPr>
              <w:jc w:val="center"/>
              <w:rPr>
                <w:sz w:val="22"/>
                <w:szCs w:val="22"/>
              </w:rPr>
            </w:pPr>
            <w:r w:rsidRPr="00887129">
              <w:rPr>
                <w:sz w:val="22"/>
                <w:szCs w:val="22"/>
              </w:rPr>
              <w:t>40.91%</w:t>
            </w:r>
          </w:p>
        </w:tc>
        <w:tc>
          <w:tcPr>
            <w:tcW w:w="1080" w:type="dxa"/>
            <w:shd w:val="clear" w:color="auto" w:fill="FFFFFF" w:themeFill="background1"/>
          </w:tcPr>
          <w:p w14:paraId="7AE60EEB" w14:textId="77777777" w:rsidR="003B70DE" w:rsidRPr="00887129" w:rsidRDefault="003B70DE" w:rsidP="00414B29">
            <w:pPr>
              <w:jc w:val="center"/>
              <w:rPr>
                <w:sz w:val="22"/>
                <w:szCs w:val="22"/>
              </w:rPr>
            </w:pPr>
            <w:r w:rsidRPr="00887129">
              <w:rPr>
                <w:sz w:val="22"/>
                <w:szCs w:val="22"/>
              </w:rPr>
              <w:t>34.69%</w:t>
            </w:r>
          </w:p>
        </w:tc>
        <w:tc>
          <w:tcPr>
            <w:tcW w:w="1170" w:type="dxa"/>
            <w:shd w:val="clear" w:color="auto" w:fill="FFFFFF" w:themeFill="background1"/>
          </w:tcPr>
          <w:p w14:paraId="66D75716" w14:textId="77777777" w:rsidR="003B70DE" w:rsidRPr="00887129" w:rsidRDefault="003B70DE" w:rsidP="00414B29">
            <w:pPr>
              <w:jc w:val="center"/>
              <w:rPr>
                <w:sz w:val="22"/>
                <w:szCs w:val="22"/>
              </w:rPr>
            </w:pPr>
            <w:r w:rsidRPr="00887129">
              <w:rPr>
                <w:sz w:val="22"/>
                <w:szCs w:val="22"/>
              </w:rPr>
              <w:t>20.93%</w:t>
            </w:r>
          </w:p>
        </w:tc>
        <w:tc>
          <w:tcPr>
            <w:tcW w:w="1170" w:type="dxa"/>
            <w:shd w:val="clear" w:color="auto" w:fill="FFFFFF" w:themeFill="background1"/>
          </w:tcPr>
          <w:p w14:paraId="6E34E1CC" w14:textId="77777777" w:rsidR="003B70DE" w:rsidRPr="00887129" w:rsidRDefault="003B70DE" w:rsidP="00414B29">
            <w:pPr>
              <w:jc w:val="center"/>
              <w:rPr>
                <w:sz w:val="22"/>
                <w:szCs w:val="22"/>
              </w:rPr>
            </w:pPr>
            <w:r w:rsidRPr="00887129">
              <w:rPr>
                <w:sz w:val="22"/>
                <w:szCs w:val="22"/>
              </w:rPr>
              <w:t>33.33%</w:t>
            </w:r>
          </w:p>
        </w:tc>
        <w:tc>
          <w:tcPr>
            <w:tcW w:w="1080" w:type="dxa"/>
            <w:shd w:val="clear" w:color="auto" w:fill="FFFFFF" w:themeFill="background1"/>
          </w:tcPr>
          <w:p w14:paraId="7DC74425" w14:textId="77777777" w:rsidR="003B70DE" w:rsidRPr="00887129" w:rsidRDefault="003B70DE" w:rsidP="00414B29">
            <w:pPr>
              <w:jc w:val="center"/>
              <w:rPr>
                <w:sz w:val="22"/>
                <w:szCs w:val="22"/>
              </w:rPr>
            </w:pPr>
            <w:r w:rsidRPr="00887129">
              <w:rPr>
                <w:sz w:val="22"/>
                <w:szCs w:val="22"/>
              </w:rPr>
              <w:t>36.84%</w:t>
            </w:r>
          </w:p>
        </w:tc>
      </w:tr>
    </w:tbl>
    <w:p w14:paraId="13C55923" w14:textId="1DE52F3E" w:rsidR="009C64A8" w:rsidRPr="000A1781" w:rsidRDefault="00A863A7" w:rsidP="00002D71">
      <w:pPr>
        <w:widowControl/>
        <w:tabs>
          <w:tab w:val="left" w:pos="1800"/>
        </w:tabs>
        <w:autoSpaceDE/>
        <w:autoSpaceDN/>
        <w:adjustRightInd/>
        <w:ind w:left="1620"/>
        <w:contextualSpacing/>
        <w:rPr>
          <w:spacing w:val="-2"/>
        </w:rPr>
      </w:pPr>
      <w:r w:rsidRPr="000A1781">
        <w:rPr>
          <w:b/>
          <w:bCs/>
          <w:spacing w:val="-5"/>
        </w:rPr>
        <w:lastRenderedPageBreak/>
        <w:t>Federal Monitoring Plan</w:t>
      </w:r>
      <w:r w:rsidR="009C64A8" w:rsidRPr="000A1781">
        <w:rPr>
          <w:spacing w:val="-5"/>
        </w:rPr>
        <w:t xml:space="preserve">: </w:t>
      </w:r>
      <w:r w:rsidR="009C64A8" w:rsidRPr="000A1781">
        <w:t>OSHA will continue to</w:t>
      </w:r>
      <w:r w:rsidR="003B70DE" w:rsidRPr="000A1781">
        <w:t xml:space="preserve"> partner with the National Office and OIS team to</w:t>
      </w:r>
      <w:r w:rsidR="009C64A8" w:rsidRPr="000A1781">
        <w:t xml:space="preserve"> </w:t>
      </w:r>
      <w:proofErr w:type="gramStart"/>
      <w:r w:rsidR="003B70DE" w:rsidRPr="000A1781">
        <w:t>look into</w:t>
      </w:r>
      <w:proofErr w:type="gramEnd"/>
      <w:r w:rsidR="003B70DE" w:rsidRPr="000A1781">
        <w:t xml:space="preserve"> the inconsistency between the actual casefile review results versus the calculated end-of-year SAMM data regarding in-compliance rates. OSHA will continue to </w:t>
      </w:r>
      <w:r w:rsidR="009C64A8" w:rsidRPr="000A1781">
        <w:t>monitor performance in this</w:t>
      </w:r>
      <w:r w:rsidR="009C64A8" w:rsidRPr="000A1781">
        <w:rPr>
          <w:spacing w:val="-13"/>
        </w:rPr>
        <w:t xml:space="preserve"> </w:t>
      </w:r>
      <w:r w:rsidR="009C64A8" w:rsidRPr="000A1781">
        <w:t>area</w:t>
      </w:r>
      <w:r w:rsidR="009C64A8" w:rsidRPr="000A1781">
        <w:rPr>
          <w:spacing w:val="-12"/>
        </w:rPr>
        <w:t xml:space="preserve"> </w:t>
      </w:r>
      <w:r w:rsidR="009C64A8" w:rsidRPr="000A1781">
        <w:t>during</w:t>
      </w:r>
      <w:r w:rsidR="009C64A8" w:rsidRPr="000A1781">
        <w:rPr>
          <w:spacing w:val="-12"/>
        </w:rPr>
        <w:t xml:space="preserve"> </w:t>
      </w:r>
      <w:r w:rsidR="009C64A8" w:rsidRPr="000A1781">
        <w:t xml:space="preserve">quarterly </w:t>
      </w:r>
      <w:r w:rsidR="009C64A8" w:rsidRPr="000A1781">
        <w:rPr>
          <w:spacing w:val="-2"/>
        </w:rPr>
        <w:t>meeting.</w:t>
      </w:r>
    </w:p>
    <w:p w14:paraId="2315B3F4" w14:textId="77777777" w:rsidR="00854479" w:rsidRPr="000A1781" w:rsidRDefault="00854479" w:rsidP="00002D71">
      <w:pPr>
        <w:widowControl/>
        <w:tabs>
          <w:tab w:val="left" w:pos="1800"/>
        </w:tabs>
        <w:autoSpaceDE/>
        <w:autoSpaceDN/>
        <w:adjustRightInd/>
        <w:ind w:left="1620"/>
        <w:contextualSpacing/>
        <w:rPr>
          <w:spacing w:val="-2"/>
        </w:rPr>
      </w:pPr>
    </w:p>
    <w:p w14:paraId="6DDE6D92" w14:textId="50BCA953" w:rsidR="001567A4" w:rsidRPr="000A1781" w:rsidRDefault="00BC211E" w:rsidP="00002D71">
      <w:pPr>
        <w:widowControl/>
        <w:tabs>
          <w:tab w:val="left" w:pos="1260"/>
          <w:tab w:val="left" w:pos="1350"/>
        </w:tabs>
        <w:autoSpaceDE/>
        <w:autoSpaceDN/>
        <w:adjustRightInd/>
        <w:ind w:firstLine="900"/>
        <w:contextualSpacing/>
        <w:rPr>
          <w:i/>
        </w:rPr>
      </w:pPr>
      <w:r w:rsidRPr="000A1781">
        <w:tab/>
      </w:r>
      <w:r w:rsidRPr="000A1781">
        <w:tab/>
      </w:r>
      <w:r w:rsidR="001567A4" w:rsidRPr="000A1781">
        <w:t xml:space="preserve">d)  Citations and Penalties </w:t>
      </w:r>
    </w:p>
    <w:p w14:paraId="5BEDD57A" w14:textId="77777777" w:rsidR="00EF0A85" w:rsidRPr="000A1781" w:rsidRDefault="00EF0A85" w:rsidP="00002D71">
      <w:pPr>
        <w:widowControl/>
        <w:tabs>
          <w:tab w:val="left" w:pos="1800"/>
        </w:tabs>
        <w:autoSpaceDE/>
        <w:autoSpaceDN/>
        <w:adjustRightInd/>
        <w:ind w:left="1620"/>
        <w:contextualSpacing/>
        <w:rPr>
          <w:b/>
          <w:bCs/>
          <w:spacing w:val="-5"/>
        </w:rPr>
      </w:pPr>
    </w:p>
    <w:p w14:paraId="1A937FD4" w14:textId="09672435" w:rsidR="00600898" w:rsidRPr="000A1781" w:rsidRDefault="00EB429D" w:rsidP="00002D71">
      <w:pPr>
        <w:widowControl/>
        <w:tabs>
          <w:tab w:val="left" w:pos="1800"/>
        </w:tabs>
        <w:autoSpaceDE/>
        <w:autoSpaceDN/>
        <w:adjustRightInd/>
        <w:ind w:left="1620"/>
        <w:contextualSpacing/>
      </w:pPr>
      <w:r w:rsidRPr="000A1781">
        <w:t xml:space="preserve">NM </w:t>
      </w:r>
      <w:r w:rsidR="00665FC2" w:rsidRPr="000A1781">
        <w:t>OHSB’s average citation lapse</w:t>
      </w:r>
      <w:r w:rsidR="00B02DCE" w:rsidRPr="000A1781">
        <w:t xml:space="preserve"> time is </w:t>
      </w:r>
      <w:r w:rsidR="00662CF5" w:rsidRPr="000A1781">
        <w:t>108.94</w:t>
      </w:r>
      <w:r w:rsidR="00B02DCE" w:rsidRPr="000A1781">
        <w:t xml:space="preserve"> working days for safety and </w:t>
      </w:r>
      <w:r w:rsidR="00662CF5" w:rsidRPr="000A1781">
        <w:t>98.63 working days</w:t>
      </w:r>
      <w:r w:rsidR="00AD5A32" w:rsidRPr="000A1781">
        <w:t xml:space="preserve"> for health</w:t>
      </w:r>
      <w:r w:rsidRPr="000A1781">
        <w:t>, per SAMM 11, for FY 2023</w:t>
      </w:r>
      <w:r w:rsidR="00AD5A32" w:rsidRPr="000A1781">
        <w:t xml:space="preserve">. The FRL is based on a three-year nation average. The range of acceptable date not requiring further review is </w:t>
      </w:r>
      <w:r w:rsidR="00191C1E" w:rsidRPr="000A1781">
        <w:t>44.18</w:t>
      </w:r>
      <w:r w:rsidR="00AD5A32" w:rsidRPr="000A1781">
        <w:t xml:space="preserve"> to </w:t>
      </w:r>
      <w:r w:rsidR="00191C1E" w:rsidRPr="000A1781">
        <w:t xml:space="preserve">66.28 days </w:t>
      </w:r>
      <w:r w:rsidR="00AD5A32" w:rsidRPr="000A1781">
        <w:t xml:space="preserve">for safety and </w:t>
      </w:r>
      <w:r w:rsidR="00191C1E" w:rsidRPr="000A1781">
        <w:t xml:space="preserve">55.78 </w:t>
      </w:r>
      <w:r w:rsidR="00AD5A32" w:rsidRPr="000A1781">
        <w:t xml:space="preserve">to </w:t>
      </w:r>
      <w:r w:rsidR="00191C1E" w:rsidRPr="000A1781">
        <w:t>83.66 days</w:t>
      </w:r>
      <w:r w:rsidR="00AD5A32" w:rsidRPr="000A1781">
        <w:t xml:space="preserve"> for health.</w:t>
      </w:r>
    </w:p>
    <w:p w14:paraId="6EC4B0F6" w14:textId="77777777" w:rsidR="00A92C4A" w:rsidRPr="000A1781" w:rsidRDefault="00A92C4A" w:rsidP="00002D71">
      <w:pPr>
        <w:widowControl/>
        <w:tabs>
          <w:tab w:val="left" w:pos="1800"/>
        </w:tabs>
        <w:autoSpaceDE/>
        <w:autoSpaceDN/>
        <w:adjustRightInd/>
        <w:ind w:left="1620"/>
        <w:contextualSpacing/>
      </w:pPr>
    </w:p>
    <w:p w14:paraId="5D6CD9D3" w14:textId="62A03FA1" w:rsidR="00A92C4A" w:rsidRPr="000A1781" w:rsidRDefault="00A92C4A" w:rsidP="00002D71">
      <w:pPr>
        <w:widowControl/>
        <w:tabs>
          <w:tab w:val="left" w:pos="1800"/>
        </w:tabs>
        <w:autoSpaceDE/>
        <w:autoSpaceDN/>
        <w:adjustRightInd/>
        <w:ind w:left="1620"/>
        <w:contextualSpacing/>
      </w:pPr>
      <w:r w:rsidRPr="000A1781">
        <w:t xml:space="preserve">The table below shows that the State Plan citation lapse time over the past six years. </w:t>
      </w:r>
    </w:p>
    <w:p w14:paraId="123FBC18" w14:textId="77777777" w:rsidR="00C15955" w:rsidRPr="000A1781" w:rsidRDefault="00C15955" w:rsidP="00002D71">
      <w:pPr>
        <w:widowControl/>
        <w:tabs>
          <w:tab w:val="left" w:pos="1800"/>
        </w:tabs>
        <w:autoSpaceDE/>
        <w:autoSpaceDN/>
        <w:adjustRightInd/>
        <w:ind w:left="1620"/>
        <w:contextualSpacing/>
      </w:pPr>
    </w:p>
    <w:tbl>
      <w:tblPr>
        <w:tblStyle w:val="TableGrid"/>
        <w:tblW w:w="8640" w:type="dxa"/>
        <w:tblInd w:w="1615" w:type="dxa"/>
        <w:tblLook w:val="04A0" w:firstRow="1" w:lastRow="0" w:firstColumn="1" w:lastColumn="0" w:noHBand="0" w:noVBand="1"/>
      </w:tblPr>
      <w:tblGrid>
        <w:gridCol w:w="1890"/>
        <w:gridCol w:w="1080"/>
        <w:gridCol w:w="1170"/>
        <w:gridCol w:w="1080"/>
        <w:gridCol w:w="1170"/>
        <w:gridCol w:w="1170"/>
        <w:gridCol w:w="1080"/>
      </w:tblGrid>
      <w:tr w:rsidR="0034638E" w:rsidRPr="000A1781" w14:paraId="2CA9556C" w14:textId="77777777" w:rsidTr="00887129">
        <w:tc>
          <w:tcPr>
            <w:tcW w:w="1890" w:type="dxa"/>
            <w:shd w:val="clear" w:color="auto" w:fill="FFFFFF" w:themeFill="background1"/>
          </w:tcPr>
          <w:p w14:paraId="54E83571" w14:textId="77777777" w:rsidR="0034638E" w:rsidRPr="00887129" w:rsidRDefault="0034638E" w:rsidP="00002D71">
            <w:pPr>
              <w:jc w:val="center"/>
              <w:rPr>
                <w:b/>
                <w:bCs/>
                <w:sz w:val="22"/>
                <w:szCs w:val="22"/>
              </w:rPr>
            </w:pPr>
            <w:r w:rsidRPr="00887129">
              <w:rPr>
                <w:b/>
                <w:bCs/>
                <w:sz w:val="22"/>
                <w:szCs w:val="22"/>
              </w:rPr>
              <w:t>Average Lapse Time (SAMM 11)</w:t>
            </w:r>
          </w:p>
        </w:tc>
        <w:tc>
          <w:tcPr>
            <w:tcW w:w="1080" w:type="dxa"/>
            <w:shd w:val="clear" w:color="auto" w:fill="FFFFFF" w:themeFill="background1"/>
          </w:tcPr>
          <w:p w14:paraId="3593C910" w14:textId="0A4D3500" w:rsidR="0034638E" w:rsidRPr="00887129" w:rsidRDefault="0034638E" w:rsidP="00002D71">
            <w:pPr>
              <w:jc w:val="center"/>
              <w:rPr>
                <w:b/>
                <w:bCs/>
                <w:sz w:val="22"/>
                <w:szCs w:val="22"/>
              </w:rPr>
            </w:pPr>
            <w:r w:rsidRPr="00887129">
              <w:rPr>
                <w:b/>
                <w:bCs/>
                <w:sz w:val="22"/>
                <w:szCs w:val="22"/>
              </w:rPr>
              <w:t>FY 2023</w:t>
            </w:r>
          </w:p>
        </w:tc>
        <w:tc>
          <w:tcPr>
            <w:tcW w:w="1170" w:type="dxa"/>
            <w:shd w:val="clear" w:color="auto" w:fill="FFFFFF" w:themeFill="background1"/>
          </w:tcPr>
          <w:p w14:paraId="6B570F6F" w14:textId="30A142FE" w:rsidR="0034638E" w:rsidRPr="00887129" w:rsidRDefault="0034638E" w:rsidP="00002D71">
            <w:pPr>
              <w:jc w:val="center"/>
              <w:rPr>
                <w:b/>
                <w:bCs/>
                <w:sz w:val="22"/>
                <w:szCs w:val="22"/>
              </w:rPr>
            </w:pPr>
            <w:r w:rsidRPr="00887129">
              <w:rPr>
                <w:b/>
                <w:bCs/>
                <w:sz w:val="22"/>
                <w:szCs w:val="22"/>
              </w:rPr>
              <w:t>FY 2022</w:t>
            </w:r>
          </w:p>
        </w:tc>
        <w:tc>
          <w:tcPr>
            <w:tcW w:w="1080" w:type="dxa"/>
            <w:shd w:val="clear" w:color="auto" w:fill="FFFFFF" w:themeFill="background1"/>
          </w:tcPr>
          <w:p w14:paraId="05F7F7EF" w14:textId="77777777" w:rsidR="0034638E" w:rsidRPr="00887129" w:rsidRDefault="0034638E" w:rsidP="00002D71">
            <w:pPr>
              <w:jc w:val="center"/>
              <w:rPr>
                <w:b/>
                <w:bCs/>
                <w:sz w:val="22"/>
                <w:szCs w:val="22"/>
              </w:rPr>
            </w:pPr>
            <w:r w:rsidRPr="00887129">
              <w:rPr>
                <w:b/>
                <w:bCs/>
                <w:sz w:val="22"/>
                <w:szCs w:val="22"/>
              </w:rPr>
              <w:t>FY 2021</w:t>
            </w:r>
          </w:p>
        </w:tc>
        <w:tc>
          <w:tcPr>
            <w:tcW w:w="1170" w:type="dxa"/>
            <w:shd w:val="clear" w:color="auto" w:fill="FFFFFF" w:themeFill="background1"/>
          </w:tcPr>
          <w:p w14:paraId="14EF40CD" w14:textId="77777777" w:rsidR="0034638E" w:rsidRPr="00887129" w:rsidRDefault="0034638E" w:rsidP="00002D71">
            <w:pPr>
              <w:jc w:val="center"/>
              <w:rPr>
                <w:b/>
                <w:bCs/>
                <w:sz w:val="22"/>
                <w:szCs w:val="22"/>
              </w:rPr>
            </w:pPr>
            <w:r w:rsidRPr="00887129">
              <w:rPr>
                <w:b/>
                <w:bCs/>
                <w:sz w:val="22"/>
                <w:szCs w:val="22"/>
              </w:rPr>
              <w:t>FY 2020</w:t>
            </w:r>
          </w:p>
        </w:tc>
        <w:tc>
          <w:tcPr>
            <w:tcW w:w="1170" w:type="dxa"/>
            <w:shd w:val="clear" w:color="auto" w:fill="FFFFFF" w:themeFill="background1"/>
          </w:tcPr>
          <w:p w14:paraId="3995BC0F" w14:textId="77777777" w:rsidR="0034638E" w:rsidRPr="00887129" w:rsidRDefault="0034638E" w:rsidP="00002D71">
            <w:pPr>
              <w:jc w:val="center"/>
              <w:rPr>
                <w:b/>
                <w:bCs/>
                <w:sz w:val="22"/>
                <w:szCs w:val="22"/>
              </w:rPr>
            </w:pPr>
            <w:r w:rsidRPr="00887129">
              <w:rPr>
                <w:b/>
                <w:bCs/>
                <w:sz w:val="22"/>
                <w:szCs w:val="22"/>
              </w:rPr>
              <w:t>FY 2019</w:t>
            </w:r>
          </w:p>
        </w:tc>
        <w:tc>
          <w:tcPr>
            <w:tcW w:w="1080" w:type="dxa"/>
            <w:shd w:val="clear" w:color="auto" w:fill="FFFFFF" w:themeFill="background1"/>
          </w:tcPr>
          <w:p w14:paraId="405C5F25" w14:textId="77777777" w:rsidR="0034638E" w:rsidRPr="00887129" w:rsidRDefault="0034638E" w:rsidP="00002D71">
            <w:pPr>
              <w:jc w:val="center"/>
              <w:rPr>
                <w:b/>
                <w:bCs/>
                <w:sz w:val="22"/>
                <w:szCs w:val="22"/>
              </w:rPr>
            </w:pPr>
            <w:r w:rsidRPr="00887129">
              <w:rPr>
                <w:b/>
                <w:bCs/>
                <w:sz w:val="22"/>
                <w:szCs w:val="22"/>
              </w:rPr>
              <w:t>FY 2018</w:t>
            </w:r>
          </w:p>
        </w:tc>
      </w:tr>
      <w:tr w:rsidR="0034638E" w:rsidRPr="000A1781" w14:paraId="43AD0575" w14:textId="77777777" w:rsidTr="00887129">
        <w:trPr>
          <w:trHeight w:val="278"/>
        </w:trPr>
        <w:tc>
          <w:tcPr>
            <w:tcW w:w="1890" w:type="dxa"/>
            <w:shd w:val="clear" w:color="auto" w:fill="FFFFFF" w:themeFill="background1"/>
          </w:tcPr>
          <w:p w14:paraId="773EC9DA" w14:textId="77777777" w:rsidR="0034638E" w:rsidRPr="00887129" w:rsidRDefault="0034638E" w:rsidP="00002D71">
            <w:pPr>
              <w:jc w:val="center"/>
              <w:rPr>
                <w:b/>
                <w:bCs/>
                <w:sz w:val="22"/>
                <w:szCs w:val="22"/>
              </w:rPr>
            </w:pPr>
            <w:r w:rsidRPr="00887129">
              <w:rPr>
                <w:b/>
                <w:bCs/>
                <w:sz w:val="22"/>
                <w:szCs w:val="22"/>
              </w:rPr>
              <w:t>Safety</w:t>
            </w:r>
          </w:p>
        </w:tc>
        <w:tc>
          <w:tcPr>
            <w:tcW w:w="1080" w:type="dxa"/>
            <w:shd w:val="clear" w:color="auto" w:fill="FFFFFF" w:themeFill="background1"/>
          </w:tcPr>
          <w:p w14:paraId="50298CA1" w14:textId="143173F3" w:rsidR="0034638E" w:rsidRPr="00887129" w:rsidRDefault="0034638E" w:rsidP="00002D71">
            <w:pPr>
              <w:jc w:val="center"/>
              <w:rPr>
                <w:sz w:val="22"/>
                <w:szCs w:val="22"/>
              </w:rPr>
            </w:pPr>
            <w:r w:rsidRPr="00887129">
              <w:rPr>
                <w:sz w:val="22"/>
                <w:szCs w:val="22"/>
              </w:rPr>
              <w:t>108.94</w:t>
            </w:r>
          </w:p>
        </w:tc>
        <w:tc>
          <w:tcPr>
            <w:tcW w:w="1170" w:type="dxa"/>
            <w:shd w:val="clear" w:color="auto" w:fill="FFFFFF" w:themeFill="background1"/>
          </w:tcPr>
          <w:p w14:paraId="3ED2A42F" w14:textId="147F8981" w:rsidR="0034638E" w:rsidRPr="00887129" w:rsidRDefault="00590C0B" w:rsidP="00002D71">
            <w:pPr>
              <w:jc w:val="center"/>
              <w:rPr>
                <w:sz w:val="22"/>
                <w:szCs w:val="22"/>
              </w:rPr>
            </w:pPr>
            <w:r w:rsidRPr="00887129">
              <w:rPr>
                <w:sz w:val="22"/>
                <w:szCs w:val="22"/>
              </w:rPr>
              <w:t>119.68</w:t>
            </w:r>
          </w:p>
        </w:tc>
        <w:tc>
          <w:tcPr>
            <w:tcW w:w="1080" w:type="dxa"/>
            <w:shd w:val="clear" w:color="auto" w:fill="FFFFFF" w:themeFill="background1"/>
          </w:tcPr>
          <w:p w14:paraId="31F17FCF" w14:textId="77777777" w:rsidR="0034638E" w:rsidRPr="00887129" w:rsidRDefault="0034638E" w:rsidP="00002D71">
            <w:pPr>
              <w:jc w:val="center"/>
              <w:rPr>
                <w:sz w:val="22"/>
                <w:szCs w:val="22"/>
              </w:rPr>
            </w:pPr>
            <w:r w:rsidRPr="00887129">
              <w:rPr>
                <w:sz w:val="22"/>
                <w:szCs w:val="22"/>
              </w:rPr>
              <w:t>107.00</w:t>
            </w:r>
          </w:p>
        </w:tc>
        <w:tc>
          <w:tcPr>
            <w:tcW w:w="1170" w:type="dxa"/>
            <w:shd w:val="clear" w:color="auto" w:fill="FFFFFF" w:themeFill="background1"/>
          </w:tcPr>
          <w:p w14:paraId="18C0EEC9" w14:textId="77777777" w:rsidR="0034638E" w:rsidRPr="00887129" w:rsidRDefault="0034638E" w:rsidP="00002D71">
            <w:pPr>
              <w:jc w:val="center"/>
              <w:rPr>
                <w:sz w:val="22"/>
                <w:szCs w:val="22"/>
              </w:rPr>
            </w:pPr>
            <w:r w:rsidRPr="00887129">
              <w:rPr>
                <w:sz w:val="22"/>
                <w:szCs w:val="22"/>
              </w:rPr>
              <w:t>86.18</w:t>
            </w:r>
          </w:p>
        </w:tc>
        <w:tc>
          <w:tcPr>
            <w:tcW w:w="1170" w:type="dxa"/>
            <w:shd w:val="clear" w:color="auto" w:fill="FFFFFF" w:themeFill="background1"/>
          </w:tcPr>
          <w:p w14:paraId="3C954C8B" w14:textId="77777777" w:rsidR="0034638E" w:rsidRPr="00887129" w:rsidRDefault="0034638E" w:rsidP="00002D71">
            <w:pPr>
              <w:jc w:val="center"/>
              <w:rPr>
                <w:sz w:val="22"/>
                <w:szCs w:val="22"/>
              </w:rPr>
            </w:pPr>
            <w:r w:rsidRPr="00887129">
              <w:rPr>
                <w:sz w:val="22"/>
                <w:szCs w:val="22"/>
              </w:rPr>
              <w:t>51.59</w:t>
            </w:r>
          </w:p>
        </w:tc>
        <w:tc>
          <w:tcPr>
            <w:tcW w:w="1080" w:type="dxa"/>
            <w:shd w:val="clear" w:color="auto" w:fill="FFFFFF" w:themeFill="background1"/>
          </w:tcPr>
          <w:p w14:paraId="46A63AD3" w14:textId="77777777" w:rsidR="0034638E" w:rsidRPr="00887129" w:rsidRDefault="0034638E" w:rsidP="00002D71">
            <w:pPr>
              <w:jc w:val="center"/>
              <w:rPr>
                <w:sz w:val="22"/>
                <w:szCs w:val="22"/>
              </w:rPr>
            </w:pPr>
            <w:r w:rsidRPr="00887129">
              <w:rPr>
                <w:sz w:val="22"/>
                <w:szCs w:val="22"/>
              </w:rPr>
              <w:t>56.26</w:t>
            </w:r>
          </w:p>
        </w:tc>
      </w:tr>
      <w:tr w:rsidR="0034638E" w:rsidRPr="000A1781" w14:paraId="1CCF68F9" w14:textId="77777777" w:rsidTr="00887129">
        <w:tc>
          <w:tcPr>
            <w:tcW w:w="1890" w:type="dxa"/>
            <w:shd w:val="clear" w:color="auto" w:fill="FFFFFF" w:themeFill="background1"/>
          </w:tcPr>
          <w:p w14:paraId="5FB73344" w14:textId="77777777" w:rsidR="0034638E" w:rsidRPr="00887129" w:rsidRDefault="0034638E" w:rsidP="00002D71">
            <w:pPr>
              <w:jc w:val="center"/>
              <w:rPr>
                <w:b/>
                <w:bCs/>
                <w:sz w:val="22"/>
                <w:szCs w:val="22"/>
              </w:rPr>
            </w:pPr>
            <w:r w:rsidRPr="00887129">
              <w:rPr>
                <w:b/>
                <w:bCs/>
                <w:sz w:val="22"/>
                <w:szCs w:val="22"/>
              </w:rPr>
              <w:t>Health</w:t>
            </w:r>
          </w:p>
        </w:tc>
        <w:tc>
          <w:tcPr>
            <w:tcW w:w="1080" w:type="dxa"/>
            <w:shd w:val="clear" w:color="auto" w:fill="FFFFFF" w:themeFill="background1"/>
          </w:tcPr>
          <w:p w14:paraId="54BB5D1A" w14:textId="305568AB" w:rsidR="0034638E" w:rsidRPr="00887129" w:rsidRDefault="0034638E" w:rsidP="00002D71">
            <w:pPr>
              <w:jc w:val="center"/>
              <w:rPr>
                <w:sz w:val="22"/>
                <w:szCs w:val="22"/>
              </w:rPr>
            </w:pPr>
            <w:r w:rsidRPr="00887129">
              <w:rPr>
                <w:sz w:val="22"/>
                <w:szCs w:val="22"/>
              </w:rPr>
              <w:t>98.63</w:t>
            </w:r>
          </w:p>
        </w:tc>
        <w:tc>
          <w:tcPr>
            <w:tcW w:w="1170" w:type="dxa"/>
            <w:shd w:val="clear" w:color="auto" w:fill="FFFFFF" w:themeFill="background1"/>
          </w:tcPr>
          <w:p w14:paraId="1236A8C6" w14:textId="5E1987E7" w:rsidR="0034638E" w:rsidRPr="00887129" w:rsidRDefault="00590C0B" w:rsidP="00002D71">
            <w:pPr>
              <w:jc w:val="center"/>
              <w:rPr>
                <w:sz w:val="22"/>
                <w:szCs w:val="22"/>
              </w:rPr>
            </w:pPr>
            <w:r w:rsidRPr="00887129">
              <w:rPr>
                <w:sz w:val="22"/>
                <w:szCs w:val="22"/>
              </w:rPr>
              <w:t>119.34</w:t>
            </w:r>
          </w:p>
        </w:tc>
        <w:tc>
          <w:tcPr>
            <w:tcW w:w="1080" w:type="dxa"/>
            <w:shd w:val="clear" w:color="auto" w:fill="FFFFFF" w:themeFill="background1"/>
          </w:tcPr>
          <w:p w14:paraId="55F56B13" w14:textId="77777777" w:rsidR="0034638E" w:rsidRPr="00887129" w:rsidRDefault="0034638E" w:rsidP="00002D71">
            <w:pPr>
              <w:jc w:val="center"/>
              <w:rPr>
                <w:sz w:val="22"/>
                <w:szCs w:val="22"/>
              </w:rPr>
            </w:pPr>
            <w:r w:rsidRPr="00887129">
              <w:rPr>
                <w:sz w:val="22"/>
                <w:szCs w:val="22"/>
              </w:rPr>
              <w:t>103.03</w:t>
            </w:r>
          </w:p>
        </w:tc>
        <w:tc>
          <w:tcPr>
            <w:tcW w:w="1170" w:type="dxa"/>
            <w:shd w:val="clear" w:color="auto" w:fill="FFFFFF" w:themeFill="background1"/>
          </w:tcPr>
          <w:p w14:paraId="4319AC1E" w14:textId="77777777" w:rsidR="0034638E" w:rsidRPr="00887129" w:rsidRDefault="0034638E" w:rsidP="00002D71">
            <w:pPr>
              <w:jc w:val="center"/>
              <w:rPr>
                <w:sz w:val="22"/>
                <w:szCs w:val="22"/>
              </w:rPr>
            </w:pPr>
            <w:r w:rsidRPr="00887129">
              <w:rPr>
                <w:sz w:val="22"/>
                <w:szCs w:val="22"/>
              </w:rPr>
              <w:t>96.74</w:t>
            </w:r>
          </w:p>
        </w:tc>
        <w:tc>
          <w:tcPr>
            <w:tcW w:w="1170" w:type="dxa"/>
            <w:shd w:val="clear" w:color="auto" w:fill="FFFFFF" w:themeFill="background1"/>
          </w:tcPr>
          <w:p w14:paraId="4AECCA2C" w14:textId="77777777" w:rsidR="0034638E" w:rsidRPr="00887129" w:rsidRDefault="0034638E" w:rsidP="00002D71">
            <w:pPr>
              <w:jc w:val="center"/>
              <w:rPr>
                <w:sz w:val="22"/>
                <w:szCs w:val="22"/>
              </w:rPr>
            </w:pPr>
            <w:r w:rsidRPr="00887129">
              <w:rPr>
                <w:sz w:val="22"/>
                <w:szCs w:val="22"/>
              </w:rPr>
              <w:t>52.44</w:t>
            </w:r>
          </w:p>
        </w:tc>
        <w:tc>
          <w:tcPr>
            <w:tcW w:w="1080" w:type="dxa"/>
            <w:shd w:val="clear" w:color="auto" w:fill="FFFFFF" w:themeFill="background1"/>
          </w:tcPr>
          <w:p w14:paraId="7914DA90" w14:textId="77777777" w:rsidR="0034638E" w:rsidRPr="00887129" w:rsidRDefault="0034638E" w:rsidP="00002D71">
            <w:pPr>
              <w:jc w:val="center"/>
              <w:rPr>
                <w:sz w:val="22"/>
                <w:szCs w:val="22"/>
              </w:rPr>
            </w:pPr>
            <w:r w:rsidRPr="00887129">
              <w:rPr>
                <w:sz w:val="22"/>
                <w:szCs w:val="22"/>
              </w:rPr>
              <w:t>71.00</w:t>
            </w:r>
          </w:p>
        </w:tc>
      </w:tr>
    </w:tbl>
    <w:p w14:paraId="12796D6A" w14:textId="77777777" w:rsidR="00EF0A85" w:rsidRPr="000A1781" w:rsidRDefault="00EF0A85" w:rsidP="00002D71">
      <w:pPr>
        <w:widowControl/>
        <w:tabs>
          <w:tab w:val="left" w:pos="1800"/>
        </w:tabs>
        <w:autoSpaceDE/>
        <w:autoSpaceDN/>
        <w:adjustRightInd/>
        <w:ind w:left="1620"/>
        <w:contextualSpacing/>
        <w:rPr>
          <w:b/>
          <w:bCs/>
          <w:spacing w:val="-5"/>
        </w:rPr>
      </w:pPr>
    </w:p>
    <w:p w14:paraId="053A16EC" w14:textId="54B52647" w:rsidR="00A92C4A" w:rsidRPr="000A1781" w:rsidRDefault="00A92C4A" w:rsidP="00002D71">
      <w:pPr>
        <w:widowControl/>
        <w:tabs>
          <w:tab w:val="left" w:pos="1800"/>
        </w:tabs>
        <w:autoSpaceDE/>
        <w:autoSpaceDN/>
        <w:adjustRightInd/>
        <w:ind w:left="1620"/>
        <w:contextualSpacing/>
        <w:rPr>
          <w:spacing w:val="-5"/>
        </w:rPr>
      </w:pPr>
      <w:r w:rsidRPr="000A1781">
        <w:t>Although, NM OSHB has made some progress</w:t>
      </w:r>
      <w:r w:rsidR="00EB429D" w:rsidRPr="000A1781">
        <w:t xml:space="preserve"> in citation lapse times</w:t>
      </w:r>
      <w:r w:rsidRPr="000A1781">
        <w:t xml:space="preserve"> from FY 2022, they are still over the FRL level for this measure. </w:t>
      </w:r>
      <w:r w:rsidR="00EB429D" w:rsidRPr="000A1781">
        <w:t>This measure</w:t>
      </w:r>
      <w:r w:rsidRPr="000A1781">
        <w:t xml:space="preserve"> is a continuing concern for the State Plan.  It is recommended that the managers</w:t>
      </w:r>
      <w:r w:rsidR="00EB429D" w:rsidRPr="000A1781">
        <w:t xml:space="preserve"> continue to</w:t>
      </w:r>
      <w:r w:rsidRPr="000A1781">
        <w:t xml:space="preserve"> team up with compliance officers to monitor all open cases to prevent high lapse times. </w:t>
      </w:r>
    </w:p>
    <w:p w14:paraId="70F1A7D8" w14:textId="77777777" w:rsidR="00A92C4A" w:rsidRPr="000A1781" w:rsidRDefault="00A92C4A" w:rsidP="00002D71">
      <w:pPr>
        <w:widowControl/>
        <w:tabs>
          <w:tab w:val="left" w:pos="1800"/>
        </w:tabs>
        <w:autoSpaceDE/>
        <w:autoSpaceDN/>
        <w:adjustRightInd/>
        <w:ind w:left="1620"/>
        <w:contextualSpacing/>
        <w:rPr>
          <w:spacing w:val="-5"/>
        </w:rPr>
      </w:pPr>
    </w:p>
    <w:p w14:paraId="1DB7FE88" w14:textId="5DEA8644" w:rsidR="00EF0A85" w:rsidRPr="000A1781" w:rsidRDefault="004F1D0E" w:rsidP="00002D71">
      <w:pPr>
        <w:widowControl/>
        <w:tabs>
          <w:tab w:val="left" w:pos="1800"/>
        </w:tabs>
        <w:autoSpaceDE/>
        <w:autoSpaceDN/>
        <w:adjustRightInd/>
        <w:ind w:left="1620"/>
        <w:contextualSpacing/>
        <w:rPr>
          <w:spacing w:val="-4"/>
        </w:rPr>
      </w:pPr>
      <w:r w:rsidRPr="000A1781">
        <w:rPr>
          <w:b/>
          <w:bCs/>
        </w:rPr>
        <w:t>Finding FY 2023-03</w:t>
      </w:r>
      <w:r w:rsidRPr="000A1781">
        <w:t>: In FY 2023</w:t>
      </w:r>
      <w:r w:rsidR="00972998" w:rsidRPr="000A1781">
        <w:t>, t</w:t>
      </w:r>
      <w:r w:rsidRPr="000A1781">
        <w:t>he</w:t>
      </w:r>
      <w:r w:rsidRPr="000A1781">
        <w:rPr>
          <w:spacing w:val="-6"/>
        </w:rPr>
        <w:t xml:space="preserve"> </w:t>
      </w:r>
      <w:r w:rsidRPr="000A1781">
        <w:t>average</w:t>
      </w:r>
      <w:r w:rsidRPr="000A1781">
        <w:rPr>
          <w:spacing w:val="-6"/>
        </w:rPr>
        <w:t xml:space="preserve"> </w:t>
      </w:r>
      <w:r w:rsidRPr="000A1781">
        <w:t>lapse</w:t>
      </w:r>
      <w:r w:rsidRPr="000A1781">
        <w:rPr>
          <w:spacing w:val="-6"/>
        </w:rPr>
        <w:t xml:space="preserve"> </w:t>
      </w:r>
      <w:r w:rsidRPr="000A1781">
        <w:t>time</w:t>
      </w:r>
      <w:r w:rsidRPr="000A1781">
        <w:rPr>
          <w:spacing w:val="-7"/>
        </w:rPr>
        <w:t xml:space="preserve"> </w:t>
      </w:r>
      <w:r w:rsidRPr="000A1781">
        <w:t>for</w:t>
      </w:r>
      <w:r w:rsidRPr="000A1781">
        <w:rPr>
          <w:spacing w:val="-6"/>
        </w:rPr>
        <w:t xml:space="preserve"> safety </w:t>
      </w:r>
      <w:r w:rsidRPr="000A1781">
        <w:t>inspections was 108.94 days and the average lapse time for health inspections was 98.63 days. This exceeded the FRL range of 44.18 to 66.28 for safety and 55.78 to 83.66 for health. (SAMM</w:t>
      </w:r>
      <w:r w:rsidRPr="000A1781">
        <w:rPr>
          <w:spacing w:val="-4"/>
        </w:rPr>
        <w:t xml:space="preserve"> 11a and 11b).</w:t>
      </w:r>
    </w:p>
    <w:p w14:paraId="0CBD26E6" w14:textId="77777777" w:rsidR="00EB429D" w:rsidRPr="000A1781" w:rsidRDefault="00EB429D" w:rsidP="00002D71">
      <w:pPr>
        <w:widowControl/>
        <w:tabs>
          <w:tab w:val="left" w:pos="1800"/>
        </w:tabs>
        <w:autoSpaceDE/>
        <w:autoSpaceDN/>
        <w:adjustRightInd/>
        <w:ind w:left="1620"/>
        <w:contextualSpacing/>
        <w:rPr>
          <w:spacing w:val="-4"/>
        </w:rPr>
      </w:pPr>
    </w:p>
    <w:p w14:paraId="34E70EBE" w14:textId="4CA902B5" w:rsidR="004F1D0E" w:rsidRPr="000A1781" w:rsidRDefault="004F1D0E" w:rsidP="00002D71">
      <w:pPr>
        <w:widowControl/>
        <w:tabs>
          <w:tab w:val="left" w:pos="1800"/>
        </w:tabs>
        <w:autoSpaceDE/>
        <w:autoSpaceDN/>
        <w:adjustRightInd/>
        <w:ind w:left="1620"/>
        <w:contextualSpacing/>
      </w:pPr>
      <w:r w:rsidRPr="000A1781">
        <w:rPr>
          <w:b/>
          <w:bCs/>
          <w:spacing w:val="-4"/>
        </w:rPr>
        <w:t>Recommendation</w:t>
      </w:r>
      <w:r w:rsidRPr="000A1781">
        <w:rPr>
          <w:spacing w:val="-4"/>
        </w:rPr>
        <w:t>:</w:t>
      </w:r>
      <w:r w:rsidRPr="000A1781">
        <w:t xml:space="preserve"> OHSB</w:t>
      </w:r>
      <w:r w:rsidRPr="000A1781">
        <w:rPr>
          <w:spacing w:val="-6"/>
        </w:rPr>
        <w:t xml:space="preserve"> </w:t>
      </w:r>
      <w:r w:rsidRPr="000A1781">
        <w:t>should</w:t>
      </w:r>
      <w:r w:rsidRPr="000A1781">
        <w:rPr>
          <w:spacing w:val="-7"/>
        </w:rPr>
        <w:t xml:space="preserve"> </w:t>
      </w:r>
      <w:r w:rsidRPr="000A1781">
        <w:t>periodically</w:t>
      </w:r>
      <w:r w:rsidRPr="000A1781">
        <w:rPr>
          <w:spacing w:val="-5"/>
        </w:rPr>
        <w:t xml:space="preserve"> </w:t>
      </w:r>
      <w:r w:rsidRPr="000A1781">
        <w:t>review</w:t>
      </w:r>
      <w:r w:rsidRPr="000A1781">
        <w:rPr>
          <w:spacing w:val="-7"/>
        </w:rPr>
        <w:t xml:space="preserve"> </w:t>
      </w:r>
      <w:r w:rsidRPr="000A1781">
        <w:t>all</w:t>
      </w:r>
      <w:r w:rsidRPr="000A1781">
        <w:rPr>
          <w:spacing w:val="-7"/>
        </w:rPr>
        <w:t xml:space="preserve"> </w:t>
      </w:r>
      <w:r w:rsidRPr="000A1781">
        <w:t>open</w:t>
      </w:r>
      <w:r w:rsidRPr="000A1781">
        <w:rPr>
          <w:spacing w:val="-7"/>
        </w:rPr>
        <w:t xml:space="preserve"> </w:t>
      </w:r>
      <w:r w:rsidRPr="000A1781">
        <w:t>cases with the compliance officers to prevent high lapse times.</w:t>
      </w:r>
    </w:p>
    <w:p w14:paraId="0FCF0908" w14:textId="77777777" w:rsidR="00A964ED" w:rsidRPr="000A1781" w:rsidRDefault="00A964ED" w:rsidP="00002D71">
      <w:pPr>
        <w:widowControl/>
        <w:tabs>
          <w:tab w:val="left" w:pos="1800"/>
        </w:tabs>
        <w:autoSpaceDE/>
        <w:autoSpaceDN/>
        <w:adjustRightInd/>
        <w:ind w:left="1620"/>
        <w:contextualSpacing/>
      </w:pPr>
    </w:p>
    <w:p w14:paraId="15083783" w14:textId="16EEA48C" w:rsidR="00C932AB" w:rsidRPr="000A1781" w:rsidRDefault="006711B4" w:rsidP="00A964ED">
      <w:pPr>
        <w:widowControl/>
        <w:tabs>
          <w:tab w:val="left" w:pos="1800"/>
        </w:tabs>
        <w:autoSpaceDE/>
        <w:autoSpaceDN/>
        <w:adjustRightInd/>
        <w:ind w:left="1620"/>
        <w:contextualSpacing/>
      </w:pPr>
      <w:r w:rsidRPr="000A1781">
        <w:t xml:space="preserve">SAMM 5 shows that the total number of violations per inspection is 2.7 violations. </w:t>
      </w:r>
    </w:p>
    <w:p w14:paraId="6043A4CB" w14:textId="77777777" w:rsidR="00C932AB" w:rsidRPr="000A1781" w:rsidRDefault="00C932AB" w:rsidP="00A964ED">
      <w:pPr>
        <w:widowControl/>
        <w:tabs>
          <w:tab w:val="left" w:pos="1800"/>
        </w:tabs>
        <w:autoSpaceDE/>
        <w:autoSpaceDN/>
        <w:adjustRightInd/>
        <w:ind w:left="1620"/>
        <w:contextualSpacing/>
      </w:pPr>
    </w:p>
    <w:p w14:paraId="25C7C091" w14:textId="0586AF79" w:rsidR="006711B4" w:rsidRPr="000A1781" w:rsidRDefault="00C932AB" w:rsidP="00A964ED">
      <w:pPr>
        <w:widowControl/>
        <w:tabs>
          <w:tab w:val="left" w:pos="1800"/>
        </w:tabs>
        <w:autoSpaceDE/>
        <w:autoSpaceDN/>
        <w:adjustRightInd/>
        <w:ind w:left="1620"/>
        <w:contextualSpacing/>
      </w:pPr>
      <w:r w:rsidRPr="000A1781">
        <w:t xml:space="preserve">SAMM 8 shows the average penalty assessed per serious violation. </w:t>
      </w:r>
      <w:r w:rsidR="006711B4" w:rsidRPr="000A1781">
        <w:t>The</w:t>
      </w:r>
      <w:r w:rsidR="00145AD2" w:rsidRPr="000A1781">
        <w:t xml:space="preserve"> table below shows the average penalty assessed per violation</w:t>
      </w:r>
      <w:r w:rsidRPr="000A1781">
        <w:t xml:space="preserve"> for FY 2023</w:t>
      </w:r>
      <w:r w:rsidR="00145AD2" w:rsidRPr="000A1781">
        <w:t>.</w:t>
      </w:r>
      <w:r w:rsidRPr="000A1781">
        <w:t xml:space="preserve"> These penalty amounts are within the FRL levels per Appendix D.</w:t>
      </w:r>
    </w:p>
    <w:p w14:paraId="1689C801" w14:textId="77777777" w:rsidR="00F60EAB" w:rsidRPr="000A1781" w:rsidRDefault="00F60EAB" w:rsidP="00A964ED">
      <w:pPr>
        <w:widowControl/>
        <w:tabs>
          <w:tab w:val="left" w:pos="1800"/>
        </w:tabs>
        <w:autoSpaceDE/>
        <w:autoSpaceDN/>
        <w:adjustRightInd/>
        <w:ind w:left="1620"/>
        <w:contextualSpacing/>
      </w:pPr>
    </w:p>
    <w:p w14:paraId="7A8A9F46" w14:textId="77777777" w:rsidR="00F60EAB" w:rsidRDefault="00F60EAB" w:rsidP="00A964ED">
      <w:pPr>
        <w:widowControl/>
        <w:tabs>
          <w:tab w:val="left" w:pos="1800"/>
        </w:tabs>
        <w:autoSpaceDE/>
        <w:autoSpaceDN/>
        <w:adjustRightInd/>
        <w:ind w:left="1620"/>
        <w:contextualSpacing/>
      </w:pPr>
    </w:p>
    <w:p w14:paraId="2B2FEA13" w14:textId="77777777" w:rsidR="009F179B" w:rsidRDefault="009F179B" w:rsidP="00A964ED">
      <w:pPr>
        <w:widowControl/>
        <w:tabs>
          <w:tab w:val="left" w:pos="1800"/>
        </w:tabs>
        <w:autoSpaceDE/>
        <w:autoSpaceDN/>
        <w:adjustRightInd/>
        <w:ind w:left="1620"/>
        <w:contextualSpacing/>
      </w:pPr>
    </w:p>
    <w:p w14:paraId="1F681434" w14:textId="77777777" w:rsidR="009F179B" w:rsidRDefault="009F179B" w:rsidP="00A964ED">
      <w:pPr>
        <w:widowControl/>
        <w:tabs>
          <w:tab w:val="left" w:pos="1800"/>
        </w:tabs>
        <w:autoSpaceDE/>
        <w:autoSpaceDN/>
        <w:adjustRightInd/>
        <w:ind w:left="1620"/>
        <w:contextualSpacing/>
      </w:pPr>
    </w:p>
    <w:p w14:paraId="688B5882" w14:textId="77777777" w:rsidR="009F179B" w:rsidRDefault="009F179B" w:rsidP="00A964ED">
      <w:pPr>
        <w:widowControl/>
        <w:tabs>
          <w:tab w:val="left" w:pos="1800"/>
        </w:tabs>
        <w:autoSpaceDE/>
        <w:autoSpaceDN/>
        <w:adjustRightInd/>
        <w:ind w:left="1620"/>
        <w:contextualSpacing/>
      </w:pPr>
    </w:p>
    <w:p w14:paraId="6147C5C6" w14:textId="77777777" w:rsidR="009F179B" w:rsidRDefault="009F179B" w:rsidP="00A964ED">
      <w:pPr>
        <w:widowControl/>
        <w:tabs>
          <w:tab w:val="left" w:pos="1800"/>
        </w:tabs>
        <w:autoSpaceDE/>
        <w:autoSpaceDN/>
        <w:adjustRightInd/>
        <w:ind w:left="1620"/>
        <w:contextualSpacing/>
      </w:pPr>
    </w:p>
    <w:p w14:paraId="26CB5FB3" w14:textId="77777777" w:rsidR="009F179B" w:rsidRDefault="009F179B" w:rsidP="00A964ED">
      <w:pPr>
        <w:widowControl/>
        <w:tabs>
          <w:tab w:val="left" w:pos="1800"/>
        </w:tabs>
        <w:autoSpaceDE/>
        <w:autoSpaceDN/>
        <w:adjustRightInd/>
        <w:ind w:left="1620"/>
        <w:contextualSpacing/>
      </w:pPr>
    </w:p>
    <w:p w14:paraId="55274964" w14:textId="77777777" w:rsidR="009F179B" w:rsidRPr="000A1781" w:rsidRDefault="009F179B" w:rsidP="00A964ED">
      <w:pPr>
        <w:widowControl/>
        <w:tabs>
          <w:tab w:val="left" w:pos="1800"/>
        </w:tabs>
        <w:autoSpaceDE/>
        <w:autoSpaceDN/>
        <w:adjustRightInd/>
        <w:ind w:left="1620"/>
        <w:contextualSpacing/>
      </w:pPr>
    </w:p>
    <w:p w14:paraId="1D10E8A3" w14:textId="77777777" w:rsidR="00F60EAB" w:rsidRPr="000A1781" w:rsidRDefault="00F60EAB" w:rsidP="00A964ED">
      <w:pPr>
        <w:widowControl/>
        <w:tabs>
          <w:tab w:val="left" w:pos="1800"/>
        </w:tabs>
        <w:autoSpaceDE/>
        <w:autoSpaceDN/>
        <w:adjustRightInd/>
        <w:ind w:left="1620"/>
        <w:contextualSpacing/>
      </w:pPr>
    </w:p>
    <w:p w14:paraId="60E9D82A" w14:textId="77777777" w:rsidR="00793845" w:rsidRPr="000A1781" w:rsidRDefault="00793845" w:rsidP="00A964ED">
      <w:pPr>
        <w:widowControl/>
        <w:tabs>
          <w:tab w:val="left" w:pos="1800"/>
        </w:tabs>
        <w:autoSpaceDE/>
        <w:autoSpaceDN/>
        <w:adjustRightInd/>
        <w:ind w:left="1620"/>
        <w:contextualSpacing/>
      </w:pPr>
    </w:p>
    <w:p w14:paraId="62C39F83" w14:textId="77777777" w:rsidR="00F60EAB" w:rsidRPr="000A1781" w:rsidRDefault="00F60EAB" w:rsidP="00A964ED">
      <w:pPr>
        <w:widowControl/>
        <w:tabs>
          <w:tab w:val="left" w:pos="1800"/>
        </w:tabs>
        <w:autoSpaceDE/>
        <w:autoSpaceDN/>
        <w:adjustRightInd/>
        <w:ind w:left="1620"/>
        <w:contextualSpacing/>
      </w:pPr>
    </w:p>
    <w:p w14:paraId="614C31F3" w14:textId="77777777" w:rsidR="00F60EAB" w:rsidRPr="000A1781" w:rsidRDefault="00F60EAB" w:rsidP="00A964ED">
      <w:pPr>
        <w:widowControl/>
        <w:tabs>
          <w:tab w:val="left" w:pos="1800"/>
        </w:tabs>
        <w:autoSpaceDE/>
        <w:autoSpaceDN/>
        <w:adjustRightInd/>
        <w:ind w:left="1620"/>
        <w:contextualSpacing/>
      </w:pPr>
    </w:p>
    <w:tbl>
      <w:tblPr>
        <w:tblStyle w:val="TableGrid"/>
        <w:tblW w:w="0" w:type="auto"/>
        <w:tblInd w:w="1620" w:type="dxa"/>
        <w:tblLook w:val="04A0" w:firstRow="1" w:lastRow="0" w:firstColumn="1" w:lastColumn="0" w:noHBand="0" w:noVBand="1"/>
      </w:tblPr>
      <w:tblGrid>
        <w:gridCol w:w="1896"/>
        <w:gridCol w:w="1107"/>
        <w:gridCol w:w="1107"/>
        <w:gridCol w:w="1108"/>
        <w:gridCol w:w="1107"/>
        <w:gridCol w:w="1107"/>
        <w:gridCol w:w="1108"/>
      </w:tblGrid>
      <w:tr w:rsidR="0011294F" w:rsidRPr="000A1781" w14:paraId="2BF6BCC8" w14:textId="77777777" w:rsidTr="00887129">
        <w:tc>
          <w:tcPr>
            <w:tcW w:w="1896" w:type="dxa"/>
            <w:shd w:val="clear" w:color="auto" w:fill="FFFFFF" w:themeFill="background1"/>
          </w:tcPr>
          <w:p w14:paraId="21AAA4AC" w14:textId="690A83AC" w:rsidR="00951432" w:rsidRPr="00887129" w:rsidRDefault="00951432" w:rsidP="00002D71">
            <w:pPr>
              <w:rPr>
                <w:b/>
                <w:bCs/>
                <w:sz w:val="22"/>
                <w:szCs w:val="22"/>
              </w:rPr>
            </w:pPr>
            <w:r w:rsidRPr="00887129">
              <w:rPr>
                <w:b/>
                <w:bCs/>
                <w:sz w:val="22"/>
                <w:szCs w:val="22"/>
              </w:rPr>
              <w:lastRenderedPageBreak/>
              <w:t>Average Penalty Assessed per Serious Violation (SAMM 8)</w:t>
            </w:r>
            <w:r w:rsidR="00176CD3" w:rsidRPr="00887129">
              <w:rPr>
                <w:b/>
                <w:bCs/>
                <w:sz w:val="22"/>
                <w:szCs w:val="22"/>
              </w:rPr>
              <w:t xml:space="preserve"> (Private Sector)</w:t>
            </w:r>
          </w:p>
        </w:tc>
        <w:tc>
          <w:tcPr>
            <w:tcW w:w="1107" w:type="dxa"/>
            <w:shd w:val="clear" w:color="auto" w:fill="FFFFFF" w:themeFill="background1"/>
          </w:tcPr>
          <w:p w14:paraId="4EB8F765" w14:textId="77777777" w:rsidR="00986981" w:rsidRPr="00887129" w:rsidRDefault="00986981" w:rsidP="00002D71">
            <w:pPr>
              <w:jc w:val="center"/>
              <w:rPr>
                <w:b/>
                <w:bCs/>
                <w:sz w:val="22"/>
                <w:szCs w:val="22"/>
              </w:rPr>
            </w:pPr>
          </w:p>
          <w:p w14:paraId="2A7C24BD" w14:textId="0CDB28CD" w:rsidR="00951432" w:rsidRPr="00887129" w:rsidRDefault="00951432" w:rsidP="00002D71">
            <w:pPr>
              <w:jc w:val="center"/>
              <w:rPr>
                <w:b/>
                <w:bCs/>
                <w:sz w:val="22"/>
                <w:szCs w:val="22"/>
              </w:rPr>
            </w:pPr>
            <w:r w:rsidRPr="00887129">
              <w:rPr>
                <w:b/>
                <w:bCs/>
                <w:sz w:val="22"/>
                <w:szCs w:val="22"/>
              </w:rPr>
              <w:t>FY 202</w:t>
            </w:r>
            <w:r w:rsidR="00FE3E23" w:rsidRPr="00887129">
              <w:rPr>
                <w:b/>
                <w:bCs/>
                <w:sz w:val="22"/>
                <w:szCs w:val="22"/>
              </w:rPr>
              <w:t>3</w:t>
            </w:r>
          </w:p>
        </w:tc>
        <w:tc>
          <w:tcPr>
            <w:tcW w:w="1107" w:type="dxa"/>
            <w:shd w:val="clear" w:color="auto" w:fill="FFFFFF" w:themeFill="background1"/>
          </w:tcPr>
          <w:p w14:paraId="431A84A3" w14:textId="77777777" w:rsidR="00986981" w:rsidRPr="00887129" w:rsidRDefault="00986981" w:rsidP="00002D71">
            <w:pPr>
              <w:jc w:val="center"/>
              <w:rPr>
                <w:b/>
                <w:bCs/>
                <w:sz w:val="22"/>
                <w:szCs w:val="22"/>
              </w:rPr>
            </w:pPr>
          </w:p>
          <w:p w14:paraId="779A40B9" w14:textId="28F7BD00" w:rsidR="00951432" w:rsidRPr="00887129" w:rsidRDefault="00951432" w:rsidP="00002D71">
            <w:pPr>
              <w:jc w:val="center"/>
              <w:rPr>
                <w:b/>
                <w:bCs/>
                <w:sz w:val="22"/>
                <w:szCs w:val="22"/>
              </w:rPr>
            </w:pPr>
            <w:r w:rsidRPr="00887129">
              <w:rPr>
                <w:b/>
                <w:bCs/>
                <w:sz w:val="22"/>
                <w:szCs w:val="22"/>
              </w:rPr>
              <w:t>FY 202</w:t>
            </w:r>
            <w:r w:rsidR="00FE3E23" w:rsidRPr="00887129">
              <w:rPr>
                <w:b/>
                <w:bCs/>
                <w:sz w:val="22"/>
                <w:szCs w:val="22"/>
              </w:rPr>
              <w:t>2</w:t>
            </w:r>
          </w:p>
        </w:tc>
        <w:tc>
          <w:tcPr>
            <w:tcW w:w="1108" w:type="dxa"/>
            <w:shd w:val="clear" w:color="auto" w:fill="FFFFFF" w:themeFill="background1"/>
          </w:tcPr>
          <w:p w14:paraId="4040F00F" w14:textId="77777777" w:rsidR="00986981" w:rsidRPr="00887129" w:rsidRDefault="00986981" w:rsidP="00002D71">
            <w:pPr>
              <w:jc w:val="center"/>
              <w:rPr>
                <w:b/>
                <w:bCs/>
                <w:sz w:val="22"/>
                <w:szCs w:val="22"/>
              </w:rPr>
            </w:pPr>
          </w:p>
          <w:p w14:paraId="73B1DFC8" w14:textId="6B5F40AC" w:rsidR="00951432" w:rsidRPr="00887129" w:rsidRDefault="00951432" w:rsidP="00002D71">
            <w:pPr>
              <w:jc w:val="center"/>
              <w:rPr>
                <w:b/>
                <w:bCs/>
                <w:sz w:val="22"/>
                <w:szCs w:val="22"/>
              </w:rPr>
            </w:pPr>
            <w:r w:rsidRPr="00887129">
              <w:rPr>
                <w:b/>
                <w:bCs/>
                <w:sz w:val="22"/>
                <w:szCs w:val="22"/>
              </w:rPr>
              <w:t>FY 202</w:t>
            </w:r>
            <w:r w:rsidR="00FE3E23" w:rsidRPr="00887129">
              <w:rPr>
                <w:b/>
                <w:bCs/>
                <w:sz w:val="22"/>
                <w:szCs w:val="22"/>
              </w:rPr>
              <w:t>1</w:t>
            </w:r>
          </w:p>
        </w:tc>
        <w:tc>
          <w:tcPr>
            <w:tcW w:w="1107" w:type="dxa"/>
            <w:shd w:val="clear" w:color="auto" w:fill="FFFFFF" w:themeFill="background1"/>
          </w:tcPr>
          <w:p w14:paraId="2114B1F4" w14:textId="77777777" w:rsidR="00986981" w:rsidRPr="00887129" w:rsidRDefault="00986981" w:rsidP="00002D71">
            <w:pPr>
              <w:jc w:val="center"/>
              <w:rPr>
                <w:b/>
                <w:bCs/>
                <w:sz w:val="22"/>
                <w:szCs w:val="22"/>
              </w:rPr>
            </w:pPr>
          </w:p>
          <w:p w14:paraId="09E2EF20" w14:textId="164646BE" w:rsidR="00951432" w:rsidRPr="00887129" w:rsidRDefault="00951432" w:rsidP="00002D71">
            <w:pPr>
              <w:jc w:val="center"/>
              <w:rPr>
                <w:b/>
                <w:bCs/>
                <w:sz w:val="22"/>
                <w:szCs w:val="22"/>
              </w:rPr>
            </w:pPr>
            <w:r w:rsidRPr="00887129">
              <w:rPr>
                <w:b/>
                <w:bCs/>
                <w:sz w:val="22"/>
                <w:szCs w:val="22"/>
              </w:rPr>
              <w:t>FY 20</w:t>
            </w:r>
            <w:r w:rsidR="00FE3E23" w:rsidRPr="00887129">
              <w:rPr>
                <w:b/>
                <w:bCs/>
                <w:sz w:val="22"/>
                <w:szCs w:val="22"/>
              </w:rPr>
              <w:t>20</w:t>
            </w:r>
          </w:p>
        </w:tc>
        <w:tc>
          <w:tcPr>
            <w:tcW w:w="1107" w:type="dxa"/>
            <w:shd w:val="clear" w:color="auto" w:fill="FFFFFF" w:themeFill="background1"/>
          </w:tcPr>
          <w:p w14:paraId="1EA9D327" w14:textId="77777777" w:rsidR="00986981" w:rsidRPr="00887129" w:rsidRDefault="00986981" w:rsidP="00002D71">
            <w:pPr>
              <w:jc w:val="center"/>
              <w:rPr>
                <w:b/>
                <w:bCs/>
                <w:sz w:val="22"/>
                <w:szCs w:val="22"/>
              </w:rPr>
            </w:pPr>
          </w:p>
          <w:p w14:paraId="61FC4EA7" w14:textId="31FBA9B2" w:rsidR="00951432" w:rsidRPr="00887129" w:rsidRDefault="00951432" w:rsidP="00002D71">
            <w:pPr>
              <w:jc w:val="center"/>
              <w:rPr>
                <w:b/>
                <w:bCs/>
                <w:sz w:val="22"/>
                <w:szCs w:val="22"/>
              </w:rPr>
            </w:pPr>
            <w:r w:rsidRPr="00887129">
              <w:rPr>
                <w:b/>
                <w:bCs/>
                <w:sz w:val="22"/>
                <w:szCs w:val="22"/>
              </w:rPr>
              <w:t>FY 201</w:t>
            </w:r>
            <w:r w:rsidR="00FE3E23" w:rsidRPr="00887129">
              <w:rPr>
                <w:b/>
                <w:bCs/>
                <w:sz w:val="22"/>
                <w:szCs w:val="22"/>
              </w:rPr>
              <w:t>9</w:t>
            </w:r>
          </w:p>
        </w:tc>
        <w:tc>
          <w:tcPr>
            <w:tcW w:w="1108" w:type="dxa"/>
            <w:shd w:val="clear" w:color="auto" w:fill="FFFFFF" w:themeFill="background1"/>
          </w:tcPr>
          <w:p w14:paraId="16F743B2" w14:textId="77777777" w:rsidR="00986981" w:rsidRPr="00887129" w:rsidRDefault="00986981" w:rsidP="00002D71">
            <w:pPr>
              <w:jc w:val="center"/>
              <w:rPr>
                <w:b/>
                <w:bCs/>
                <w:sz w:val="22"/>
                <w:szCs w:val="22"/>
              </w:rPr>
            </w:pPr>
          </w:p>
          <w:p w14:paraId="27624711" w14:textId="74164F90" w:rsidR="00951432" w:rsidRPr="00887129" w:rsidRDefault="00951432" w:rsidP="00002D71">
            <w:pPr>
              <w:jc w:val="center"/>
              <w:rPr>
                <w:b/>
                <w:bCs/>
                <w:sz w:val="22"/>
                <w:szCs w:val="22"/>
              </w:rPr>
            </w:pPr>
            <w:r w:rsidRPr="00887129">
              <w:rPr>
                <w:b/>
                <w:bCs/>
                <w:sz w:val="22"/>
                <w:szCs w:val="22"/>
              </w:rPr>
              <w:t>FY 201</w:t>
            </w:r>
            <w:r w:rsidR="00FE3E23" w:rsidRPr="00887129">
              <w:rPr>
                <w:b/>
                <w:bCs/>
                <w:sz w:val="22"/>
                <w:szCs w:val="22"/>
              </w:rPr>
              <w:t>8</w:t>
            </w:r>
          </w:p>
        </w:tc>
      </w:tr>
      <w:tr w:rsidR="0011294F" w:rsidRPr="000A1781" w14:paraId="00BC5E7F" w14:textId="77777777" w:rsidTr="00887129">
        <w:trPr>
          <w:trHeight w:val="278"/>
        </w:trPr>
        <w:tc>
          <w:tcPr>
            <w:tcW w:w="1896" w:type="dxa"/>
            <w:shd w:val="clear" w:color="auto" w:fill="FFFFFF" w:themeFill="background1"/>
          </w:tcPr>
          <w:p w14:paraId="33B518F4" w14:textId="7EE9CAD2" w:rsidR="0011294F" w:rsidRPr="00887129" w:rsidRDefault="0011294F" w:rsidP="00002D71">
            <w:pPr>
              <w:rPr>
                <w:b/>
                <w:bCs/>
                <w:sz w:val="22"/>
                <w:szCs w:val="22"/>
              </w:rPr>
            </w:pPr>
            <w:r w:rsidRPr="00887129">
              <w:rPr>
                <w:b/>
                <w:bCs/>
                <w:sz w:val="22"/>
                <w:szCs w:val="22"/>
              </w:rPr>
              <w:t xml:space="preserve">Average current serious penalty in private sector- total (1 to greater than 250 </w:t>
            </w:r>
            <w:r w:rsidR="00E31878" w:rsidRPr="00887129">
              <w:rPr>
                <w:b/>
                <w:bCs/>
                <w:sz w:val="22"/>
                <w:szCs w:val="22"/>
              </w:rPr>
              <w:t>w</w:t>
            </w:r>
            <w:r w:rsidRPr="00887129">
              <w:rPr>
                <w:b/>
                <w:bCs/>
                <w:sz w:val="22"/>
                <w:szCs w:val="22"/>
              </w:rPr>
              <w:t>orkers)</w:t>
            </w:r>
          </w:p>
        </w:tc>
        <w:tc>
          <w:tcPr>
            <w:tcW w:w="1107" w:type="dxa"/>
            <w:shd w:val="clear" w:color="auto" w:fill="FFFFFF" w:themeFill="background1"/>
          </w:tcPr>
          <w:p w14:paraId="3273B7F2" w14:textId="77777777" w:rsidR="0086548F" w:rsidRPr="00887129" w:rsidRDefault="0086548F" w:rsidP="0086548F">
            <w:pPr>
              <w:jc w:val="center"/>
              <w:rPr>
                <w:sz w:val="22"/>
                <w:szCs w:val="22"/>
              </w:rPr>
            </w:pPr>
          </w:p>
          <w:p w14:paraId="5898A90E" w14:textId="77777777" w:rsidR="0086548F" w:rsidRPr="00887129" w:rsidRDefault="0086548F" w:rsidP="0086548F">
            <w:pPr>
              <w:jc w:val="center"/>
              <w:rPr>
                <w:sz w:val="22"/>
                <w:szCs w:val="22"/>
              </w:rPr>
            </w:pPr>
          </w:p>
          <w:p w14:paraId="571F7708" w14:textId="77777777" w:rsidR="0086548F" w:rsidRPr="00887129" w:rsidRDefault="0086548F" w:rsidP="0086548F">
            <w:pPr>
              <w:jc w:val="center"/>
              <w:rPr>
                <w:sz w:val="22"/>
                <w:szCs w:val="22"/>
              </w:rPr>
            </w:pPr>
          </w:p>
          <w:p w14:paraId="458B17C4" w14:textId="29DB24CC" w:rsidR="0011294F" w:rsidRPr="00887129" w:rsidRDefault="00660716" w:rsidP="0086548F">
            <w:pPr>
              <w:jc w:val="center"/>
              <w:rPr>
                <w:sz w:val="22"/>
                <w:szCs w:val="22"/>
              </w:rPr>
            </w:pPr>
            <w:r w:rsidRPr="00887129">
              <w:rPr>
                <w:sz w:val="22"/>
                <w:szCs w:val="22"/>
              </w:rPr>
              <w:t>$4,405.67</w:t>
            </w:r>
          </w:p>
        </w:tc>
        <w:tc>
          <w:tcPr>
            <w:tcW w:w="1107" w:type="dxa"/>
            <w:shd w:val="clear" w:color="auto" w:fill="FFFFFF" w:themeFill="background1"/>
          </w:tcPr>
          <w:p w14:paraId="03235129" w14:textId="77777777" w:rsidR="0086548F" w:rsidRPr="00887129" w:rsidRDefault="0086548F" w:rsidP="0086548F">
            <w:pPr>
              <w:jc w:val="center"/>
              <w:rPr>
                <w:sz w:val="22"/>
                <w:szCs w:val="22"/>
              </w:rPr>
            </w:pPr>
          </w:p>
          <w:p w14:paraId="37570A7F" w14:textId="77777777" w:rsidR="0086548F" w:rsidRPr="00887129" w:rsidRDefault="0086548F" w:rsidP="0086548F">
            <w:pPr>
              <w:jc w:val="center"/>
              <w:rPr>
                <w:sz w:val="22"/>
                <w:szCs w:val="22"/>
              </w:rPr>
            </w:pPr>
          </w:p>
          <w:p w14:paraId="719830AD" w14:textId="77777777" w:rsidR="0086548F" w:rsidRPr="00887129" w:rsidRDefault="0086548F" w:rsidP="0086548F">
            <w:pPr>
              <w:jc w:val="center"/>
              <w:rPr>
                <w:sz w:val="22"/>
                <w:szCs w:val="22"/>
              </w:rPr>
            </w:pPr>
          </w:p>
          <w:p w14:paraId="041B8CDA" w14:textId="6D264E56" w:rsidR="0011294F" w:rsidRPr="00887129" w:rsidRDefault="00852681" w:rsidP="0086548F">
            <w:pPr>
              <w:jc w:val="center"/>
              <w:rPr>
                <w:sz w:val="22"/>
                <w:szCs w:val="22"/>
              </w:rPr>
            </w:pPr>
            <w:r w:rsidRPr="00887129">
              <w:rPr>
                <w:sz w:val="22"/>
                <w:szCs w:val="22"/>
              </w:rPr>
              <w:t>$4,214.74</w:t>
            </w:r>
          </w:p>
        </w:tc>
        <w:tc>
          <w:tcPr>
            <w:tcW w:w="1108" w:type="dxa"/>
            <w:shd w:val="clear" w:color="auto" w:fill="FFFFFF" w:themeFill="background1"/>
          </w:tcPr>
          <w:p w14:paraId="59764711" w14:textId="77777777" w:rsidR="0086548F" w:rsidRPr="00887129" w:rsidRDefault="0086548F" w:rsidP="0086548F">
            <w:pPr>
              <w:jc w:val="center"/>
              <w:rPr>
                <w:sz w:val="22"/>
                <w:szCs w:val="22"/>
              </w:rPr>
            </w:pPr>
          </w:p>
          <w:p w14:paraId="41434170" w14:textId="77777777" w:rsidR="0086548F" w:rsidRPr="00887129" w:rsidRDefault="0086548F" w:rsidP="0086548F">
            <w:pPr>
              <w:jc w:val="center"/>
              <w:rPr>
                <w:sz w:val="22"/>
                <w:szCs w:val="22"/>
              </w:rPr>
            </w:pPr>
          </w:p>
          <w:p w14:paraId="18A82BFE" w14:textId="77777777" w:rsidR="0086548F" w:rsidRPr="00887129" w:rsidRDefault="0086548F" w:rsidP="0086548F">
            <w:pPr>
              <w:jc w:val="center"/>
              <w:rPr>
                <w:sz w:val="22"/>
                <w:szCs w:val="22"/>
              </w:rPr>
            </w:pPr>
          </w:p>
          <w:p w14:paraId="2FF74816" w14:textId="76904B5D" w:rsidR="0011294F" w:rsidRPr="00887129" w:rsidRDefault="0011294F" w:rsidP="0086548F">
            <w:pPr>
              <w:jc w:val="center"/>
              <w:rPr>
                <w:sz w:val="22"/>
                <w:szCs w:val="22"/>
              </w:rPr>
            </w:pPr>
            <w:r w:rsidRPr="00887129">
              <w:rPr>
                <w:sz w:val="22"/>
                <w:szCs w:val="22"/>
              </w:rPr>
              <w:t>$5,305.61</w:t>
            </w:r>
          </w:p>
        </w:tc>
        <w:tc>
          <w:tcPr>
            <w:tcW w:w="1107" w:type="dxa"/>
            <w:shd w:val="clear" w:color="auto" w:fill="FFFFFF" w:themeFill="background1"/>
          </w:tcPr>
          <w:p w14:paraId="3D23C214" w14:textId="77777777" w:rsidR="0086548F" w:rsidRPr="00887129" w:rsidRDefault="0086548F" w:rsidP="0086548F">
            <w:pPr>
              <w:jc w:val="center"/>
              <w:rPr>
                <w:sz w:val="22"/>
                <w:szCs w:val="22"/>
              </w:rPr>
            </w:pPr>
          </w:p>
          <w:p w14:paraId="70BA7471" w14:textId="77777777" w:rsidR="0086548F" w:rsidRPr="00887129" w:rsidRDefault="0086548F" w:rsidP="0086548F">
            <w:pPr>
              <w:jc w:val="center"/>
              <w:rPr>
                <w:sz w:val="22"/>
                <w:szCs w:val="22"/>
              </w:rPr>
            </w:pPr>
          </w:p>
          <w:p w14:paraId="21578EC4" w14:textId="77777777" w:rsidR="0086548F" w:rsidRPr="00887129" w:rsidRDefault="0086548F" w:rsidP="0086548F">
            <w:pPr>
              <w:jc w:val="center"/>
              <w:rPr>
                <w:sz w:val="22"/>
                <w:szCs w:val="22"/>
              </w:rPr>
            </w:pPr>
          </w:p>
          <w:p w14:paraId="3C953302" w14:textId="06AC76D5" w:rsidR="0011294F" w:rsidRPr="00887129" w:rsidRDefault="0011294F" w:rsidP="0086548F">
            <w:pPr>
              <w:jc w:val="center"/>
              <w:rPr>
                <w:sz w:val="22"/>
                <w:szCs w:val="22"/>
              </w:rPr>
            </w:pPr>
            <w:r w:rsidRPr="00887129">
              <w:rPr>
                <w:sz w:val="22"/>
                <w:szCs w:val="22"/>
              </w:rPr>
              <w:t>$2,251.51</w:t>
            </w:r>
          </w:p>
        </w:tc>
        <w:tc>
          <w:tcPr>
            <w:tcW w:w="1107" w:type="dxa"/>
            <w:shd w:val="clear" w:color="auto" w:fill="FFFFFF" w:themeFill="background1"/>
          </w:tcPr>
          <w:p w14:paraId="1A90CC59" w14:textId="77777777" w:rsidR="0086548F" w:rsidRPr="00887129" w:rsidRDefault="0086548F" w:rsidP="0086548F">
            <w:pPr>
              <w:jc w:val="center"/>
              <w:rPr>
                <w:sz w:val="22"/>
                <w:szCs w:val="22"/>
              </w:rPr>
            </w:pPr>
          </w:p>
          <w:p w14:paraId="49BE8B4A" w14:textId="77777777" w:rsidR="0086548F" w:rsidRPr="00887129" w:rsidRDefault="0086548F" w:rsidP="0086548F">
            <w:pPr>
              <w:jc w:val="center"/>
              <w:rPr>
                <w:sz w:val="22"/>
                <w:szCs w:val="22"/>
              </w:rPr>
            </w:pPr>
          </w:p>
          <w:p w14:paraId="7CD51FB0" w14:textId="77777777" w:rsidR="0086548F" w:rsidRPr="00887129" w:rsidRDefault="0086548F" w:rsidP="0086548F">
            <w:pPr>
              <w:jc w:val="center"/>
              <w:rPr>
                <w:sz w:val="22"/>
                <w:szCs w:val="22"/>
              </w:rPr>
            </w:pPr>
          </w:p>
          <w:p w14:paraId="42D2A459" w14:textId="370CB053" w:rsidR="0011294F" w:rsidRPr="00887129" w:rsidRDefault="0011294F" w:rsidP="0086548F">
            <w:pPr>
              <w:jc w:val="center"/>
              <w:rPr>
                <w:sz w:val="22"/>
                <w:szCs w:val="22"/>
              </w:rPr>
            </w:pPr>
            <w:r w:rsidRPr="00887129">
              <w:rPr>
                <w:sz w:val="22"/>
                <w:szCs w:val="22"/>
              </w:rPr>
              <w:t>$2,207.27</w:t>
            </w:r>
          </w:p>
        </w:tc>
        <w:tc>
          <w:tcPr>
            <w:tcW w:w="1108" w:type="dxa"/>
            <w:shd w:val="clear" w:color="auto" w:fill="FFFFFF" w:themeFill="background1"/>
          </w:tcPr>
          <w:p w14:paraId="4A21ED74" w14:textId="77777777" w:rsidR="0086548F" w:rsidRPr="00887129" w:rsidRDefault="0086548F" w:rsidP="0086548F">
            <w:pPr>
              <w:jc w:val="center"/>
              <w:rPr>
                <w:sz w:val="22"/>
                <w:szCs w:val="22"/>
              </w:rPr>
            </w:pPr>
          </w:p>
          <w:p w14:paraId="0788BBF8" w14:textId="77777777" w:rsidR="0086548F" w:rsidRPr="00887129" w:rsidRDefault="0086548F" w:rsidP="0086548F">
            <w:pPr>
              <w:jc w:val="center"/>
              <w:rPr>
                <w:sz w:val="22"/>
                <w:szCs w:val="22"/>
              </w:rPr>
            </w:pPr>
          </w:p>
          <w:p w14:paraId="4D066BC1" w14:textId="77777777" w:rsidR="0086548F" w:rsidRPr="00887129" w:rsidRDefault="0086548F" w:rsidP="0086548F">
            <w:pPr>
              <w:jc w:val="center"/>
              <w:rPr>
                <w:sz w:val="22"/>
                <w:szCs w:val="22"/>
              </w:rPr>
            </w:pPr>
          </w:p>
          <w:p w14:paraId="25F7D542" w14:textId="172DA457" w:rsidR="0011294F" w:rsidRPr="00887129" w:rsidRDefault="00BF0C7A" w:rsidP="0086548F">
            <w:pPr>
              <w:jc w:val="center"/>
              <w:rPr>
                <w:sz w:val="22"/>
                <w:szCs w:val="22"/>
              </w:rPr>
            </w:pPr>
            <w:r w:rsidRPr="00887129">
              <w:rPr>
                <w:sz w:val="22"/>
                <w:szCs w:val="22"/>
              </w:rPr>
              <w:t>$1,909.40</w:t>
            </w:r>
          </w:p>
        </w:tc>
      </w:tr>
      <w:tr w:rsidR="0011294F" w:rsidRPr="000A1781" w14:paraId="65F4EFD3" w14:textId="77777777" w:rsidTr="00887129">
        <w:tc>
          <w:tcPr>
            <w:tcW w:w="1896" w:type="dxa"/>
            <w:shd w:val="clear" w:color="auto" w:fill="FFFFFF" w:themeFill="background1"/>
          </w:tcPr>
          <w:p w14:paraId="5581DEB0" w14:textId="142E7A97" w:rsidR="0011294F" w:rsidRPr="00887129" w:rsidRDefault="0011294F" w:rsidP="00002D71">
            <w:pPr>
              <w:rPr>
                <w:b/>
                <w:bCs/>
                <w:sz w:val="22"/>
                <w:szCs w:val="22"/>
              </w:rPr>
            </w:pPr>
            <w:r w:rsidRPr="00887129">
              <w:rPr>
                <w:b/>
                <w:bCs/>
                <w:sz w:val="22"/>
                <w:szCs w:val="22"/>
              </w:rPr>
              <w:t>(a) Average current serious penalty in private sectors (1-25 workers)</w:t>
            </w:r>
          </w:p>
        </w:tc>
        <w:tc>
          <w:tcPr>
            <w:tcW w:w="1107" w:type="dxa"/>
            <w:shd w:val="clear" w:color="auto" w:fill="FFFFFF" w:themeFill="background1"/>
          </w:tcPr>
          <w:p w14:paraId="44527064" w14:textId="77777777" w:rsidR="0086548F" w:rsidRPr="00887129" w:rsidRDefault="0086548F" w:rsidP="0086548F">
            <w:pPr>
              <w:jc w:val="center"/>
              <w:rPr>
                <w:sz w:val="22"/>
                <w:szCs w:val="22"/>
              </w:rPr>
            </w:pPr>
          </w:p>
          <w:p w14:paraId="299437D1" w14:textId="77777777" w:rsidR="0086548F" w:rsidRPr="00887129" w:rsidRDefault="0086548F" w:rsidP="0086548F">
            <w:pPr>
              <w:jc w:val="center"/>
              <w:rPr>
                <w:sz w:val="22"/>
                <w:szCs w:val="22"/>
              </w:rPr>
            </w:pPr>
          </w:p>
          <w:p w14:paraId="7248FAC0" w14:textId="29AE94EE" w:rsidR="0011294F" w:rsidRPr="00887129" w:rsidRDefault="00941C03" w:rsidP="0086548F">
            <w:pPr>
              <w:jc w:val="center"/>
              <w:rPr>
                <w:sz w:val="22"/>
                <w:szCs w:val="22"/>
              </w:rPr>
            </w:pPr>
            <w:r w:rsidRPr="00887129">
              <w:rPr>
                <w:sz w:val="22"/>
                <w:szCs w:val="22"/>
              </w:rPr>
              <w:t>$</w:t>
            </w:r>
            <w:r w:rsidR="00660716" w:rsidRPr="00887129">
              <w:rPr>
                <w:sz w:val="22"/>
                <w:szCs w:val="22"/>
              </w:rPr>
              <w:t>2</w:t>
            </w:r>
            <w:r w:rsidRPr="00887129">
              <w:rPr>
                <w:sz w:val="22"/>
                <w:szCs w:val="22"/>
              </w:rPr>
              <w:t>,</w:t>
            </w:r>
            <w:r w:rsidR="00660716" w:rsidRPr="00887129">
              <w:rPr>
                <w:sz w:val="22"/>
                <w:szCs w:val="22"/>
              </w:rPr>
              <w:t>720.00</w:t>
            </w:r>
          </w:p>
        </w:tc>
        <w:tc>
          <w:tcPr>
            <w:tcW w:w="1107" w:type="dxa"/>
            <w:shd w:val="clear" w:color="auto" w:fill="FFFFFF" w:themeFill="background1"/>
          </w:tcPr>
          <w:p w14:paraId="22922A63" w14:textId="77777777" w:rsidR="0086548F" w:rsidRPr="00887129" w:rsidRDefault="0086548F" w:rsidP="0086548F">
            <w:pPr>
              <w:jc w:val="center"/>
              <w:rPr>
                <w:sz w:val="22"/>
                <w:szCs w:val="22"/>
              </w:rPr>
            </w:pPr>
          </w:p>
          <w:p w14:paraId="71613B61" w14:textId="77777777" w:rsidR="0086548F" w:rsidRPr="00887129" w:rsidRDefault="0086548F" w:rsidP="0086548F">
            <w:pPr>
              <w:jc w:val="center"/>
              <w:rPr>
                <w:sz w:val="22"/>
                <w:szCs w:val="22"/>
              </w:rPr>
            </w:pPr>
          </w:p>
          <w:p w14:paraId="74C883DE" w14:textId="5C70E07E" w:rsidR="0011294F" w:rsidRPr="00887129" w:rsidRDefault="00852681" w:rsidP="0086548F">
            <w:pPr>
              <w:jc w:val="center"/>
              <w:rPr>
                <w:sz w:val="22"/>
                <w:szCs w:val="22"/>
              </w:rPr>
            </w:pPr>
            <w:r w:rsidRPr="00887129">
              <w:rPr>
                <w:sz w:val="22"/>
                <w:szCs w:val="22"/>
              </w:rPr>
              <w:t>$2,017.00</w:t>
            </w:r>
          </w:p>
        </w:tc>
        <w:tc>
          <w:tcPr>
            <w:tcW w:w="1108" w:type="dxa"/>
            <w:shd w:val="clear" w:color="auto" w:fill="FFFFFF" w:themeFill="background1"/>
          </w:tcPr>
          <w:p w14:paraId="5C3885EF" w14:textId="77777777" w:rsidR="0086548F" w:rsidRPr="00887129" w:rsidRDefault="0086548F" w:rsidP="0086548F">
            <w:pPr>
              <w:jc w:val="center"/>
              <w:rPr>
                <w:sz w:val="22"/>
                <w:szCs w:val="22"/>
              </w:rPr>
            </w:pPr>
          </w:p>
          <w:p w14:paraId="13C98D1D" w14:textId="77777777" w:rsidR="0086548F" w:rsidRPr="00887129" w:rsidRDefault="0086548F" w:rsidP="0086548F">
            <w:pPr>
              <w:jc w:val="center"/>
              <w:rPr>
                <w:sz w:val="22"/>
                <w:szCs w:val="22"/>
              </w:rPr>
            </w:pPr>
          </w:p>
          <w:p w14:paraId="4B77E00C" w14:textId="7F770361" w:rsidR="0011294F" w:rsidRPr="00887129" w:rsidRDefault="0011294F" w:rsidP="0086548F">
            <w:pPr>
              <w:jc w:val="center"/>
              <w:rPr>
                <w:sz w:val="22"/>
                <w:szCs w:val="22"/>
              </w:rPr>
            </w:pPr>
            <w:r w:rsidRPr="00887129">
              <w:rPr>
                <w:sz w:val="22"/>
                <w:szCs w:val="22"/>
              </w:rPr>
              <w:t>$1,920.00</w:t>
            </w:r>
          </w:p>
        </w:tc>
        <w:tc>
          <w:tcPr>
            <w:tcW w:w="1107" w:type="dxa"/>
            <w:shd w:val="clear" w:color="auto" w:fill="FFFFFF" w:themeFill="background1"/>
          </w:tcPr>
          <w:p w14:paraId="0E37EE98" w14:textId="77777777" w:rsidR="0086548F" w:rsidRPr="00887129" w:rsidRDefault="0086548F" w:rsidP="0086548F">
            <w:pPr>
              <w:jc w:val="center"/>
              <w:rPr>
                <w:sz w:val="22"/>
                <w:szCs w:val="22"/>
              </w:rPr>
            </w:pPr>
          </w:p>
          <w:p w14:paraId="40DAF8F1" w14:textId="77777777" w:rsidR="0086548F" w:rsidRPr="00887129" w:rsidRDefault="0086548F" w:rsidP="0086548F">
            <w:pPr>
              <w:jc w:val="center"/>
              <w:rPr>
                <w:sz w:val="22"/>
                <w:szCs w:val="22"/>
              </w:rPr>
            </w:pPr>
          </w:p>
          <w:p w14:paraId="50DB04B3" w14:textId="12C8EA8E" w:rsidR="0011294F" w:rsidRPr="00887129" w:rsidRDefault="0011294F" w:rsidP="0086548F">
            <w:pPr>
              <w:jc w:val="center"/>
              <w:rPr>
                <w:sz w:val="22"/>
                <w:szCs w:val="22"/>
              </w:rPr>
            </w:pPr>
            <w:r w:rsidRPr="00887129">
              <w:rPr>
                <w:sz w:val="22"/>
                <w:szCs w:val="22"/>
              </w:rPr>
              <w:t>$1,270.00</w:t>
            </w:r>
          </w:p>
        </w:tc>
        <w:tc>
          <w:tcPr>
            <w:tcW w:w="1107" w:type="dxa"/>
            <w:shd w:val="clear" w:color="auto" w:fill="FFFFFF" w:themeFill="background1"/>
          </w:tcPr>
          <w:p w14:paraId="5C694E73" w14:textId="77777777" w:rsidR="0086548F" w:rsidRPr="00887129" w:rsidRDefault="0086548F" w:rsidP="0086548F">
            <w:pPr>
              <w:jc w:val="center"/>
              <w:rPr>
                <w:sz w:val="22"/>
                <w:szCs w:val="22"/>
              </w:rPr>
            </w:pPr>
          </w:p>
          <w:p w14:paraId="6C601377" w14:textId="77777777" w:rsidR="0086548F" w:rsidRPr="00887129" w:rsidRDefault="0086548F" w:rsidP="0086548F">
            <w:pPr>
              <w:jc w:val="center"/>
              <w:rPr>
                <w:sz w:val="22"/>
                <w:szCs w:val="22"/>
              </w:rPr>
            </w:pPr>
          </w:p>
          <w:p w14:paraId="7D5026C8" w14:textId="4EF371C3" w:rsidR="0011294F" w:rsidRPr="00887129" w:rsidRDefault="0011294F" w:rsidP="0086548F">
            <w:pPr>
              <w:jc w:val="center"/>
              <w:rPr>
                <w:sz w:val="22"/>
                <w:szCs w:val="22"/>
              </w:rPr>
            </w:pPr>
            <w:r w:rsidRPr="00887129">
              <w:rPr>
                <w:sz w:val="22"/>
                <w:szCs w:val="22"/>
              </w:rPr>
              <w:t>$1,501.48</w:t>
            </w:r>
          </w:p>
        </w:tc>
        <w:tc>
          <w:tcPr>
            <w:tcW w:w="1108" w:type="dxa"/>
            <w:shd w:val="clear" w:color="auto" w:fill="FFFFFF" w:themeFill="background1"/>
          </w:tcPr>
          <w:p w14:paraId="36AD7664" w14:textId="77777777" w:rsidR="0086548F" w:rsidRPr="00887129" w:rsidRDefault="0086548F" w:rsidP="0086548F">
            <w:pPr>
              <w:jc w:val="center"/>
              <w:rPr>
                <w:sz w:val="22"/>
                <w:szCs w:val="22"/>
              </w:rPr>
            </w:pPr>
          </w:p>
          <w:p w14:paraId="1A2A7680" w14:textId="77777777" w:rsidR="0086548F" w:rsidRPr="00887129" w:rsidRDefault="0086548F" w:rsidP="0086548F">
            <w:pPr>
              <w:jc w:val="center"/>
              <w:rPr>
                <w:sz w:val="22"/>
                <w:szCs w:val="22"/>
              </w:rPr>
            </w:pPr>
          </w:p>
          <w:p w14:paraId="06ECCC1B" w14:textId="37A398D2" w:rsidR="0011294F" w:rsidRPr="00887129" w:rsidRDefault="00BF0C7A" w:rsidP="0086548F">
            <w:pPr>
              <w:jc w:val="center"/>
              <w:rPr>
                <w:sz w:val="22"/>
                <w:szCs w:val="22"/>
              </w:rPr>
            </w:pPr>
            <w:r w:rsidRPr="00887129">
              <w:rPr>
                <w:sz w:val="22"/>
                <w:szCs w:val="22"/>
              </w:rPr>
              <w:t>$</w:t>
            </w:r>
            <w:r w:rsidR="00584B81" w:rsidRPr="00887129">
              <w:rPr>
                <w:sz w:val="22"/>
                <w:szCs w:val="22"/>
              </w:rPr>
              <w:t>925.00</w:t>
            </w:r>
          </w:p>
        </w:tc>
      </w:tr>
      <w:tr w:rsidR="0011294F" w:rsidRPr="000A1781" w14:paraId="667EDAAC" w14:textId="77777777" w:rsidTr="00887129">
        <w:tc>
          <w:tcPr>
            <w:tcW w:w="1896" w:type="dxa"/>
            <w:shd w:val="clear" w:color="auto" w:fill="FFFFFF" w:themeFill="background1"/>
          </w:tcPr>
          <w:p w14:paraId="7C832611" w14:textId="0FBF9478" w:rsidR="0011294F" w:rsidRPr="00887129" w:rsidRDefault="0011294F" w:rsidP="00002D71">
            <w:pPr>
              <w:rPr>
                <w:b/>
                <w:bCs/>
                <w:sz w:val="22"/>
                <w:szCs w:val="22"/>
              </w:rPr>
            </w:pPr>
            <w:r w:rsidRPr="00887129">
              <w:rPr>
                <w:b/>
                <w:bCs/>
                <w:sz w:val="22"/>
                <w:szCs w:val="22"/>
              </w:rPr>
              <w:t>(b) Average current serious penalty in private sector (26-100 workers)</w:t>
            </w:r>
          </w:p>
        </w:tc>
        <w:tc>
          <w:tcPr>
            <w:tcW w:w="1107" w:type="dxa"/>
            <w:shd w:val="clear" w:color="auto" w:fill="FFFFFF" w:themeFill="background1"/>
          </w:tcPr>
          <w:p w14:paraId="788A7DF6" w14:textId="77777777" w:rsidR="0086548F" w:rsidRPr="00887129" w:rsidRDefault="0086548F" w:rsidP="0086548F">
            <w:pPr>
              <w:jc w:val="center"/>
              <w:rPr>
                <w:sz w:val="22"/>
                <w:szCs w:val="22"/>
              </w:rPr>
            </w:pPr>
          </w:p>
          <w:p w14:paraId="09CB1883" w14:textId="77777777" w:rsidR="0086548F" w:rsidRPr="00887129" w:rsidRDefault="0086548F" w:rsidP="0086548F">
            <w:pPr>
              <w:jc w:val="center"/>
              <w:rPr>
                <w:sz w:val="22"/>
                <w:szCs w:val="22"/>
              </w:rPr>
            </w:pPr>
          </w:p>
          <w:p w14:paraId="4E5862D8" w14:textId="740F4B5D" w:rsidR="0011294F" w:rsidRPr="00887129" w:rsidRDefault="00941C03" w:rsidP="0086548F">
            <w:pPr>
              <w:jc w:val="center"/>
              <w:rPr>
                <w:sz w:val="22"/>
                <w:szCs w:val="22"/>
              </w:rPr>
            </w:pPr>
            <w:r w:rsidRPr="00887129">
              <w:rPr>
                <w:sz w:val="22"/>
                <w:szCs w:val="22"/>
              </w:rPr>
              <w:t>$</w:t>
            </w:r>
            <w:r w:rsidR="00660716" w:rsidRPr="00887129">
              <w:rPr>
                <w:sz w:val="22"/>
                <w:szCs w:val="22"/>
              </w:rPr>
              <w:t>4</w:t>
            </w:r>
            <w:r w:rsidRPr="00887129">
              <w:rPr>
                <w:sz w:val="22"/>
                <w:szCs w:val="22"/>
              </w:rPr>
              <w:t>,</w:t>
            </w:r>
            <w:r w:rsidR="00660716" w:rsidRPr="00887129">
              <w:rPr>
                <w:sz w:val="22"/>
                <w:szCs w:val="22"/>
              </w:rPr>
              <w:t>738.83</w:t>
            </w:r>
          </w:p>
        </w:tc>
        <w:tc>
          <w:tcPr>
            <w:tcW w:w="1107" w:type="dxa"/>
            <w:shd w:val="clear" w:color="auto" w:fill="FFFFFF" w:themeFill="background1"/>
          </w:tcPr>
          <w:p w14:paraId="4D4F0331" w14:textId="77777777" w:rsidR="0086548F" w:rsidRPr="00887129" w:rsidRDefault="0086548F" w:rsidP="0086548F">
            <w:pPr>
              <w:jc w:val="center"/>
              <w:rPr>
                <w:sz w:val="22"/>
                <w:szCs w:val="22"/>
              </w:rPr>
            </w:pPr>
          </w:p>
          <w:p w14:paraId="340D63C1" w14:textId="77777777" w:rsidR="0086548F" w:rsidRPr="00887129" w:rsidRDefault="0086548F" w:rsidP="0086548F">
            <w:pPr>
              <w:jc w:val="center"/>
              <w:rPr>
                <w:sz w:val="22"/>
                <w:szCs w:val="22"/>
              </w:rPr>
            </w:pPr>
          </w:p>
          <w:p w14:paraId="2FD4DE4C" w14:textId="6B3A3B9A" w:rsidR="0011294F" w:rsidRPr="00887129" w:rsidRDefault="00852681" w:rsidP="0086548F">
            <w:pPr>
              <w:jc w:val="center"/>
              <w:rPr>
                <w:sz w:val="22"/>
                <w:szCs w:val="22"/>
              </w:rPr>
            </w:pPr>
            <w:r w:rsidRPr="00887129">
              <w:rPr>
                <w:sz w:val="22"/>
                <w:szCs w:val="22"/>
              </w:rPr>
              <w:t>$5,178.21</w:t>
            </w:r>
          </w:p>
        </w:tc>
        <w:tc>
          <w:tcPr>
            <w:tcW w:w="1108" w:type="dxa"/>
            <w:shd w:val="clear" w:color="auto" w:fill="FFFFFF" w:themeFill="background1"/>
          </w:tcPr>
          <w:p w14:paraId="485E4386" w14:textId="77777777" w:rsidR="0086548F" w:rsidRPr="00887129" w:rsidRDefault="0086548F" w:rsidP="0086548F">
            <w:pPr>
              <w:jc w:val="center"/>
              <w:rPr>
                <w:sz w:val="22"/>
                <w:szCs w:val="22"/>
              </w:rPr>
            </w:pPr>
          </w:p>
          <w:p w14:paraId="3DA03694" w14:textId="77777777" w:rsidR="0086548F" w:rsidRPr="00887129" w:rsidRDefault="0086548F" w:rsidP="0086548F">
            <w:pPr>
              <w:jc w:val="center"/>
              <w:rPr>
                <w:sz w:val="22"/>
                <w:szCs w:val="22"/>
              </w:rPr>
            </w:pPr>
          </w:p>
          <w:p w14:paraId="1460DDAF" w14:textId="63513662" w:rsidR="0011294F" w:rsidRPr="00887129" w:rsidRDefault="0011294F" w:rsidP="0086548F">
            <w:pPr>
              <w:jc w:val="center"/>
              <w:rPr>
                <w:sz w:val="22"/>
                <w:szCs w:val="22"/>
              </w:rPr>
            </w:pPr>
            <w:r w:rsidRPr="00887129">
              <w:rPr>
                <w:sz w:val="22"/>
                <w:szCs w:val="22"/>
              </w:rPr>
              <w:t>$5.170.73</w:t>
            </w:r>
          </w:p>
        </w:tc>
        <w:tc>
          <w:tcPr>
            <w:tcW w:w="1107" w:type="dxa"/>
            <w:shd w:val="clear" w:color="auto" w:fill="FFFFFF" w:themeFill="background1"/>
          </w:tcPr>
          <w:p w14:paraId="1B907F83" w14:textId="77777777" w:rsidR="0086548F" w:rsidRPr="00887129" w:rsidRDefault="0086548F" w:rsidP="0086548F">
            <w:pPr>
              <w:jc w:val="center"/>
              <w:rPr>
                <w:sz w:val="22"/>
                <w:szCs w:val="22"/>
              </w:rPr>
            </w:pPr>
          </w:p>
          <w:p w14:paraId="597CE97D" w14:textId="77777777" w:rsidR="0086548F" w:rsidRPr="00887129" w:rsidRDefault="0086548F" w:rsidP="0086548F">
            <w:pPr>
              <w:jc w:val="center"/>
              <w:rPr>
                <w:sz w:val="22"/>
                <w:szCs w:val="22"/>
              </w:rPr>
            </w:pPr>
          </w:p>
          <w:p w14:paraId="63252E68" w14:textId="117891C5" w:rsidR="0011294F" w:rsidRPr="00887129" w:rsidRDefault="0011294F" w:rsidP="0086548F">
            <w:pPr>
              <w:jc w:val="center"/>
              <w:rPr>
                <w:sz w:val="22"/>
                <w:szCs w:val="22"/>
              </w:rPr>
            </w:pPr>
            <w:r w:rsidRPr="00887129">
              <w:rPr>
                <w:sz w:val="22"/>
                <w:szCs w:val="22"/>
              </w:rPr>
              <w:t>$2,441.84</w:t>
            </w:r>
          </w:p>
        </w:tc>
        <w:tc>
          <w:tcPr>
            <w:tcW w:w="1107" w:type="dxa"/>
            <w:shd w:val="clear" w:color="auto" w:fill="FFFFFF" w:themeFill="background1"/>
          </w:tcPr>
          <w:p w14:paraId="7897517A" w14:textId="77777777" w:rsidR="0086548F" w:rsidRPr="00887129" w:rsidRDefault="0086548F" w:rsidP="0086548F">
            <w:pPr>
              <w:jc w:val="center"/>
              <w:rPr>
                <w:sz w:val="22"/>
                <w:szCs w:val="22"/>
              </w:rPr>
            </w:pPr>
          </w:p>
          <w:p w14:paraId="6FA13DCD" w14:textId="77777777" w:rsidR="0086548F" w:rsidRPr="00887129" w:rsidRDefault="0086548F" w:rsidP="0086548F">
            <w:pPr>
              <w:jc w:val="center"/>
              <w:rPr>
                <w:sz w:val="22"/>
                <w:szCs w:val="22"/>
              </w:rPr>
            </w:pPr>
          </w:p>
          <w:p w14:paraId="24722F96" w14:textId="601DBB24" w:rsidR="0011294F" w:rsidRPr="00887129" w:rsidRDefault="0011294F" w:rsidP="0086548F">
            <w:pPr>
              <w:jc w:val="center"/>
              <w:rPr>
                <w:sz w:val="22"/>
                <w:szCs w:val="22"/>
              </w:rPr>
            </w:pPr>
            <w:r w:rsidRPr="00887129">
              <w:rPr>
                <w:sz w:val="22"/>
                <w:szCs w:val="22"/>
              </w:rPr>
              <w:t>$</w:t>
            </w:r>
            <w:r w:rsidR="00BF0C7A" w:rsidRPr="00887129">
              <w:rPr>
                <w:sz w:val="22"/>
                <w:szCs w:val="22"/>
              </w:rPr>
              <w:t>2,301.41</w:t>
            </w:r>
          </w:p>
        </w:tc>
        <w:tc>
          <w:tcPr>
            <w:tcW w:w="1108" w:type="dxa"/>
            <w:shd w:val="clear" w:color="auto" w:fill="FFFFFF" w:themeFill="background1"/>
          </w:tcPr>
          <w:p w14:paraId="25ECCA5C" w14:textId="77777777" w:rsidR="0086548F" w:rsidRPr="00887129" w:rsidRDefault="0086548F" w:rsidP="0086548F">
            <w:pPr>
              <w:jc w:val="center"/>
              <w:rPr>
                <w:sz w:val="22"/>
                <w:szCs w:val="22"/>
              </w:rPr>
            </w:pPr>
          </w:p>
          <w:p w14:paraId="31038690" w14:textId="77777777" w:rsidR="0086548F" w:rsidRPr="00887129" w:rsidRDefault="0086548F" w:rsidP="0086548F">
            <w:pPr>
              <w:jc w:val="center"/>
              <w:rPr>
                <w:sz w:val="22"/>
                <w:szCs w:val="22"/>
              </w:rPr>
            </w:pPr>
          </w:p>
          <w:p w14:paraId="4B98653C" w14:textId="081BE3EC" w:rsidR="0011294F" w:rsidRPr="00887129" w:rsidRDefault="00584B81" w:rsidP="0086548F">
            <w:pPr>
              <w:jc w:val="center"/>
              <w:rPr>
                <w:sz w:val="22"/>
                <w:szCs w:val="22"/>
              </w:rPr>
            </w:pPr>
            <w:r w:rsidRPr="00887129">
              <w:rPr>
                <w:sz w:val="22"/>
                <w:szCs w:val="22"/>
              </w:rPr>
              <w:t>$2.684.21</w:t>
            </w:r>
          </w:p>
        </w:tc>
      </w:tr>
      <w:tr w:rsidR="0011294F" w:rsidRPr="000A1781" w14:paraId="55626290" w14:textId="77777777" w:rsidTr="00887129">
        <w:tc>
          <w:tcPr>
            <w:tcW w:w="1896" w:type="dxa"/>
            <w:shd w:val="clear" w:color="auto" w:fill="FFFFFF" w:themeFill="background1"/>
          </w:tcPr>
          <w:p w14:paraId="2B97E296" w14:textId="28308AAD" w:rsidR="0011294F" w:rsidRPr="00887129" w:rsidRDefault="0011294F" w:rsidP="00002D71">
            <w:pPr>
              <w:rPr>
                <w:b/>
                <w:bCs/>
                <w:sz w:val="22"/>
                <w:szCs w:val="22"/>
              </w:rPr>
            </w:pPr>
            <w:r w:rsidRPr="00887129">
              <w:rPr>
                <w:b/>
                <w:bCs/>
                <w:sz w:val="22"/>
                <w:szCs w:val="22"/>
              </w:rPr>
              <w:t>(c) Average current serious penalty in private sector (101-250 workers)</w:t>
            </w:r>
          </w:p>
        </w:tc>
        <w:tc>
          <w:tcPr>
            <w:tcW w:w="1107" w:type="dxa"/>
            <w:shd w:val="clear" w:color="auto" w:fill="FFFFFF" w:themeFill="background1"/>
          </w:tcPr>
          <w:p w14:paraId="20C3FE6F" w14:textId="77777777" w:rsidR="0086548F" w:rsidRPr="00887129" w:rsidRDefault="0086548F" w:rsidP="0086548F">
            <w:pPr>
              <w:jc w:val="center"/>
              <w:rPr>
                <w:sz w:val="22"/>
                <w:szCs w:val="22"/>
              </w:rPr>
            </w:pPr>
          </w:p>
          <w:p w14:paraId="3EA5EFF6" w14:textId="77777777" w:rsidR="0086548F" w:rsidRPr="00887129" w:rsidRDefault="0086548F" w:rsidP="0086548F">
            <w:pPr>
              <w:jc w:val="center"/>
              <w:rPr>
                <w:sz w:val="22"/>
                <w:szCs w:val="22"/>
              </w:rPr>
            </w:pPr>
          </w:p>
          <w:p w14:paraId="7CDC4FC2" w14:textId="1A04A11F" w:rsidR="0011294F" w:rsidRPr="00887129" w:rsidRDefault="00941C03" w:rsidP="0086548F">
            <w:pPr>
              <w:jc w:val="center"/>
              <w:rPr>
                <w:sz w:val="22"/>
                <w:szCs w:val="22"/>
              </w:rPr>
            </w:pPr>
            <w:r w:rsidRPr="00887129">
              <w:rPr>
                <w:sz w:val="22"/>
                <w:szCs w:val="22"/>
              </w:rPr>
              <w:t>$</w:t>
            </w:r>
            <w:r w:rsidR="00660716" w:rsidRPr="00887129">
              <w:rPr>
                <w:sz w:val="22"/>
                <w:szCs w:val="22"/>
              </w:rPr>
              <w:t>6</w:t>
            </w:r>
            <w:r w:rsidRPr="00887129">
              <w:rPr>
                <w:sz w:val="22"/>
                <w:szCs w:val="22"/>
              </w:rPr>
              <w:t>,</w:t>
            </w:r>
            <w:r w:rsidR="00660716" w:rsidRPr="00887129">
              <w:rPr>
                <w:sz w:val="22"/>
                <w:szCs w:val="22"/>
              </w:rPr>
              <w:t>943.06</w:t>
            </w:r>
          </w:p>
        </w:tc>
        <w:tc>
          <w:tcPr>
            <w:tcW w:w="1107" w:type="dxa"/>
            <w:shd w:val="clear" w:color="auto" w:fill="FFFFFF" w:themeFill="background1"/>
          </w:tcPr>
          <w:p w14:paraId="621DAD00" w14:textId="77777777" w:rsidR="0086548F" w:rsidRPr="00887129" w:rsidRDefault="0086548F" w:rsidP="0086548F">
            <w:pPr>
              <w:jc w:val="center"/>
              <w:rPr>
                <w:sz w:val="22"/>
                <w:szCs w:val="22"/>
              </w:rPr>
            </w:pPr>
          </w:p>
          <w:p w14:paraId="5CC02C04" w14:textId="77777777" w:rsidR="0086548F" w:rsidRPr="00887129" w:rsidRDefault="0086548F" w:rsidP="0086548F">
            <w:pPr>
              <w:jc w:val="center"/>
              <w:rPr>
                <w:sz w:val="22"/>
                <w:szCs w:val="22"/>
              </w:rPr>
            </w:pPr>
          </w:p>
          <w:p w14:paraId="2AECB951" w14:textId="2782B756" w:rsidR="0011294F" w:rsidRPr="00887129" w:rsidRDefault="00852681" w:rsidP="0086548F">
            <w:pPr>
              <w:jc w:val="center"/>
              <w:rPr>
                <w:sz w:val="22"/>
                <w:szCs w:val="22"/>
              </w:rPr>
            </w:pPr>
            <w:r w:rsidRPr="00887129">
              <w:rPr>
                <w:sz w:val="22"/>
                <w:szCs w:val="22"/>
              </w:rPr>
              <w:t>$7,760.80</w:t>
            </w:r>
          </w:p>
        </w:tc>
        <w:tc>
          <w:tcPr>
            <w:tcW w:w="1108" w:type="dxa"/>
            <w:shd w:val="clear" w:color="auto" w:fill="FFFFFF" w:themeFill="background1"/>
          </w:tcPr>
          <w:p w14:paraId="216743AE" w14:textId="77777777" w:rsidR="0086548F" w:rsidRPr="00887129" w:rsidRDefault="0086548F" w:rsidP="0086548F">
            <w:pPr>
              <w:jc w:val="center"/>
              <w:rPr>
                <w:sz w:val="22"/>
                <w:szCs w:val="22"/>
              </w:rPr>
            </w:pPr>
          </w:p>
          <w:p w14:paraId="2FF49A8A" w14:textId="77777777" w:rsidR="0086548F" w:rsidRPr="00887129" w:rsidRDefault="0086548F" w:rsidP="0086548F">
            <w:pPr>
              <w:jc w:val="center"/>
              <w:rPr>
                <w:sz w:val="22"/>
                <w:szCs w:val="22"/>
              </w:rPr>
            </w:pPr>
          </w:p>
          <w:p w14:paraId="568E2B5F" w14:textId="119C3046" w:rsidR="0011294F" w:rsidRPr="00887129" w:rsidRDefault="0011294F" w:rsidP="0086548F">
            <w:pPr>
              <w:jc w:val="center"/>
              <w:rPr>
                <w:sz w:val="22"/>
                <w:szCs w:val="22"/>
              </w:rPr>
            </w:pPr>
            <w:r w:rsidRPr="00887129">
              <w:rPr>
                <w:sz w:val="22"/>
                <w:szCs w:val="22"/>
              </w:rPr>
              <w:t>$9,280.00</w:t>
            </w:r>
          </w:p>
        </w:tc>
        <w:tc>
          <w:tcPr>
            <w:tcW w:w="1107" w:type="dxa"/>
            <w:shd w:val="clear" w:color="auto" w:fill="FFFFFF" w:themeFill="background1"/>
          </w:tcPr>
          <w:p w14:paraId="0F690254" w14:textId="77777777" w:rsidR="0086548F" w:rsidRPr="00887129" w:rsidRDefault="0086548F" w:rsidP="0086548F">
            <w:pPr>
              <w:jc w:val="center"/>
              <w:rPr>
                <w:sz w:val="22"/>
                <w:szCs w:val="22"/>
              </w:rPr>
            </w:pPr>
          </w:p>
          <w:p w14:paraId="516181BD" w14:textId="77777777" w:rsidR="0086548F" w:rsidRPr="00887129" w:rsidRDefault="0086548F" w:rsidP="0086548F">
            <w:pPr>
              <w:jc w:val="center"/>
              <w:rPr>
                <w:sz w:val="22"/>
                <w:szCs w:val="22"/>
              </w:rPr>
            </w:pPr>
          </w:p>
          <w:p w14:paraId="2722B846" w14:textId="4A8AFEE5" w:rsidR="0011294F" w:rsidRPr="00887129" w:rsidRDefault="0011294F" w:rsidP="0086548F">
            <w:pPr>
              <w:jc w:val="center"/>
              <w:rPr>
                <w:sz w:val="22"/>
                <w:szCs w:val="22"/>
              </w:rPr>
            </w:pPr>
            <w:r w:rsidRPr="00887129">
              <w:rPr>
                <w:sz w:val="22"/>
                <w:szCs w:val="22"/>
              </w:rPr>
              <w:t>$4,649.26</w:t>
            </w:r>
          </w:p>
        </w:tc>
        <w:tc>
          <w:tcPr>
            <w:tcW w:w="1107" w:type="dxa"/>
            <w:shd w:val="clear" w:color="auto" w:fill="FFFFFF" w:themeFill="background1"/>
          </w:tcPr>
          <w:p w14:paraId="381771C6" w14:textId="77777777" w:rsidR="0086548F" w:rsidRPr="00887129" w:rsidRDefault="0086548F" w:rsidP="0086548F">
            <w:pPr>
              <w:jc w:val="center"/>
              <w:rPr>
                <w:sz w:val="22"/>
                <w:szCs w:val="22"/>
              </w:rPr>
            </w:pPr>
          </w:p>
          <w:p w14:paraId="70776983" w14:textId="77777777" w:rsidR="0086548F" w:rsidRPr="00887129" w:rsidRDefault="0086548F" w:rsidP="0086548F">
            <w:pPr>
              <w:jc w:val="center"/>
              <w:rPr>
                <w:sz w:val="22"/>
                <w:szCs w:val="22"/>
              </w:rPr>
            </w:pPr>
          </w:p>
          <w:p w14:paraId="7A042A52" w14:textId="76748DF8" w:rsidR="0011294F" w:rsidRPr="00887129" w:rsidRDefault="00BF0C7A" w:rsidP="0086548F">
            <w:pPr>
              <w:jc w:val="center"/>
              <w:rPr>
                <w:sz w:val="22"/>
                <w:szCs w:val="22"/>
              </w:rPr>
            </w:pPr>
            <w:r w:rsidRPr="00887129">
              <w:rPr>
                <w:sz w:val="22"/>
                <w:szCs w:val="22"/>
              </w:rPr>
              <w:t>$3,405.59</w:t>
            </w:r>
          </w:p>
        </w:tc>
        <w:tc>
          <w:tcPr>
            <w:tcW w:w="1108" w:type="dxa"/>
            <w:shd w:val="clear" w:color="auto" w:fill="FFFFFF" w:themeFill="background1"/>
          </w:tcPr>
          <w:p w14:paraId="1A6EB44A" w14:textId="77777777" w:rsidR="0086548F" w:rsidRPr="00887129" w:rsidRDefault="0086548F" w:rsidP="0086548F">
            <w:pPr>
              <w:jc w:val="center"/>
              <w:rPr>
                <w:sz w:val="22"/>
                <w:szCs w:val="22"/>
              </w:rPr>
            </w:pPr>
          </w:p>
          <w:p w14:paraId="4544D1AB" w14:textId="77777777" w:rsidR="0086548F" w:rsidRPr="00887129" w:rsidRDefault="0086548F" w:rsidP="0086548F">
            <w:pPr>
              <w:jc w:val="center"/>
              <w:rPr>
                <w:sz w:val="22"/>
                <w:szCs w:val="22"/>
              </w:rPr>
            </w:pPr>
          </w:p>
          <w:p w14:paraId="0CD88447" w14:textId="24074091" w:rsidR="0011294F" w:rsidRPr="00887129" w:rsidRDefault="00584B81" w:rsidP="0086548F">
            <w:pPr>
              <w:jc w:val="center"/>
              <w:rPr>
                <w:sz w:val="22"/>
                <w:szCs w:val="22"/>
              </w:rPr>
            </w:pPr>
            <w:r w:rsidRPr="00887129">
              <w:rPr>
                <w:sz w:val="22"/>
                <w:szCs w:val="22"/>
              </w:rPr>
              <w:t>$3,026.00</w:t>
            </w:r>
          </w:p>
        </w:tc>
      </w:tr>
      <w:tr w:rsidR="0011294F" w:rsidRPr="000A1781" w14:paraId="65826CD7" w14:textId="77777777" w:rsidTr="00887129">
        <w:trPr>
          <w:trHeight w:val="350"/>
        </w:trPr>
        <w:tc>
          <w:tcPr>
            <w:tcW w:w="1896" w:type="dxa"/>
            <w:shd w:val="clear" w:color="auto" w:fill="FFFFFF" w:themeFill="background1"/>
          </w:tcPr>
          <w:p w14:paraId="152DE197" w14:textId="03116487" w:rsidR="0011294F" w:rsidRPr="00887129" w:rsidRDefault="0011294F" w:rsidP="00002D71">
            <w:pPr>
              <w:rPr>
                <w:b/>
                <w:bCs/>
                <w:sz w:val="22"/>
                <w:szCs w:val="22"/>
              </w:rPr>
            </w:pPr>
            <w:r w:rsidRPr="00887129">
              <w:rPr>
                <w:b/>
                <w:bCs/>
                <w:sz w:val="22"/>
                <w:szCs w:val="22"/>
              </w:rPr>
              <w:t>(d) Average current serious penalty in private sector (greater than 250 workers)</w:t>
            </w:r>
          </w:p>
        </w:tc>
        <w:tc>
          <w:tcPr>
            <w:tcW w:w="1107" w:type="dxa"/>
            <w:shd w:val="clear" w:color="auto" w:fill="FFFFFF" w:themeFill="background1"/>
          </w:tcPr>
          <w:p w14:paraId="4DCD24AB" w14:textId="77777777" w:rsidR="0086548F" w:rsidRPr="00887129" w:rsidRDefault="0086548F" w:rsidP="0086548F">
            <w:pPr>
              <w:jc w:val="center"/>
              <w:rPr>
                <w:sz w:val="22"/>
                <w:szCs w:val="22"/>
              </w:rPr>
            </w:pPr>
          </w:p>
          <w:p w14:paraId="15A9D251" w14:textId="77777777" w:rsidR="0086548F" w:rsidRPr="00887129" w:rsidRDefault="0086548F" w:rsidP="0086548F">
            <w:pPr>
              <w:jc w:val="center"/>
              <w:rPr>
                <w:sz w:val="22"/>
                <w:szCs w:val="22"/>
              </w:rPr>
            </w:pPr>
          </w:p>
          <w:p w14:paraId="1C340F63" w14:textId="52049A8C" w:rsidR="0011294F" w:rsidRPr="00887129" w:rsidRDefault="00941C03" w:rsidP="0086548F">
            <w:pPr>
              <w:jc w:val="center"/>
              <w:rPr>
                <w:sz w:val="22"/>
                <w:szCs w:val="22"/>
              </w:rPr>
            </w:pPr>
            <w:r w:rsidRPr="00887129">
              <w:rPr>
                <w:sz w:val="22"/>
                <w:szCs w:val="22"/>
              </w:rPr>
              <w:t>$8,042.58</w:t>
            </w:r>
          </w:p>
        </w:tc>
        <w:tc>
          <w:tcPr>
            <w:tcW w:w="1107" w:type="dxa"/>
            <w:shd w:val="clear" w:color="auto" w:fill="FFFFFF" w:themeFill="background1"/>
          </w:tcPr>
          <w:p w14:paraId="3302D378" w14:textId="77777777" w:rsidR="0086548F" w:rsidRPr="00887129" w:rsidRDefault="0086548F" w:rsidP="0086548F">
            <w:pPr>
              <w:jc w:val="center"/>
              <w:rPr>
                <w:sz w:val="22"/>
                <w:szCs w:val="22"/>
              </w:rPr>
            </w:pPr>
          </w:p>
          <w:p w14:paraId="1A23F208" w14:textId="77777777" w:rsidR="0086548F" w:rsidRPr="00887129" w:rsidRDefault="0086548F" w:rsidP="0086548F">
            <w:pPr>
              <w:jc w:val="center"/>
              <w:rPr>
                <w:sz w:val="22"/>
                <w:szCs w:val="22"/>
              </w:rPr>
            </w:pPr>
          </w:p>
          <w:p w14:paraId="143EFEEB" w14:textId="0E778487" w:rsidR="0011294F" w:rsidRPr="00887129" w:rsidRDefault="00852681" w:rsidP="0086548F">
            <w:pPr>
              <w:jc w:val="center"/>
              <w:rPr>
                <w:sz w:val="22"/>
                <w:szCs w:val="22"/>
              </w:rPr>
            </w:pPr>
            <w:r w:rsidRPr="00887129">
              <w:rPr>
                <w:sz w:val="22"/>
                <w:szCs w:val="22"/>
              </w:rPr>
              <w:t>$9,078.40</w:t>
            </w:r>
          </w:p>
        </w:tc>
        <w:tc>
          <w:tcPr>
            <w:tcW w:w="1108" w:type="dxa"/>
            <w:shd w:val="clear" w:color="auto" w:fill="FFFFFF" w:themeFill="background1"/>
          </w:tcPr>
          <w:p w14:paraId="1F6837AB" w14:textId="77777777" w:rsidR="0086548F" w:rsidRPr="00887129" w:rsidRDefault="0086548F" w:rsidP="0086548F">
            <w:pPr>
              <w:jc w:val="center"/>
              <w:rPr>
                <w:sz w:val="22"/>
                <w:szCs w:val="22"/>
              </w:rPr>
            </w:pPr>
          </w:p>
          <w:p w14:paraId="4EF1E5A9" w14:textId="77777777" w:rsidR="0086548F" w:rsidRPr="00887129" w:rsidRDefault="0086548F" w:rsidP="0086548F">
            <w:pPr>
              <w:jc w:val="center"/>
              <w:rPr>
                <w:sz w:val="22"/>
                <w:szCs w:val="22"/>
              </w:rPr>
            </w:pPr>
          </w:p>
          <w:p w14:paraId="4FC62874" w14:textId="7C2C6A2B" w:rsidR="0011294F" w:rsidRPr="00887129" w:rsidRDefault="0011294F" w:rsidP="0086548F">
            <w:pPr>
              <w:jc w:val="center"/>
              <w:rPr>
                <w:sz w:val="22"/>
                <w:szCs w:val="22"/>
              </w:rPr>
            </w:pPr>
            <w:r w:rsidRPr="00887129">
              <w:rPr>
                <w:sz w:val="22"/>
                <w:szCs w:val="22"/>
              </w:rPr>
              <w:t>$7,099.41</w:t>
            </w:r>
          </w:p>
        </w:tc>
        <w:tc>
          <w:tcPr>
            <w:tcW w:w="1107" w:type="dxa"/>
            <w:shd w:val="clear" w:color="auto" w:fill="FFFFFF" w:themeFill="background1"/>
          </w:tcPr>
          <w:p w14:paraId="124656F3" w14:textId="77777777" w:rsidR="0086548F" w:rsidRPr="00887129" w:rsidRDefault="0086548F" w:rsidP="0086548F">
            <w:pPr>
              <w:jc w:val="center"/>
              <w:rPr>
                <w:sz w:val="22"/>
                <w:szCs w:val="22"/>
              </w:rPr>
            </w:pPr>
          </w:p>
          <w:p w14:paraId="3AAFE2A0" w14:textId="77777777" w:rsidR="0086548F" w:rsidRPr="00887129" w:rsidRDefault="0086548F" w:rsidP="0086548F">
            <w:pPr>
              <w:jc w:val="center"/>
              <w:rPr>
                <w:sz w:val="22"/>
                <w:szCs w:val="22"/>
              </w:rPr>
            </w:pPr>
          </w:p>
          <w:p w14:paraId="000AD4FE" w14:textId="2F82742E" w:rsidR="0011294F" w:rsidRPr="00887129" w:rsidRDefault="0011294F" w:rsidP="0086548F">
            <w:pPr>
              <w:jc w:val="center"/>
              <w:rPr>
                <w:sz w:val="22"/>
                <w:szCs w:val="22"/>
              </w:rPr>
            </w:pPr>
            <w:r w:rsidRPr="00887129">
              <w:rPr>
                <w:sz w:val="22"/>
                <w:szCs w:val="22"/>
              </w:rPr>
              <w:t>$3,749.47</w:t>
            </w:r>
          </w:p>
        </w:tc>
        <w:tc>
          <w:tcPr>
            <w:tcW w:w="1107" w:type="dxa"/>
            <w:shd w:val="clear" w:color="auto" w:fill="FFFFFF" w:themeFill="background1"/>
          </w:tcPr>
          <w:p w14:paraId="7AA8F078" w14:textId="77777777" w:rsidR="0086548F" w:rsidRPr="00887129" w:rsidRDefault="0086548F" w:rsidP="0086548F">
            <w:pPr>
              <w:jc w:val="center"/>
              <w:rPr>
                <w:sz w:val="22"/>
                <w:szCs w:val="22"/>
              </w:rPr>
            </w:pPr>
          </w:p>
          <w:p w14:paraId="24D3D642" w14:textId="77777777" w:rsidR="0086548F" w:rsidRPr="00887129" w:rsidRDefault="0086548F" w:rsidP="0086548F">
            <w:pPr>
              <w:jc w:val="center"/>
              <w:rPr>
                <w:sz w:val="22"/>
                <w:szCs w:val="22"/>
              </w:rPr>
            </w:pPr>
          </w:p>
          <w:p w14:paraId="3A99C880" w14:textId="3E1E208F" w:rsidR="0011294F" w:rsidRPr="00887129" w:rsidRDefault="00BF0C7A" w:rsidP="0086548F">
            <w:pPr>
              <w:jc w:val="center"/>
              <w:rPr>
                <w:sz w:val="22"/>
                <w:szCs w:val="22"/>
              </w:rPr>
            </w:pPr>
            <w:r w:rsidRPr="00887129">
              <w:rPr>
                <w:sz w:val="22"/>
                <w:szCs w:val="22"/>
              </w:rPr>
              <w:t>$3,368.91</w:t>
            </w:r>
          </w:p>
        </w:tc>
        <w:tc>
          <w:tcPr>
            <w:tcW w:w="1108" w:type="dxa"/>
            <w:shd w:val="clear" w:color="auto" w:fill="FFFFFF" w:themeFill="background1"/>
          </w:tcPr>
          <w:p w14:paraId="47AEE20F" w14:textId="77777777" w:rsidR="0086548F" w:rsidRPr="00887129" w:rsidRDefault="0086548F" w:rsidP="0086548F">
            <w:pPr>
              <w:jc w:val="center"/>
              <w:rPr>
                <w:sz w:val="22"/>
                <w:szCs w:val="22"/>
              </w:rPr>
            </w:pPr>
          </w:p>
          <w:p w14:paraId="32D4D424" w14:textId="77777777" w:rsidR="0086548F" w:rsidRPr="00887129" w:rsidRDefault="0086548F" w:rsidP="0086548F">
            <w:pPr>
              <w:jc w:val="center"/>
              <w:rPr>
                <w:sz w:val="22"/>
                <w:szCs w:val="22"/>
              </w:rPr>
            </w:pPr>
          </w:p>
          <w:p w14:paraId="38ADA121" w14:textId="1B23432D" w:rsidR="0011294F" w:rsidRPr="00887129" w:rsidRDefault="00584B81" w:rsidP="0086548F">
            <w:pPr>
              <w:jc w:val="center"/>
              <w:rPr>
                <w:sz w:val="22"/>
                <w:szCs w:val="22"/>
              </w:rPr>
            </w:pPr>
            <w:r w:rsidRPr="00887129">
              <w:rPr>
                <w:sz w:val="22"/>
                <w:szCs w:val="22"/>
              </w:rPr>
              <w:t>$2,458.38</w:t>
            </w:r>
          </w:p>
        </w:tc>
      </w:tr>
    </w:tbl>
    <w:p w14:paraId="7586884A" w14:textId="77777777" w:rsidR="00B85F88" w:rsidRPr="000A1781" w:rsidRDefault="00B85F88" w:rsidP="00B85F88"/>
    <w:p w14:paraId="387D8A51" w14:textId="395463D4" w:rsidR="009930AF" w:rsidRPr="000A1781" w:rsidRDefault="00BC211E" w:rsidP="00002D71">
      <w:pPr>
        <w:pStyle w:val="ListParagraph"/>
        <w:numPr>
          <w:ilvl w:val="0"/>
          <w:numId w:val="4"/>
        </w:numPr>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Abatement</w:t>
      </w:r>
    </w:p>
    <w:p w14:paraId="25B101F5" w14:textId="77777777" w:rsidR="009930AF" w:rsidRPr="000A1781" w:rsidRDefault="009930AF" w:rsidP="00002D71">
      <w:pPr>
        <w:pStyle w:val="ListParagraph"/>
        <w:spacing w:line="240" w:lineRule="auto"/>
        <w:ind w:left="1620"/>
        <w:rPr>
          <w:rFonts w:ascii="Times New Roman" w:hAnsi="Times New Roman" w:cs="Times New Roman"/>
          <w:sz w:val="24"/>
          <w:szCs w:val="24"/>
        </w:rPr>
      </w:pPr>
    </w:p>
    <w:p w14:paraId="71A8CC5B" w14:textId="67ABA6B1" w:rsidR="00996BCA" w:rsidRPr="000A1781" w:rsidRDefault="00996BCA" w:rsidP="00821790">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Abatement </w:t>
      </w:r>
      <w:r w:rsidR="00EB429D" w:rsidRPr="000A1781">
        <w:rPr>
          <w:rFonts w:ascii="Times New Roman" w:hAnsi="Times New Roman" w:cs="Times New Roman"/>
          <w:sz w:val="24"/>
          <w:szCs w:val="24"/>
        </w:rPr>
        <w:t>refers to</w:t>
      </w:r>
      <w:r w:rsidRPr="000A1781">
        <w:rPr>
          <w:rFonts w:ascii="Times New Roman" w:hAnsi="Times New Roman" w:cs="Times New Roman"/>
          <w:sz w:val="24"/>
          <w:szCs w:val="24"/>
        </w:rPr>
        <w:t xml:space="preserve"> action</w:t>
      </w:r>
      <w:r w:rsidR="00EB429D" w:rsidRPr="000A1781">
        <w:rPr>
          <w:rFonts w:ascii="Times New Roman" w:hAnsi="Times New Roman" w:cs="Times New Roman"/>
          <w:sz w:val="24"/>
          <w:szCs w:val="24"/>
        </w:rPr>
        <w:t xml:space="preserve"> taken</w:t>
      </w:r>
      <w:r w:rsidRPr="000A1781">
        <w:rPr>
          <w:rFonts w:ascii="Times New Roman" w:hAnsi="Times New Roman" w:cs="Times New Roman"/>
          <w:sz w:val="24"/>
          <w:szCs w:val="24"/>
        </w:rPr>
        <w:t xml:space="preserve"> by an employer to comply with a cited standard or regulation or to eliminate a recognized hazard identified by OHSB during an inspection. Per the NM FOM, employers must certify abatement is complete for each cited violation. Failure to certify abatement can result in an additional 1903.19 citation</w:t>
      </w:r>
      <w:r w:rsidR="00FF5FE3" w:rsidRPr="000A1781">
        <w:rPr>
          <w:rFonts w:ascii="Times New Roman" w:hAnsi="Times New Roman" w:cs="Times New Roman"/>
          <w:sz w:val="24"/>
          <w:szCs w:val="24"/>
        </w:rPr>
        <w:t xml:space="preserve"> or a follow-up inspection.</w:t>
      </w:r>
    </w:p>
    <w:p w14:paraId="75909C50" w14:textId="77777777" w:rsidR="00996BCA" w:rsidRPr="000A1781" w:rsidRDefault="00996BCA" w:rsidP="00821790">
      <w:pPr>
        <w:pStyle w:val="ListParagraph"/>
        <w:spacing w:line="240" w:lineRule="auto"/>
        <w:ind w:left="1620"/>
        <w:rPr>
          <w:rFonts w:ascii="Times New Roman" w:hAnsi="Times New Roman" w:cs="Times New Roman"/>
          <w:sz w:val="24"/>
          <w:szCs w:val="24"/>
        </w:rPr>
      </w:pPr>
    </w:p>
    <w:p w14:paraId="20BF7D56" w14:textId="647E8E68" w:rsidR="00C932AB" w:rsidRPr="000A1781" w:rsidRDefault="00DF4101" w:rsidP="00821790">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NM OHSB had </w:t>
      </w:r>
      <w:proofErr w:type="gramStart"/>
      <w:r w:rsidRPr="000A1781">
        <w:rPr>
          <w:rFonts w:ascii="Times New Roman" w:hAnsi="Times New Roman" w:cs="Times New Roman"/>
          <w:sz w:val="24"/>
          <w:szCs w:val="24"/>
        </w:rPr>
        <w:t>a number of</w:t>
      </w:r>
      <w:proofErr w:type="gramEnd"/>
      <w:r w:rsidRPr="000A1781">
        <w:rPr>
          <w:rFonts w:ascii="Times New Roman" w:hAnsi="Times New Roman" w:cs="Times New Roman"/>
          <w:sz w:val="24"/>
          <w:szCs w:val="24"/>
        </w:rPr>
        <w:t xml:space="preserve"> private sector inspections which had unabated violations that were greater than 60 calendar days past the issuance date for safety inspections or 90 calendar days past the issuance date for health inspections</w:t>
      </w:r>
      <w:r w:rsidR="007B358A" w:rsidRPr="000A1781">
        <w:rPr>
          <w:rFonts w:ascii="Times New Roman" w:hAnsi="Times New Roman" w:cs="Times New Roman"/>
          <w:sz w:val="24"/>
          <w:szCs w:val="24"/>
        </w:rPr>
        <w:t xml:space="preserve">. </w:t>
      </w:r>
      <w:r w:rsidR="00F7246B" w:rsidRPr="000A1781">
        <w:rPr>
          <w:rFonts w:ascii="Times New Roman" w:hAnsi="Times New Roman" w:cs="Times New Roman"/>
          <w:sz w:val="24"/>
          <w:szCs w:val="24"/>
        </w:rPr>
        <w:t xml:space="preserve">NM OSHB had </w:t>
      </w:r>
      <w:r w:rsidR="00DE2D2B" w:rsidRPr="000A1781">
        <w:rPr>
          <w:rFonts w:ascii="Times New Roman" w:hAnsi="Times New Roman" w:cs="Times New Roman"/>
          <w:sz w:val="24"/>
          <w:szCs w:val="24"/>
        </w:rPr>
        <w:t xml:space="preserve">a total of 33 inspections </w:t>
      </w:r>
      <w:r w:rsidR="005D4990" w:rsidRPr="000A1781">
        <w:rPr>
          <w:rFonts w:ascii="Times New Roman" w:hAnsi="Times New Roman" w:cs="Times New Roman"/>
          <w:sz w:val="24"/>
          <w:szCs w:val="24"/>
        </w:rPr>
        <w:t xml:space="preserve">which </w:t>
      </w:r>
      <w:r w:rsidR="00DE2D2B" w:rsidRPr="000A1781">
        <w:rPr>
          <w:rFonts w:ascii="Times New Roman" w:hAnsi="Times New Roman" w:cs="Times New Roman"/>
          <w:sz w:val="24"/>
          <w:szCs w:val="24"/>
        </w:rPr>
        <w:t>lacked abatement,</w:t>
      </w:r>
      <w:r w:rsidR="007B358A" w:rsidRPr="000A1781">
        <w:rPr>
          <w:rFonts w:ascii="Times New Roman" w:hAnsi="Times New Roman" w:cs="Times New Roman"/>
          <w:sz w:val="24"/>
          <w:szCs w:val="24"/>
        </w:rPr>
        <w:t xml:space="preserve"> </w:t>
      </w:r>
      <w:r w:rsidRPr="000A1781">
        <w:rPr>
          <w:rFonts w:ascii="Times New Roman" w:hAnsi="Times New Roman" w:cs="Times New Roman"/>
          <w:sz w:val="24"/>
          <w:szCs w:val="24"/>
        </w:rPr>
        <w:t>27 safety inspections and six</w:t>
      </w:r>
      <w:r w:rsidR="00DE2D2B" w:rsidRPr="000A1781">
        <w:rPr>
          <w:rFonts w:ascii="Times New Roman" w:hAnsi="Times New Roman" w:cs="Times New Roman"/>
          <w:sz w:val="24"/>
          <w:szCs w:val="24"/>
        </w:rPr>
        <w:t xml:space="preserve"> </w:t>
      </w:r>
      <w:r w:rsidRPr="000A1781">
        <w:rPr>
          <w:rFonts w:ascii="Times New Roman" w:hAnsi="Times New Roman" w:cs="Times New Roman"/>
          <w:sz w:val="24"/>
          <w:szCs w:val="24"/>
        </w:rPr>
        <w:t>health inspections</w:t>
      </w:r>
      <w:r w:rsidR="007B358A" w:rsidRPr="000A1781">
        <w:rPr>
          <w:rFonts w:ascii="Times New Roman" w:hAnsi="Times New Roman" w:cs="Times New Roman"/>
          <w:sz w:val="24"/>
          <w:szCs w:val="24"/>
        </w:rPr>
        <w:t xml:space="preserve">. </w:t>
      </w:r>
      <w:r w:rsidR="00FF5FE3" w:rsidRPr="000A1781">
        <w:rPr>
          <w:rFonts w:ascii="Times New Roman" w:hAnsi="Times New Roman" w:cs="Times New Roman"/>
          <w:sz w:val="24"/>
          <w:szCs w:val="24"/>
        </w:rPr>
        <w:t>In these cases, NM OHSB should conduct a follow-up inspection and/or issue a failure to abate (1903.19) citation to ensure all cited hazards have been corrected.</w:t>
      </w:r>
    </w:p>
    <w:p w14:paraId="1CBDF4F4" w14:textId="77777777" w:rsidR="00C932AB" w:rsidRPr="000A1781" w:rsidRDefault="00C932AB" w:rsidP="00002D71">
      <w:pPr>
        <w:pStyle w:val="ListParagraph"/>
        <w:spacing w:line="240" w:lineRule="auto"/>
        <w:ind w:left="1620"/>
        <w:rPr>
          <w:rFonts w:ascii="Times New Roman" w:hAnsi="Times New Roman" w:cs="Times New Roman"/>
          <w:sz w:val="24"/>
          <w:szCs w:val="24"/>
        </w:rPr>
      </w:pPr>
    </w:p>
    <w:p w14:paraId="7F4222C8" w14:textId="66F10A92" w:rsidR="00D67212" w:rsidRDefault="00AC01A0"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b/>
          <w:bCs/>
          <w:sz w:val="24"/>
          <w:szCs w:val="24"/>
        </w:rPr>
        <w:t>Observation FY 2023-OB-01</w:t>
      </w:r>
      <w:r w:rsidRPr="000A1781">
        <w:rPr>
          <w:rFonts w:ascii="Times New Roman" w:hAnsi="Times New Roman" w:cs="Times New Roman"/>
          <w:sz w:val="24"/>
          <w:szCs w:val="24"/>
        </w:rPr>
        <w:t xml:space="preserve">: </w:t>
      </w:r>
      <w:r w:rsidR="00821790" w:rsidRPr="000A1781">
        <w:rPr>
          <w:rFonts w:ascii="Times New Roman" w:hAnsi="Times New Roman" w:cs="Times New Roman"/>
          <w:sz w:val="24"/>
          <w:szCs w:val="24"/>
        </w:rPr>
        <w:t xml:space="preserve">NM </w:t>
      </w:r>
      <w:r w:rsidRPr="000A1781">
        <w:rPr>
          <w:rFonts w:ascii="Times New Roman" w:hAnsi="Times New Roman" w:cs="Times New Roman"/>
          <w:sz w:val="24"/>
          <w:szCs w:val="24"/>
        </w:rPr>
        <w:t>OHSB</w:t>
      </w:r>
      <w:r w:rsidRPr="000A1781">
        <w:rPr>
          <w:rFonts w:ascii="Times New Roman" w:hAnsi="Times New Roman" w:cs="Times New Roman"/>
          <w:spacing w:val="-5"/>
          <w:sz w:val="24"/>
          <w:szCs w:val="24"/>
        </w:rPr>
        <w:t xml:space="preserve"> </w:t>
      </w:r>
      <w:r w:rsidR="00651A0C" w:rsidRPr="000A1781">
        <w:rPr>
          <w:rFonts w:ascii="Times New Roman" w:hAnsi="Times New Roman" w:cs="Times New Roman"/>
          <w:spacing w:val="-5"/>
          <w:sz w:val="24"/>
          <w:szCs w:val="24"/>
        </w:rPr>
        <w:t xml:space="preserve">had </w:t>
      </w:r>
      <w:r w:rsidR="0061760C" w:rsidRPr="000A1781">
        <w:rPr>
          <w:rFonts w:ascii="Times New Roman" w:hAnsi="Times New Roman" w:cs="Times New Roman"/>
          <w:spacing w:val="-5"/>
          <w:sz w:val="24"/>
          <w:szCs w:val="24"/>
        </w:rPr>
        <w:t>27</w:t>
      </w:r>
      <w:r w:rsidR="00DE2D2B" w:rsidRPr="000A1781">
        <w:rPr>
          <w:rFonts w:ascii="Times New Roman" w:hAnsi="Times New Roman" w:cs="Times New Roman"/>
          <w:spacing w:val="-5"/>
          <w:sz w:val="24"/>
          <w:szCs w:val="24"/>
        </w:rPr>
        <w:t xml:space="preserve"> </w:t>
      </w:r>
      <w:r w:rsidR="00651A0C" w:rsidRPr="000A1781">
        <w:rPr>
          <w:rFonts w:ascii="Times New Roman" w:hAnsi="Times New Roman" w:cs="Times New Roman"/>
          <w:spacing w:val="-5"/>
          <w:sz w:val="24"/>
          <w:szCs w:val="24"/>
        </w:rPr>
        <w:t xml:space="preserve">safety inspections in which they </w:t>
      </w:r>
      <w:r w:rsidRPr="000A1781">
        <w:rPr>
          <w:rFonts w:ascii="Times New Roman" w:hAnsi="Times New Roman" w:cs="Times New Roman"/>
          <w:sz w:val="24"/>
          <w:szCs w:val="24"/>
        </w:rPr>
        <w:t>did</w:t>
      </w:r>
      <w:r w:rsidRPr="000A1781">
        <w:rPr>
          <w:rFonts w:ascii="Times New Roman" w:hAnsi="Times New Roman" w:cs="Times New Roman"/>
          <w:spacing w:val="-5"/>
          <w:sz w:val="24"/>
          <w:szCs w:val="24"/>
        </w:rPr>
        <w:t xml:space="preserve"> not </w:t>
      </w:r>
      <w:r w:rsidRPr="000A1781">
        <w:rPr>
          <w:rFonts w:ascii="Times New Roman" w:hAnsi="Times New Roman" w:cs="Times New Roman"/>
          <w:sz w:val="24"/>
          <w:szCs w:val="24"/>
        </w:rPr>
        <w:t>complete</w:t>
      </w:r>
      <w:r w:rsidRPr="000A1781">
        <w:rPr>
          <w:rFonts w:ascii="Times New Roman" w:hAnsi="Times New Roman" w:cs="Times New Roman"/>
          <w:spacing w:val="-10"/>
          <w:sz w:val="24"/>
          <w:szCs w:val="24"/>
        </w:rPr>
        <w:t xml:space="preserve"> </w:t>
      </w:r>
      <w:r w:rsidRPr="000A1781">
        <w:rPr>
          <w:rFonts w:ascii="Times New Roman" w:hAnsi="Times New Roman" w:cs="Times New Roman"/>
          <w:sz w:val="24"/>
          <w:szCs w:val="24"/>
        </w:rPr>
        <w:t>abatement</w:t>
      </w:r>
      <w:r w:rsidR="001617D1" w:rsidRPr="000A1781">
        <w:rPr>
          <w:rFonts w:ascii="Times New Roman" w:hAnsi="Times New Roman" w:cs="Times New Roman"/>
          <w:sz w:val="24"/>
          <w:szCs w:val="24"/>
        </w:rPr>
        <w:t xml:space="preserve"> within </w:t>
      </w:r>
      <w:r w:rsidR="00550301" w:rsidRPr="000A1781">
        <w:rPr>
          <w:rFonts w:ascii="Times New Roman" w:hAnsi="Times New Roman" w:cs="Times New Roman"/>
          <w:sz w:val="24"/>
          <w:szCs w:val="24"/>
        </w:rPr>
        <w:t>60</w:t>
      </w:r>
      <w:r w:rsidR="001617D1" w:rsidRPr="000A1781">
        <w:rPr>
          <w:rFonts w:ascii="Times New Roman" w:hAnsi="Times New Roman" w:cs="Times New Roman"/>
          <w:sz w:val="24"/>
          <w:szCs w:val="24"/>
        </w:rPr>
        <w:t xml:space="preserve"> calendar days</w:t>
      </w:r>
      <w:r w:rsidR="007A1E18" w:rsidRPr="000A1781">
        <w:rPr>
          <w:rFonts w:ascii="Times New Roman" w:hAnsi="Times New Roman" w:cs="Times New Roman"/>
          <w:spacing w:val="-10"/>
          <w:sz w:val="24"/>
          <w:szCs w:val="24"/>
        </w:rPr>
        <w:t xml:space="preserve"> </w:t>
      </w:r>
      <w:r w:rsidRPr="000A1781">
        <w:rPr>
          <w:rFonts w:ascii="Times New Roman" w:hAnsi="Times New Roman" w:cs="Times New Roman"/>
          <w:sz w:val="24"/>
          <w:szCs w:val="24"/>
        </w:rPr>
        <w:t>and</w:t>
      </w:r>
      <w:r w:rsidR="0061760C" w:rsidRPr="000A1781">
        <w:rPr>
          <w:rFonts w:ascii="Times New Roman" w:hAnsi="Times New Roman" w:cs="Times New Roman"/>
          <w:spacing w:val="-4"/>
          <w:sz w:val="24"/>
          <w:szCs w:val="24"/>
        </w:rPr>
        <w:t xml:space="preserve"> six</w:t>
      </w:r>
      <w:r w:rsidRPr="000A1781">
        <w:rPr>
          <w:rFonts w:ascii="Times New Roman" w:hAnsi="Times New Roman" w:cs="Times New Roman"/>
          <w:spacing w:val="-3"/>
          <w:sz w:val="24"/>
          <w:szCs w:val="24"/>
        </w:rPr>
        <w:t xml:space="preserve"> </w:t>
      </w:r>
      <w:r w:rsidRPr="000A1781">
        <w:rPr>
          <w:rFonts w:ascii="Times New Roman" w:hAnsi="Times New Roman" w:cs="Times New Roman"/>
          <w:spacing w:val="-2"/>
          <w:sz w:val="24"/>
          <w:szCs w:val="24"/>
        </w:rPr>
        <w:t>health</w:t>
      </w:r>
      <w:r w:rsidRPr="000A1781">
        <w:rPr>
          <w:rFonts w:ascii="Times New Roman" w:hAnsi="Times New Roman" w:cs="Times New Roman"/>
          <w:sz w:val="24"/>
          <w:szCs w:val="24"/>
        </w:rPr>
        <w:t xml:space="preserve"> inspections</w:t>
      </w:r>
      <w:r w:rsidRPr="000A1781">
        <w:rPr>
          <w:rFonts w:ascii="Times New Roman" w:hAnsi="Times New Roman" w:cs="Times New Roman"/>
          <w:spacing w:val="-11"/>
          <w:sz w:val="24"/>
          <w:szCs w:val="24"/>
        </w:rPr>
        <w:t xml:space="preserve"> </w:t>
      </w:r>
      <w:r w:rsidR="00D16CC1" w:rsidRPr="000A1781">
        <w:rPr>
          <w:rFonts w:ascii="Times New Roman" w:hAnsi="Times New Roman" w:cs="Times New Roman"/>
          <w:spacing w:val="-11"/>
          <w:sz w:val="24"/>
          <w:szCs w:val="24"/>
        </w:rPr>
        <w:t xml:space="preserve">in which they did not complete abatement </w:t>
      </w:r>
      <w:r w:rsidR="001617D1" w:rsidRPr="000A1781">
        <w:rPr>
          <w:rFonts w:ascii="Times New Roman" w:hAnsi="Times New Roman" w:cs="Times New Roman"/>
          <w:sz w:val="24"/>
          <w:szCs w:val="24"/>
        </w:rPr>
        <w:t>within</w:t>
      </w:r>
      <w:r w:rsidR="00BF3D7F" w:rsidRPr="000A1781">
        <w:rPr>
          <w:rFonts w:ascii="Times New Roman" w:hAnsi="Times New Roman" w:cs="Times New Roman"/>
          <w:sz w:val="24"/>
          <w:szCs w:val="24"/>
        </w:rPr>
        <w:t xml:space="preserve"> ninety calendar d</w:t>
      </w:r>
      <w:r w:rsidRPr="000A1781">
        <w:rPr>
          <w:rFonts w:ascii="Times New Roman" w:hAnsi="Times New Roman" w:cs="Times New Roman"/>
          <w:sz w:val="24"/>
          <w:szCs w:val="24"/>
        </w:rPr>
        <w:t>ays.</w:t>
      </w:r>
      <w:r w:rsidR="00BF3D7F" w:rsidRPr="000A1781">
        <w:rPr>
          <w:rFonts w:ascii="Times New Roman" w:hAnsi="Times New Roman" w:cs="Times New Roman"/>
          <w:sz w:val="24"/>
          <w:szCs w:val="24"/>
        </w:rPr>
        <w:t xml:space="preserve"> (SIR 3a and 3b)</w:t>
      </w:r>
    </w:p>
    <w:p w14:paraId="3882DFFA" w14:textId="273D58C8" w:rsidR="00FE60AD" w:rsidRPr="000A1781" w:rsidRDefault="00FE60AD" w:rsidP="000D1AE2">
      <w:pPr>
        <w:pStyle w:val="ListParagraph"/>
        <w:spacing w:after="0" w:line="240" w:lineRule="auto"/>
        <w:ind w:left="1620"/>
        <w:rPr>
          <w:rFonts w:ascii="Times New Roman" w:hAnsi="Times New Roman" w:cs="Times New Roman"/>
          <w:sz w:val="24"/>
          <w:szCs w:val="24"/>
        </w:rPr>
      </w:pPr>
      <w:r w:rsidRPr="000A1781">
        <w:rPr>
          <w:rFonts w:ascii="Times New Roman" w:hAnsi="Times New Roman" w:cs="Times New Roman"/>
          <w:b/>
          <w:bCs/>
          <w:sz w:val="24"/>
          <w:szCs w:val="24"/>
        </w:rPr>
        <w:lastRenderedPageBreak/>
        <w:t>Federal Monitoring Plan</w:t>
      </w:r>
      <w:r w:rsidRPr="000A1781">
        <w:rPr>
          <w:rFonts w:ascii="Times New Roman" w:hAnsi="Times New Roman" w:cs="Times New Roman"/>
          <w:sz w:val="24"/>
          <w:szCs w:val="24"/>
        </w:rPr>
        <w:t>: OSHA</w:t>
      </w:r>
      <w:r w:rsidRPr="000A1781">
        <w:rPr>
          <w:rFonts w:ascii="Times New Roman" w:hAnsi="Times New Roman" w:cs="Times New Roman"/>
          <w:spacing w:val="-9"/>
          <w:sz w:val="24"/>
          <w:szCs w:val="24"/>
        </w:rPr>
        <w:t xml:space="preserve"> </w:t>
      </w:r>
      <w:r w:rsidRPr="000A1781">
        <w:rPr>
          <w:rFonts w:ascii="Times New Roman" w:hAnsi="Times New Roman" w:cs="Times New Roman"/>
          <w:sz w:val="24"/>
          <w:szCs w:val="24"/>
        </w:rPr>
        <w:t>will</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continue</w:t>
      </w:r>
      <w:r w:rsidRPr="000A1781">
        <w:rPr>
          <w:rFonts w:ascii="Times New Roman" w:hAnsi="Times New Roman" w:cs="Times New Roman"/>
          <w:spacing w:val="-9"/>
          <w:sz w:val="24"/>
          <w:szCs w:val="24"/>
        </w:rPr>
        <w:t xml:space="preserve"> </w:t>
      </w:r>
      <w:r w:rsidRPr="000A1781">
        <w:rPr>
          <w:rFonts w:ascii="Times New Roman" w:hAnsi="Times New Roman" w:cs="Times New Roman"/>
          <w:spacing w:val="-5"/>
          <w:sz w:val="24"/>
          <w:szCs w:val="24"/>
        </w:rPr>
        <w:t xml:space="preserve">to </w:t>
      </w:r>
      <w:r w:rsidRPr="000A1781">
        <w:rPr>
          <w:rFonts w:ascii="Times New Roman" w:hAnsi="Times New Roman" w:cs="Times New Roman"/>
          <w:sz w:val="24"/>
          <w:szCs w:val="24"/>
        </w:rPr>
        <w:t>monitor</w:t>
      </w:r>
      <w:r w:rsidRPr="000A1781">
        <w:rPr>
          <w:rFonts w:ascii="Times New Roman" w:hAnsi="Times New Roman" w:cs="Times New Roman"/>
          <w:spacing w:val="-12"/>
          <w:sz w:val="24"/>
          <w:szCs w:val="24"/>
        </w:rPr>
        <w:t xml:space="preserve"> </w:t>
      </w:r>
      <w:r w:rsidRPr="000A1781">
        <w:rPr>
          <w:rFonts w:ascii="Times New Roman" w:hAnsi="Times New Roman" w:cs="Times New Roman"/>
          <w:sz w:val="24"/>
          <w:szCs w:val="24"/>
        </w:rPr>
        <w:t>performance</w:t>
      </w:r>
      <w:r w:rsidRPr="000A1781">
        <w:rPr>
          <w:rFonts w:ascii="Times New Roman" w:hAnsi="Times New Roman" w:cs="Times New Roman"/>
          <w:spacing w:val="-10"/>
          <w:sz w:val="24"/>
          <w:szCs w:val="24"/>
        </w:rPr>
        <w:t xml:space="preserve"> </w:t>
      </w:r>
      <w:r w:rsidRPr="000A1781">
        <w:rPr>
          <w:rFonts w:ascii="Times New Roman" w:hAnsi="Times New Roman" w:cs="Times New Roman"/>
          <w:spacing w:val="-5"/>
          <w:sz w:val="24"/>
          <w:szCs w:val="24"/>
        </w:rPr>
        <w:t>in</w:t>
      </w:r>
      <w:r w:rsidRPr="000A1781">
        <w:rPr>
          <w:rFonts w:ascii="Times New Roman" w:hAnsi="Times New Roman" w:cs="Times New Roman"/>
          <w:sz w:val="24"/>
          <w:szCs w:val="24"/>
        </w:rPr>
        <w:t xml:space="preserve"> this</w:t>
      </w:r>
      <w:r w:rsidRPr="000A1781">
        <w:rPr>
          <w:rFonts w:ascii="Times New Roman" w:hAnsi="Times New Roman" w:cs="Times New Roman"/>
          <w:spacing w:val="-9"/>
          <w:sz w:val="24"/>
          <w:szCs w:val="24"/>
        </w:rPr>
        <w:t xml:space="preserve"> </w:t>
      </w:r>
      <w:r w:rsidRPr="000A1781">
        <w:rPr>
          <w:rFonts w:ascii="Times New Roman" w:hAnsi="Times New Roman" w:cs="Times New Roman"/>
          <w:sz w:val="24"/>
          <w:szCs w:val="24"/>
        </w:rPr>
        <w:t>area</w:t>
      </w:r>
      <w:r w:rsidRPr="000A1781">
        <w:rPr>
          <w:rFonts w:ascii="Times New Roman" w:hAnsi="Times New Roman" w:cs="Times New Roman"/>
          <w:spacing w:val="-7"/>
          <w:sz w:val="24"/>
          <w:szCs w:val="24"/>
        </w:rPr>
        <w:t xml:space="preserve"> </w:t>
      </w:r>
      <w:r w:rsidRPr="000A1781">
        <w:rPr>
          <w:rFonts w:ascii="Times New Roman" w:hAnsi="Times New Roman" w:cs="Times New Roman"/>
          <w:sz w:val="24"/>
          <w:szCs w:val="24"/>
        </w:rPr>
        <w:t>during</w:t>
      </w:r>
      <w:r w:rsidRPr="000A1781">
        <w:rPr>
          <w:rFonts w:ascii="Times New Roman" w:hAnsi="Times New Roman" w:cs="Times New Roman"/>
          <w:spacing w:val="-6"/>
          <w:sz w:val="24"/>
          <w:szCs w:val="24"/>
        </w:rPr>
        <w:t xml:space="preserve"> </w:t>
      </w:r>
      <w:r w:rsidRPr="000A1781">
        <w:rPr>
          <w:rFonts w:ascii="Times New Roman" w:hAnsi="Times New Roman" w:cs="Times New Roman"/>
          <w:spacing w:val="-2"/>
          <w:sz w:val="24"/>
          <w:szCs w:val="24"/>
        </w:rPr>
        <w:t>quarterly</w:t>
      </w:r>
      <w:r w:rsidRPr="000A1781">
        <w:rPr>
          <w:rFonts w:ascii="Times New Roman" w:hAnsi="Times New Roman" w:cs="Times New Roman"/>
          <w:sz w:val="24"/>
          <w:szCs w:val="24"/>
        </w:rPr>
        <w:t xml:space="preserve"> meeting</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and</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FY 2022</w:t>
      </w:r>
      <w:r w:rsidRPr="000A1781">
        <w:rPr>
          <w:rFonts w:ascii="Times New Roman" w:hAnsi="Times New Roman" w:cs="Times New Roman"/>
          <w:spacing w:val="-7"/>
          <w:sz w:val="24"/>
          <w:szCs w:val="24"/>
        </w:rPr>
        <w:t xml:space="preserve"> </w:t>
      </w:r>
      <w:r w:rsidRPr="000A1781">
        <w:rPr>
          <w:rFonts w:ascii="Times New Roman" w:hAnsi="Times New Roman" w:cs="Times New Roman"/>
          <w:spacing w:val="-4"/>
          <w:sz w:val="24"/>
          <w:szCs w:val="24"/>
        </w:rPr>
        <w:t>case</w:t>
      </w:r>
      <w:r w:rsidRPr="000A1781">
        <w:rPr>
          <w:rFonts w:ascii="Times New Roman" w:hAnsi="Times New Roman" w:cs="Times New Roman"/>
          <w:sz w:val="24"/>
          <w:szCs w:val="24"/>
        </w:rPr>
        <w:t xml:space="preserve"> file</w:t>
      </w:r>
      <w:r w:rsidRPr="000A1781">
        <w:rPr>
          <w:rFonts w:ascii="Times New Roman" w:hAnsi="Times New Roman" w:cs="Times New Roman"/>
          <w:spacing w:val="-4"/>
          <w:sz w:val="24"/>
          <w:szCs w:val="24"/>
        </w:rPr>
        <w:t xml:space="preserve"> </w:t>
      </w:r>
      <w:r w:rsidRPr="000A1781">
        <w:rPr>
          <w:rFonts w:ascii="Times New Roman" w:hAnsi="Times New Roman" w:cs="Times New Roman"/>
          <w:sz w:val="24"/>
          <w:szCs w:val="24"/>
        </w:rPr>
        <w:t>review.</w:t>
      </w:r>
    </w:p>
    <w:p w14:paraId="74FA734F" w14:textId="77777777" w:rsidR="00124AA1" w:rsidRPr="000A1781" w:rsidRDefault="00124AA1" w:rsidP="000D1AE2"/>
    <w:p w14:paraId="4CB63A31" w14:textId="475FB705" w:rsidR="001567A4" w:rsidRPr="000A1781" w:rsidRDefault="001567A4" w:rsidP="000D1AE2">
      <w:pPr>
        <w:pStyle w:val="ListParagraph"/>
        <w:numPr>
          <w:ilvl w:val="0"/>
          <w:numId w:val="4"/>
        </w:numPr>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Worker and Union Involvement </w:t>
      </w:r>
    </w:p>
    <w:p w14:paraId="18315A5A" w14:textId="77777777" w:rsidR="00996BCA" w:rsidRPr="000A1781" w:rsidRDefault="00996BCA" w:rsidP="00996BCA">
      <w:pPr>
        <w:pStyle w:val="ListParagraph"/>
        <w:spacing w:after="0" w:line="240" w:lineRule="auto"/>
        <w:ind w:left="1620"/>
        <w:rPr>
          <w:rFonts w:ascii="Times New Roman" w:hAnsi="Times New Roman" w:cs="Times New Roman"/>
          <w:sz w:val="24"/>
          <w:szCs w:val="24"/>
        </w:rPr>
      </w:pPr>
    </w:p>
    <w:p w14:paraId="102EC297" w14:textId="68002833" w:rsidR="003965FE" w:rsidRPr="000A1781" w:rsidRDefault="002C307D"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NM OHSH has policies and procedures addressing worker involvement during </w:t>
      </w:r>
      <w:r w:rsidR="00E42ED7" w:rsidRPr="000A1781">
        <w:rPr>
          <w:rFonts w:ascii="Times New Roman" w:hAnsi="Times New Roman" w:cs="Times New Roman"/>
          <w:sz w:val="24"/>
          <w:szCs w:val="24"/>
        </w:rPr>
        <w:t xml:space="preserve">the inspection process. </w:t>
      </w:r>
      <w:r w:rsidR="004B2FB5" w:rsidRPr="000A1781">
        <w:rPr>
          <w:rFonts w:ascii="Times New Roman" w:hAnsi="Times New Roman" w:cs="Times New Roman"/>
          <w:sz w:val="24"/>
          <w:szCs w:val="24"/>
        </w:rPr>
        <w:t>The New Mexico Field Operations Manual (NMFOM), Chapter 3, pages 3-8, Section D and Chapter 7, page 7-2, Sections C.1 and C.2</w:t>
      </w:r>
      <w:r w:rsidR="00E42ED7" w:rsidRPr="000A1781">
        <w:rPr>
          <w:rFonts w:ascii="Times New Roman" w:hAnsi="Times New Roman" w:cs="Times New Roman"/>
          <w:sz w:val="24"/>
          <w:szCs w:val="24"/>
        </w:rPr>
        <w:t xml:space="preserve"> allow</w:t>
      </w:r>
      <w:r w:rsidR="00004A20" w:rsidRPr="000A1781">
        <w:rPr>
          <w:rFonts w:ascii="Times New Roman" w:hAnsi="Times New Roman" w:cs="Times New Roman"/>
          <w:sz w:val="24"/>
          <w:szCs w:val="24"/>
        </w:rPr>
        <w:t>s</w:t>
      </w:r>
      <w:r w:rsidR="00E42ED7" w:rsidRPr="000A1781">
        <w:rPr>
          <w:rFonts w:ascii="Times New Roman" w:hAnsi="Times New Roman" w:cs="Times New Roman"/>
          <w:sz w:val="24"/>
          <w:szCs w:val="24"/>
        </w:rPr>
        <w:t xml:space="preserve"> </w:t>
      </w:r>
      <w:r w:rsidR="004B2FB5" w:rsidRPr="000A1781">
        <w:rPr>
          <w:rFonts w:ascii="Times New Roman" w:hAnsi="Times New Roman" w:cs="Times New Roman"/>
          <w:sz w:val="24"/>
          <w:szCs w:val="24"/>
        </w:rPr>
        <w:t>workers and/or employee representatives the opportunity to participate in every phase of the inspection process.</w:t>
      </w:r>
    </w:p>
    <w:p w14:paraId="499EC4D1" w14:textId="77777777" w:rsidR="00287291" w:rsidRPr="000A1781" w:rsidRDefault="00287291" w:rsidP="00002D71">
      <w:pPr>
        <w:pStyle w:val="ListParagraph"/>
        <w:spacing w:line="240" w:lineRule="auto"/>
        <w:ind w:left="1620"/>
        <w:rPr>
          <w:rFonts w:ascii="Times New Roman" w:hAnsi="Times New Roman" w:cs="Times New Roman"/>
          <w:sz w:val="24"/>
          <w:szCs w:val="24"/>
        </w:rPr>
      </w:pPr>
    </w:p>
    <w:p w14:paraId="397E67D1" w14:textId="221BC089" w:rsidR="003965FE" w:rsidRPr="000A1781" w:rsidRDefault="00790C4F" w:rsidP="00002D71">
      <w:pPr>
        <w:pStyle w:val="ListParagraph"/>
        <w:spacing w:line="240" w:lineRule="auto"/>
        <w:ind w:left="1620"/>
        <w:rPr>
          <w:rFonts w:ascii="Times New Roman" w:hAnsi="Times New Roman" w:cs="Times New Roman"/>
          <w:spacing w:val="-5"/>
          <w:sz w:val="24"/>
          <w:szCs w:val="24"/>
        </w:rPr>
      </w:pPr>
      <w:bookmarkStart w:id="6" w:name="_Hlk162251623"/>
      <w:r w:rsidRPr="000A1781">
        <w:rPr>
          <w:rFonts w:ascii="Times New Roman" w:hAnsi="Times New Roman" w:cs="Times New Roman"/>
          <w:b/>
          <w:bCs/>
          <w:sz w:val="24"/>
          <w:szCs w:val="24"/>
        </w:rPr>
        <w:t>Finding FY 2023-01</w:t>
      </w:r>
      <w:r w:rsidRPr="000A1781">
        <w:rPr>
          <w:rFonts w:ascii="Times New Roman" w:hAnsi="Times New Roman" w:cs="Times New Roman"/>
          <w:sz w:val="24"/>
          <w:szCs w:val="24"/>
        </w:rPr>
        <w:t xml:space="preserve">: </w:t>
      </w:r>
      <w:r w:rsidR="00F47944" w:rsidRPr="000A1781">
        <w:rPr>
          <w:rFonts w:ascii="Times New Roman" w:hAnsi="Times New Roman" w:cs="Times New Roman"/>
          <w:sz w:val="24"/>
          <w:szCs w:val="24"/>
        </w:rPr>
        <w:t>O</w:t>
      </w:r>
      <w:r w:rsidR="006E07A8" w:rsidRPr="000A1781">
        <w:rPr>
          <w:rFonts w:ascii="Times New Roman" w:hAnsi="Times New Roman" w:cs="Times New Roman"/>
          <w:sz w:val="24"/>
          <w:szCs w:val="24"/>
        </w:rPr>
        <w:t>f</w:t>
      </w:r>
      <w:r w:rsidR="006E07A8" w:rsidRPr="000A1781">
        <w:rPr>
          <w:rFonts w:ascii="Times New Roman" w:hAnsi="Times New Roman" w:cs="Times New Roman"/>
          <w:spacing w:val="-6"/>
          <w:sz w:val="24"/>
          <w:szCs w:val="24"/>
        </w:rPr>
        <w:t xml:space="preserve"> </w:t>
      </w:r>
      <w:r w:rsidR="006E07A8" w:rsidRPr="000A1781">
        <w:rPr>
          <w:rFonts w:ascii="Times New Roman" w:hAnsi="Times New Roman" w:cs="Times New Roman"/>
          <w:sz w:val="24"/>
          <w:szCs w:val="24"/>
        </w:rPr>
        <w:t>the</w:t>
      </w:r>
      <w:r w:rsidR="006E07A8" w:rsidRPr="000A1781">
        <w:rPr>
          <w:rFonts w:ascii="Times New Roman" w:hAnsi="Times New Roman" w:cs="Times New Roman"/>
          <w:spacing w:val="-5"/>
          <w:sz w:val="24"/>
          <w:szCs w:val="24"/>
        </w:rPr>
        <w:t xml:space="preserve"> </w:t>
      </w:r>
      <w:r w:rsidR="006E07A8" w:rsidRPr="000A1781">
        <w:rPr>
          <w:rFonts w:ascii="Times New Roman" w:hAnsi="Times New Roman" w:cs="Times New Roman"/>
          <w:sz w:val="24"/>
          <w:szCs w:val="24"/>
        </w:rPr>
        <w:t>total 52 inspections</w:t>
      </w:r>
      <w:r w:rsidR="006E07A8" w:rsidRPr="000A1781">
        <w:rPr>
          <w:rFonts w:ascii="Times New Roman" w:hAnsi="Times New Roman" w:cs="Times New Roman"/>
          <w:spacing w:val="-5"/>
          <w:sz w:val="24"/>
          <w:szCs w:val="24"/>
        </w:rPr>
        <w:t xml:space="preserve"> </w:t>
      </w:r>
      <w:r w:rsidR="006E07A8" w:rsidRPr="000A1781">
        <w:rPr>
          <w:rFonts w:ascii="Times New Roman" w:hAnsi="Times New Roman" w:cs="Times New Roman"/>
          <w:sz w:val="24"/>
          <w:szCs w:val="24"/>
        </w:rPr>
        <w:t>reviewed</w:t>
      </w:r>
      <w:r w:rsidR="00F47944" w:rsidRPr="000A1781">
        <w:rPr>
          <w:rFonts w:ascii="Times New Roman" w:hAnsi="Times New Roman" w:cs="Times New Roman"/>
          <w:sz w:val="24"/>
          <w:szCs w:val="24"/>
        </w:rPr>
        <w:t>, 24 inspections</w:t>
      </w:r>
      <w:r w:rsidR="006E07A8" w:rsidRPr="000A1781">
        <w:rPr>
          <w:rFonts w:ascii="Times New Roman" w:hAnsi="Times New Roman" w:cs="Times New Roman"/>
          <w:spacing w:val="-7"/>
          <w:sz w:val="24"/>
          <w:szCs w:val="24"/>
        </w:rPr>
        <w:t xml:space="preserve"> </w:t>
      </w:r>
      <w:r w:rsidR="006E07A8" w:rsidRPr="000A1781">
        <w:rPr>
          <w:rFonts w:ascii="Times New Roman" w:hAnsi="Times New Roman" w:cs="Times New Roman"/>
          <w:sz w:val="24"/>
          <w:szCs w:val="24"/>
        </w:rPr>
        <w:t>(</w:t>
      </w:r>
      <w:r w:rsidR="00665E27" w:rsidRPr="000A1781">
        <w:rPr>
          <w:rFonts w:ascii="Times New Roman" w:hAnsi="Times New Roman" w:cs="Times New Roman"/>
          <w:sz w:val="24"/>
          <w:szCs w:val="24"/>
        </w:rPr>
        <w:t>46</w:t>
      </w:r>
      <w:r w:rsidR="006E07A8" w:rsidRPr="000A1781">
        <w:rPr>
          <w:rFonts w:ascii="Times New Roman" w:hAnsi="Times New Roman" w:cs="Times New Roman"/>
          <w:sz w:val="24"/>
          <w:szCs w:val="24"/>
        </w:rPr>
        <w:t>%) lacked documentatio</w:t>
      </w:r>
      <w:r w:rsidR="003965FE" w:rsidRPr="000A1781">
        <w:rPr>
          <w:rFonts w:ascii="Times New Roman" w:hAnsi="Times New Roman" w:cs="Times New Roman"/>
          <w:sz w:val="24"/>
          <w:szCs w:val="24"/>
        </w:rPr>
        <w:t>n</w:t>
      </w:r>
      <w:r w:rsidR="006E07A8" w:rsidRPr="000A1781">
        <w:rPr>
          <w:rFonts w:ascii="Times New Roman" w:hAnsi="Times New Roman" w:cs="Times New Roman"/>
          <w:sz w:val="24"/>
          <w:szCs w:val="24"/>
        </w:rPr>
        <w:t xml:space="preserve"> of employee contact or interview</w:t>
      </w:r>
      <w:r w:rsidR="0094405F" w:rsidRPr="000A1781">
        <w:rPr>
          <w:rFonts w:ascii="Times New Roman" w:hAnsi="Times New Roman" w:cs="Times New Roman"/>
          <w:sz w:val="24"/>
          <w:szCs w:val="24"/>
        </w:rPr>
        <w:t>s</w:t>
      </w:r>
      <w:r w:rsidR="006E07A8" w:rsidRPr="000A1781">
        <w:rPr>
          <w:rFonts w:ascii="Times New Roman" w:hAnsi="Times New Roman" w:cs="Times New Roman"/>
          <w:sz w:val="24"/>
          <w:szCs w:val="24"/>
        </w:rPr>
        <w:t xml:space="preserve"> where 100% were reportedly interviewed</w:t>
      </w:r>
      <w:r w:rsidR="006E07A8" w:rsidRPr="000A1781">
        <w:rPr>
          <w:rFonts w:ascii="Times New Roman" w:hAnsi="Times New Roman" w:cs="Times New Roman"/>
          <w:spacing w:val="-1"/>
          <w:sz w:val="24"/>
          <w:szCs w:val="24"/>
        </w:rPr>
        <w:t xml:space="preserve"> </w:t>
      </w:r>
      <w:r w:rsidR="006E07A8" w:rsidRPr="000A1781">
        <w:rPr>
          <w:rFonts w:ascii="Times New Roman" w:hAnsi="Times New Roman" w:cs="Times New Roman"/>
          <w:sz w:val="24"/>
          <w:szCs w:val="24"/>
        </w:rPr>
        <w:t>(SAMM</w:t>
      </w:r>
      <w:r w:rsidR="006E07A8" w:rsidRPr="000A1781">
        <w:rPr>
          <w:rFonts w:ascii="Times New Roman" w:hAnsi="Times New Roman" w:cs="Times New Roman"/>
          <w:spacing w:val="-2"/>
          <w:sz w:val="24"/>
          <w:szCs w:val="24"/>
        </w:rPr>
        <w:t xml:space="preserve"> </w:t>
      </w:r>
      <w:r w:rsidR="006E07A8" w:rsidRPr="000A1781">
        <w:rPr>
          <w:rFonts w:ascii="Times New Roman" w:hAnsi="Times New Roman" w:cs="Times New Roman"/>
          <w:spacing w:val="-5"/>
          <w:sz w:val="24"/>
          <w:szCs w:val="24"/>
        </w:rPr>
        <w:t>13).</w:t>
      </w:r>
      <w:bookmarkEnd w:id="6"/>
    </w:p>
    <w:p w14:paraId="4A0C232C" w14:textId="77777777" w:rsidR="003965FE" w:rsidRPr="000A1781" w:rsidRDefault="003965FE" w:rsidP="00002D71">
      <w:pPr>
        <w:pStyle w:val="ListParagraph"/>
        <w:spacing w:line="240" w:lineRule="auto"/>
        <w:ind w:left="1620"/>
        <w:rPr>
          <w:rFonts w:ascii="Times New Roman" w:hAnsi="Times New Roman" w:cs="Times New Roman"/>
          <w:sz w:val="24"/>
          <w:szCs w:val="24"/>
        </w:rPr>
      </w:pPr>
    </w:p>
    <w:p w14:paraId="6168A18E" w14:textId="264269D7" w:rsidR="00BD4018" w:rsidRPr="000A1781" w:rsidRDefault="00790C4F" w:rsidP="0028729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b/>
          <w:bCs/>
          <w:iCs/>
          <w:sz w:val="24"/>
          <w:szCs w:val="24"/>
        </w:rPr>
        <w:t>Recommendation</w:t>
      </w:r>
      <w:r w:rsidRPr="000A1781">
        <w:rPr>
          <w:rFonts w:ascii="Times New Roman" w:hAnsi="Times New Roman" w:cs="Times New Roman"/>
          <w:iCs/>
          <w:sz w:val="24"/>
          <w:szCs w:val="24"/>
        </w:rPr>
        <w:t>:</w:t>
      </w:r>
      <w:r w:rsidRPr="000A1781">
        <w:rPr>
          <w:rFonts w:ascii="Times New Roman" w:hAnsi="Times New Roman" w:cs="Times New Roman"/>
          <w:sz w:val="24"/>
          <w:szCs w:val="24"/>
        </w:rPr>
        <w:t xml:space="preserve"> Ensure</w:t>
      </w:r>
      <w:r w:rsidRPr="000A1781">
        <w:rPr>
          <w:rFonts w:ascii="Times New Roman" w:hAnsi="Times New Roman" w:cs="Times New Roman"/>
          <w:spacing w:val="-7"/>
          <w:sz w:val="24"/>
          <w:szCs w:val="24"/>
        </w:rPr>
        <w:t xml:space="preserve"> </w:t>
      </w:r>
      <w:r w:rsidRPr="000A1781">
        <w:rPr>
          <w:rFonts w:ascii="Times New Roman" w:hAnsi="Times New Roman" w:cs="Times New Roman"/>
          <w:sz w:val="24"/>
          <w:szCs w:val="24"/>
        </w:rPr>
        <w:t>compliance officers</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conduct</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and</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document</w:t>
      </w:r>
      <w:r w:rsidRPr="000A1781">
        <w:rPr>
          <w:rFonts w:ascii="Times New Roman" w:hAnsi="Times New Roman" w:cs="Times New Roman"/>
          <w:spacing w:val="-8"/>
          <w:sz w:val="24"/>
          <w:szCs w:val="24"/>
        </w:rPr>
        <w:t xml:space="preserve"> </w:t>
      </w:r>
      <w:r w:rsidRPr="000A1781">
        <w:rPr>
          <w:rFonts w:ascii="Times New Roman" w:hAnsi="Times New Roman" w:cs="Times New Roman"/>
          <w:sz w:val="24"/>
          <w:szCs w:val="24"/>
        </w:rPr>
        <w:t>employee interviews as required by the OHSB FOM Chapter 3.</w:t>
      </w:r>
    </w:p>
    <w:p w14:paraId="49B1CE4F" w14:textId="77777777" w:rsidR="00821790" w:rsidRPr="000A1781" w:rsidRDefault="00821790" w:rsidP="00287291">
      <w:pPr>
        <w:pStyle w:val="ListParagraph"/>
        <w:spacing w:line="240" w:lineRule="auto"/>
        <w:ind w:left="1620"/>
        <w:rPr>
          <w:rFonts w:ascii="Times New Roman" w:hAnsi="Times New Roman" w:cs="Times New Roman"/>
          <w:sz w:val="24"/>
          <w:szCs w:val="24"/>
        </w:rPr>
      </w:pPr>
    </w:p>
    <w:p w14:paraId="60AEAA4B" w14:textId="4997DE0D" w:rsidR="00BD4018" w:rsidRPr="000A1781" w:rsidRDefault="000C6A84" w:rsidP="00A964ED">
      <w:pPr>
        <w:pStyle w:val="ListParagraph"/>
        <w:spacing w:line="240" w:lineRule="auto"/>
        <w:ind w:left="1620"/>
        <w:rPr>
          <w:rFonts w:ascii="Times New Roman" w:hAnsi="Times New Roman" w:cs="Times New Roman"/>
          <w:spacing w:val="-2"/>
          <w:sz w:val="24"/>
          <w:szCs w:val="24"/>
        </w:rPr>
      </w:pPr>
      <w:r w:rsidRPr="000A1781">
        <w:rPr>
          <w:rFonts w:ascii="Times New Roman" w:hAnsi="Times New Roman" w:cs="Times New Roman"/>
          <w:b/>
          <w:bCs/>
          <w:sz w:val="24"/>
          <w:szCs w:val="24"/>
        </w:rPr>
        <w:t>Finding FY 202</w:t>
      </w:r>
      <w:r w:rsidR="00D05446" w:rsidRPr="000A1781">
        <w:rPr>
          <w:rFonts w:ascii="Times New Roman" w:hAnsi="Times New Roman" w:cs="Times New Roman"/>
          <w:b/>
          <w:bCs/>
          <w:sz w:val="24"/>
          <w:szCs w:val="24"/>
        </w:rPr>
        <w:t>3</w:t>
      </w:r>
      <w:r w:rsidRPr="000A1781">
        <w:rPr>
          <w:rFonts w:ascii="Times New Roman" w:hAnsi="Times New Roman" w:cs="Times New Roman"/>
          <w:b/>
          <w:bCs/>
          <w:sz w:val="24"/>
          <w:szCs w:val="24"/>
        </w:rPr>
        <w:t>-0</w:t>
      </w:r>
      <w:r w:rsidR="003B70DE" w:rsidRPr="000A1781">
        <w:rPr>
          <w:rFonts w:ascii="Times New Roman" w:hAnsi="Times New Roman" w:cs="Times New Roman"/>
          <w:b/>
          <w:bCs/>
          <w:sz w:val="24"/>
          <w:szCs w:val="24"/>
        </w:rPr>
        <w:t>4</w:t>
      </w:r>
      <w:r w:rsidRPr="000A1781">
        <w:rPr>
          <w:rFonts w:ascii="Times New Roman" w:hAnsi="Times New Roman" w:cs="Times New Roman"/>
          <w:sz w:val="24"/>
          <w:szCs w:val="24"/>
        </w:rPr>
        <w:t xml:space="preserve">: </w:t>
      </w:r>
      <w:r w:rsidR="00C278E3" w:rsidRPr="000A1781">
        <w:rPr>
          <w:rFonts w:ascii="Times New Roman" w:hAnsi="Times New Roman" w:cs="Times New Roman"/>
          <w:sz w:val="24"/>
          <w:szCs w:val="24"/>
        </w:rPr>
        <w:t>Unions not contacted: Out of a total of 5</w:t>
      </w:r>
      <w:r w:rsidR="005172C8" w:rsidRPr="000A1781">
        <w:rPr>
          <w:rFonts w:ascii="Times New Roman" w:hAnsi="Times New Roman" w:cs="Times New Roman"/>
          <w:sz w:val="24"/>
          <w:szCs w:val="24"/>
        </w:rPr>
        <w:t>2</w:t>
      </w:r>
      <w:r w:rsidR="00D05446" w:rsidRPr="000A1781">
        <w:rPr>
          <w:rFonts w:ascii="Times New Roman" w:hAnsi="Times New Roman" w:cs="Times New Roman"/>
          <w:sz w:val="24"/>
          <w:szCs w:val="24"/>
        </w:rPr>
        <w:t xml:space="preserve"> </w:t>
      </w:r>
      <w:r w:rsidR="00C278E3" w:rsidRPr="000A1781">
        <w:rPr>
          <w:rFonts w:ascii="Times New Roman" w:hAnsi="Times New Roman" w:cs="Times New Roman"/>
          <w:sz w:val="24"/>
          <w:szCs w:val="24"/>
        </w:rPr>
        <w:t>files reviewed or FY 202</w:t>
      </w:r>
      <w:r w:rsidR="00D05446" w:rsidRPr="000A1781">
        <w:rPr>
          <w:rFonts w:ascii="Times New Roman" w:hAnsi="Times New Roman" w:cs="Times New Roman"/>
          <w:sz w:val="24"/>
          <w:szCs w:val="24"/>
        </w:rPr>
        <w:t>3</w:t>
      </w:r>
      <w:r w:rsidR="00C278E3" w:rsidRPr="000A1781">
        <w:rPr>
          <w:rFonts w:ascii="Times New Roman" w:hAnsi="Times New Roman" w:cs="Times New Roman"/>
          <w:sz w:val="24"/>
          <w:szCs w:val="24"/>
        </w:rPr>
        <w:t>, five inspection case</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files</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had</w:t>
      </w:r>
      <w:r w:rsidR="00C278E3" w:rsidRPr="000A1781">
        <w:rPr>
          <w:rFonts w:ascii="Times New Roman" w:hAnsi="Times New Roman" w:cs="Times New Roman"/>
          <w:spacing w:val="-6"/>
          <w:sz w:val="24"/>
          <w:szCs w:val="24"/>
        </w:rPr>
        <w:t xml:space="preserve"> </w:t>
      </w:r>
      <w:r w:rsidR="00C278E3" w:rsidRPr="000A1781">
        <w:rPr>
          <w:rFonts w:ascii="Times New Roman" w:hAnsi="Times New Roman" w:cs="Times New Roman"/>
          <w:sz w:val="24"/>
          <w:szCs w:val="24"/>
        </w:rPr>
        <w:t>unions</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and</w:t>
      </w:r>
      <w:r w:rsidR="003B70DE" w:rsidRPr="000A1781">
        <w:rPr>
          <w:rFonts w:ascii="Times New Roman" w:hAnsi="Times New Roman" w:cs="Times New Roman"/>
          <w:spacing w:val="-6"/>
          <w:sz w:val="24"/>
          <w:szCs w:val="24"/>
        </w:rPr>
        <w:t xml:space="preserve"> three</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of</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the</w:t>
      </w:r>
      <w:r w:rsidR="00C278E3" w:rsidRPr="000A1781">
        <w:rPr>
          <w:rFonts w:ascii="Times New Roman" w:hAnsi="Times New Roman" w:cs="Times New Roman"/>
          <w:spacing w:val="-5"/>
          <w:sz w:val="24"/>
          <w:szCs w:val="24"/>
        </w:rPr>
        <w:t xml:space="preserve"> </w:t>
      </w:r>
      <w:r w:rsidR="00C278E3" w:rsidRPr="000A1781">
        <w:rPr>
          <w:rFonts w:ascii="Times New Roman" w:hAnsi="Times New Roman" w:cs="Times New Roman"/>
          <w:sz w:val="24"/>
          <w:szCs w:val="24"/>
        </w:rPr>
        <w:t xml:space="preserve">union’s representatives were contacted during </w:t>
      </w:r>
      <w:r w:rsidR="00C278E3" w:rsidRPr="000A1781">
        <w:rPr>
          <w:rFonts w:ascii="Times New Roman" w:hAnsi="Times New Roman" w:cs="Times New Roman"/>
          <w:spacing w:val="-2"/>
          <w:sz w:val="24"/>
          <w:szCs w:val="24"/>
        </w:rPr>
        <w:t>inspections.</w:t>
      </w:r>
    </w:p>
    <w:p w14:paraId="0AEAD717" w14:textId="77777777" w:rsidR="003901EF" w:rsidRPr="000A1781" w:rsidRDefault="003901EF" w:rsidP="00A964ED">
      <w:pPr>
        <w:pStyle w:val="ListParagraph"/>
        <w:spacing w:line="240" w:lineRule="auto"/>
        <w:ind w:left="1620"/>
        <w:rPr>
          <w:rFonts w:ascii="Times New Roman" w:hAnsi="Times New Roman" w:cs="Times New Roman"/>
          <w:spacing w:val="-2"/>
          <w:sz w:val="24"/>
          <w:szCs w:val="24"/>
        </w:rPr>
      </w:pPr>
    </w:p>
    <w:p w14:paraId="3B86C1D6" w14:textId="5CE31DFE" w:rsidR="00FE7587" w:rsidRPr="000A1781" w:rsidRDefault="00C278E3" w:rsidP="0028729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b/>
          <w:bCs/>
          <w:spacing w:val="-2"/>
          <w:sz w:val="24"/>
          <w:szCs w:val="24"/>
        </w:rPr>
        <w:t>Recommendation:</w:t>
      </w:r>
      <w:r w:rsidR="005C4C03" w:rsidRPr="000A1781">
        <w:rPr>
          <w:rFonts w:ascii="Times New Roman" w:hAnsi="Times New Roman" w:cs="Times New Roman"/>
          <w:spacing w:val="-2"/>
          <w:sz w:val="24"/>
          <w:szCs w:val="24"/>
        </w:rPr>
        <w:t xml:space="preserve"> </w:t>
      </w:r>
      <w:r w:rsidR="005C4C03" w:rsidRPr="000A1781">
        <w:rPr>
          <w:rFonts w:ascii="Times New Roman" w:hAnsi="Times New Roman" w:cs="Times New Roman"/>
          <w:sz w:val="24"/>
          <w:szCs w:val="24"/>
        </w:rPr>
        <w:t>Follow the policies in the OHSB FOM, Chapter 3. During the opening</w:t>
      </w:r>
      <w:r w:rsidR="005C4C03" w:rsidRPr="000A1781">
        <w:rPr>
          <w:rFonts w:ascii="Times New Roman" w:hAnsi="Times New Roman" w:cs="Times New Roman"/>
          <w:spacing w:val="-9"/>
          <w:sz w:val="24"/>
          <w:szCs w:val="24"/>
        </w:rPr>
        <w:t xml:space="preserve"> </w:t>
      </w:r>
      <w:r w:rsidR="005C4C03" w:rsidRPr="000A1781">
        <w:rPr>
          <w:rFonts w:ascii="Times New Roman" w:hAnsi="Times New Roman" w:cs="Times New Roman"/>
          <w:sz w:val="24"/>
          <w:szCs w:val="24"/>
        </w:rPr>
        <w:t>conference,</w:t>
      </w:r>
      <w:r w:rsidR="005C4C03" w:rsidRPr="000A1781">
        <w:rPr>
          <w:rFonts w:ascii="Times New Roman" w:hAnsi="Times New Roman" w:cs="Times New Roman"/>
          <w:spacing w:val="-9"/>
          <w:sz w:val="24"/>
          <w:szCs w:val="24"/>
        </w:rPr>
        <w:t xml:space="preserve"> </w:t>
      </w:r>
      <w:r w:rsidR="005C4C03" w:rsidRPr="000A1781">
        <w:rPr>
          <w:rFonts w:ascii="Times New Roman" w:hAnsi="Times New Roman" w:cs="Times New Roman"/>
          <w:sz w:val="24"/>
          <w:szCs w:val="24"/>
        </w:rPr>
        <w:t>the</w:t>
      </w:r>
      <w:r w:rsidR="005C4C03" w:rsidRPr="000A1781">
        <w:rPr>
          <w:rFonts w:ascii="Times New Roman" w:hAnsi="Times New Roman" w:cs="Times New Roman"/>
          <w:spacing w:val="-10"/>
          <w:sz w:val="24"/>
          <w:szCs w:val="24"/>
        </w:rPr>
        <w:t xml:space="preserve"> </w:t>
      </w:r>
      <w:r w:rsidR="005C4C03" w:rsidRPr="000A1781">
        <w:rPr>
          <w:rFonts w:ascii="Times New Roman" w:hAnsi="Times New Roman" w:cs="Times New Roman"/>
          <w:sz w:val="24"/>
          <w:szCs w:val="24"/>
        </w:rPr>
        <w:t>highest‐ranking</w:t>
      </w:r>
      <w:r w:rsidR="005C4C03" w:rsidRPr="000A1781">
        <w:rPr>
          <w:rFonts w:ascii="Times New Roman" w:hAnsi="Times New Roman" w:cs="Times New Roman"/>
          <w:spacing w:val="-10"/>
          <w:sz w:val="24"/>
          <w:szCs w:val="24"/>
        </w:rPr>
        <w:t xml:space="preserve"> </w:t>
      </w:r>
      <w:r w:rsidR="00200FB0" w:rsidRPr="000A1781">
        <w:rPr>
          <w:rFonts w:ascii="Times New Roman" w:hAnsi="Times New Roman" w:cs="Times New Roman"/>
          <w:sz w:val="24"/>
          <w:szCs w:val="24"/>
        </w:rPr>
        <w:t>on-</w:t>
      </w:r>
      <w:r w:rsidR="005C4C03" w:rsidRPr="000A1781">
        <w:rPr>
          <w:rFonts w:ascii="Times New Roman" w:hAnsi="Times New Roman" w:cs="Times New Roman"/>
          <w:sz w:val="24"/>
          <w:szCs w:val="24"/>
        </w:rPr>
        <w:t>site union official or union employee representative shall designate who will participate in the walkaround</w:t>
      </w:r>
      <w:r w:rsidR="00D25C90" w:rsidRPr="000A1781">
        <w:rPr>
          <w:rFonts w:ascii="Times New Roman" w:hAnsi="Times New Roman" w:cs="Times New Roman"/>
          <w:sz w:val="24"/>
          <w:szCs w:val="24"/>
        </w:rPr>
        <w:t>.</w:t>
      </w:r>
    </w:p>
    <w:p w14:paraId="77BECB1A" w14:textId="765C8CFB" w:rsidR="002375D1" w:rsidRPr="000A1781" w:rsidRDefault="002375D1" w:rsidP="00FE7587">
      <w:pPr>
        <w:pStyle w:val="ListParagraph"/>
        <w:spacing w:after="0" w:line="240" w:lineRule="auto"/>
        <w:ind w:left="1620"/>
        <w:rPr>
          <w:rFonts w:ascii="Times New Roman" w:hAnsi="Times New Roman" w:cs="Times New Roman"/>
          <w:bCs/>
          <w:sz w:val="24"/>
          <w:szCs w:val="24"/>
        </w:rPr>
      </w:pPr>
      <w:r w:rsidRPr="000A1781">
        <w:rPr>
          <w:rFonts w:ascii="Times New Roman" w:hAnsi="Times New Roman" w:cs="Times New Roman"/>
          <w:bCs/>
          <w:sz w:val="24"/>
          <w:szCs w:val="24"/>
        </w:rPr>
        <w:t>SAMM 13</w:t>
      </w:r>
      <w:r w:rsidR="00F47944" w:rsidRPr="000A1781">
        <w:rPr>
          <w:rFonts w:ascii="Times New Roman" w:hAnsi="Times New Roman" w:cs="Times New Roman"/>
          <w:bCs/>
          <w:sz w:val="24"/>
          <w:szCs w:val="24"/>
        </w:rPr>
        <w:t xml:space="preserve"> shows that the p</w:t>
      </w:r>
      <w:r w:rsidRPr="000A1781">
        <w:rPr>
          <w:rFonts w:ascii="Times New Roman" w:hAnsi="Times New Roman" w:cs="Times New Roman"/>
          <w:bCs/>
          <w:sz w:val="24"/>
          <w:szCs w:val="24"/>
        </w:rPr>
        <w:t>ercent of initial inspections with worker walk-around representation of worker interview 100%. FRL is 100% fixed for all State Plans.</w:t>
      </w:r>
    </w:p>
    <w:p w14:paraId="2CB22AC1" w14:textId="77777777" w:rsidR="00760F94" w:rsidRPr="000A1781" w:rsidRDefault="00760F94" w:rsidP="00FE7587">
      <w:pPr>
        <w:pStyle w:val="ListParagraph"/>
        <w:spacing w:after="0" w:line="240" w:lineRule="auto"/>
        <w:ind w:left="1620"/>
        <w:rPr>
          <w:rFonts w:ascii="Times New Roman" w:hAnsi="Times New Roman" w:cs="Times New Roman"/>
          <w:bCs/>
          <w:sz w:val="24"/>
          <w:szCs w:val="24"/>
        </w:rPr>
      </w:pPr>
    </w:p>
    <w:p w14:paraId="10D15F6A" w14:textId="1726D54A" w:rsidR="001567A4" w:rsidRPr="000A1781" w:rsidRDefault="001567A4" w:rsidP="000D1AE2">
      <w:pPr>
        <w:tabs>
          <w:tab w:val="left" w:pos="1530"/>
          <w:tab w:val="left" w:pos="1800"/>
        </w:tabs>
        <w:ind w:left="1440" w:hanging="540"/>
        <w:jc w:val="both"/>
        <w:rPr>
          <w:b/>
          <w:smallCaps/>
        </w:rPr>
      </w:pPr>
      <w:r w:rsidRPr="000A1781">
        <w:rPr>
          <w:b/>
          <w:smallCaps/>
        </w:rPr>
        <w:t>3.</w:t>
      </w:r>
      <w:r w:rsidR="000D6275" w:rsidRPr="000A1781">
        <w:rPr>
          <w:b/>
          <w:smallCaps/>
        </w:rPr>
        <w:t xml:space="preserve">    </w:t>
      </w:r>
      <w:r w:rsidRPr="000A1781">
        <w:rPr>
          <w:b/>
          <w:smallCaps/>
        </w:rPr>
        <w:t>REVIEW PROCEDURES</w:t>
      </w:r>
    </w:p>
    <w:p w14:paraId="55E7014E" w14:textId="77777777" w:rsidR="00E52D12" w:rsidRPr="000A1781" w:rsidRDefault="00E52D12" w:rsidP="000D1AE2">
      <w:pPr>
        <w:tabs>
          <w:tab w:val="left" w:pos="1530"/>
          <w:tab w:val="left" w:pos="1800"/>
        </w:tabs>
        <w:ind w:left="720" w:hanging="720"/>
        <w:rPr>
          <w:b/>
          <w:smallCaps/>
          <w:highlight w:val="yellow"/>
        </w:rPr>
      </w:pPr>
    </w:p>
    <w:p w14:paraId="4B46134A" w14:textId="77777777" w:rsidR="001567A4" w:rsidRPr="000A1781" w:rsidRDefault="001567A4" w:rsidP="00B779B7">
      <w:pPr>
        <w:pStyle w:val="ListParagraph"/>
        <w:numPr>
          <w:ilvl w:val="0"/>
          <w:numId w:val="12"/>
        </w:numPr>
        <w:tabs>
          <w:tab w:val="left" w:pos="1170"/>
        </w:tabs>
        <w:spacing w:after="0" w:line="240" w:lineRule="auto"/>
        <w:rPr>
          <w:rFonts w:ascii="Times New Roman" w:hAnsi="Times New Roman" w:cs="Times New Roman"/>
          <w:sz w:val="24"/>
          <w:szCs w:val="24"/>
        </w:rPr>
      </w:pPr>
      <w:r w:rsidRPr="000A1781">
        <w:rPr>
          <w:rFonts w:ascii="Times New Roman" w:hAnsi="Times New Roman" w:cs="Times New Roman"/>
          <w:sz w:val="24"/>
          <w:szCs w:val="24"/>
        </w:rPr>
        <w:t>Informal Conferences</w:t>
      </w:r>
    </w:p>
    <w:p w14:paraId="3AB5D7E1" w14:textId="77777777" w:rsidR="000B138F" w:rsidRPr="000A1781" w:rsidRDefault="000B138F" w:rsidP="000D1AE2">
      <w:pPr>
        <w:pStyle w:val="ListParagraph"/>
        <w:spacing w:after="0" w:line="240" w:lineRule="auto"/>
        <w:ind w:left="1620"/>
        <w:rPr>
          <w:rFonts w:ascii="Times New Roman" w:hAnsi="Times New Roman" w:cs="Times New Roman"/>
          <w:bCs/>
          <w:sz w:val="24"/>
          <w:szCs w:val="24"/>
        </w:rPr>
      </w:pPr>
    </w:p>
    <w:p w14:paraId="3991FA03" w14:textId="5940E6BD" w:rsidR="00821790" w:rsidRPr="000A1781" w:rsidRDefault="00821790" w:rsidP="000D1AE2">
      <w:pPr>
        <w:pStyle w:val="ListParagraph"/>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t>The informal conference process in New Mexico allows for either amendments to citations or entering into Informal Settlement Agreements.</w:t>
      </w:r>
      <w:r w:rsidR="003901EF" w:rsidRPr="000A1781">
        <w:rPr>
          <w:rFonts w:ascii="Times New Roman" w:hAnsi="Times New Roman" w:cs="Times New Roman"/>
          <w:sz w:val="24"/>
          <w:szCs w:val="24"/>
        </w:rPr>
        <w:t xml:space="preserve"> Such amendments may include penalty reductions,</w:t>
      </w:r>
      <w:r w:rsidR="00AF3A70" w:rsidRPr="000A1781">
        <w:rPr>
          <w:rFonts w:ascii="Times New Roman" w:hAnsi="Times New Roman" w:cs="Times New Roman"/>
          <w:sz w:val="24"/>
          <w:szCs w:val="24"/>
        </w:rPr>
        <w:t xml:space="preserve"> withdrawal and/or reclassification of citations, and/or modifications to abatement due dates.</w:t>
      </w:r>
      <w:r w:rsidRPr="000A1781">
        <w:rPr>
          <w:rFonts w:ascii="Times New Roman" w:hAnsi="Times New Roman" w:cs="Times New Roman"/>
          <w:sz w:val="24"/>
          <w:szCs w:val="24"/>
        </w:rPr>
        <w:t xml:space="preserve"> The Bureau documents these changes in the OIS with the code ISA.</w:t>
      </w:r>
    </w:p>
    <w:p w14:paraId="4BC664E6" w14:textId="77777777" w:rsidR="00821790" w:rsidRPr="000A1781" w:rsidRDefault="00821790" w:rsidP="000D1AE2">
      <w:pPr>
        <w:pStyle w:val="ListParagraph"/>
        <w:spacing w:after="0" w:line="240" w:lineRule="auto"/>
        <w:ind w:left="1620"/>
        <w:rPr>
          <w:rFonts w:ascii="Times New Roman" w:hAnsi="Times New Roman" w:cs="Times New Roman"/>
          <w:sz w:val="24"/>
          <w:szCs w:val="24"/>
        </w:rPr>
      </w:pPr>
    </w:p>
    <w:p w14:paraId="41EE3643" w14:textId="1E90F19E" w:rsidR="000B138F" w:rsidRPr="000A1781" w:rsidRDefault="000B138F" w:rsidP="000D1AE2">
      <w:pPr>
        <w:pStyle w:val="ListParagraph"/>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NM OHSB’s informal conference process allows for either amendments to citations and/or </w:t>
      </w:r>
      <w:r w:rsidR="00F47944" w:rsidRPr="000A1781">
        <w:rPr>
          <w:rFonts w:ascii="Times New Roman" w:hAnsi="Times New Roman" w:cs="Times New Roman"/>
          <w:sz w:val="24"/>
          <w:szCs w:val="24"/>
        </w:rPr>
        <w:t>penalties</w:t>
      </w:r>
      <w:r w:rsidRPr="000A1781">
        <w:rPr>
          <w:rFonts w:ascii="Times New Roman" w:hAnsi="Times New Roman" w:cs="Times New Roman"/>
          <w:sz w:val="24"/>
          <w:szCs w:val="24"/>
        </w:rPr>
        <w:t xml:space="preserve"> or entering into informal settlement agreements. These changes are documented in the OIS with the code ISA.</w:t>
      </w:r>
    </w:p>
    <w:p w14:paraId="426E040A" w14:textId="77777777" w:rsidR="000B138F" w:rsidRPr="000A1781" w:rsidRDefault="000B138F" w:rsidP="00002D71">
      <w:pPr>
        <w:pStyle w:val="ListParagraph"/>
        <w:spacing w:line="240" w:lineRule="auto"/>
        <w:ind w:left="1620"/>
        <w:rPr>
          <w:rFonts w:ascii="Times New Roman" w:hAnsi="Times New Roman" w:cs="Times New Roman"/>
          <w:sz w:val="24"/>
          <w:szCs w:val="24"/>
        </w:rPr>
      </w:pPr>
    </w:p>
    <w:p w14:paraId="5DFA7765" w14:textId="738ECC98" w:rsidR="000B138F" w:rsidRPr="000A1781" w:rsidRDefault="000B138F" w:rsidP="00002D71">
      <w:pPr>
        <w:pStyle w:val="ListParagraph"/>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SAMM 12</w:t>
      </w:r>
      <w:r w:rsidR="00215311" w:rsidRPr="000A1781">
        <w:rPr>
          <w:rFonts w:ascii="Times New Roman" w:hAnsi="Times New Roman" w:cs="Times New Roman"/>
          <w:sz w:val="24"/>
          <w:szCs w:val="24"/>
        </w:rPr>
        <w:t xml:space="preserve"> shows that the p</w:t>
      </w:r>
      <w:r w:rsidRPr="000A1781">
        <w:rPr>
          <w:rFonts w:ascii="Times New Roman" w:hAnsi="Times New Roman" w:cs="Times New Roman"/>
          <w:sz w:val="24"/>
          <w:szCs w:val="24"/>
        </w:rPr>
        <w:t xml:space="preserve">ercent penalty retained </w:t>
      </w:r>
      <w:r w:rsidR="00215311" w:rsidRPr="000A1781">
        <w:rPr>
          <w:rFonts w:ascii="Times New Roman" w:hAnsi="Times New Roman" w:cs="Times New Roman"/>
          <w:sz w:val="24"/>
          <w:szCs w:val="24"/>
        </w:rPr>
        <w:t xml:space="preserve">is </w:t>
      </w:r>
      <w:r w:rsidRPr="000A1781">
        <w:rPr>
          <w:rFonts w:ascii="Times New Roman" w:hAnsi="Times New Roman" w:cs="Times New Roman"/>
          <w:sz w:val="24"/>
          <w:szCs w:val="24"/>
        </w:rPr>
        <w:t>94.50%</w:t>
      </w:r>
      <w:r w:rsidR="00215311" w:rsidRPr="000A1781">
        <w:rPr>
          <w:rFonts w:ascii="Times New Roman" w:hAnsi="Times New Roman" w:cs="Times New Roman"/>
          <w:sz w:val="24"/>
          <w:szCs w:val="24"/>
        </w:rPr>
        <w:t>. The</w:t>
      </w:r>
      <w:r w:rsidRPr="000A1781">
        <w:rPr>
          <w:rFonts w:ascii="Times New Roman" w:hAnsi="Times New Roman" w:cs="Times New Roman"/>
          <w:sz w:val="24"/>
          <w:szCs w:val="24"/>
        </w:rPr>
        <w:t xml:space="preserve"> FRL</w:t>
      </w:r>
      <w:r w:rsidR="00215311" w:rsidRPr="000A1781">
        <w:rPr>
          <w:rFonts w:ascii="Times New Roman" w:hAnsi="Times New Roman" w:cs="Times New Roman"/>
          <w:sz w:val="24"/>
          <w:szCs w:val="24"/>
        </w:rPr>
        <w:t xml:space="preserve"> is</w:t>
      </w:r>
      <w:r w:rsidRPr="000A1781">
        <w:rPr>
          <w:rFonts w:ascii="Times New Roman" w:hAnsi="Times New Roman" w:cs="Times New Roman"/>
          <w:sz w:val="24"/>
          <w:szCs w:val="24"/>
        </w:rPr>
        <w:t xml:space="preserve"> +/-15% of 71.84% (61.06% to 82.62%)</w:t>
      </w:r>
      <w:r w:rsidR="00215311" w:rsidRPr="000A1781">
        <w:rPr>
          <w:rFonts w:ascii="Times New Roman" w:hAnsi="Times New Roman" w:cs="Times New Roman"/>
          <w:sz w:val="24"/>
          <w:szCs w:val="24"/>
        </w:rPr>
        <w:t xml:space="preserve">. </w:t>
      </w:r>
      <w:r w:rsidR="00200FB0" w:rsidRPr="000A1781">
        <w:rPr>
          <w:rFonts w:ascii="Times New Roman" w:hAnsi="Times New Roman" w:cs="Times New Roman"/>
          <w:sz w:val="24"/>
          <w:szCs w:val="24"/>
        </w:rPr>
        <w:t>Nevertheless</w:t>
      </w:r>
      <w:r w:rsidR="00215311" w:rsidRPr="000A1781">
        <w:rPr>
          <w:rFonts w:ascii="Times New Roman" w:hAnsi="Times New Roman" w:cs="Times New Roman"/>
          <w:sz w:val="24"/>
          <w:szCs w:val="24"/>
        </w:rPr>
        <w:t>, NM OHSB</w:t>
      </w:r>
      <w:r w:rsidR="003641F8" w:rsidRPr="000A1781">
        <w:rPr>
          <w:rFonts w:ascii="Times New Roman" w:hAnsi="Times New Roman" w:cs="Times New Roman"/>
          <w:sz w:val="24"/>
          <w:szCs w:val="24"/>
        </w:rPr>
        <w:t xml:space="preserve"> has</w:t>
      </w:r>
      <w:r w:rsidR="00D11B9C" w:rsidRPr="000A1781">
        <w:rPr>
          <w:rFonts w:ascii="Times New Roman" w:hAnsi="Times New Roman" w:cs="Times New Roman"/>
          <w:sz w:val="24"/>
          <w:szCs w:val="24"/>
        </w:rPr>
        <w:t xml:space="preserve"> retained</w:t>
      </w:r>
      <w:r w:rsidR="003641F8" w:rsidRPr="000A1781">
        <w:rPr>
          <w:rFonts w:ascii="Times New Roman" w:hAnsi="Times New Roman" w:cs="Times New Roman"/>
          <w:sz w:val="24"/>
          <w:szCs w:val="24"/>
        </w:rPr>
        <w:t xml:space="preserve"> a higher percentage compared to that of the national average.</w:t>
      </w:r>
    </w:p>
    <w:tbl>
      <w:tblPr>
        <w:tblStyle w:val="TableGrid"/>
        <w:tblW w:w="0" w:type="auto"/>
        <w:tblInd w:w="1255" w:type="dxa"/>
        <w:tblLook w:val="04A0" w:firstRow="1" w:lastRow="0" w:firstColumn="1" w:lastColumn="0" w:noHBand="0" w:noVBand="1"/>
      </w:tblPr>
      <w:tblGrid>
        <w:gridCol w:w="2671"/>
        <w:gridCol w:w="1109"/>
        <w:gridCol w:w="990"/>
        <w:gridCol w:w="1003"/>
        <w:gridCol w:w="996"/>
        <w:gridCol w:w="1068"/>
        <w:gridCol w:w="1068"/>
      </w:tblGrid>
      <w:tr w:rsidR="00887129" w:rsidRPr="000A1781" w14:paraId="49C48F67" w14:textId="77777777" w:rsidTr="00887129">
        <w:tc>
          <w:tcPr>
            <w:tcW w:w="2671" w:type="dxa"/>
            <w:shd w:val="clear" w:color="auto" w:fill="FFFFFF" w:themeFill="background1"/>
          </w:tcPr>
          <w:p w14:paraId="6CC34491" w14:textId="0CCCF7D8" w:rsidR="00887129" w:rsidRPr="00887129" w:rsidRDefault="00887129" w:rsidP="00002D71">
            <w:pPr>
              <w:jc w:val="center"/>
              <w:rPr>
                <w:b/>
                <w:bCs/>
                <w:sz w:val="22"/>
                <w:szCs w:val="22"/>
              </w:rPr>
            </w:pPr>
            <w:r w:rsidRPr="00887129">
              <w:rPr>
                <w:b/>
                <w:bCs/>
                <w:sz w:val="22"/>
                <w:szCs w:val="22"/>
              </w:rPr>
              <w:t xml:space="preserve">Penalty Retention </w:t>
            </w:r>
          </w:p>
        </w:tc>
        <w:tc>
          <w:tcPr>
            <w:tcW w:w="1109" w:type="dxa"/>
            <w:shd w:val="clear" w:color="auto" w:fill="FFFFFF" w:themeFill="background1"/>
          </w:tcPr>
          <w:p w14:paraId="30F7431E" w14:textId="0E742827" w:rsidR="00887129" w:rsidRPr="00887129" w:rsidRDefault="00887129" w:rsidP="00002D71">
            <w:pPr>
              <w:jc w:val="center"/>
              <w:rPr>
                <w:b/>
                <w:bCs/>
                <w:sz w:val="22"/>
                <w:szCs w:val="22"/>
              </w:rPr>
            </w:pPr>
            <w:r w:rsidRPr="00887129">
              <w:rPr>
                <w:b/>
                <w:bCs/>
                <w:sz w:val="22"/>
                <w:szCs w:val="22"/>
              </w:rPr>
              <w:t>FY 2023</w:t>
            </w:r>
          </w:p>
        </w:tc>
        <w:tc>
          <w:tcPr>
            <w:tcW w:w="990" w:type="dxa"/>
            <w:shd w:val="clear" w:color="auto" w:fill="FFFFFF" w:themeFill="background1"/>
          </w:tcPr>
          <w:p w14:paraId="1A2A5794" w14:textId="50BAFFE1" w:rsidR="00887129" w:rsidRPr="00887129" w:rsidRDefault="00887129" w:rsidP="00002D71">
            <w:pPr>
              <w:jc w:val="center"/>
              <w:rPr>
                <w:b/>
                <w:bCs/>
                <w:sz w:val="22"/>
                <w:szCs w:val="22"/>
              </w:rPr>
            </w:pPr>
            <w:r w:rsidRPr="00887129">
              <w:rPr>
                <w:b/>
                <w:bCs/>
                <w:sz w:val="22"/>
                <w:szCs w:val="22"/>
              </w:rPr>
              <w:t>FY 2022</w:t>
            </w:r>
          </w:p>
        </w:tc>
        <w:tc>
          <w:tcPr>
            <w:tcW w:w="1003" w:type="dxa"/>
            <w:shd w:val="clear" w:color="auto" w:fill="FFFFFF" w:themeFill="background1"/>
          </w:tcPr>
          <w:p w14:paraId="656E87A1" w14:textId="77777777" w:rsidR="00887129" w:rsidRPr="00887129" w:rsidRDefault="00887129" w:rsidP="00002D71">
            <w:pPr>
              <w:jc w:val="center"/>
              <w:rPr>
                <w:b/>
                <w:bCs/>
                <w:sz w:val="22"/>
                <w:szCs w:val="22"/>
              </w:rPr>
            </w:pPr>
            <w:r w:rsidRPr="00887129">
              <w:rPr>
                <w:b/>
                <w:bCs/>
                <w:sz w:val="22"/>
                <w:szCs w:val="22"/>
              </w:rPr>
              <w:t>FY 2021</w:t>
            </w:r>
          </w:p>
        </w:tc>
        <w:tc>
          <w:tcPr>
            <w:tcW w:w="996" w:type="dxa"/>
            <w:shd w:val="clear" w:color="auto" w:fill="FFFFFF" w:themeFill="background1"/>
          </w:tcPr>
          <w:p w14:paraId="5C561489" w14:textId="77777777" w:rsidR="00887129" w:rsidRPr="00887129" w:rsidRDefault="00887129" w:rsidP="00002D71">
            <w:pPr>
              <w:jc w:val="center"/>
              <w:rPr>
                <w:b/>
                <w:bCs/>
                <w:sz w:val="22"/>
                <w:szCs w:val="22"/>
              </w:rPr>
            </w:pPr>
            <w:r w:rsidRPr="00887129">
              <w:rPr>
                <w:b/>
                <w:bCs/>
                <w:sz w:val="22"/>
                <w:szCs w:val="22"/>
              </w:rPr>
              <w:t>FY 2020</w:t>
            </w:r>
          </w:p>
        </w:tc>
        <w:tc>
          <w:tcPr>
            <w:tcW w:w="1068" w:type="dxa"/>
            <w:shd w:val="clear" w:color="auto" w:fill="FFFFFF" w:themeFill="background1"/>
          </w:tcPr>
          <w:p w14:paraId="6D5EBEEF" w14:textId="77777777" w:rsidR="00887129" w:rsidRPr="00887129" w:rsidRDefault="00887129" w:rsidP="00002D71">
            <w:pPr>
              <w:jc w:val="center"/>
              <w:rPr>
                <w:b/>
                <w:bCs/>
                <w:sz w:val="22"/>
                <w:szCs w:val="22"/>
              </w:rPr>
            </w:pPr>
            <w:r w:rsidRPr="00887129">
              <w:rPr>
                <w:b/>
                <w:bCs/>
                <w:sz w:val="22"/>
                <w:szCs w:val="22"/>
              </w:rPr>
              <w:t>FY 2019</w:t>
            </w:r>
          </w:p>
        </w:tc>
        <w:tc>
          <w:tcPr>
            <w:tcW w:w="1068" w:type="dxa"/>
            <w:shd w:val="clear" w:color="auto" w:fill="FFFFFF" w:themeFill="background1"/>
          </w:tcPr>
          <w:p w14:paraId="66CFB7A1" w14:textId="77777777" w:rsidR="00887129" w:rsidRPr="00887129" w:rsidRDefault="00887129" w:rsidP="00002D71">
            <w:pPr>
              <w:jc w:val="center"/>
              <w:rPr>
                <w:b/>
                <w:bCs/>
                <w:sz w:val="22"/>
                <w:szCs w:val="22"/>
              </w:rPr>
            </w:pPr>
            <w:r w:rsidRPr="00887129">
              <w:rPr>
                <w:b/>
                <w:bCs/>
                <w:sz w:val="22"/>
                <w:szCs w:val="22"/>
              </w:rPr>
              <w:t>FY 2018</w:t>
            </w:r>
          </w:p>
        </w:tc>
      </w:tr>
      <w:tr w:rsidR="00887129" w:rsidRPr="000A1781" w14:paraId="2E91CA9D" w14:textId="77777777" w:rsidTr="00887129">
        <w:tc>
          <w:tcPr>
            <w:tcW w:w="2671" w:type="dxa"/>
            <w:shd w:val="clear" w:color="auto" w:fill="FFFFFF" w:themeFill="background1"/>
          </w:tcPr>
          <w:p w14:paraId="14BE3C2F" w14:textId="2E4CC8FA" w:rsidR="00887129" w:rsidRPr="000A1781" w:rsidRDefault="00887129" w:rsidP="00002D71">
            <w:pPr>
              <w:jc w:val="center"/>
              <w:rPr>
                <w:sz w:val="22"/>
                <w:szCs w:val="22"/>
              </w:rPr>
            </w:pPr>
            <w:r w:rsidRPr="00887129">
              <w:rPr>
                <w:b/>
                <w:bCs/>
                <w:sz w:val="22"/>
                <w:szCs w:val="22"/>
              </w:rPr>
              <w:t>Percent Penalty Retained (SAMM 12)</w:t>
            </w:r>
          </w:p>
        </w:tc>
        <w:tc>
          <w:tcPr>
            <w:tcW w:w="1109" w:type="dxa"/>
          </w:tcPr>
          <w:p w14:paraId="47352B6F" w14:textId="0BF6C4E2" w:rsidR="00887129" w:rsidRPr="000A1781" w:rsidRDefault="00887129" w:rsidP="00002D71">
            <w:pPr>
              <w:jc w:val="center"/>
              <w:rPr>
                <w:sz w:val="22"/>
                <w:szCs w:val="22"/>
              </w:rPr>
            </w:pPr>
            <w:r w:rsidRPr="000A1781">
              <w:rPr>
                <w:sz w:val="22"/>
                <w:szCs w:val="22"/>
              </w:rPr>
              <w:t>94.50%</w:t>
            </w:r>
          </w:p>
        </w:tc>
        <w:tc>
          <w:tcPr>
            <w:tcW w:w="990" w:type="dxa"/>
            <w:shd w:val="clear" w:color="auto" w:fill="FFFFFF" w:themeFill="background1"/>
          </w:tcPr>
          <w:p w14:paraId="6117A1C7" w14:textId="2DEA00A1" w:rsidR="00887129" w:rsidRPr="000A1781" w:rsidRDefault="00887129" w:rsidP="00002D71">
            <w:pPr>
              <w:rPr>
                <w:sz w:val="22"/>
                <w:szCs w:val="22"/>
              </w:rPr>
            </w:pPr>
            <w:r w:rsidRPr="000A1781">
              <w:rPr>
                <w:sz w:val="22"/>
                <w:szCs w:val="22"/>
              </w:rPr>
              <w:t>95.93%</w:t>
            </w:r>
          </w:p>
        </w:tc>
        <w:tc>
          <w:tcPr>
            <w:tcW w:w="1003" w:type="dxa"/>
          </w:tcPr>
          <w:p w14:paraId="62A62CCD" w14:textId="77777777" w:rsidR="00887129" w:rsidRPr="000A1781" w:rsidRDefault="00887129" w:rsidP="00002D71">
            <w:pPr>
              <w:jc w:val="center"/>
              <w:rPr>
                <w:sz w:val="22"/>
                <w:szCs w:val="22"/>
              </w:rPr>
            </w:pPr>
            <w:r w:rsidRPr="000A1781">
              <w:rPr>
                <w:sz w:val="22"/>
                <w:szCs w:val="22"/>
              </w:rPr>
              <w:t>93%</w:t>
            </w:r>
          </w:p>
        </w:tc>
        <w:tc>
          <w:tcPr>
            <w:tcW w:w="996" w:type="dxa"/>
          </w:tcPr>
          <w:p w14:paraId="1C11A8B0" w14:textId="77777777" w:rsidR="00887129" w:rsidRPr="000A1781" w:rsidRDefault="00887129" w:rsidP="00002D71">
            <w:pPr>
              <w:jc w:val="center"/>
              <w:rPr>
                <w:sz w:val="22"/>
                <w:szCs w:val="22"/>
              </w:rPr>
            </w:pPr>
            <w:r w:rsidRPr="000A1781">
              <w:rPr>
                <w:sz w:val="22"/>
                <w:szCs w:val="22"/>
              </w:rPr>
              <w:t>74%</w:t>
            </w:r>
          </w:p>
        </w:tc>
        <w:tc>
          <w:tcPr>
            <w:tcW w:w="1068" w:type="dxa"/>
          </w:tcPr>
          <w:p w14:paraId="6C813736" w14:textId="77777777" w:rsidR="00887129" w:rsidRPr="000A1781" w:rsidRDefault="00887129" w:rsidP="00002D71">
            <w:pPr>
              <w:jc w:val="center"/>
              <w:rPr>
                <w:sz w:val="22"/>
                <w:szCs w:val="22"/>
              </w:rPr>
            </w:pPr>
            <w:r w:rsidRPr="000A1781">
              <w:rPr>
                <w:sz w:val="22"/>
                <w:szCs w:val="22"/>
              </w:rPr>
              <w:t>84%</w:t>
            </w:r>
          </w:p>
        </w:tc>
        <w:tc>
          <w:tcPr>
            <w:tcW w:w="1068" w:type="dxa"/>
          </w:tcPr>
          <w:p w14:paraId="342FF333" w14:textId="77777777" w:rsidR="00887129" w:rsidRPr="000A1781" w:rsidRDefault="00887129" w:rsidP="00002D71">
            <w:pPr>
              <w:jc w:val="center"/>
              <w:rPr>
                <w:sz w:val="22"/>
                <w:szCs w:val="22"/>
              </w:rPr>
            </w:pPr>
            <w:r w:rsidRPr="000A1781">
              <w:rPr>
                <w:sz w:val="22"/>
                <w:szCs w:val="22"/>
              </w:rPr>
              <w:t>90%</w:t>
            </w:r>
          </w:p>
        </w:tc>
      </w:tr>
    </w:tbl>
    <w:p w14:paraId="62A3AE33" w14:textId="250B5C28" w:rsidR="00DA2236" w:rsidRPr="000A1781" w:rsidRDefault="00DA2236" w:rsidP="005172C8">
      <w:pPr>
        <w:pStyle w:val="ListParagraph"/>
        <w:tabs>
          <w:tab w:val="left" w:pos="1170"/>
        </w:tabs>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lastRenderedPageBreak/>
        <w:t>If and/or when changes are made to the original penalties, NM OHSB documents these changes and enters them into OIS and their electronic casefiles.</w:t>
      </w:r>
    </w:p>
    <w:p w14:paraId="4F520964" w14:textId="77777777" w:rsidR="00FF5FE3" w:rsidRPr="000A1781" w:rsidRDefault="00FF5FE3" w:rsidP="005172C8">
      <w:pPr>
        <w:pStyle w:val="ListParagraph"/>
        <w:tabs>
          <w:tab w:val="left" w:pos="1170"/>
        </w:tabs>
        <w:spacing w:line="240" w:lineRule="auto"/>
        <w:ind w:left="1620"/>
        <w:rPr>
          <w:rFonts w:ascii="Times New Roman" w:hAnsi="Times New Roman" w:cs="Times New Roman"/>
          <w:sz w:val="24"/>
          <w:szCs w:val="24"/>
        </w:rPr>
      </w:pPr>
    </w:p>
    <w:p w14:paraId="228C3952" w14:textId="2A685E01" w:rsidR="000B138F" w:rsidRPr="000A1781" w:rsidRDefault="000B138F" w:rsidP="00B779B7">
      <w:pPr>
        <w:pStyle w:val="ListParagraph"/>
        <w:numPr>
          <w:ilvl w:val="0"/>
          <w:numId w:val="12"/>
        </w:numPr>
        <w:tabs>
          <w:tab w:val="left" w:pos="1170"/>
        </w:tabs>
        <w:spacing w:line="240" w:lineRule="auto"/>
        <w:rPr>
          <w:rFonts w:ascii="Times New Roman" w:hAnsi="Times New Roman" w:cs="Times New Roman"/>
          <w:sz w:val="24"/>
          <w:szCs w:val="24"/>
        </w:rPr>
      </w:pPr>
      <w:r w:rsidRPr="000A1781">
        <w:rPr>
          <w:rFonts w:ascii="Times New Roman" w:hAnsi="Times New Roman" w:cs="Times New Roman"/>
          <w:sz w:val="24"/>
          <w:szCs w:val="24"/>
        </w:rPr>
        <w:t>Formal Review of Citations</w:t>
      </w:r>
    </w:p>
    <w:p w14:paraId="2AF02469" w14:textId="77777777" w:rsidR="00FE7A50" w:rsidRPr="000A1781" w:rsidRDefault="00FE7A50" w:rsidP="00002D71">
      <w:pPr>
        <w:pStyle w:val="ListParagraph"/>
        <w:tabs>
          <w:tab w:val="left" w:pos="1170"/>
        </w:tabs>
        <w:spacing w:line="240" w:lineRule="auto"/>
        <w:ind w:left="1620"/>
        <w:rPr>
          <w:rFonts w:ascii="Times New Roman" w:hAnsi="Times New Roman" w:cs="Times New Roman"/>
          <w:sz w:val="24"/>
          <w:szCs w:val="24"/>
        </w:rPr>
      </w:pPr>
    </w:p>
    <w:p w14:paraId="21C5344A" w14:textId="5B1765A9" w:rsidR="00FE7A50" w:rsidRPr="000A1781" w:rsidRDefault="00393385" w:rsidP="00002D71">
      <w:pPr>
        <w:pStyle w:val="ListParagraph"/>
        <w:tabs>
          <w:tab w:val="left" w:pos="1170"/>
        </w:tabs>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Employers have the right to contest citations</w:t>
      </w:r>
      <w:r w:rsidR="00D61DF5" w:rsidRPr="000A1781">
        <w:rPr>
          <w:rFonts w:ascii="Times New Roman" w:hAnsi="Times New Roman" w:cs="Times New Roman"/>
          <w:sz w:val="24"/>
          <w:szCs w:val="24"/>
        </w:rPr>
        <w:t xml:space="preserve"> within a given time frame of 15 days after </w:t>
      </w:r>
      <w:r w:rsidRPr="000A1781">
        <w:rPr>
          <w:rFonts w:ascii="Times New Roman" w:hAnsi="Times New Roman" w:cs="Times New Roman"/>
          <w:sz w:val="24"/>
          <w:szCs w:val="24"/>
        </w:rPr>
        <w:t xml:space="preserve">the </w:t>
      </w:r>
      <w:r w:rsidR="00D61DF5" w:rsidRPr="000A1781">
        <w:rPr>
          <w:rFonts w:ascii="Times New Roman" w:hAnsi="Times New Roman" w:cs="Times New Roman"/>
          <w:sz w:val="24"/>
          <w:szCs w:val="24"/>
        </w:rPr>
        <w:t>receipt</w:t>
      </w:r>
      <w:r w:rsidRPr="000A1781">
        <w:rPr>
          <w:rFonts w:ascii="Times New Roman" w:hAnsi="Times New Roman" w:cs="Times New Roman"/>
          <w:sz w:val="24"/>
          <w:szCs w:val="24"/>
        </w:rPr>
        <w:t xml:space="preserve"> date</w:t>
      </w:r>
      <w:r w:rsidR="00D61DF5" w:rsidRPr="000A1781">
        <w:rPr>
          <w:rFonts w:ascii="Times New Roman" w:hAnsi="Times New Roman" w:cs="Times New Roman"/>
          <w:sz w:val="24"/>
          <w:szCs w:val="24"/>
        </w:rPr>
        <w:t xml:space="preserve">. </w:t>
      </w:r>
      <w:r w:rsidR="008712B1" w:rsidRPr="000A1781">
        <w:rPr>
          <w:rFonts w:ascii="Times New Roman" w:hAnsi="Times New Roman" w:cs="Times New Roman"/>
          <w:sz w:val="24"/>
          <w:szCs w:val="24"/>
        </w:rPr>
        <w:t>Once an employer, employee, or employee representative has contested a citation, a settlement can be considered at the Informal Administrative Review level. In accordance with OHS Regulation 11.5.5.306.D</w:t>
      </w:r>
      <w:r w:rsidR="005548FE" w:rsidRPr="000A1781">
        <w:rPr>
          <w:rFonts w:ascii="Times New Roman" w:hAnsi="Times New Roman" w:cs="Times New Roman"/>
          <w:sz w:val="24"/>
          <w:szCs w:val="24"/>
        </w:rPr>
        <w:t>(1)(a), the Bureau has 90 days to enter into a formal settlement agreement or file and administrative complaint with the New Mexico Occupational Health and Safety Review Commission (NMOHSRC</w:t>
      </w:r>
      <w:r w:rsidR="0005243F" w:rsidRPr="000A1781">
        <w:rPr>
          <w:rFonts w:ascii="Times New Roman" w:hAnsi="Times New Roman" w:cs="Times New Roman"/>
          <w:sz w:val="24"/>
          <w:szCs w:val="24"/>
        </w:rPr>
        <w:t>). The Bureau Chief or his designee may conduct the Informal Administrative Review.</w:t>
      </w:r>
      <w:r w:rsidR="00FE7A50" w:rsidRPr="000A1781">
        <w:rPr>
          <w:rFonts w:ascii="Times New Roman" w:hAnsi="Times New Roman" w:cs="Times New Roman"/>
          <w:sz w:val="24"/>
          <w:szCs w:val="24"/>
        </w:rPr>
        <w:t xml:space="preserve"> </w:t>
      </w:r>
      <w:r w:rsidR="0005243F" w:rsidRPr="000A1781">
        <w:rPr>
          <w:rFonts w:ascii="Times New Roman" w:hAnsi="Times New Roman" w:cs="Times New Roman"/>
          <w:sz w:val="24"/>
          <w:szCs w:val="24"/>
        </w:rPr>
        <w:t xml:space="preserve">These include changes made through formal settlement, OHS Review Commission decisions, and court decisions. </w:t>
      </w:r>
    </w:p>
    <w:p w14:paraId="64E02F78" w14:textId="77777777" w:rsidR="00FE7A50" w:rsidRPr="000A1781" w:rsidRDefault="00FE7A50" w:rsidP="00002D71">
      <w:pPr>
        <w:pStyle w:val="ListParagraph"/>
        <w:tabs>
          <w:tab w:val="left" w:pos="1170"/>
        </w:tabs>
        <w:spacing w:line="240" w:lineRule="auto"/>
        <w:ind w:left="1620"/>
        <w:rPr>
          <w:rFonts w:ascii="Times New Roman" w:hAnsi="Times New Roman" w:cs="Times New Roman"/>
          <w:sz w:val="24"/>
          <w:szCs w:val="24"/>
        </w:rPr>
      </w:pPr>
    </w:p>
    <w:p w14:paraId="77FE8F7C" w14:textId="29D06FCE" w:rsidR="0005243F" w:rsidRPr="000A1781" w:rsidRDefault="00FE7A50" w:rsidP="00002D71">
      <w:pPr>
        <w:pStyle w:val="ListParagraph"/>
        <w:tabs>
          <w:tab w:val="left" w:pos="1170"/>
        </w:tabs>
        <w:spacing w:line="240" w:lineRule="auto"/>
        <w:ind w:left="1620"/>
        <w:rPr>
          <w:rFonts w:ascii="Times New Roman" w:hAnsi="Times New Roman" w:cs="Times New Roman"/>
          <w:sz w:val="24"/>
          <w:szCs w:val="24"/>
        </w:rPr>
      </w:pPr>
      <w:r w:rsidRPr="000A1781">
        <w:rPr>
          <w:rFonts w:ascii="Times New Roman" w:hAnsi="Times New Roman" w:cs="Times New Roman"/>
          <w:sz w:val="24"/>
          <w:szCs w:val="24"/>
        </w:rPr>
        <w:t>The NMOHSRC is</w:t>
      </w:r>
      <w:r w:rsidR="006D6363" w:rsidRPr="000A1781">
        <w:rPr>
          <w:rFonts w:ascii="Times New Roman" w:hAnsi="Times New Roman" w:cs="Times New Roman"/>
          <w:sz w:val="24"/>
          <w:szCs w:val="24"/>
        </w:rPr>
        <w:t xml:space="preserve"> made up on three </w:t>
      </w:r>
      <w:r w:rsidR="004A5E2A" w:rsidRPr="000A1781">
        <w:rPr>
          <w:rFonts w:ascii="Times New Roman" w:hAnsi="Times New Roman" w:cs="Times New Roman"/>
          <w:sz w:val="24"/>
          <w:szCs w:val="24"/>
        </w:rPr>
        <w:t>members</w:t>
      </w:r>
      <w:r w:rsidR="006D6363" w:rsidRPr="000A1781">
        <w:rPr>
          <w:rFonts w:ascii="Times New Roman" w:hAnsi="Times New Roman" w:cs="Times New Roman"/>
          <w:sz w:val="24"/>
          <w:szCs w:val="24"/>
        </w:rPr>
        <w:t xml:space="preserve"> appointed by the Governor for </w:t>
      </w:r>
      <w:r w:rsidR="00860055" w:rsidRPr="000A1781">
        <w:rPr>
          <w:rFonts w:ascii="Times New Roman" w:hAnsi="Times New Roman" w:cs="Times New Roman"/>
          <w:sz w:val="24"/>
          <w:szCs w:val="24"/>
        </w:rPr>
        <w:t>six-year</w:t>
      </w:r>
      <w:r w:rsidR="006D6363" w:rsidRPr="000A1781">
        <w:rPr>
          <w:rFonts w:ascii="Times New Roman" w:hAnsi="Times New Roman" w:cs="Times New Roman"/>
          <w:sz w:val="24"/>
          <w:szCs w:val="24"/>
        </w:rPr>
        <w:t xml:space="preserve"> terms. There </w:t>
      </w:r>
      <w:r w:rsidR="00FC257A" w:rsidRPr="000A1781">
        <w:rPr>
          <w:rFonts w:ascii="Times New Roman" w:hAnsi="Times New Roman" w:cs="Times New Roman"/>
          <w:sz w:val="24"/>
          <w:szCs w:val="24"/>
        </w:rPr>
        <w:t xml:space="preserve">is also a Commission Secretary who handles all administrative matters </w:t>
      </w:r>
      <w:r w:rsidR="006A0977" w:rsidRPr="000A1781">
        <w:rPr>
          <w:rFonts w:ascii="Times New Roman" w:hAnsi="Times New Roman" w:cs="Times New Roman"/>
          <w:sz w:val="24"/>
          <w:szCs w:val="24"/>
        </w:rPr>
        <w:t xml:space="preserve">to include correspondence and scheduling. The NMOHSRC meets on an as-needed basis. All settlement agreements </w:t>
      </w:r>
      <w:r w:rsidR="004A5E2A" w:rsidRPr="000A1781">
        <w:rPr>
          <w:rFonts w:ascii="Times New Roman" w:hAnsi="Times New Roman" w:cs="Times New Roman"/>
          <w:sz w:val="24"/>
          <w:szCs w:val="24"/>
        </w:rPr>
        <w:t>made after contest are sent to the NMOHSRC for approval</w:t>
      </w:r>
      <w:r w:rsidR="000F5D25" w:rsidRPr="000A1781">
        <w:rPr>
          <w:rFonts w:ascii="Times New Roman" w:hAnsi="Times New Roman" w:cs="Times New Roman"/>
          <w:sz w:val="24"/>
          <w:szCs w:val="24"/>
        </w:rPr>
        <w:t>.</w:t>
      </w:r>
    </w:p>
    <w:p w14:paraId="268550BC" w14:textId="6DA2AB12" w:rsidR="000F5D25" w:rsidRPr="000A1781" w:rsidRDefault="000F5D25" w:rsidP="000D1AE2">
      <w:pPr>
        <w:pStyle w:val="ListParagraph"/>
        <w:tabs>
          <w:tab w:val="left" w:pos="1170"/>
        </w:tabs>
        <w:spacing w:after="0" w:line="240" w:lineRule="auto"/>
        <w:ind w:left="1620"/>
        <w:rPr>
          <w:rFonts w:ascii="Times New Roman" w:hAnsi="Times New Roman" w:cs="Times New Roman"/>
          <w:sz w:val="24"/>
          <w:szCs w:val="24"/>
        </w:rPr>
      </w:pPr>
      <w:r w:rsidRPr="000A1781">
        <w:rPr>
          <w:rFonts w:ascii="Times New Roman" w:hAnsi="Times New Roman" w:cs="Times New Roman"/>
          <w:sz w:val="24"/>
          <w:szCs w:val="24"/>
        </w:rPr>
        <w:t xml:space="preserve">The Office of General Counsel provided legal representations for the NM OHSB. The attorneys </w:t>
      </w:r>
      <w:r w:rsidR="00CC2863" w:rsidRPr="000A1781">
        <w:rPr>
          <w:rFonts w:ascii="Times New Roman" w:hAnsi="Times New Roman" w:cs="Times New Roman"/>
          <w:sz w:val="24"/>
          <w:szCs w:val="24"/>
        </w:rPr>
        <w:t>are based in</w:t>
      </w:r>
      <w:r w:rsidRPr="000A1781">
        <w:rPr>
          <w:rFonts w:ascii="Times New Roman" w:hAnsi="Times New Roman" w:cs="Times New Roman"/>
          <w:sz w:val="24"/>
          <w:szCs w:val="24"/>
        </w:rPr>
        <w:t xml:space="preserve"> Santa Fe and Albuquerque, NM. It is common for an attorney to work closely with the compliance staff</w:t>
      </w:r>
      <w:r w:rsidR="00CD6E4D" w:rsidRPr="000A1781">
        <w:rPr>
          <w:rFonts w:ascii="Times New Roman" w:hAnsi="Times New Roman" w:cs="Times New Roman"/>
          <w:sz w:val="24"/>
          <w:szCs w:val="24"/>
        </w:rPr>
        <w:t xml:space="preserve"> during the preparation of a case. NM OSHB staff have a good working relationship</w:t>
      </w:r>
      <w:r w:rsidR="00F13DB1" w:rsidRPr="000A1781">
        <w:rPr>
          <w:rFonts w:ascii="Times New Roman" w:hAnsi="Times New Roman" w:cs="Times New Roman"/>
          <w:sz w:val="24"/>
          <w:szCs w:val="24"/>
        </w:rPr>
        <w:t xml:space="preserve"> with the attorneys and are knowledgeable o</w:t>
      </w:r>
      <w:r w:rsidR="00CC2863" w:rsidRPr="000A1781">
        <w:rPr>
          <w:rFonts w:ascii="Times New Roman" w:hAnsi="Times New Roman" w:cs="Times New Roman"/>
          <w:sz w:val="24"/>
          <w:szCs w:val="24"/>
        </w:rPr>
        <w:t>f</w:t>
      </w:r>
      <w:r w:rsidR="00F13DB1" w:rsidRPr="000A1781">
        <w:rPr>
          <w:rFonts w:ascii="Times New Roman" w:hAnsi="Times New Roman" w:cs="Times New Roman"/>
          <w:sz w:val="24"/>
          <w:szCs w:val="24"/>
        </w:rPr>
        <w:t xml:space="preserve"> OSHA requirements</w:t>
      </w:r>
      <w:r w:rsidR="00CC2863" w:rsidRPr="000A1781">
        <w:rPr>
          <w:rFonts w:ascii="Times New Roman" w:hAnsi="Times New Roman" w:cs="Times New Roman"/>
          <w:sz w:val="24"/>
          <w:szCs w:val="24"/>
        </w:rPr>
        <w:t xml:space="preserve"> of a legally sufficient case.</w:t>
      </w:r>
    </w:p>
    <w:p w14:paraId="320A9887" w14:textId="77777777" w:rsidR="003901EF" w:rsidRPr="000A1781" w:rsidRDefault="003901EF" w:rsidP="000D1AE2">
      <w:pPr>
        <w:pStyle w:val="ListParagraph"/>
        <w:tabs>
          <w:tab w:val="left" w:pos="1170"/>
        </w:tabs>
        <w:spacing w:after="0" w:line="240" w:lineRule="auto"/>
        <w:ind w:left="1620"/>
        <w:rPr>
          <w:rFonts w:ascii="Times New Roman" w:hAnsi="Times New Roman" w:cs="Times New Roman"/>
          <w:sz w:val="24"/>
          <w:szCs w:val="24"/>
        </w:rPr>
      </w:pPr>
    </w:p>
    <w:p w14:paraId="3ACDBC19" w14:textId="4B79DDB9" w:rsidR="001567A4" w:rsidRPr="000A1781" w:rsidRDefault="000D6275" w:rsidP="000D1AE2">
      <w:pPr>
        <w:ind w:left="1170" w:hanging="450"/>
        <w:rPr>
          <w:b/>
          <w:caps/>
        </w:rPr>
      </w:pPr>
      <w:bookmarkStart w:id="7" w:name="_Hlk158277294"/>
      <w:r w:rsidRPr="000A1781">
        <w:rPr>
          <w:b/>
          <w:smallCaps/>
        </w:rPr>
        <w:t xml:space="preserve">  </w:t>
      </w:r>
      <w:r w:rsidR="001567A4" w:rsidRPr="000A1781">
        <w:rPr>
          <w:b/>
          <w:smallCaps/>
        </w:rPr>
        <w:t xml:space="preserve">4.    </w:t>
      </w:r>
      <w:r w:rsidRPr="000A1781">
        <w:rPr>
          <w:b/>
          <w:smallCaps/>
        </w:rPr>
        <w:t xml:space="preserve"> </w:t>
      </w:r>
      <w:r w:rsidR="001567A4" w:rsidRPr="000A1781">
        <w:rPr>
          <w:b/>
          <w:caps/>
        </w:rPr>
        <w:t>Standards and Federal Program Change (</w:t>
      </w:r>
      <w:r w:rsidR="001567A4" w:rsidRPr="000A1781">
        <w:rPr>
          <w:b/>
        </w:rPr>
        <w:t>FPC</w:t>
      </w:r>
      <w:r w:rsidR="001567A4" w:rsidRPr="000A1781">
        <w:rPr>
          <w:b/>
          <w:caps/>
        </w:rPr>
        <w:t>) Adoption</w:t>
      </w:r>
    </w:p>
    <w:p w14:paraId="2C21D343" w14:textId="77777777" w:rsidR="00644095" w:rsidRPr="000A1781" w:rsidRDefault="00644095" w:rsidP="000D1AE2">
      <w:pPr>
        <w:rPr>
          <w:b/>
          <w:bCs/>
        </w:rPr>
      </w:pPr>
    </w:p>
    <w:p w14:paraId="03C48714" w14:textId="0CBA573F" w:rsidR="00F32E71" w:rsidRDefault="00644095" w:rsidP="00F32E71">
      <w:pPr>
        <w:ind w:left="1170"/>
      </w:pPr>
      <w:r w:rsidRPr="000A1781">
        <w:t xml:space="preserve">The State Plan continues to be timely with responses to federal program changes, adoption </w:t>
      </w:r>
      <w:r w:rsidR="00F32E71">
        <w:t xml:space="preserve">  </w:t>
      </w:r>
    </w:p>
    <w:p w14:paraId="28B28EDA" w14:textId="2E5D257D" w:rsidR="00644095" w:rsidRPr="000A1781" w:rsidRDefault="00644095" w:rsidP="00F32E71">
      <w:pPr>
        <w:ind w:left="1170"/>
      </w:pPr>
      <w:r w:rsidRPr="000A1781">
        <w:t xml:space="preserve">of </w:t>
      </w:r>
      <w:r w:rsidR="006259D9" w:rsidRPr="000A1781">
        <w:t>standards and</w:t>
      </w:r>
      <w:r w:rsidRPr="000A1781">
        <w:t xml:space="preserve"> notifying OSHA of any major state-initiated changes.</w:t>
      </w:r>
    </w:p>
    <w:p w14:paraId="2734B026" w14:textId="77777777" w:rsidR="003B70DE" w:rsidRPr="000A1781" w:rsidRDefault="003B70DE" w:rsidP="00002D71"/>
    <w:p w14:paraId="4E1A9FFA" w14:textId="7FF64367" w:rsidR="00447EB8" w:rsidRPr="000A1781" w:rsidRDefault="00644095" w:rsidP="00B779B7">
      <w:pPr>
        <w:pStyle w:val="ListParagraph"/>
        <w:numPr>
          <w:ilvl w:val="0"/>
          <w:numId w:val="11"/>
        </w:numPr>
        <w:spacing w:after="0" w:line="240" w:lineRule="auto"/>
        <w:rPr>
          <w:rFonts w:ascii="Times New Roman" w:hAnsi="Times New Roman" w:cs="Times New Roman"/>
          <w:sz w:val="24"/>
          <w:szCs w:val="24"/>
        </w:rPr>
      </w:pPr>
      <w:r w:rsidRPr="000A1781">
        <w:rPr>
          <w:rFonts w:ascii="Times New Roman" w:hAnsi="Times New Roman" w:cs="Times New Roman"/>
          <w:sz w:val="24"/>
          <w:szCs w:val="24"/>
        </w:rPr>
        <w:t xml:space="preserve">Standards Adoption </w:t>
      </w:r>
    </w:p>
    <w:p w14:paraId="20351758" w14:textId="77777777" w:rsidR="009867FC" w:rsidRPr="000A1781" w:rsidRDefault="009867FC" w:rsidP="00002D71">
      <w:pPr>
        <w:pStyle w:val="ListParagraph"/>
        <w:spacing w:after="0" w:line="240" w:lineRule="auto"/>
        <w:ind w:left="1530"/>
        <w:rPr>
          <w:rFonts w:ascii="Times New Roman" w:hAnsi="Times New Roman" w:cs="Times New Roman"/>
          <w:sz w:val="24"/>
          <w:szCs w:val="24"/>
        </w:rPr>
      </w:pPr>
    </w:p>
    <w:p w14:paraId="4CED7E95" w14:textId="77777777" w:rsidR="009867FC" w:rsidRPr="000A1781" w:rsidRDefault="009867FC" w:rsidP="00002D71">
      <w:pPr>
        <w:pStyle w:val="ListParagraph"/>
        <w:spacing w:line="240" w:lineRule="auto"/>
        <w:ind w:left="1530"/>
        <w:rPr>
          <w:rFonts w:ascii="Times New Roman" w:hAnsi="Times New Roman" w:cs="Times New Roman"/>
          <w:sz w:val="24"/>
          <w:szCs w:val="24"/>
        </w:rPr>
      </w:pPr>
      <w:r w:rsidRPr="000A1781">
        <w:rPr>
          <w:rFonts w:ascii="Times New Roman" w:hAnsi="Times New Roman" w:cs="Times New Roman"/>
          <w:sz w:val="24"/>
          <w:szCs w:val="24"/>
        </w:rPr>
        <w:t xml:space="preserve">In accordance with 29 CFR 1902, State Plans are required to adopt standards and federal program changes within a six-month time frame. State Plans that do not adopt identical standards and procedures must establish guidelines which are "at least as effective as" the federal rules. State Plans also have the option to promulgate standards covering hazards not addressed by federal standards. 21 OHSB regulations provide that amendments to OSHA standards that have been adopted by the New Mexico Environmental Improvement Board (EIB) are considered “adopted by reference” without conducting a hearing. Any new OSHA standards or State-initiated standards proposed for adoption require a public hearing. </w:t>
      </w:r>
    </w:p>
    <w:p w14:paraId="4E1E0760" w14:textId="77777777" w:rsidR="009867FC" w:rsidRPr="000A1781" w:rsidRDefault="009867FC" w:rsidP="00002D71">
      <w:pPr>
        <w:pStyle w:val="ListParagraph"/>
        <w:spacing w:line="240" w:lineRule="auto"/>
        <w:ind w:left="1530"/>
        <w:rPr>
          <w:rFonts w:ascii="Times New Roman" w:hAnsi="Times New Roman" w:cs="Times New Roman"/>
          <w:sz w:val="24"/>
          <w:szCs w:val="24"/>
        </w:rPr>
      </w:pPr>
    </w:p>
    <w:p w14:paraId="19766162" w14:textId="6FE8E76B" w:rsidR="003B5742" w:rsidRPr="000A1781" w:rsidRDefault="003B5742" w:rsidP="003B5742">
      <w:pPr>
        <w:pStyle w:val="ListParagraph"/>
        <w:spacing w:line="240" w:lineRule="auto"/>
        <w:ind w:left="1530"/>
        <w:rPr>
          <w:rFonts w:ascii="Times New Roman" w:hAnsi="Times New Roman" w:cs="Times New Roman"/>
          <w:sz w:val="24"/>
          <w:szCs w:val="24"/>
        </w:rPr>
      </w:pPr>
      <w:r w:rsidRPr="000A1781">
        <w:rPr>
          <w:rFonts w:ascii="Times New Roman" w:hAnsi="Times New Roman" w:cs="Times New Roman"/>
          <w:sz w:val="24"/>
          <w:szCs w:val="24"/>
        </w:rPr>
        <w:t>During this evaluation period, OSHA had three (3) final rules. OHSB adopted one (1) identical to federal OSHA, the other two (2) rules are not identical to federal OSHA including rules related to Covid-19 and penalties.  The adopted rule was transmitted prior to the due date in two (2) instances, and just after the due date in one (1) instance.  The table below identifies the OSHA-initiated standards.</w:t>
      </w:r>
    </w:p>
    <w:p w14:paraId="6EA15812" w14:textId="77777777" w:rsidR="00000AA9" w:rsidRPr="000A1781" w:rsidRDefault="00000AA9" w:rsidP="00002D71">
      <w:pPr>
        <w:pStyle w:val="ListParagraph"/>
        <w:spacing w:line="240" w:lineRule="auto"/>
        <w:ind w:left="1530"/>
        <w:rPr>
          <w:rFonts w:ascii="Times New Roman" w:hAnsi="Times New Roman" w:cs="Times New Roman"/>
          <w:sz w:val="24"/>
          <w:szCs w:val="24"/>
        </w:rPr>
      </w:pPr>
    </w:p>
    <w:p w14:paraId="4EF9E3F6" w14:textId="77777777" w:rsidR="009867FC" w:rsidRPr="000A1781" w:rsidRDefault="009867FC" w:rsidP="00002D71">
      <w:pPr>
        <w:ind w:left="1530" w:right="270"/>
        <w:jc w:val="center"/>
        <w:rPr>
          <w:b/>
        </w:rPr>
      </w:pPr>
      <w:r w:rsidRPr="000A1781">
        <w:rPr>
          <w:b/>
          <w:bCs/>
        </w:rPr>
        <w:lastRenderedPageBreak/>
        <w:t>Table A</w:t>
      </w:r>
    </w:p>
    <w:p w14:paraId="5EB660A0" w14:textId="2C091937" w:rsidR="00810142" w:rsidRDefault="009867FC" w:rsidP="00810142">
      <w:pPr>
        <w:tabs>
          <w:tab w:val="left" w:pos="8367"/>
        </w:tabs>
        <w:ind w:left="1530"/>
        <w:jc w:val="center"/>
        <w:rPr>
          <w:b/>
          <w:bCs/>
        </w:rPr>
      </w:pPr>
      <w:r w:rsidRPr="000A1781">
        <w:rPr>
          <w:b/>
          <w:bCs/>
        </w:rPr>
        <w:t xml:space="preserve">Status of FY </w:t>
      </w:r>
      <w:r w:rsidR="003B5742" w:rsidRPr="000A1781">
        <w:rPr>
          <w:b/>
          <w:bCs/>
        </w:rPr>
        <w:t>2022 and FY 2023 Federal Standards Where Adoption Was Required</w:t>
      </w:r>
    </w:p>
    <w:p w14:paraId="590CA226" w14:textId="77777777" w:rsidR="0033106F" w:rsidRDefault="0033106F" w:rsidP="00810142">
      <w:pPr>
        <w:tabs>
          <w:tab w:val="left" w:pos="8367"/>
        </w:tabs>
        <w:ind w:left="1530"/>
        <w:jc w:val="center"/>
        <w:rPr>
          <w:b/>
          <w:bCs/>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80"/>
        <w:gridCol w:w="1375"/>
        <w:gridCol w:w="1264"/>
        <w:gridCol w:w="922"/>
        <w:gridCol w:w="1131"/>
        <w:gridCol w:w="1255"/>
        <w:gridCol w:w="1728"/>
      </w:tblGrid>
      <w:tr w:rsidR="005F33D4" w:rsidRPr="0033106F" w14:paraId="08475712" w14:textId="77777777" w:rsidTr="005F33D4">
        <w:trPr>
          <w:cantSplit/>
          <w:tblHeader/>
          <w:jc w:val="center"/>
        </w:trPr>
        <w:tc>
          <w:tcPr>
            <w:tcW w:w="2580" w:type="dxa"/>
            <w:shd w:val="clear" w:color="auto" w:fill="44546A" w:themeFill="text2"/>
            <w:hideMark/>
          </w:tcPr>
          <w:p w14:paraId="43E1064C"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Standard</w:t>
            </w:r>
          </w:p>
        </w:tc>
        <w:tc>
          <w:tcPr>
            <w:tcW w:w="1375" w:type="dxa"/>
            <w:shd w:val="clear" w:color="auto" w:fill="44546A" w:themeFill="text2"/>
          </w:tcPr>
          <w:p w14:paraId="2ABB7B43"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Response Due Date</w:t>
            </w:r>
          </w:p>
        </w:tc>
        <w:tc>
          <w:tcPr>
            <w:tcW w:w="1264" w:type="dxa"/>
            <w:shd w:val="clear" w:color="auto" w:fill="44546A" w:themeFill="text2"/>
            <w:hideMark/>
          </w:tcPr>
          <w:p w14:paraId="75747129"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State Plan Response Date</w:t>
            </w:r>
          </w:p>
        </w:tc>
        <w:tc>
          <w:tcPr>
            <w:tcW w:w="922" w:type="dxa"/>
            <w:shd w:val="clear" w:color="auto" w:fill="44546A" w:themeFill="text2"/>
            <w:hideMark/>
          </w:tcPr>
          <w:p w14:paraId="0F26181A"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Intent to Adopt</w:t>
            </w:r>
          </w:p>
        </w:tc>
        <w:tc>
          <w:tcPr>
            <w:tcW w:w="1131" w:type="dxa"/>
            <w:shd w:val="clear" w:color="auto" w:fill="44546A" w:themeFill="text2"/>
            <w:hideMark/>
          </w:tcPr>
          <w:p w14:paraId="437747A1"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Adopt Identical</w:t>
            </w:r>
          </w:p>
        </w:tc>
        <w:tc>
          <w:tcPr>
            <w:tcW w:w="1255" w:type="dxa"/>
            <w:shd w:val="clear" w:color="auto" w:fill="44546A" w:themeFill="text2"/>
            <w:hideMark/>
          </w:tcPr>
          <w:p w14:paraId="5203CF71"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Adoption Due Date</w:t>
            </w:r>
          </w:p>
        </w:tc>
        <w:tc>
          <w:tcPr>
            <w:tcW w:w="1728" w:type="dxa"/>
            <w:shd w:val="clear" w:color="auto" w:fill="44546A" w:themeFill="text2"/>
            <w:hideMark/>
          </w:tcPr>
          <w:p w14:paraId="773A07BA" w14:textId="77777777" w:rsidR="0033106F" w:rsidRPr="005F33D4" w:rsidRDefault="0033106F" w:rsidP="00962A67">
            <w:pPr>
              <w:pStyle w:val="NoSpacing"/>
              <w:rPr>
                <w:rFonts w:ascii="Times New Roman" w:eastAsia="Calibri" w:hAnsi="Times New Roman"/>
                <w:b/>
                <w:color w:val="FFFFFF" w:themeColor="background1"/>
                <w:sz w:val="22"/>
                <w:szCs w:val="22"/>
              </w:rPr>
            </w:pPr>
            <w:r w:rsidRPr="005F33D4">
              <w:rPr>
                <w:rFonts w:ascii="Times New Roman" w:eastAsia="Calibri" w:hAnsi="Times New Roman"/>
                <w:b/>
                <w:color w:val="FFFFFF" w:themeColor="background1"/>
                <w:sz w:val="22"/>
                <w:szCs w:val="22"/>
              </w:rPr>
              <w:t>State Plan Adoption Date</w:t>
            </w:r>
          </w:p>
        </w:tc>
      </w:tr>
      <w:tr w:rsidR="0033106F" w:rsidRPr="0033106F" w14:paraId="3CB037EA" w14:textId="77777777" w:rsidTr="00962A67">
        <w:trPr>
          <w:cantSplit/>
          <w:jc w:val="center"/>
        </w:trPr>
        <w:tc>
          <w:tcPr>
            <w:tcW w:w="2580" w:type="dxa"/>
          </w:tcPr>
          <w:p w14:paraId="33E4019E" w14:textId="77777777" w:rsidR="0033106F" w:rsidRPr="0033106F" w:rsidRDefault="0033106F" w:rsidP="00962A67">
            <w:pPr>
              <w:rPr>
                <w:sz w:val="22"/>
                <w:szCs w:val="22"/>
              </w:rPr>
            </w:pPr>
            <w:r w:rsidRPr="0033106F">
              <w:rPr>
                <w:sz w:val="22"/>
                <w:szCs w:val="22"/>
              </w:rPr>
              <w:t>COVID-19 Vaccination and Testing; Emergency Temporary Standard</w:t>
            </w:r>
          </w:p>
          <w:p w14:paraId="4D1EC717" w14:textId="77777777" w:rsidR="0033106F" w:rsidRPr="0033106F" w:rsidRDefault="0033106F" w:rsidP="00962A67">
            <w:pPr>
              <w:rPr>
                <w:sz w:val="22"/>
                <w:szCs w:val="22"/>
              </w:rPr>
            </w:pPr>
            <w:r w:rsidRPr="0033106F">
              <w:rPr>
                <w:sz w:val="22"/>
                <w:szCs w:val="22"/>
              </w:rPr>
              <w:t>29 CFR 1910, 15, 17, 18, 26, 28</w:t>
            </w:r>
          </w:p>
          <w:p w14:paraId="30C89C24" w14:textId="77777777" w:rsidR="0033106F" w:rsidRPr="0033106F" w:rsidRDefault="0033106F" w:rsidP="00962A67">
            <w:pPr>
              <w:rPr>
                <w:sz w:val="22"/>
                <w:szCs w:val="22"/>
              </w:rPr>
            </w:pPr>
            <w:r w:rsidRPr="0033106F">
              <w:rPr>
                <w:sz w:val="22"/>
                <w:szCs w:val="22"/>
              </w:rPr>
              <w:t>(11/5/2021)</w:t>
            </w:r>
          </w:p>
        </w:tc>
        <w:tc>
          <w:tcPr>
            <w:tcW w:w="1375" w:type="dxa"/>
          </w:tcPr>
          <w:p w14:paraId="1B1AE24E" w14:textId="77777777" w:rsidR="0033106F" w:rsidRPr="0033106F" w:rsidRDefault="0033106F" w:rsidP="00962A67">
            <w:pPr>
              <w:rPr>
                <w:rFonts w:eastAsia="Calibri"/>
                <w:sz w:val="22"/>
                <w:szCs w:val="22"/>
              </w:rPr>
            </w:pPr>
            <w:r w:rsidRPr="0033106F">
              <w:rPr>
                <w:rFonts w:eastAsia="Calibri"/>
                <w:sz w:val="22"/>
                <w:szCs w:val="22"/>
              </w:rPr>
              <w:t>11/20/2021</w:t>
            </w:r>
          </w:p>
        </w:tc>
        <w:tc>
          <w:tcPr>
            <w:tcW w:w="1264" w:type="dxa"/>
          </w:tcPr>
          <w:p w14:paraId="716879EA" w14:textId="77777777" w:rsidR="0033106F" w:rsidRPr="0033106F" w:rsidRDefault="0033106F" w:rsidP="00962A67">
            <w:pPr>
              <w:rPr>
                <w:sz w:val="22"/>
                <w:szCs w:val="22"/>
              </w:rPr>
            </w:pPr>
            <w:r w:rsidRPr="0033106F">
              <w:rPr>
                <w:sz w:val="22"/>
                <w:szCs w:val="22"/>
              </w:rPr>
              <w:t>N/A</w:t>
            </w:r>
          </w:p>
        </w:tc>
        <w:tc>
          <w:tcPr>
            <w:tcW w:w="922" w:type="dxa"/>
          </w:tcPr>
          <w:p w14:paraId="5019ECF5" w14:textId="77777777" w:rsidR="0033106F" w:rsidRPr="0033106F" w:rsidRDefault="0033106F" w:rsidP="00962A67">
            <w:pPr>
              <w:rPr>
                <w:sz w:val="22"/>
                <w:szCs w:val="22"/>
              </w:rPr>
            </w:pPr>
            <w:r w:rsidRPr="0033106F">
              <w:rPr>
                <w:sz w:val="22"/>
                <w:szCs w:val="22"/>
              </w:rPr>
              <w:t>N/A</w:t>
            </w:r>
          </w:p>
        </w:tc>
        <w:tc>
          <w:tcPr>
            <w:tcW w:w="1131" w:type="dxa"/>
          </w:tcPr>
          <w:p w14:paraId="0DA46306" w14:textId="77777777" w:rsidR="0033106F" w:rsidRPr="0033106F" w:rsidRDefault="0033106F" w:rsidP="00962A67">
            <w:pPr>
              <w:rPr>
                <w:sz w:val="22"/>
                <w:szCs w:val="22"/>
              </w:rPr>
            </w:pPr>
            <w:r w:rsidRPr="0033106F">
              <w:rPr>
                <w:sz w:val="22"/>
                <w:szCs w:val="22"/>
              </w:rPr>
              <w:t>N/A</w:t>
            </w:r>
          </w:p>
        </w:tc>
        <w:tc>
          <w:tcPr>
            <w:tcW w:w="1255" w:type="dxa"/>
          </w:tcPr>
          <w:p w14:paraId="7677A5DB" w14:textId="77777777" w:rsidR="0033106F" w:rsidRPr="0033106F" w:rsidRDefault="0033106F" w:rsidP="00962A67">
            <w:pPr>
              <w:rPr>
                <w:sz w:val="22"/>
                <w:szCs w:val="22"/>
              </w:rPr>
            </w:pPr>
            <w:r w:rsidRPr="0033106F">
              <w:rPr>
                <w:sz w:val="22"/>
                <w:szCs w:val="22"/>
              </w:rPr>
              <w:t>12/5/2021</w:t>
            </w:r>
          </w:p>
        </w:tc>
        <w:tc>
          <w:tcPr>
            <w:tcW w:w="1728" w:type="dxa"/>
          </w:tcPr>
          <w:p w14:paraId="6722CA1A" w14:textId="77777777" w:rsidR="0033106F" w:rsidRPr="0033106F" w:rsidRDefault="0033106F" w:rsidP="00962A67">
            <w:pPr>
              <w:rPr>
                <w:b/>
                <w:bCs/>
                <w:sz w:val="22"/>
                <w:szCs w:val="22"/>
              </w:rPr>
            </w:pPr>
            <w:r w:rsidRPr="0033106F">
              <w:rPr>
                <w:sz w:val="22"/>
                <w:szCs w:val="22"/>
              </w:rPr>
              <w:t>N/A</w:t>
            </w:r>
          </w:p>
        </w:tc>
      </w:tr>
      <w:tr w:rsidR="0033106F" w:rsidRPr="0033106F" w14:paraId="2098CC10" w14:textId="77777777" w:rsidTr="00962A67">
        <w:trPr>
          <w:cantSplit/>
          <w:jc w:val="center"/>
        </w:trPr>
        <w:tc>
          <w:tcPr>
            <w:tcW w:w="2580" w:type="dxa"/>
          </w:tcPr>
          <w:p w14:paraId="4F5DD822" w14:textId="77777777" w:rsidR="0033106F" w:rsidRPr="0033106F" w:rsidRDefault="0033106F" w:rsidP="00962A67">
            <w:pPr>
              <w:rPr>
                <w:sz w:val="22"/>
                <w:szCs w:val="22"/>
              </w:rPr>
            </w:pPr>
            <w:r w:rsidRPr="0033106F">
              <w:rPr>
                <w:sz w:val="22"/>
                <w:szCs w:val="22"/>
              </w:rPr>
              <w:t>Updated COVID-19 Vaccination and Testing; Emergency Temporary Standard</w:t>
            </w:r>
          </w:p>
          <w:p w14:paraId="5E397F2B" w14:textId="77777777" w:rsidR="0033106F" w:rsidRPr="0033106F" w:rsidRDefault="0033106F" w:rsidP="00962A67">
            <w:pPr>
              <w:rPr>
                <w:sz w:val="22"/>
                <w:szCs w:val="22"/>
              </w:rPr>
            </w:pPr>
            <w:r w:rsidRPr="0033106F">
              <w:rPr>
                <w:sz w:val="22"/>
                <w:szCs w:val="22"/>
              </w:rPr>
              <w:t>29 CFR 1910</w:t>
            </w:r>
          </w:p>
          <w:p w14:paraId="5ED08743" w14:textId="77777777" w:rsidR="0033106F" w:rsidRPr="0033106F" w:rsidRDefault="0033106F" w:rsidP="00962A67">
            <w:pPr>
              <w:rPr>
                <w:sz w:val="22"/>
                <w:szCs w:val="22"/>
              </w:rPr>
            </w:pPr>
            <w:r w:rsidRPr="0033106F">
              <w:rPr>
                <w:sz w:val="22"/>
                <w:szCs w:val="22"/>
              </w:rPr>
              <w:t>(11/5/2021)</w:t>
            </w:r>
          </w:p>
        </w:tc>
        <w:tc>
          <w:tcPr>
            <w:tcW w:w="1375" w:type="dxa"/>
          </w:tcPr>
          <w:p w14:paraId="00E1EBBD" w14:textId="77777777" w:rsidR="0033106F" w:rsidRPr="0033106F" w:rsidRDefault="0033106F" w:rsidP="00962A67">
            <w:pPr>
              <w:rPr>
                <w:rFonts w:eastAsia="Calibri"/>
                <w:sz w:val="22"/>
                <w:szCs w:val="22"/>
              </w:rPr>
            </w:pPr>
            <w:r w:rsidRPr="0033106F">
              <w:rPr>
                <w:rFonts w:eastAsia="Calibri"/>
                <w:sz w:val="22"/>
                <w:szCs w:val="22"/>
              </w:rPr>
              <w:t>1/7/2022</w:t>
            </w:r>
          </w:p>
        </w:tc>
        <w:tc>
          <w:tcPr>
            <w:tcW w:w="1264" w:type="dxa"/>
          </w:tcPr>
          <w:p w14:paraId="761D4F54" w14:textId="77777777" w:rsidR="0033106F" w:rsidRPr="0033106F" w:rsidRDefault="0033106F" w:rsidP="00962A67">
            <w:pPr>
              <w:rPr>
                <w:sz w:val="22"/>
                <w:szCs w:val="22"/>
              </w:rPr>
            </w:pPr>
            <w:r w:rsidRPr="0033106F">
              <w:rPr>
                <w:sz w:val="22"/>
                <w:szCs w:val="22"/>
              </w:rPr>
              <w:t>N/A</w:t>
            </w:r>
          </w:p>
        </w:tc>
        <w:tc>
          <w:tcPr>
            <w:tcW w:w="922" w:type="dxa"/>
          </w:tcPr>
          <w:p w14:paraId="5D794705" w14:textId="77777777" w:rsidR="0033106F" w:rsidRPr="0033106F" w:rsidRDefault="0033106F" w:rsidP="00962A67">
            <w:pPr>
              <w:rPr>
                <w:sz w:val="22"/>
                <w:szCs w:val="22"/>
              </w:rPr>
            </w:pPr>
            <w:r w:rsidRPr="0033106F">
              <w:rPr>
                <w:sz w:val="22"/>
                <w:szCs w:val="22"/>
              </w:rPr>
              <w:t>N/A</w:t>
            </w:r>
          </w:p>
        </w:tc>
        <w:tc>
          <w:tcPr>
            <w:tcW w:w="1131" w:type="dxa"/>
          </w:tcPr>
          <w:p w14:paraId="10A679CA" w14:textId="77777777" w:rsidR="0033106F" w:rsidRPr="0033106F" w:rsidRDefault="0033106F" w:rsidP="00962A67">
            <w:pPr>
              <w:rPr>
                <w:sz w:val="22"/>
                <w:szCs w:val="22"/>
              </w:rPr>
            </w:pPr>
            <w:r w:rsidRPr="0033106F">
              <w:rPr>
                <w:sz w:val="22"/>
                <w:szCs w:val="22"/>
              </w:rPr>
              <w:t>N/A</w:t>
            </w:r>
          </w:p>
        </w:tc>
        <w:tc>
          <w:tcPr>
            <w:tcW w:w="1255" w:type="dxa"/>
          </w:tcPr>
          <w:p w14:paraId="5D9AEE3B" w14:textId="77777777" w:rsidR="0033106F" w:rsidRPr="0033106F" w:rsidRDefault="0033106F" w:rsidP="00962A67">
            <w:pPr>
              <w:rPr>
                <w:sz w:val="22"/>
                <w:szCs w:val="22"/>
              </w:rPr>
            </w:pPr>
            <w:r w:rsidRPr="0033106F">
              <w:rPr>
                <w:sz w:val="22"/>
                <w:szCs w:val="22"/>
              </w:rPr>
              <w:t>1/24/2022</w:t>
            </w:r>
          </w:p>
        </w:tc>
        <w:tc>
          <w:tcPr>
            <w:tcW w:w="1728" w:type="dxa"/>
          </w:tcPr>
          <w:p w14:paraId="1BB241F3" w14:textId="77777777" w:rsidR="0033106F" w:rsidRPr="0033106F" w:rsidRDefault="0033106F" w:rsidP="00962A67">
            <w:pPr>
              <w:rPr>
                <w:sz w:val="22"/>
                <w:szCs w:val="22"/>
              </w:rPr>
            </w:pPr>
            <w:r w:rsidRPr="0033106F">
              <w:rPr>
                <w:sz w:val="22"/>
                <w:szCs w:val="22"/>
              </w:rPr>
              <w:t>N/A</w:t>
            </w:r>
          </w:p>
        </w:tc>
      </w:tr>
      <w:tr w:rsidR="0033106F" w:rsidRPr="0033106F" w14:paraId="77678EFD" w14:textId="77777777" w:rsidTr="00962A67">
        <w:trPr>
          <w:cantSplit/>
          <w:jc w:val="center"/>
        </w:trPr>
        <w:tc>
          <w:tcPr>
            <w:tcW w:w="2580" w:type="dxa"/>
          </w:tcPr>
          <w:p w14:paraId="20D951EA" w14:textId="77777777" w:rsidR="0033106F" w:rsidRPr="0033106F" w:rsidRDefault="0033106F" w:rsidP="00962A67">
            <w:pPr>
              <w:rPr>
                <w:sz w:val="22"/>
                <w:szCs w:val="22"/>
              </w:rPr>
            </w:pPr>
            <w:r w:rsidRPr="0033106F">
              <w:rPr>
                <w:sz w:val="22"/>
                <w:szCs w:val="22"/>
              </w:rPr>
              <w:t>Final Rule on the Department of Labor Civil Penalties for Inflation Adjustment Act – Annual Adjustment for 2022</w:t>
            </w:r>
          </w:p>
          <w:p w14:paraId="4C283827" w14:textId="77777777" w:rsidR="0033106F" w:rsidRPr="0033106F" w:rsidRDefault="0033106F" w:rsidP="00962A67">
            <w:pPr>
              <w:rPr>
                <w:sz w:val="22"/>
                <w:szCs w:val="22"/>
              </w:rPr>
            </w:pPr>
            <w:r w:rsidRPr="0033106F">
              <w:rPr>
                <w:sz w:val="22"/>
                <w:szCs w:val="22"/>
              </w:rPr>
              <w:t>29 CFR 1903</w:t>
            </w:r>
          </w:p>
          <w:p w14:paraId="3DFF0836" w14:textId="77777777" w:rsidR="0033106F" w:rsidRPr="0033106F" w:rsidRDefault="0033106F" w:rsidP="00962A67">
            <w:pPr>
              <w:rPr>
                <w:sz w:val="22"/>
                <w:szCs w:val="22"/>
              </w:rPr>
            </w:pPr>
            <w:r w:rsidRPr="0033106F">
              <w:rPr>
                <w:sz w:val="22"/>
                <w:szCs w:val="22"/>
              </w:rPr>
              <w:t>(1/15/2022)</w:t>
            </w:r>
          </w:p>
        </w:tc>
        <w:tc>
          <w:tcPr>
            <w:tcW w:w="1375" w:type="dxa"/>
          </w:tcPr>
          <w:p w14:paraId="7BEAC380" w14:textId="77777777" w:rsidR="0033106F" w:rsidRPr="0033106F" w:rsidRDefault="0033106F" w:rsidP="00962A67">
            <w:pPr>
              <w:rPr>
                <w:rFonts w:eastAsia="Calibri"/>
                <w:sz w:val="22"/>
                <w:szCs w:val="22"/>
              </w:rPr>
            </w:pPr>
            <w:r w:rsidRPr="0033106F">
              <w:rPr>
                <w:rFonts w:eastAsia="Calibri"/>
                <w:sz w:val="22"/>
                <w:szCs w:val="22"/>
              </w:rPr>
              <w:t>3/15/2022</w:t>
            </w:r>
          </w:p>
        </w:tc>
        <w:tc>
          <w:tcPr>
            <w:tcW w:w="1264" w:type="dxa"/>
          </w:tcPr>
          <w:p w14:paraId="785AF511" w14:textId="77777777" w:rsidR="0033106F" w:rsidRPr="0033106F" w:rsidRDefault="0033106F" w:rsidP="00962A67">
            <w:pPr>
              <w:rPr>
                <w:rFonts w:eastAsia="Calibri"/>
                <w:sz w:val="22"/>
                <w:szCs w:val="22"/>
              </w:rPr>
            </w:pPr>
            <w:r w:rsidRPr="0033106F">
              <w:rPr>
                <w:rFonts w:eastAsia="Calibri"/>
                <w:sz w:val="22"/>
                <w:szCs w:val="22"/>
              </w:rPr>
              <w:t>1/15/2022</w:t>
            </w:r>
          </w:p>
        </w:tc>
        <w:tc>
          <w:tcPr>
            <w:tcW w:w="922" w:type="dxa"/>
          </w:tcPr>
          <w:p w14:paraId="547878D9" w14:textId="77777777" w:rsidR="0033106F" w:rsidRPr="0033106F" w:rsidRDefault="0033106F" w:rsidP="00962A67">
            <w:pPr>
              <w:rPr>
                <w:rFonts w:eastAsia="Calibri"/>
                <w:sz w:val="22"/>
                <w:szCs w:val="22"/>
              </w:rPr>
            </w:pPr>
            <w:r w:rsidRPr="0033106F">
              <w:rPr>
                <w:rFonts w:eastAsia="Calibri"/>
                <w:sz w:val="22"/>
                <w:szCs w:val="22"/>
              </w:rPr>
              <w:t>No</w:t>
            </w:r>
          </w:p>
        </w:tc>
        <w:tc>
          <w:tcPr>
            <w:tcW w:w="1131" w:type="dxa"/>
          </w:tcPr>
          <w:p w14:paraId="2CC0F76C" w14:textId="77777777" w:rsidR="0033106F" w:rsidRPr="0033106F" w:rsidRDefault="0033106F" w:rsidP="00962A67">
            <w:pPr>
              <w:rPr>
                <w:rFonts w:eastAsia="Calibri"/>
                <w:sz w:val="22"/>
                <w:szCs w:val="22"/>
              </w:rPr>
            </w:pPr>
            <w:r w:rsidRPr="0033106F">
              <w:rPr>
                <w:rFonts w:eastAsia="Calibri"/>
                <w:sz w:val="22"/>
                <w:szCs w:val="22"/>
              </w:rPr>
              <w:t>No</w:t>
            </w:r>
          </w:p>
        </w:tc>
        <w:tc>
          <w:tcPr>
            <w:tcW w:w="1255" w:type="dxa"/>
          </w:tcPr>
          <w:p w14:paraId="01E0B4DE" w14:textId="77777777" w:rsidR="0033106F" w:rsidRPr="0033106F" w:rsidRDefault="0033106F" w:rsidP="00962A67">
            <w:pPr>
              <w:rPr>
                <w:sz w:val="22"/>
                <w:szCs w:val="22"/>
              </w:rPr>
            </w:pPr>
            <w:r w:rsidRPr="0033106F">
              <w:rPr>
                <w:sz w:val="22"/>
                <w:szCs w:val="22"/>
              </w:rPr>
              <w:t>7/15/2022</w:t>
            </w:r>
          </w:p>
        </w:tc>
        <w:tc>
          <w:tcPr>
            <w:tcW w:w="1728" w:type="dxa"/>
          </w:tcPr>
          <w:p w14:paraId="248758D4" w14:textId="678DF720" w:rsidR="0033106F" w:rsidRPr="0033106F" w:rsidRDefault="00887129" w:rsidP="00962A67">
            <w:pPr>
              <w:rPr>
                <w:sz w:val="22"/>
                <w:szCs w:val="22"/>
              </w:rPr>
            </w:pPr>
            <w:r>
              <w:rPr>
                <w:sz w:val="22"/>
                <w:szCs w:val="22"/>
              </w:rPr>
              <w:t>N/A</w:t>
            </w:r>
          </w:p>
        </w:tc>
      </w:tr>
      <w:tr w:rsidR="0033106F" w:rsidRPr="0033106F" w14:paraId="35E39FD7" w14:textId="77777777" w:rsidTr="00962A67">
        <w:trPr>
          <w:cantSplit/>
          <w:jc w:val="center"/>
        </w:trPr>
        <w:tc>
          <w:tcPr>
            <w:tcW w:w="2580" w:type="dxa"/>
          </w:tcPr>
          <w:p w14:paraId="5AE565D0" w14:textId="77777777" w:rsidR="0033106F" w:rsidRPr="0033106F" w:rsidRDefault="0033106F" w:rsidP="00962A67">
            <w:pPr>
              <w:rPr>
                <w:sz w:val="22"/>
                <w:szCs w:val="22"/>
              </w:rPr>
            </w:pPr>
            <w:r w:rsidRPr="0033106F">
              <w:rPr>
                <w:sz w:val="22"/>
                <w:szCs w:val="22"/>
              </w:rPr>
              <w:t>Occupational Exposure to COVID-19; Healthcare Emergency Temporary Standard: COVID-19 Log and Reporting Provisions</w:t>
            </w:r>
          </w:p>
          <w:p w14:paraId="2D7FB79A" w14:textId="77777777" w:rsidR="0033106F" w:rsidRPr="0033106F" w:rsidRDefault="0033106F" w:rsidP="00962A67">
            <w:pPr>
              <w:rPr>
                <w:sz w:val="22"/>
                <w:szCs w:val="22"/>
              </w:rPr>
            </w:pPr>
            <w:r w:rsidRPr="0033106F">
              <w:rPr>
                <w:sz w:val="22"/>
                <w:szCs w:val="22"/>
              </w:rPr>
              <w:t>29 CFR 1910.502(q)(2)(ii), (q)(3)(ii)-(iv) and (r)</w:t>
            </w:r>
          </w:p>
          <w:p w14:paraId="17B35D06" w14:textId="77777777" w:rsidR="0033106F" w:rsidRPr="0033106F" w:rsidRDefault="0033106F" w:rsidP="00962A67">
            <w:pPr>
              <w:rPr>
                <w:sz w:val="22"/>
                <w:szCs w:val="22"/>
              </w:rPr>
            </w:pPr>
            <w:r w:rsidRPr="0033106F">
              <w:rPr>
                <w:sz w:val="22"/>
                <w:szCs w:val="22"/>
              </w:rPr>
              <w:t>(2/14/2022)</w:t>
            </w:r>
          </w:p>
        </w:tc>
        <w:tc>
          <w:tcPr>
            <w:tcW w:w="1375" w:type="dxa"/>
          </w:tcPr>
          <w:p w14:paraId="57046CFF" w14:textId="77777777" w:rsidR="0033106F" w:rsidRPr="0033106F" w:rsidRDefault="0033106F" w:rsidP="00962A67">
            <w:pPr>
              <w:rPr>
                <w:rFonts w:eastAsia="Calibri"/>
                <w:sz w:val="22"/>
                <w:szCs w:val="22"/>
              </w:rPr>
            </w:pPr>
            <w:r w:rsidRPr="0033106F">
              <w:rPr>
                <w:rFonts w:eastAsia="Calibri"/>
                <w:sz w:val="22"/>
                <w:szCs w:val="22"/>
              </w:rPr>
              <w:t>4/14/2022</w:t>
            </w:r>
          </w:p>
        </w:tc>
        <w:tc>
          <w:tcPr>
            <w:tcW w:w="1264" w:type="dxa"/>
          </w:tcPr>
          <w:p w14:paraId="5FD646DB" w14:textId="77777777" w:rsidR="0033106F" w:rsidRPr="0033106F" w:rsidRDefault="0033106F" w:rsidP="00962A67">
            <w:pPr>
              <w:rPr>
                <w:rFonts w:eastAsia="Calibri"/>
                <w:sz w:val="22"/>
                <w:szCs w:val="22"/>
              </w:rPr>
            </w:pPr>
            <w:r w:rsidRPr="0033106F">
              <w:rPr>
                <w:rFonts w:eastAsia="Calibri"/>
                <w:sz w:val="22"/>
                <w:szCs w:val="22"/>
              </w:rPr>
              <w:t>8/9/2022</w:t>
            </w:r>
          </w:p>
        </w:tc>
        <w:tc>
          <w:tcPr>
            <w:tcW w:w="922" w:type="dxa"/>
          </w:tcPr>
          <w:p w14:paraId="3A691FB1" w14:textId="77777777" w:rsidR="0033106F" w:rsidRPr="0033106F" w:rsidRDefault="0033106F" w:rsidP="00962A67">
            <w:pPr>
              <w:rPr>
                <w:rFonts w:eastAsia="Calibri"/>
                <w:sz w:val="22"/>
                <w:szCs w:val="22"/>
              </w:rPr>
            </w:pPr>
            <w:r w:rsidRPr="0033106F">
              <w:rPr>
                <w:rFonts w:eastAsia="Calibri"/>
                <w:sz w:val="22"/>
                <w:szCs w:val="22"/>
              </w:rPr>
              <w:t>Yes</w:t>
            </w:r>
          </w:p>
        </w:tc>
        <w:tc>
          <w:tcPr>
            <w:tcW w:w="1131" w:type="dxa"/>
          </w:tcPr>
          <w:p w14:paraId="6DF1A4DC" w14:textId="77777777" w:rsidR="0033106F" w:rsidRPr="0033106F" w:rsidRDefault="0033106F" w:rsidP="00962A67">
            <w:pPr>
              <w:rPr>
                <w:rFonts w:eastAsia="Calibri"/>
                <w:sz w:val="22"/>
                <w:szCs w:val="22"/>
              </w:rPr>
            </w:pPr>
            <w:r w:rsidRPr="0033106F">
              <w:rPr>
                <w:rFonts w:eastAsia="Calibri"/>
                <w:sz w:val="22"/>
                <w:szCs w:val="22"/>
              </w:rPr>
              <w:t>No</w:t>
            </w:r>
          </w:p>
        </w:tc>
        <w:tc>
          <w:tcPr>
            <w:tcW w:w="1255" w:type="dxa"/>
          </w:tcPr>
          <w:p w14:paraId="6A4E8AC6" w14:textId="77777777" w:rsidR="0033106F" w:rsidRPr="0033106F" w:rsidRDefault="0033106F" w:rsidP="00962A67">
            <w:pPr>
              <w:rPr>
                <w:sz w:val="22"/>
                <w:szCs w:val="22"/>
              </w:rPr>
            </w:pPr>
            <w:r w:rsidRPr="0033106F">
              <w:rPr>
                <w:sz w:val="22"/>
                <w:szCs w:val="22"/>
              </w:rPr>
              <w:t>8/14/2022</w:t>
            </w:r>
          </w:p>
        </w:tc>
        <w:tc>
          <w:tcPr>
            <w:tcW w:w="1728" w:type="dxa"/>
          </w:tcPr>
          <w:p w14:paraId="622EBBB3" w14:textId="77777777" w:rsidR="0033106F" w:rsidRPr="0033106F" w:rsidRDefault="0033106F" w:rsidP="00962A67">
            <w:pPr>
              <w:rPr>
                <w:sz w:val="22"/>
                <w:szCs w:val="22"/>
              </w:rPr>
            </w:pPr>
            <w:r w:rsidRPr="0033106F">
              <w:rPr>
                <w:sz w:val="22"/>
                <w:szCs w:val="22"/>
              </w:rPr>
              <w:t>4/28/2023</w:t>
            </w:r>
          </w:p>
        </w:tc>
      </w:tr>
      <w:tr w:rsidR="0033106F" w:rsidRPr="0033106F" w14:paraId="7582BA0F" w14:textId="77777777" w:rsidTr="00962A67">
        <w:trPr>
          <w:cantSplit/>
          <w:jc w:val="center"/>
        </w:trPr>
        <w:tc>
          <w:tcPr>
            <w:tcW w:w="2580" w:type="dxa"/>
          </w:tcPr>
          <w:p w14:paraId="7877BE76" w14:textId="77777777" w:rsidR="0033106F" w:rsidRPr="0033106F" w:rsidRDefault="0033106F" w:rsidP="00962A67">
            <w:pPr>
              <w:rPr>
                <w:sz w:val="22"/>
                <w:szCs w:val="22"/>
              </w:rPr>
            </w:pPr>
            <w:r w:rsidRPr="0033106F">
              <w:rPr>
                <w:sz w:val="22"/>
                <w:szCs w:val="22"/>
              </w:rPr>
              <w:t>Final Rule on the Department of Labor Civil Penalties for Inflation Adjustment Act – Annual Adjustment for 2023</w:t>
            </w:r>
          </w:p>
          <w:p w14:paraId="24D2C063" w14:textId="77777777" w:rsidR="0033106F" w:rsidRPr="0033106F" w:rsidRDefault="0033106F" w:rsidP="00962A67">
            <w:pPr>
              <w:rPr>
                <w:sz w:val="22"/>
                <w:szCs w:val="22"/>
              </w:rPr>
            </w:pPr>
            <w:r w:rsidRPr="0033106F">
              <w:rPr>
                <w:sz w:val="22"/>
                <w:szCs w:val="22"/>
              </w:rPr>
              <w:t>29 CFR 1903</w:t>
            </w:r>
          </w:p>
          <w:p w14:paraId="442B51D5" w14:textId="77777777" w:rsidR="0033106F" w:rsidRPr="0033106F" w:rsidRDefault="0033106F" w:rsidP="00962A67">
            <w:pPr>
              <w:rPr>
                <w:sz w:val="22"/>
                <w:szCs w:val="22"/>
              </w:rPr>
            </w:pPr>
            <w:r w:rsidRPr="0033106F">
              <w:rPr>
                <w:sz w:val="22"/>
                <w:szCs w:val="22"/>
              </w:rPr>
              <w:t>(1/15/2023)</w:t>
            </w:r>
          </w:p>
        </w:tc>
        <w:tc>
          <w:tcPr>
            <w:tcW w:w="1375" w:type="dxa"/>
          </w:tcPr>
          <w:p w14:paraId="4CEF373D" w14:textId="77777777" w:rsidR="0033106F" w:rsidRPr="0033106F" w:rsidRDefault="0033106F" w:rsidP="00962A67">
            <w:pPr>
              <w:rPr>
                <w:rFonts w:eastAsia="Calibri"/>
                <w:sz w:val="22"/>
                <w:szCs w:val="22"/>
              </w:rPr>
            </w:pPr>
            <w:r w:rsidRPr="0033106F">
              <w:rPr>
                <w:rFonts w:eastAsia="Calibri"/>
                <w:sz w:val="22"/>
                <w:szCs w:val="22"/>
              </w:rPr>
              <w:t>3/15/2023</w:t>
            </w:r>
          </w:p>
        </w:tc>
        <w:tc>
          <w:tcPr>
            <w:tcW w:w="1264" w:type="dxa"/>
          </w:tcPr>
          <w:p w14:paraId="1026F75B" w14:textId="77777777" w:rsidR="0033106F" w:rsidRPr="0033106F" w:rsidRDefault="0033106F" w:rsidP="00962A67">
            <w:pPr>
              <w:rPr>
                <w:rFonts w:eastAsia="Calibri"/>
                <w:sz w:val="22"/>
                <w:szCs w:val="22"/>
              </w:rPr>
            </w:pPr>
            <w:r w:rsidRPr="0033106F">
              <w:rPr>
                <w:rFonts w:eastAsia="Calibri"/>
                <w:sz w:val="22"/>
                <w:szCs w:val="22"/>
              </w:rPr>
              <w:t>4/1/2023</w:t>
            </w:r>
          </w:p>
        </w:tc>
        <w:tc>
          <w:tcPr>
            <w:tcW w:w="922" w:type="dxa"/>
          </w:tcPr>
          <w:p w14:paraId="41EC0984" w14:textId="77777777" w:rsidR="0033106F" w:rsidRPr="0033106F" w:rsidRDefault="0033106F" w:rsidP="00962A67">
            <w:pPr>
              <w:rPr>
                <w:rFonts w:eastAsia="Calibri"/>
                <w:sz w:val="22"/>
                <w:szCs w:val="22"/>
              </w:rPr>
            </w:pPr>
            <w:r w:rsidRPr="0033106F">
              <w:rPr>
                <w:rFonts w:eastAsia="Calibri"/>
                <w:sz w:val="22"/>
                <w:szCs w:val="22"/>
              </w:rPr>
              <w:t>Yes</w:t>
            </w:r>
          </w:p>
        </w:tc>
        <w:tc>
          <w:tcPr>
            <w:tcW w:w="1131" w:type="dxa"/>
          </w:tcPr>
          <w:p w14:paraId="1735F448" w14:textId="77777777" w:rsidR="0033106F" w:rsidRPr="0033106F" w:rsidRDefault="0033106F" w:rsidP="00962A67">
            <w:pPr>
              <w:rPr>
                <w:rFonts w:eastAsia="Calibri"/>
                <w:sz w:val="22"/>
                <w:szCs w:val="22"/>
              </w:rPr>
            </w:pPr>
            <w:r w:rsidRPr="0033106F">
              <w:rPr>
                <w:rFonts w:eastAsia="Calibri"/>
                <w:sz w:val="22"/>
                <w:szCs w:val="22"/>
              </w:rPr>
              <w:t>No</w:t>
            </w:r>
          </w:p>
        </w:tc>
        <w:tc>
          <w:tcPr>
            <w:tcW w:w="1255" w:type="dxa"/>
          </w:tcPr>
          <w:p w14:paraId="0BE93425" w14:textId="77777777" w:rsidR="0033106F" w:rsidRPr="0033106F" w:rsidRDefault="0033106F" w:rsidP="00962A67">
            <w:pPr>
              <w:rPr>
                <w:sz w:val="22"/>
                <w:szCs w:val="22"/>
              </w:rPr>
            </w:pPr>
            <w:r w:rsidRPr="0033106F">
              <w:rPr>
                <w:sz w:val="22"/>
                <w:szCs w:val="22"/>
              </w:rPr>
              <w:t>7/15/2023</w:t>
            </w:r>
          </w:p>
        </w:tc>
        <w:tc>
          <w:tcPr>
            <w:tcW w:w="1728" w:type="dxa"/>
          </w:tcPr>
          <w:p w14:paraId="0C821595" w14:textId="77777777" w:rsidR="0033106F" w:rsidRPr="0033106F" w:rsidRDefault="0033106F" w:rsidP="00962A67">
            <w:pPr>
              <w:rPr>
                <w:sz w:val="22"/>
                <w:szCs w:val="22"/>
              </w:rPr>
            </w:pPr>
            <w:r w:rsidRPr="0033106F">
              <w:rPr>
                <w:sz w:val="22"/>
                <w:szCs w:val="22"/>
              </w:rPr>
              <w:t>4/1/2023</w:t>
            </w:r>
          </w:p>
        </w:tc>
      </w:tr>
      <w:tr w:rsidR="0033106F" w:rsidRPr="0033106F" w14:paraId="76FE4788" w14:textId="77777777" w:rsidTr="00962A67">
        <w:trPr>
          <w:cantSplit/>
          <w:jc w:val="center"/>
        </w:trPr>
        <w:tc>
          <w:tcPr>
            <w:tcW w:w="2580" w:type="dxa"/>
          </w:tcPr>
          <w:p w14:paraId="3328D5D9" w14:textId="77777777" w:rsidR="0033106F" w:rsidRPr="0033106F" w:rsidRDefault="0033106F" w:rsidP="00962A67">
            <w:pPr>
              <w:rPr>
                <w:sz w:val="22"/>
                <w:szCs w:val="22"/>
              </w:rPr>
            </w:pPr>
            <w:r w:rsidRPr="0033106F">
              <w:rPr>
                <w:sz w:val="22"/>
                <w:szCs w:val="22"/>
              </w:rPr>
              <w:t>Final Rule to Improve Tracking of Workplace Injuries and Illnesses</w:t>
            </w:r>
          </w:p>
          <w:p w14:paraId="40A0BE2C" w14:textId="77777777" w:rsidR="0033106F" w:rsidRPr="0033106F" w:rsidRDefault="0033106F" w:rsidP="00962A67">
            <w:pPr>
              <w:rPr>
                <w:sz w:val="22"/>
                <w:szCs w:val="22"/>
              </w:rPr>
            </w:pPr>
            <w:r w:rsidRPr="0033106F">
              <w:rPr>
                <w:sz w:val="22"/>
                <w:szCs w:val="22"/>
              </w:rPr>
              <w:t>29 CFR 1904</w:t>
            </w:r>
          </w:p>
          <w:p w14:paraId="71AC7DBD" w14:textId="77777777" w:rsidR="0033106F" w:rsidRPr="0033106F" w:rsidRDefault="0033106F" w:rsidP="00962A67">
            <w:pPr>
              <w:rPr>
                <w:sz w:val="22"/>
                <w:szCs w:val="22"/>
              </w:rPr>
            </w:pPr>
            <w:r w:rsidRPr="0033106F">
              <w:rPr>
                <w:sz w:val="22"/>
                <w:szCs w:val="22"/>
              </w:rPr>
              <w:t>(7/21/2023)</w:t>
            </w:r>
          </w:p>
        </w:tc>
        <w:tc>
          <w:tcPr>
            <w:tcW w:w="1375" w:type="dxa"/>
          </w:tcPr>
          <w:p w14:paraId="0160C11D" w14:textId="77777777" w:rsidR="0033106F" w:rsidRPr="0033106F" w:rsidRDefault="0033106F" w:rsidP="00962A67">
            <w:pPr>
              <w:rPr>
                <w:rFonts w:eastAsia="Calibri"/>
                <w:sz w:val="22"/>
                <w:szCs w:val="22"/>
              </w:rPr>
            </w:pPr>
            <w:r w:rsidRPr="0033106F">
              <w:rPr>
                <w:rFonts w:eastAsia="Calibri"/>
                <w:sz w:val="22"/>
                <w:szCs w:val="22"/>
              </w:rPr>
              <w:t>9/21/2023</w:t>
            </w:r>
          </w:p>
        </w:tc>
        <w:tc>
          <w:tcPr>
            <w:tcW w:w="1264" w:type="dxa"/>
          </w:tcPr>
          <w:p w14:paraId="77DD15FA" w14:textId="77777777" w:rsidR="0033106F" w:rsidRPr="0033106F" w:rsidRDefault="0033106F" w:rsidP="00962A67">
            <w:pPr>
              <w:rPr>
                <w:rFonts w:eastAsia="Calibri"/>
                <w:sz w:val="22"/>
                <w:szCs w:val="22"/>
              </w:rPr>
            </w:pPr>
            <w:r w:rsidRPr="0033106F">
              <w:rPr>
                <w:rFonts w:eastAsia="Calibri"/>
                <w:sz w:val="22"/>
                <w:szCs w:val="22"/>
              </w:rPr>
              <w:t>8/2/2023</w:t>
            </w:r>
          </w:p>
        </w:tc>
        <w:tc>
          <w:tcPr>
            <w:tcW w:w="922" w:type="dxa"/>
          </w:tcPr>
          <w:p w14:paraId="77A10A9C" w14:textId="77777777" w:rsidR="0033106F" w:rsidRPr="0033106F" w:rsidRDefault="0033106F" w:rsidP="00962A67">
            <w:pPr>
              <w:rPr>
                <w:rFonts w:eastAsia="Calibri"/>
                <w:sz w:val="22"/>
                <w:szCs w:val="22"/>
              </w:rPr>
            </w:pPr>
            <w:r w:rsidRPr="0033106F">
              <w:rPr>
                <w:rFonts w:eastAsia="Calibri"/>
                <w:sz w:val="22"/>
                <w:szCs w:val="22"/>
              </w:rPr>
              <w:t>Yes</w:t>
            </w:r>
          </w:p>
        </w:tc>
        <w:tc>
          <w:tcPr>
            <w:tcW w:w="1131" w:type="dxa"/>
          </w:tcPr>
          <w:p w14:paraId="7820F289" w14:textId="77777777" w:rsidR="0033106F" w:rsidRPr="0033106F" w:rsidRDefault="0033106F" w:rsidP="00962A67">
            <w:pPr>
              <w:rPr>
                <w:rFonts w:eastAsia="Calibri"/>
                <w:sz w:val="22"/>
                <w:szCs w:val="22"/>
              </w:rPr>
            </w:pPr>
            <w:r w:rsidRPr="0033106F">
              <w:rPr>
                <w:rFonts w:eastAsia="Calibri"/>
                <w:sz w:val="22"/>
                <w:szCs w:val="22"/>
              </w:rPr>
              <w:t>Yes</w:t>
            </w:r>
          </w:p>
        </w:tc>
        <w:tc>
          <w:tcPr>
            <w:tcW w:w="1255" w:type="dxa"/>
          </w:tcPr>
          <w:p w14:paraId="23057951" w14:textId="77777777" w:rsidR="0033106F" w:rsidRPr="0033106F" w:rsidRDefault="0033106F" w:rsidP="00962A67">
            <w:pPr>
              <w:rPr>
                <w:sz w:val="22"/>
                <w:szCs w:val="22"/>
              </w:rPr>
            </w:pPr>
            <w:r w:rsidRPr="0033106F">
              <w:rPr>
                <w:sz w:val="22"/>
                <w:szCs w:val="22"/>
              </w:rPr>
              <w:t>1/21/2024</w:t>
            </w:r>
          </w:p>
        </w:tc>
        <w:tc>
          <w:tcPr>
            <w:tcW w:w="1728" w:type="dxa"/>
          </w:tcPr>
          <w:p w14:paraId="240BE288" w14:textId="77777777" w:rsidR="0033106F" w:rsidRPr="0033106F" w:rsidRDefault="0033106F" w:rsidP="00962A67">
            <w:pPr>
              <w:rPr>
                <w:sz w:val="22"/>
                <w:szCs w:val="22"/>
              </w:rPr>
            </w:pPr>
            <w:r w:rsidRPr="0033106F">
              <w:rPr>
                <w:sz w:val="22"/>
                <w:szCs w:val="22"/>
              </w:rPr>
              <w:t>10/1/2023</w:t>
            </w:r>
          </w:p>
        </w:tc>
      </w:tr>
    </w:tbl>
    <w:p w14:paraId="30DF2A46" w14:textId="77777777" w:rsidR="00810142" w:rsidRPr="000A1781" w:rsidRDefault="00810142" w:rsidP="00810142">
      <w:pPr>
        <w:tabs>
          <w:tab w:val="left" w:pos="8367"/>
        </w:tabs>
        <w:ind w:left="1530"/>
        <w:jc w:val="center"/>
        <w:rPr>
          <w:b/>
          <w:bCs/>
        </w:rPr>
      </w:pPr>
    </w:p>
    <w:p w14:paraId="3E4B56AC" w14:textId="77777777" w:rsidR="003B5742" w:rsidRPr="000A1781" w:rsidRDefault="003B5742" w:rsidP="003B5742">
      <w:pPr>
        <w:pStyle w:val="ListParagraph"/>
        <w:tabs>
          <w:tab w:val="left" w:pos="8367"/>
        </w:tabs>
        <w:ind w:left="1530"/>
        <w:rPr>
          <w:rFonts w:ascii="Times New Roman" w:hAnsi="Times New Roman" w:cs="Times New Roman"/>
        </w:rPr>
      </w:pPr>
      <w:r w:rsidRPr="000A1781">
        <w:rPr>
          <w:rFonts w:ascii="Times New Roman" w:hAnsi="Times New Roman" w:cs="Times New Roman"/>
          <w:b/>
          <w:bCs/>
        </w:rPr>
        <w:t>*</w:t>
      </w:r>
      <w:r w:rsidRPr="000A1781">
        <w:rPr>
          <w:rFonts w:ascii="Times New Roman" w:hAnsi="Times New Roman" w:cs="Times New Roman"/>
        </w:rPr>
        <w:t>The Emergency Temporary Standard for COVID-19 Vaccination and Testing was withdrawn.</w:t>
      </w:r>
    </w:p>
    <w:p w14:paraId="6265F629" w14:textId="77777777" w:rsidR="003B5742" w:rsidRPr="000A1781" w:rsidRDefault="003B5742" w:rsidP="003B5742">
      <w:pPr>
        <w:pStyle w:val="ListParagraph"/>
        <w:tabs>
          <w:tab w:val="left" w:pos="8367"/>
        </w:tabs>
        <w:ind w:left="1530"/>
        <w:rPr>
          <w:rFonts w:ascii="Times New Roman" w:hAnsi="Times New Roman" w:cs="Times New Roman"/>
        </w:rPr>
      </w:pPr>
    </w:p>
    <w:p w14:paraId="2244A0C5" w14:textId="77777777" w:rsidR="0033106F" w:rsidRDefault="0033106F" w:rsidP="0033106F">
      <w:pPr>
        <w:pStyle w:val="ListParagraph"/>
        <w:spacing w:after="0" w:line="240" w:lineRule="auto"/>
        <w:ind w:left="1530"/>
        <w:rPr>
          <w:rFonts w:ascii="Times New Roman" w:hAnsi="Times New Roman" w:cs="Times New Roman"/>
          <w:sz w:val="24"/>
          <w:szCs w:val="24"/>
        </w:rPr>
      </w:pPr>
    </w:p>
    <w:p w14:paraId="2FA06F63" w14:textId="77777777" w:rsidR="0033106F" w:rsidRDefault="0033106F" w:rsidP="0033106F">
      <w:pPr>
        <w:pStyle w:val="ListParagraph"/>
        <w:spacing w:after="0" w:line="240" w:lineRule="auto"/>
        <w:ind w:left="1530"/>
        <w:rPr>
          <w:rFonts w:ascii="Times New Roman" w:hAnsi="Times New Roman" w:cs="Times New Roman"/>
          <w:sz w:val="24"/>
          <w:szCs w:val="24"/>
        </w:rPr>
      </w:pPr>
    </w:p>
    <w:p w14:paraId="33C5FC8F" w14:textId="77777777" w:rsidR="0033106F" w:rsidRDefault="0033106F" w:rsidP="0033106F">
      <w:pPr>
        <w:pStyle w:val="ListParagraph"/>
        <w:spacing w:after="0" w:line="240" w:lineRule="auto"/>
        <w:ind w:left="1530"/>
        <w:rPr>
          <w:rFonts w:ascii="Times New Roman" w:hAnsi="Times New Roman" w:cs="Times New Roman"/>
          <w:sz w:val="24"/>
          <w:szCs w:val="24"/>
        </w:rPr>
      </w:pPr>
    </w:p>
    <w:p w14:paraId="477A9CE5" w14:textId="2C8FA424" w:rsidR="005F6498" w:rsidRPr="00887129" w:rsidRDefault="005F6498" w:rsidP="0033106F">
      <w:pPr>
        <w:pStyle w:val="ListParagraph"/>
        <w:numPr>
          <w:ilvl w:val="0"/>
          <w:numId w:val="11"/>
        </w:numPr>
        <w:rPr>
          <w:rFonts w:ascii="Times New Roman" w:hAnsi="Times New Roman" w:cs="Times New Roman"/>
          <w:sz w:val="24"/>
          <w:szCs w:val="24"/>
        </w:rPr>
      </w:pPr>
      <w:r w:rsidRPr="00887129">
        <w:rPr>
          <w:rFonts w:ascii="Times New Roman" w:hAnsi="Times New Roman" w:cs="Times New Roman"/>
          <w:sz w:val="24"/>
          <w:szCs w:val="24"/>
        </w:rPr>
        <w:lastRenderedPageBreak/>
        <w:t>Federal</w:t>
      </w:r>
      <w:r w:rsidR="009867FC" w:rsidRPr="00887129">
        <w:rPr>
          <w:rFonts w:ascii="Times New Roman" w:hAnsi="Times New Roman" w:cs="Times New Roman"/>
          <w:sz w:val="24"/>
          <w:szCs w:val="24"/>
        </w:rPr>
        <w:t xml:space="preserve"> Program Change (FPC) Adoption</w:t>
      </w:r>
    </w:p>
    <w:p w14:paraId="4A97CAAC" w14:textId="77777777" w:rsidR="009867FC" w:rsidRPr="00F32E71" w:rsidRDefault="009867FC" w:rsidP="00002D71">
      <w:pPr>
        <w:pStyle w:val="ListParagraph"/>
        <w:spacing w:after="0" w:line="240" w:lineRule="auto"/>
        <w:ind w:left="1530"/>
        <w:rPr>
          <w:rFonts w:ascii="Times New Roman" w:hAnsi="Times New Roman" w:cs="Times New Roman"/>
          <w:sz w:val="24"/>
          <w:szCs w:val="24"/>
        </w:rPr>
      </w:pPr>
    </w:p>
    <w:p w14:paraId="1A0F8BEC" w14:textId="770BC90A" w:rsidR="003B5742" w:rsidRPr="000A1781" w:rsidRDefault="003B5742" w:rsidP="003B5742">
      <w:pPr>
        <w:ind w:left="1530"/>
      </w:pPr>
      <w:r w:rsidRPr="00F32E71">
        <w:t>Six (6) Federal Program Changes (FPCs) required a response and/or plan supplement in FY 2023. All responses were transmitted prior to the due date. OHSB was current on timely adoption of standards during FY 2023. OHSB adopted five (5) out of six (6) required changes identical to OSHA. OHSB is currently in the process</w:t>
      </w:r>
      <w:r w:rsidRPr="000A1781">
        <w:t xml:space="preserve"> of adopting the OSHA Whistleblower Investigation Manual in accordance with state regulations and is operating under a draft directive during the internal legal review process. </w:t>
      </w:r>
    </w:p>
    <w:p w14:paraId="67F34707" w14:textId="77777777" w:rsidR="006259D9" w:rsidRDefault="006259D9" w:rsidP="00002D71">
      <w:pPr>
        <w:pStyle w:val="ListParagraph"/>
        <w:spacing w:line="240" w:lineRule="auto"/>
        <w:ind w:left="1530"/>
        <w:jc w:val="center"/>
        <w:rPr>
          <w:rFonts w:ascii="Times New Roman" w:hAnsi="Times New Roman" w:cs="Times New Roman"/>
          <w:b/>
          <w:bCs/>
          <w:sz w:val="24"/>
          <w:szCs w:val="24"/>
        </w:rPr>
      </w:pPr>
    </w:p>
    <w:p w14:paraId="29B6C765" w14:textId="37546B0A" w:rsidR="00644095" w:rsidRPr="000A1781" w:rsidRDefault="00644095" w:rsidP="00002D71">
      <w:pPr>
        <w:pStyle w:val="ListParagraph"/>
        <w:spacing w:line="240" w:lineRule="auto"/>
        <w:ind w:left="1530"/>
        <w:jc w:val="center"/>
        <w:rPr>
          <w:rFonts w:ascii="Times New Roman" w:hAnsi="Times New Roman" w:cs="Times New Roman"/>
          <w:b/>
          <w:sz w:val="24"/>
          <w:szCs w:val="24"/>
        </w:rPr>
      </w:pPr>
      <w:r w:rsidRPr="000A1781">
        <w:rPr>
          <w:rFonts w:ascii="Times New Roman" w:hAnsi="Times New Roman" w:cs="Times New Roman"/>
          <w:b/>
          <w:bCs/>
          <w:sz w:val="24"/>
          <w:szCs w:val="24"/>
        </w:rPr>
        <w:t xml:space="preserve">Table B </w:t>
      </w:r>
    </w:p>
    <w:p w14:paraId="27C613FF" w14:textId="77777777" w:rsidR="003B5742" w:rsidRPr="000A1781" w:rsidRDefault="00644095" w:rsidP="00002D71">
      <w:pPr>
        <w:pStyle w:val="ListParagraph"/>
        <w:tabs>
          <w:tab w:val="num" w:pos="0"/>
        </w:tabs>
        <w:spacing w:line="240" w:lineRule="auto"/>
        <w:ind w:left="1530"/>
        <w:jc w:val="center"/>
        <w:rPr>
          <w:rFonts w:ascii="Times New Roman" w:hAnsi="Times New Roman" w:cs="Times New Roman"/>
          <w:b/>
          <w:bCs/>
          <w:sz w:val="24"/>
          <w:szCs w:val="24"/>
        </w:rPr>
      </w:pPr>
      <w:r w:rsidRPr="000A1781">
        <w:rPr>
          <w:rFonts w:ascii="Times New Roman" w:hAnsi="Times New Roman" w:cs="Times New Roman"/>
          <w:b/>
          <w:bCs/>
          <w:sz w:val="24"/>
          <w:szCs w:val="24"/>
        </w:rPr>
        <w:t xml:space="preserve">Status of FY </w:t>
      </w:r>
      <w:r w:rsidR="003B5742" w:rsidRPr="000A1781">
        <w:rPr>
          <w:rFonts w:ascii="Times New Roman" w:hAnsi="Times New Roman" w:cs="Times New Roman"/>
          <w:b/>
          <w:bCs/>
          <w:sz w:val="24"/>
          <w:szCs w:val="24"/>
        </w:rPr>
        <w:t xml:space="preserve">2022 and FY </w:t>
      </w:r>
      <w:r w:rsidRPr="000A1781">
        <w:rPr>
          <w:rFonts w:ascii="Times New Roman" w:hAnsi="Times New Roman" w:cs="Times New Roman"/>
          <w:b/>
          <w:bCs/>
          <w:sz w:val="24"/>
          <w:szCs w:val="24"/>
        </w:rPr>
        <w:t xml:space="preserve">2023 Federal Program Change (FPC) </w:t>
      </w:r>
    </w:p>
    <w:p w14:paraId="640C44FB" w14:textId="403AB888" w:rsidR="00644095" w:rsidRPr="000A1781" w:rsidRDefault="003B5742" w:rsidP="00002D71">
      <w:pPr>
        <w:pStyle w:val="ListParagraph"/>
        <w:tabs>
          <w:tab w:val="num" w:pos="0"/>
        </w:tabs>
        <w:spacing w:line="240" w:lineRule="auto"/>
        <w:ind w:left="1530"/>
        <w:jc w:val="center"/>
        <w:rPr>
          <w:rFonts w:ascii="Times New Roman" w:hAnsi="Times New Roman" w:cs="Times New Roman"/>
          <w:b/>
          <w:bCs/>
          <w:sz w:val="24"/>
          <w:szCs w:val="24"/>
        </w:rPr>
      </w:pPr>
      <w:r w:rsidRPr="000A1781">
        <w:rPr>
          <w:rFonts w:ascii="Times New Roman" w:hAnsi="Times New Roman" w:cs="Times New Roman"/>
          <w:b/>
          <w:bCs/>
          <w:sz w:val="24"/>
          <w:szCs w:val="24"/>
        </w:rPr>
        <w:t xml:space="preserve">Where </w:t>
      </w:r>
      <w:r w:rsidR="00644095" w:rsidRPr="000A1781">
        <w:rPr>
          <w:rFonts w:ascii="Times New Roman" w:hAnsi="Times New Roman" w:cs="Times New Roman"/>
          <w:b/>
          <w:bCs/>
          <w:sz w:val="24"/>
          <w:szCs w:val="24"/>
        </w:rPr>
        <w:t>Adoption</w:t>
      </w:r>
      <w:r w:rsidRPr="000A1781">
        <w:rPr>
          <w:rFonts w:ascii="Times New Roman" w:hAnsi="Times New Roman" w:cs="Times New Roman"/>
          <w:b/>
          <w:bCs/>
          <w:sz w:val="24"/>
          <w:szCs w:val="24"/>
        </w:rPr>
        <w:t xml:space="preserve"> Was Required</w:t>
      </w:r>
    </w:p>
    <w:tbl>
      <w:tblPr>
        <w:tblStyle w:val="TableGrid"/>
        <w:tblW w:w="9810" w:type="dxa"/>
        <w:tblInd w:w="445" w:type="dxa"/>
        <w:tblLayout w:type="fixed"/>
        <w:tblLook w:val="04A0" w:firstRow="1" w:lastRow="0" w:firstColumn="1" w:lastColumn="0" w:noHBand="0" w:noVBand="1"/>
        <w:tblCaption w:val="Status of FY 20XX Federal Program Change (FPC) Adoption"/>
        <w:tblDescription w:val="Table B"/>
      </w:tblPr>
      <w:tblGrid>
        <w:gridCol w:w="2700"/>
        <w:gridCol w:w="1350"/>
        <w:gridCol w:w="1260"/>
        <w:gridCol w:w="990"/>
        <w:gridCol w:w="1080"/>
        <w:gridCol w:w="1260"/>
        <w:gridCol w:w="1170"/>
      </w:tblGrid>
      <w:tr w:rsidR="00AA1881" w:rsidRPr="000A1781" w14:paraId="500FFBD4" w14:textId="77777777" w:rsidTr="00887129">
        <w:trPr>
          <w:trHeight w:val="1134"/>
          <w:tblHeader/>
        </w:trPr>
        <w:tc>
          <w:tcPr>
            <w:tcW w:w="2700" w:type="dxa"/>
            <w:shd w:val="clear" w:color="auto" w:fill="44546A" w:themeFill="text2"/>
            <w:hideMark/>
          </w:tcPr>
          <w:p w14:paraId="45BF427A" w14:textId="0E2C97C4" w:rsidR="00644095" w:rsidRPr="000A1781" w:rsidRDefault="00644095" w:rsidP="00002D71">
            <w:pPr>
              <w:spacing w:before="240"/>
              <w:jc w:val="center"/>
              <w:rPr>
                <w:rFonts w:eastAsia="Calibri"/>
                <w:b/>
                <w:bCs/>
                <w:color w:val="FFFFFF" w:themeColor="background1"/>
                <w:sz w:val="22"/>
                <w:szCs w:val="22"/>
              </w:rPr>
            </w:pPr>
            <w:r w:rsidRPr="000A1781">
              <w:rPr>
                <w:rFonts w:eastAsia="Calibri"/>
                <w:b/>
                <w:bCs/>
                <w:color w:val="FFFFFF" w:themeColor="background1"/>
                <w:sz w:val="22"/>
                <w:szCs w:val="22"/>
              </w:rPr>
              <w:t>FPC Directive/</w:t>
            </w:r>
            <w:r w:rsidR="009F179B">
              <w:rPr>
                <w:rFonts w:eastAsia="Calibri"/>
                <w:b/>
                <w:bCs/>
                <w:color w:val="FFFFFF" w:themeColor="background1"/>
                <w:sz w:val="22"/>
                <w:szCs w:val="22"/>
              </w:rPr>
              <w:t xml:space="preserve"> </w:t>
            </w:r>
            <w:r w:rsidRPr="000A1781">
              <w:rPr>
                <w:rFonts w:eastAsia="Calibri"/>
                <w:b/>
                <w:bCs/>
                <w:color w:val="FFFFFF" w:themeColor="background1"/>
                <w:sz w:val="22"/>
                <w:szCs w:val="22"/>
              </w:rPr>
              <w:t>Subject</w:t>
            </w:r>
          </w:p>
        </w:tc>
        <w:tc>
          <w:tcPr>
            <w:tcW w:w="1350" w:type="dxa"/>
            <w:shd w:val="clear" w:color="auto" w:fill="44546A" w:themeFill="text2"/>
          </w:tcPr>
          <w:p w14:paraId="55660E5F" w14:textId="77777777" w:rsidR="00644095" w:rsidRPr="000A1781" w:rsidRDefault="00644095" w:rsidP="00002D71">
            <w:pPr>
              <w:spacing w:before="240"/>
              <w:jc w:val="center"/>
              <w:rPr>
                <w:rFonts w:eastAsia="Calibri"/>
                <w:b/>
                <w:bCs/>
                <w:color w:val="FFFFFF" w:themeColor="background1"/>
                <w:sz w:val="22"/>
                <w:szCs w:val="22"/>
              </w:rPr>
            </w:pPr>
            <w:r w:rsidRPr="000A1781">
              <w:rPr>
                <w:rFonts w:eastAsia="Calibri"/>
                <w:b/>
                <w:bCs/>
                <w:color w:val="FFFFFF" w:themeColor="background1"/>
                <w:sz w:val="22"/>
                <w:szCs w:val="22"/>
              </w:rPr>
              <w:t>Response Due Date</w:t>
            </w:r>
          </w:p>
        </w:tc>
        <w:tc>
          <w:tcPr>
            <w:tcW w:w="1260" w:type="dxa"/>
            <w:shd w:val="clear" w:color="auto" w:fill="44546A" w:themeFill="text2"/>
            <w:hideMark/>
          </w:tcPr>
          <w:p w14:paraId="47423A5D" w14:textId="77777777" w:rsidR="00644095" w:rsidRPr="000A1781" w:rsidRDefault="00644095" w:rsidP="00002D71">
            <w:pPr>
              <w:spacing w:before="240"/>
              <w:jc w:val="center"/>
              <w:rPr>
                <w:b/>
                <w:bCs/>
                <w:color w:val="FFFFFF" w:themeColor="background1"/>
                <w:sz w:val="22"/>
                <w:szCs w:val="22"/>
              </w:rPr>
            </w:pPr>
            <w:r w:rsidRPr="000A1781">
              <w:rPr>
                <w:rFonts w:eastAsia="Calibri"/>
                <w:b/>
                <w:bCs/>
                <w:color w:val="FFFFFF" w:themeColor="background1"/>
                <w:sz w:val="22"/>
                <w:szCs w:val="22"/>
              </w:rPr>
              <w:t>State Plan Response Date</w:t>
            </w:r>
          </w:p>
        </w:tc>
        <w:tc>
          <w:tcPr>
            <w:tcW w:w="990" w:type="dxa"/>
            <w:shd w:val="clear" w:color="auto" w:fill="44546A" w:themeFill="text2"/>
            <w:hideMark/>
          </w:tcPr>
          <w:p w14:paraId="52C5D22F" w14:textId="77777777" w:rsidR="00644095" w:rsidRPr="000A1781" w:rsidRDefault="00644095" w:rsidP="00002D71">
            <w:pPr>
              <w:spacing w:before="240"/>
              <w:jc w:val="center"/>
              <w:rPr>
                <w:b/>
                <w:bCs/>
                <w:color w:val="FFFFFF" w:themeColor="background1"/>
                <w:sz w:val="22"/>
                <w:szCs w:val="22"/>
              </w:rPr>
            </w:pPr>
            <w:r w:rsidRPr="000A1781">
              <w:rPr>
                <w:rFonts w:eastAsia="Calibri"/>
                <w:b/>
                <w:bCs/>
                <w:color w:val="FFFFFF" w:themeColor="background1"/>
                <w:sz w:val="22"/>
                <w:szCs w:val="22"/>
              </w:rPr>
              <w:t>Intent to Adopt</w:t>
            </w:r>
          </w:p>
        </w:tc>
        <w:tc>
          <w:tcPr>
            <w:tcW w:w="1080" w:type="dxa"/>
            <w:shd w:val="clear" w:color="auto" w:fill="44546A" w:themeFill="text2"/>
            <w:hideMark/>
          </w:tcPr>
          <w:p w14:paraId="0A1D2B18" w14:textId="77777777" w:rsidR="00644095" w:rsidRPr="000A1781" w:rsidRDefault="00644095" w:rsidP="00D91B19">
            <w:pPr>
              <w:spacing w:before="240"/>
              <w:jc w:val="center"/>
              <w:rPr>
                <w:b/>
                <w:bCs/>
                <w:color w:val="FFFFFF" w:themeColor="background1"/>
                <w:sz w:val="22"/>
                <w:szCs w:val="22"/>
              </w:rPr>
            </w:pPr>
            <w:r w:rsidRPr="000A1781">
              <w:rPr>
                <w:rFonts w:eastAsia="Calibri"/>
                <w:b/>
                <w:bCs/>
                <w:color w:val="FFFFFF" w:themeColor="background1"/>
                <w:sz w:val="22"/>
                <w:szCs w:val="22"/>
              </w:rPr>
              <w:t>Adopt Identical</w:t>
            </w:r>
          </w:p>
        </w:tc>
        <w:tc>
          <w:tcPr>
            <w:tcW w:w="1260" w:type="dxa"/>
            <w:shd w:val="clear" w:color="auto" w:fill="44546A" w:themeFill="text2"/>
            <w:hideMark/>
          </w:tcPr>
          <w:p w14:paraId="1C0AFF47" w14:textId="77777777" w:rsidR="00644095" w:rsidRPr="000A1781" w:rsidRDefault="00644095" w:rsidP="00002D71">
            <w:pPr>
              <w:spacing w:before="240"/>
              <w:jc w:val="center"/>
              <w:rPr>
                <w:b/>
                <w:bCs/>
                <w:color w:val="FFFFFF" w:themeColor="background1"/>
                <w:sz w:val="22"/>
                <w:szCs w:val="22"/>
              </w:rPr>
            </w:pPr>
            <w:r w:rsidRPr="000A1781">
              <w:rPr>
                <w:rFonts w:eastAsia="Calibri"/>
                <w:b/>
                <w:bCs/>
                <w:color w:val="FFFFFF" w:themeColor="background1"/>
                <w:sz w:val="22"/>
                <w:szCs w:val="22"/>
              </w:rPr>
              <w:t>Adoption Due Date</w:t>
            </w:r>
          </w:p>
        </w:tc>
        <w:tc>
          <w:tcPr>
            <w:tcW w:w="1170" w:type="dxa"/>
            <w:shd w:val="clear" w:color="auto" w:fill="44546A" w:themeFill="text2"/>
            <w:hideMark/>
          </w:tcPr>
          <w:p w14:paraId="6CF00C2D" w14:textId="77777777" w:rsidR="00644095" w:rsidRPr="000A1781" w:rsidRDefault="00644095" w:rsidP="00D91B19">
            <w:pPr>
              <w:spacing w:before="240"/>
              <w:ind w:right="-104"/>
              <w:jc w:val="center"/>
              <w:rPr>
                <w:b/>
                <w:bCs/>
                <w:color w:val="FFFFFF" w:themeColor="background1"/>
                <w:sz w:val="22"/>
                <w:szCs w:val="22"/>
              </w:rPr>
            </w:pPr>
            <w:r w:rsidRPr="000A1781">
              <w:rPr>
                <w:rFonts w:eastAsia="Calibri"/>
                <w:b/>
                <w:bCs/>
                <w:color w:val="FFFFFF" w:themeColor="background1"/>
                <w:sz w:val="22"/>
                <w:szCs w:val="22"/>
              </w:rPr>
              <w:t>State Plan Adoption Date</w:t>
            </w:r>
          </w:p>
        </w:tc>
      </w:tr>
      <w:tr w:rsidR="00AA1881" w:rsidRPr="000A1781" w14:paraId="0459961D" w14:textId="77777777" w:rsidTr="00887129">
        <w:trPr>
          <w:trHeight w:val="517"/>
        </w:trPr>
        <w:tc>
          <w:tcPr>
            <w:tcW w:w="2700" w:type="dxa"/>
          </w:tcPr>
          <w:p w14:paraId="72E56E67" w14:textId="77777777" w:rsidR="00644095" w:rsidRPr="000A1781" w:rsidRDefault="00644095" w:rsidP="00D91B19">
            <w:pPr>
              <w:ind w:right="-105"/>
              <w:rPr>
                <w:sz w:val="22"/>
                <w:szCs w:val="22"/>
              </w:rPr>
            </w:pPr>
            <w:r w:rsidRPr="000A1781">
              <w:rPr>
                <w:sz w:val="22"/>
                <w:szCs w:val="22"/>
              </w:rPr>
              <w:t xml:space="preserve">National Emphasis Program on Warehousing and Distribution Center Operations CPL 03-000-026     </w:t>
            </w:r>
          </w:p>
        </w:tc>
        <w:tc>
          <w:tcPr>
            <w:tcW w:w="1350" w:type="dxa"/>
            <w:vAlign w:val="center"/>
          </w:tcPr>
          <w:p w14:paraId="55F36607" w14:textId="77777777" w:rsidR="00644095" w:rsidRPr="000A1781" w:rsidRDefault="00644095" w:rsidP="00002D71">
            <w:pPr>
              <w:jc w:val="center"/>
              <w:rPr>
                <w:sz w:val="22"/>
                <w:szCs w:val="22"/>
              </w:rPr>
            </w:pPr>
            <w:r w:rsidRPr="000A1781">
              <w:rPr>
                <w:sz w:val="22"/>
                <w:szCs w:val="22"/>
              </w:rPr>
              <w:t>9/11/2023</w:t>
            </w:r>
          </w:p>
        </w:tc>
        <w:tc>
          <w:tcPr>
            <w:tcW w:w="1260" w:type="dxa"/>
            <w:vAlign w:val="center"/>
          </w:tcPr>
          <w:p w14:paraId="759DF6B4" w14:textId="39A289BB" w:rsidR="00644095" w:rsidRPr="000A1781" w:rsidRDefault="00644095" w:rsidP="00002D71">
            <w:pPr>
              <w:jc w:val="center"/>
              <w:rPr>
                <w:sz w:val="22"/>
                <w:szCs w:val="22"/>
              </w:rPr>
            </w:pPr>
            <w:r w:rsidRPr="000A1781">
              <w:rPr>
                <w:sz w:val="22"/>
                <w:szCs w:val="22"/>
              </w:rPr>
              <w:t>9/13/2023</w:t>
            </w:r>
          </w:p>
        </w:tc>
        <w:tc>
          <w:tcPr>
            <w:tcW w:w="990" w:type="dxa"/>
            <w:vAlign w:val="center"/>
          </w:tcPr>
          <w:p w14:paraId="480E4144" w14:textId="7F8FC0BB" w:rsidR="00644095" w:rsidRPr="000A1781" w:rsidRDefault="00644095" w:rsidP="00002D71">
            <w:pPr>
              <w:jc w:val="center"/>
              <w:rPr>
                <w:sz w:val="22"/>
                <w:szCs w:val="22"/>
              </w:rPr>
            </w:pPr>
            <w:r w:rsidRPr="000A1781">
              <w:rPr>
                <w:sz w:val="22"/>
                <w:szCs w:val="22"/>
              </w:rPr>
              <w:t>Yes</w:t>
            </w:r>
          </w:p>
        </w:tc>
        <w:tc>
          <w:tcPr>
            <w:tcW w:w="1080" w:type="dxa"/>
            <w:vAlign w:val="center"/>
          </w:tcPr>
          <w:p w14:paraId="65EA9A81" w14:textId="15EE7BBF" w:rsidR="00644095" w:rsidRPr="000A1781" w:rsidRDefault="00644095" w:rsidP="00002D71">
            <w:pPr>
              <w:jc w:val="center"/>
              <w:rPr>
                <w:sz w:val="22"/>
                <w:szCs w:val="22"/>
              </w:rPr>
            </w:pPr>
            <w:r w:rsidRPr="000A1781">
              <w:rPr>
                <w:sz w:val="22"/>
                <w:szCs w:val="22"/>
              </w:rPr>
              <w:t>Yes</w:t>
            </w:r>
          </w:p>
        </w:tc>
        <w:tc>
          <w:tcPr>
            <w:tcW w:w="1260" w:type="dxa"/>
            <w:vAlign w:val="center"/>
          </w:tcPr>
          <w:p w14:paraId="743627AB" w14:textId="3C549753" w:rsidR="00644095" w:rsidRPr="000A1781" w:rsidRDefault="003B5742" w:rsidP="00002D71">
            <w:pPr>
              <w:widowControl/>
              <w:autoSpaceDE/>
              <w:autoSpaceDN/>
              <w:adjustRightInd/>
              <w:jc w:val="center"/>
              <w:rPr>
                <w:sz w:val="22"/>
                <w:szCs w:val="22"/>
              </w:rPr>
            </w:pPr>
            <w:r w:rsidRPr="000A1781">
              <w:rPr>
                <w:sz w:val="22"/>
                <w:szCs w:val="22"/>
              </w:rPr>
              <w:t>9/11/2023</w:t>
            </w:r>
          </w:p>
        </w:tc>
        <w:tc>
          <w:tcPr>
            <w:tcW w:w="1170" w:type="dxa"/>
            <w:vAlign w:val="center"/>
          </w:tcPr>
          <w:p w14:paraId="5C9CBF09" w14:textId="2B8F5442" w:rsidR="00644095" w:rsidRPr="000A1781" w:rsidRDefault="00644095" w:rsidP="00002D71">
            <w:pPr>
              <w:jc w:val="center"/>
              <w:rPr>
                <w:sz w:val="22"/>
                <w:szCs w:val="22"/>
              </w:rPr>
            </w:pPr>
            <w:r w:rsidRPr="000A1781">
              <w:rPr>
                <w:sz w:val="22"/>
                <w:szCs w:val="22"/>
              </w:rPr>
              <w:t>9/13/2023</w:t>
            </w:r>
          </w:p>
        </w:tc>
      </w:tr>
      <w:tr w:rsidR="00AA1881" w:rsidRPr="000A1781" w14:paraId="58365E0B" w14:textId="77777777" w:rsidTr="00887129">
        <w:trPr>
          <w:trHeight w:val="517"/>
        </w:trPr>
        <w:tc>
          <w:tcPr>
            <w:tcW w:w="2700" w:type="dxa"/>
          </w:tcPr>
          <w:p w14:paraId="0D4D1AC8" w14:textId="77777777" w:rsidR="00644095" w:rsidRPr="000A1781" w:rsidRDefault="00644095" w:rsidP="00002D71">
            <w:pPr>
              <w:rPr>
                <w:sz w:val="22"/>
                <w:szCs w:val="22"/>
              </w:rPr>
            </w:pPr>
            <w:r w:rsidRPr="000A1781">
              <w:rPr>
                <w:sz w:val="22"/>
                <w:szCs w:val="22"/>
              </w:rPr>
              <w:t>Revised Combustible Dust National Emphasis Program CPL 03-00-008 (1/30/2023)</w:t>
            </w:r>
          </w:p>
        </w:tc>
        <w:tc>
          <w:tcPr>
            <w:tcW w:w="1350" w:type="dxa"/>
            <w:vAlign w:val="center"/>
          </w:tcPr>
          <w:p w14:paraId="6209204E" w14:textId="77777777" w:rsidR="00644095" w:rsidRPr="000A1781" w:rsidRDefault="00644095" w:rsidP="00002D71">
            <w:pPr>
              <w:jc w:val="center"/>
              <w:rPr>
                <w:sz w:val="22"/>
                <w:szCs w:val="22"/>
              </w:rPr>
            </w:pPr>
            <w:r w:rsidRPr="000A1781">
              <w:rPr>
                <w:sz w:val="22"/>
                <w:szCs w:val="22"/>
              </w:rPr>
              <w:t>3/31/2023</w:t>
            </w:r>
          </w:p>
        </w:tc>
        <w:tc>
          <w:tcPr>
            <w:tcW w:w="1260" w:type="dxa"/>
            <w:vAlign w:val="center"/>
          </w:tcPr>
          <w:p w14:paraId="13292C47" w14:textId="65CD9C20" w:rsidR="00644095" w:rsidRPr="000A1781" w:rsidRDefault="00644095" w:rsidP="00002D71">
            <w:pPr>
              <w:jc w:val="center"/>
              <w:rPr>
                <w:sz w:val="22"/>
                <w:szCs w:val="22"/>
              </w:rPr>
            </w:pPr>
            <w:r w:rsidRPr="000A1781">
              <w:rPr>
                <w:sz w:val="22"/>
                <w:szCs w:val="22"/>
              </w:rPr>
              <w:t>3/</w:t>
            </w:r>
            <w:r w:rsidR="003B5742" w:rsidRPr="000A1781">
              <w:rPr>
                <w:sz w:val="22"/>
                <w:szCs w:val="22"/>
              </w:rPr>
              <w:t>3</w:t>
            </w:r>
            <w:r w:rsidRPr="000A1781">
              <w:rPr>
                <w:sz w:val="22"/>
                <w:szCs w:val="22"/>
              </w:rPr>
              <w:t>/2023</w:t>
            </w:r>
          </w:p>
        </w:tc>
        <w:tc>
          <w:tcPr>
            <w:tcW w:w="990" w:type="dxa"/>
            <w:vAlign w:val="center"/>
          </w:tcPr>
          <w:p w14:paraId="2D944E66" w14:textId="77777777" w:rsidR="00644095" w:rsidRPr="000A1781" w:rsidRDefault="00644095" w:rsidP="00002D71">
            <w:pPr>
              <w:jc w:val="center"/>
              <w:rPr>
                <w:sz w:val="22"/>
                <w:szCs w:val="22"/>
              </w:rPr>
            </w:pPr>
            <w:r w:rsidRPr="000A1781">
              <w:rPr>
                <w:sz w:val="22"/>
                <w:szCs w:val="22"/>
              </w:rPr>
              <w:t>Yes</w:t>
            </w:r>
          </w:p>
        </w:tc>
        <w:tc>
          <w:tcPr>
            <w:tcW w:w="1080" w:type="dxa"/>
            <w:vAlign w:val="center"/>
          </w:tcPr>
          <w:p w14:paraId="2D907825" w14:textId="77777777" w:rsidR="00644095" w:rsidRPr="000A1781" w:rsidRDefault="00644095" w:rsidP="00002D71">
            <w:pPr>
              <w:jc w:val="center"/>
              <w:rPr>
                <w:sz w:val="22"/>
                <w:szCs w:val="22"/>
              </w:rPr>
            </w:pPr>
            <w:r w:rsidRPr="000A1781">
              <w:rPr>
                <w:sz w:val="22"/>
                <w:szCs w:val="22"/>
              </w:rPr>
              <w:t>Yes</w:t>
            </w:r>
          </w:p>
        </w:tc>
        <w:tc>
          <w:tcPr>
            <w:tcW w:w="1260" w:type="dxa"/>
            <w:vAlign w:val="center"/>
          </w:tcPr>
          <w:p w14:paraId="1A5DFC29" w14:textId="4BE80CA9" w:rsidR="00644095" w:rsidRPr="000A1781" w:rsidRDefault="003B5742" w:rsidP="00002D71">
            <w:pPr>
              <w:jc w:val="center"/>
              <w:rPr>
                <w:sz w:val="22"/>
                <w:szCs w:val="22"/>
              </w:rPr>
            </w:pPr>
            <w:r w:rsidRPr="000A1781">
              <w:rPr>
                <w:sz w:val="22"/>
                <w:szCs w:val="22"/>
              </w:rPr>
              <w:t>3/31/2023</w:t>
            </w:r>
          </w:p>
        </w:tc>
        <w:tc>
          <w:tcPr>
            <w:tcW w:w="1170" w:type="dxa"/>
            <w:vAlign w:val="center"/>
          </w:tcPr>
          <w:p w14:paraId="229F66C5" w14:textId="77777777" w:rsidR="00644095" w:rsidRPr="000A1781" w:rsidRDefault="00644095" w:rsidP="00002D71">
            <w:pPr>
              <w:jc w:val="center"/>
              <w:rPr>
                <w:sz w:val="22"/>
                <w:szCs w:val="22"/>
              </w:rPr>
            </w:pPr>
            <w:r w:rsidRPr="000A1781">
              <w:rPr>
                <w:sz w:val="22"/>
                <w:szCs w:val="22"/>
              </w:rPr>
              <w:t>3/3/2023</w:t>
            </w:r>
          </w:p>
        </w:tc>
      </w:tr>
      <w:bookmarkEnd w:id="7"/>
    </w:tbl>
    <w:p w14:paraId="6E84EEF0" w14:textId="77777777" w:rsidR="002A370C" w:rsidRPr="000A1781" w:rsidRDefault="002A370C" w:rsidP="00002D71">
      <w:pPr>
        <w:tabs>
          <w:tab w:val="left" w:pos="720"/>
          <w:tab w:val="left" w:pos="810"/>
        </w:tabs>
        <w:rPr>
          <w:b/>
          <w:highlight w:val="yellow"/>
        </w:rPr>
      </w:pPr>
    </w:p>
    <w:p w14:paraId="3C26AA61" w14:textId="77777777" w:rsidR="0033106F" w:rsidRDefault="0033106F" w:rsidP="003B5742">
      <w:pPr>
        <w:ind w:left="720" w:firstLine="720"/>
        <w:jc w:val="center"/>
        <w:rPr>
          <w:b/>
          <w:bCs/>
        </w:rPr>
      </w:pPr>
    </w:p>
    <w:p w14:paraId="6997F887" w14:textId="49DCF16C" w:rsidR="003B5742" w:rsidRPr="000A1781" w:rsidRDefault="003B5742" w:rsidP="003B5742">
      <w:pPr>
        <w:ind w:left="720" w:firstLine="720"/>
        <w:jc w:val="center"/>
        <w:rPr>
          <w:b/>
          <w:bCs/>
        </w:rPr>
      </w:pPr>
      <w:r w:rsidRPr="000A1781">
        <w:rPr>
          <w:b/>
          <w:bCs/>
        </w:rPr>
        <w:t>Table C</w:t>
      </w:r>
    </w:p>
    <w:p w14:paraId="7CF0EE46" w14:textId="77777777" w:rsidR="003B5742" w:rsidRPr="000A1781" w:rsidRDefault="003B5742" w:rsidP="003B5742">
      <w:pPr>
        <w:ind w:left="720" w:firstLine="720"/>
        <w:jc w:val="center"/>
        <w:rPr>
          <w:b/>
          <w:bCs/>
        </w:rPr>
      </w:pPr>
      <w:r w:rsidRPr="000A1781">
        <w:rPr>
          <w:b/>
          <w:bCs/>
        </w:rPr>
        <w:t>Status of FY 2022 and FY 2023 Federal Program Changes (FPCs)</w:t>
      </w:r>
    </w:p>
    <w:p w14:paraId="062641CA" w14:textId="5733E54F" w:rsidR="003B5742" w:rsidRPr="000A1781" w:rsidRDefault="003B5742" w:rsidP="003B5742">
      <w:pPr>
        <w:ind w:left="720" w:firstLine="720"/>
        <w:jc w:val="center"/>
        <w:rPr>
          <w:b/>
          <w:bCs/>
        </w:rPr>
      </w:pPr>
      <w:r w:rsidRPr="000A1781">
        <w:rPr>
          <w:b/>
          <w:bCs/>
        </w:rPr>
        <w:t>Where Equivalency Was Required</w:t>
      </w:r>
    </w:p>
    <w:p w14:paraId="4F1302A2" w14:textId="77777777" w:rsidR="003B5742" w:rsidRPr="000A1781" w:rsidRDefault="003B5742" w:rsidP="00002D71">
      <w:pPr>
        <w:tabs>
          <w:tab w:val="left" w:pos="720"/>
          <w:tab w:val="left" w:pos="810"/>
        </w:tabs>
        <w:rPr>
          <w:b/>
          <w:highlight w:val="yellow"/>
        </w:rPr>
      </w:pPr>
    </w:p>
    <w:tbl>
      <w:tblPr>
        <w:tblStyle w:val="TableGrid"/>
        <w:tblW w:w="9720" w:type="dxa"/>
        <w:tblInd w:w="445" w:type="dxa"/>
        <w:tblLayout w:type="fixed"/>
        <w:tblLook w:val="04A0" w:firstRow="1" w:lastRow="0" w:firstColumn="1" w:lastColumn="0" w:noHBand="0" w:noVBand="1"/>
        <w:tblCaption w:val="Status of FY 20XX Federal Program Change (FPC) Adoption"/>
        <w:tblDescription w:val="Table B"/>
      </w:tblPr>
      <w:tblGrid>
        <w:gridCol w:w="2700"/>
        <w:gridCol w:w="1260"/>
        <w:gridCol w:w="1260"/>
        <w:gridCol w:w="900"/>
        <w:gridCol w:w="1080"/>
        <w:gridCol w:w="1260"/>
        <w:gridCol w:w="1260"/>
      </w:tblGrid>
      <w:tr w:rsidR="003B5742" w:rsidRPr="000A1781" w14:paraId="503ED2FB" w14:textId="77777777" w:rsidTr="00887129">
        <w:trPr>
          <w:trHeight w:val="1134"/>
          <w:tblHeader/>
        </w:trPr>
        <w:tc>
          <w:tcPr>
            <w:tcW w:w="2700" w:type="dxa"/>
            <w:shd w:val="clear" w:color="auto" w:fill="44546A" w:themeFill="text2"/>
            <w:hideMark/>
          </w:tcPr>
          <w:p w14:paraId="74F7FD98" w14:textId="01D53965" w:rsidR="003B5742" w:rsidRPr="000A1781" w:rsidRDefault="003B5742" w:rsidP="00077894">
            <w:pPr>
              <w:spacing w:before="240"/>
              <w:jc w:val="center"/>
              <w:rPr>
                <w:rFonts w:eastAsia="Calibri"/>
                <w:b/>
                <w:bCs/>
                <w:color w:val="FFFFFF" w:themeColor="background1"/>
                <w:sz w:val="22"/>
                <w:szCs w:val="22"/>
              </w:rPr>
            </w:pPr>
            <w:r w:rsidRPr="000A1781">
              <w:rPr>
                <w:rFonts w:eastAsia="Calibri"/>
                <w:b/>
                <w:bCs/>
                <w:color w:val="FFFFFF" w:themeColor="background1"/>
                <w:sz w:val="22"/>
                <w:szCs w:val="22"/>
              </w:rPr>
              <w:t>FPC Directive/</w:t>
            </w:r>
            <w:r w:rsidR="009F179B">
              <w:rPr>
                <w:rFonts w:eastAsia="Calibri"/>
                <w:b/>
                <w:bCs/>
                <w:color w:val="FFFFFF" w:themeColor="background1"/>
                <w:sz w:val="22"/>
                <w:szCs w:val="22"/>
              </w:rPr>
              <w:t xml:space="preserve"> </w:t>
            </w:r>
            <w:r w:rsidRPr="000A1781">
              <w:rPr>
                <w:rFonts w:eastAsia="Calibri"/>
                <w:b/>
                <w:bCs/>
                <w:color w:val="FFFFFF" w:themeColor="background1"/>
                <w:sz w:val="22"/>
                <w:szCs w:val="22"/>
              </w:rPr>
              <w:t>Subject</w:t>
            </w:r>
          </w:p>
        </w:tc>
        <w:tc>
          <w:tcPr>
            <w:tcW w:w="1260" w:type="dxa"/>
            <w:shd w:val="clear" w:color="auto" w:fill="44546A" w:themeFill="text2"/>
          </w:tcPr>
          <w:p w14:paraId="68C8B6DD" w14:textId="77777777" w:rsidR="003B5742" w:rsidRPr="000A1781" w:rsidRDefault="003B5742" w:rsidP="00077894">
            <w:pPr>
              <w:spacing w:before="240"/>
              <w:jc w:val="center"/>
              <w:rPr>
                <w:rFonts w:eastAsia="Calibri"/>
                <w:b/>
                <w:bCs/>
                <w:color w:val="FFFFFF" w:themeColor="background1"/>
                <w:sz w:val="22"/>
                <w:szCs w:val="22"/>
              </w:rPr>
            </w:pPr>
            <w:r w:rsidRPr="000A1781">
              <w:rPr>
                <w:rFonts w:eastAsia="Calibri"/>
                <w:b/>
                <w:bCs/>
                <w:color w:val="FFFFFF" w:themeColor="background1"/>
                <w:sz w:val="22"/>
                <w:szCs w:val="22"/>
              </w:rPr>
              <w:t>Response Due Date</w:t>
            </w:r>
          </w:p>
        </w:tc>
        <w:tc>
          <w:tcPr>
            <w:tcW w:w="1260" w:type="dxa"/>
            <w:shd w:val="clear" w:color="auto" w:fill="44546A" w:themeFill="text2"/>
            <w:hideMark/>
          </w:tcPr>
          <w:p w14:paraId="771C25DB" w14:textId="77777777" w:rsidR="003B5742" w:rsidRPr="000A1781" w:rsidRDefault="003B5742" w:rsidP="00077894">
            <w:pPr>
              <w:spacing w:before="240"/>
              <w:jc w:val="center"/>
              <w:rPr>
                <w:b/>
                <w:bCs/>
                <w:color w:val="FFFFFF" w:themeColor="background1"/>
                <w:sz w:val="22"/>
                <w:szCs w:val="22"/>
              </w:rPr>
            </w:pPr>
            <w:r w:rsidRPr="000A1781">
              <w:rPr>
                <w:rFonts w:eastAsia="Calibri"/>
                <w:b/>
                <w:bCs/>
                <w:color w:val="FFFFFF" w:themeColor="background1"/>
                <w:sz w:val="22"/>
                <w:szCs w:val="22"/>
              </w:rPr>
              <w:t>State Plan Response Date</w:t>
            </w:r>
          </w:p>
        </w:tc>
        <w:tc>
          <w:tcPr>
            <w:tcW w:w="900" w:type="dxa"/>
            <w:shd w:val="clear" w:color="auto" w:fill="44546A" w:themeFill="text2"/>
            <w:hideMark/>
          </w:tcPr>
          <w:p w14:paraId="0DE54024" w14:textId="77777777" w:rsidR="003B5742" w:rsidRPr="000A1781" w:rsidRDefault="003B5742" w:rsidP="00077894">
            <w:pPr>
              <w:spacing w:before="240"/>
              <w:jc w:val="center"/>
              <w:rPr>
                <w:b/>
                <w:bCs/>
                <w:color w:val="FFFFFF" w:themeColor="background1"/>
                <w:sz w:val="22"/>
                <w:szCs w:val="22"/>
              </w:rPr>
            </w:pPr>
            <w:r w:rsidRPr="000A1781">
              <w:rPr>
                <w:rFonts w:eastAsia="Calibri"/>
                <w:b/>
                <w:bCs/>
                <w:color w:val="FFFFFF" w:themeColor="background1"/>
                <w:sz w:val="22"/>
                <w:szCs w:val="22"/>
              </w:rPr>
              <w:t>Intent to Adopt</w:t>
            </w:r>
          </w:p>
        </w:tc>
        <w:tc>
          <w:tcPr>
            <w:tcW w:w="1080" w:type="dxa"/>
            <w:shd w:val="clear" w:color="auto" w:fill="44546A" w:themeFill="text2"/>
            <w:hideMark/>
          </w:tcPr>
          <w:p w14:paraId="2EDA690A" w14:textId="77777777" w:rsidR="003B5742" w:rsidRPr="000A1781" w:rsidRDefault="003B5742" w:rsidP="00077894">
            <w:pPr>
              <w:spacing w:before="240"/>
              <w:jc w:val="center"/>
              <w:rPr>
                <w:b/>
                <w:bCs/>
                <w:color w:val="FFFFFF" w:themeColor="background1"/>
                <w:sz w:val="22"/>
                <w:szCs w:val="22"/>
              </w:rPr>
            </w:pPr>
            <w:r w:rsidRPr="000A1781">
              <w:rPr>
                <w:rFonts w:eastAsia="Calibri"/>
                <w:b/>
                <w:bCs/>
                <w:color w:val="FFFFFF" w:themeColor="background1"/>
                <w:sz w:val="22"/>
                <w:szCs w:val="22"/>
              </w:rPr>
              <w:t>Adopt Identical</w:t>
            </w:r>
          </w:p>
        </w:tc>
        <w:tc>
          <w:tcPr>
            <w:tcW w:w="1260" w:type="dxa"/>
            <w:shd w:val="clear" w:color="auto" w:fill="44546A" w:themeFill="text2"/>
            <w:hideMark/>
          </w:tcPr>
          <w:p w14:paraId="0BFC74CF" w14:textId="77777777" w:rsidR="003B5742" w:rsidRPr="000A1781" w:rsidRDefault="003B5742" w:rsidP="00077894">
            <w:pPr>
              <w:spacing w:before="240"/>
              <w:jc w:val="center"/>
              <w:rPr>
                <w:b/>
                <w:bCs/>
                <w:color w:val="FFFFFF" w:themeColor="background1"/>
                <w:sz w:val="22"/>
                <w:szCs w:val="22"/>
              </w:rPr>
            </w:pPr>
            <w:r w:rsidRPr="000A1781">
              <w:rPr>
                <w:rFonts w:eastAsia="Calibri"/>
                <w:b/>
                <w:bCs/>
                <w:color w:val="FFFFFF" w:themeColor="background1"/>
                <w:sz w:val="22"/>
                <w:szCs w:val="22"/>
              </w:rPr>
              <w:t>Adoption Due Date</w:t>
            </w:r>
          </w:p>
        </w:tc>
        <w:tc>
          <w:tcPr>
            <w:tcW w:w="1260" w:type="dxa"/>
            <w:shd w:val="clear" w:color="auto" w:fill="44546A" w:themeFill="text2"/>
            <w:hideMark/>
          </w:tcPr>
          <w:p w14:paraId="6F19EA4F" w14:textId="77777777" w:rsidR="003B5742" w:rsidRPr="000A1781" w:rsidRDefault="003B5742" w:rsidP="00077894">
            <w:pPr>
              <w:spacing w:before="240"/>
              <w:jc w:val="center"/>
              <w:rPr>
                <w:b/>
                <w:bCs/>
                <w:color w:val="FFFFFF" w:themeColor="background1"/>
                <w:sz w:val="22"/>
                <w:szCs w:val="22"/>
              </w:rPr>
            </w:pPr>
            <w:r w:rsidRPr="000A1781">
              <w:rPr>
                <w:rFonts w:eastAsia="Calibri"/>
                <w:b/>
                <w:bCs/>
                <w:color w:val="FFFFFF" w:themeColor="background1"/>
                <w:sz w:val="22"/>
                <w:szCs w:val="22"/>
              </w:rPr>
              <w:t>State Plan Adoption Date</w:t>
            </w:r>
          </w:p>
        </w:tc>
      </w:tr>
      <w:tr w:rsidR="003B5742" w:rsidRPr="000A1781" w14:paraId="0CCD7134" w14:textId="77777777" w:rsidTr="00887129">
        <w:trPr>
          <w:trHeight w:val="517"/>
        </w:trPr>
        <w:tc>
          <w:tcPr>
            <w:tcW w:w="2700" w:type="dxa"/>
          </w:tcPr>
          <w:p w14:paraId="31E3114D" w14:textId="77777777" w:rsidR="003B5742" w:rsidRPr="000A1781" w:rsidRDefault="003B5742" w:rsidP="003B5742">
            <w:pPr>
              <w:widowControl/>
              <w:autoSpaceDE/>
              <w:autoSpaceDN/>
              <w:adjustRightInd/>
              <w:rPr>
                <w:sz w:val="22"/>
                <w:szCs w:val="22"/>
              </w:rPr>
            </w:pPr>
            <w:r w:rsidRPr="000A1781">
              <w:rPr>
                <w:sz w:val="22"/>
                <w:szCs w:val="22"/>
              </w:rPr>
              <w:t>Compliance Directive for Cranes and Derricks in Construction Standard</w:t>
            </w:r>
          </w:p>
          <w:p w14:paraId="6F1B78AF" w14:textId="77777777" w:rsidR="003B5742" w:rsidRPr="000A1781" w:rsidRDefault="003B5742" w:rsidP="003B5742">
            <w:pPr>
              <w:widowControl/>
              <w:autoSpaceDE/>
              <w:autoSpaceDN/>
              <w:adjustRightInd/>
              <w:rPr>
                <w:sz w:val="22"/>
                <w:szCs w:val="22"/>
              </w:rPr>
            </w:pPr>
            <w:r w:rsidRPr="000A1781">
              <w:rPr>
                <w:sz w:val="22"/>
                <w:szCs w:val="22"/>
              </w:rPr>
              <w:t>CPL 02-01-063</w:t>
            </w:r>
          </w:p>
          <w:p w14:paraId="1530D1CF" w14:textId="4629C651" w:rsidR="00D91B19" w:rsidRPr="000A1781" w:rsidRDefault="003B5742" w:rsidP="003B5742">
            <w:pPr>
              <w:rPr>
                <w:sz w:val="22"/>
                <w:szCs w:val="22"/>
              </w:rPr>
            </w:pPr>
            <w:r w:rsidRPr="000A1781">
              <w:rPr>
                <w:sz w:val="22"/>
                <w:szCs w:val="22"/>
              </w:rPr>
              <w:t>(2/11/2022)</w:t>
            </w:r>
          </w:p>
        </w:tc>
        <w:tc>
          <w:tcPr>
            <w:tcW w:w="1260" w:type="dxa"/>
          </w:tcPr>
          <w:p w14:paraId="174A7B71" w14:textId="77777777" w:rsidR="0086548F" w:rsidRDefault="0086548F" w:rsidP="003B5742">
            <w:pPr>
              <w:jc w:val="center"/>
              <w:rPr>
                <w:sz w:val="22"/>
                <w:szCs w:val="22"/>
              </w:rPr>
            </w:pPr>
          </w:p>
          <w:p w14:paraId="67EF660E" w14:textId="77777777" w:rsidR="0086548F" w:rsidRDefault="0086548F" w:rsidP="003B5742">
            <w:pPr>
              <w:jc w:val="center"/>
              <w:rPr>
                <w:sz w:val="22"/>
                <w:szCs w:val="22"/>
              </w:rPr>
            </w:pPr>
          </w:p>
          <w:p w14:paraId="1E9AEA0F" w14:textId="77777777" w:rsidR="0086548F" w:rsidRDefault="0086548F" w:rsidP="0086548F">
            <w:pPr>
              <w:rPr>
                <w:sz w:val="22"/>
                <w:szCs w:val="22"/>
              </w:rPr>
            </w:pPr>
          </w:p>
          <w:p w14:paraId="16B43019" w14:textId="38120F00" w:rsidR="003B5742" w:rsidRPr="000A1781" w:rsidRDefault="003B5742" w:rsidP="0086548F">
            <w:pPr>
              <w:jc w:val="center"/>
              <w:rPr>
                <w:sz w:val="22"/>
                <w:szCs w:val="22"/>
              </w:rPr>
            </w:pPr>
            <w:r w:rsidRPr="000A1781">
              <w:rPr>
                <w:sz w:val="22"/>
                <w:szCs w:val="22"/>
              </w:rPr>
              <w:t>7/3/2022</w:t>
            </w:r>
          </w:p>
        </w:tc>
        <w:tc>
          <w:tcPr>
            <w:tcW w:w="1260" w:type="dxa"/>
          </w:tcPr>
          <w:p w14:paraId="6CF432CA" w14:textId="77777777" w:rsidR="0086548F" w:rsidRDefault="0086548F" w:rsidP="003B5742">
            <w:pPr>
              <w:jc w:val="center"/>
              <w:rPr>
                <w:sz w:val="22"/>
                <w:szCs w:val="22"/>
              </w:rPr>
            </w:pPr>
          </w:p>
          <w:p w14:paraId="06F2B3EF" w14:textId="77777777" w:rsidR="0086548F" w:rsidRDefault="0086548F" w:rsidP="003B5742">
            <w:pPr>
              <w:jc w:val="center"/>
              <w:rPr>
                <w:sz w:val="22"/>
                <w:szCs w:val="22"/>
              </w:rPr>
            </w:pPr>
          </w:p>
          <w:p w14:paraId="6116C2D9" w14:textId="77777777" w:rsidR="0086548F" w:rsidRDefault="0086548F" w:rsidP="003B5742">
            <w:pPr>
              <w:jc w:val="center"/>
              <w:rPr>
                <w:sz w:val="22"/>
                <w:szCs w:val="22"/>
              </w:rPr>
            </w:pPr>
          </w:p>
          <w:p w14:paraId="0B47C141" w14:textId="27ED9917" w:rsidR="003B5742" w:rsidRPr="000A1781" w:rsidRDefault="003B5742" w:rsidP="003B5742">
            <w:pPr>
              <w:jc w:val="center"/>
              <w:rPr>
                <w:sz w:val="22"/>
                <w:szCs w:val="22"/>
              </w:rPr>
            </w:pPr>
            <w:r w:rsidRPr="000A1781">
              <w:rPr>
                <w:sz w:val="22"/>
                <w:szCs w:val="22"/>
              </w:rPr>
              <w:t>5/17/2022</w:t>
            </w:r>
          </w:p>
        </w:tc>
        <w:tc>
          <w:tcPr>
            <w:tcW w:w="900" w:type="dxa"/>
          </w:tcPr>
          <w:p w14:paraId="7DF5C169" w14:textId="77777777" w:rsidR="0086548F" w:rsidRDefault="0086548F" w:rsidP="003B5742">
            <w:pPr>
              <w:jc w:val="center"/>
              <w:rPr>
                <w:sz w:val="22"/>
                <w:szCs w:val="22"/>
              </w:rPr>
            </w:pPr>
          </w:p>
          <w:p w14:paraId="0B688E27" w14:textId="77777777" w:rsidR="0086548F" w:rsidRDefault="0086548F" w:rsidP="003B5742">
            <w:pPr>
              <w:jc w:val="center"/>
              <w:rPr>
                <w:sz w:val="22"/>
                <w:szCs w:val="22"/>
              </w:rPr>
            </w:pPr>
          </w:p>
          <w:p w14:paraId="4B741177" w14:textId="77777777" w:rsidR="0086548F" w:rsidRDefault="0086548F" w:rsidP="003B5742">
            <w:pPr>
              <w:jc w:val="center"/>
              <w:rPr>
                <w:sz w:val="22"/>
                <w:szCs w:val="22"/>
              </w:rPr>
            </w:pPr>
          </w:p>
          <w:p w14:paraId="1CB0E46F" w14:textId="45222F0E" w:rsidR="003B5742" w:rsidRPr="000A1781" w:rsidRDefault="003B5742" w:rsidP="003B5742">
            <w:pPr>
              <w:jc w:val="center"/>
              <w:rPr>
                <w:sz w:val="22"/>
                <w:szCs w:val="22"/>
              </w:rPr>
            </w:pPr>
            <w:r w:rsidRPr="000A1781">
              <w:rPr>
                <w:sz w:val="22"/>
                <w:szCs w:val="22"/>
              </w:rPr>
              <w:t>Y</w:t>
            </w:r>
            <w:r w:rsidR="000A1781" w:rsidRPr="000A1781">
              <w:rPr>
                <w:sz w:val="22"/>
                <w:szCs w:val="22"/>
              </w:rPr>
              <w:t>es</w:t>
            </w:r>
          </w:p>
        </w:tc>
        <w:tc>
          <w:tcPr>
            <w:tcW w:w="1080" w:type="dxa"/>
          </w:tcPr>
          <w:p w14:paraId="1F7BE01F" w14:textId="77777777" w:rsidR="0086548F" w:rsidRDefault="0086548F" w:rsidP="003B5742">
            <w:pPr>
              <w:jc w:val="center"/>
              <w:rPr>
                <w:sz w:val="22"/>
                <w:szCs w:val="22"/>
              </w:rPr>
            </w:pPr>
          </w:p>
          <w:p w14:paraId="51510F03" w14:textId="77777777" w:rsidR="0086548F" w:rsidRDefault="0086548F" w:rsidP="003B5742">
            <w:pPr>
              <w:jc w:val="center"/>
              <w:rPr>
                <w:sz w:val="22"/>
                <w:szCs w:val="22"/>
              </w:rPr>
            </w:pPr>
          </w:p>
          <w:p w14:paraId="4997A40C" w14:textId="77777777" w:rsidR="0086548F" w:rsidRDefault="0086548F" w:rsidP="003B5742">
            <w:pPr>
              <w:jc w:val="center"/>
              <w:rPr>
                <w:sz w:val="22"/>
                <w:szCs w:val="22"/>
              </w:rPr>
            </w:pPr>
          </w:p>
          <w:p w14:paraId="0AF04BEA" w14:textId="2DB9BD15" w:rsidR="003B5742" w:rsidRPr="000A1781" w:rsidRDefault="003B5742" w:rsidP="003B5742">
            <w:pPr>
              <w:jc w:val="center"/>
              <w:rPr>
                <w:sz w:val="22"/>
                <w:szCs w:val="22"/>
              </w:rPr>
            </w:pPr>
            <w:r w:rsidRPr="000A1781">
              <w:rPr>
                <w:sz w:val="22"/>
                <w:szCs w:val="22"/>
              </w:rPr>
              <w:t>Y</w:t>
            </w:r>
            <w:r w:rsidR="000A1781" w:rsidRPr="000A1781">
              <w:rPr>
                <w:sz w:val="22"/>
                <w:szCs w:val="22"/>
              </w:rPr>
              <w:t>es</w:t>
            </w:r>
          </w:p>
        </w:tc>
        <w:tc>
          <w:tcPr>
            <w:tcW w:w="1260" w:type="dxa"/>
          </w:tcPr>
          <w:p w14:paraId="3496038B" w14:textId="77777777" w:rsidR="0086548F" w:rsidRDefault="0086548F" w:rsidP="003B5742">
            <w:pPr>
              <w:widowControl/>
              <w:autoSpaceDE/>
              <w:autoSpaceDN/>
              <w:adjustRightInd/>
              <w:jc w:val="center"/>
              <w:rPr>
                <w:sz w:val="22"/>
                <w:szCs w:val="22"/>
              </w:rPr>
            </w:pPr>
          </w:p>
          <w:p w14:paraId="3DDB7DE5" w14:textId="77777777" w:rsidR="0086548F" w:rsidRDefault="0086548F" w:rsidP="003B5742">
            <w:pPr>
              <w:widowControl/>
              <w:autoSpaceDE/>
              <w:autoSpaceDN/>
              <w:adjustRightInd/>
              <w:jc w:val="center"/>
              <w:rPr>
                <w:sz w:val="22"/>
                <w:szCs w:val="22"/>
              </w:rPr>
            </w:pPr>
          </w:p>
          <w:p w14:paraId="5D13B2DA" w14:textId="77777777" w:rsidR="0086548F" w:rsidRDefault="0086548F" w:rsidP="003B5742">
            <w:pPr>
              <w:widowControl/>
              <w:autoSpaceDE/>
              <w:autoSpaceDN/>
              <w:adjustRightInd/>
              <w:jc w:val="center"/>
              <w:rPr>
                <w:sz w:val="22"/>
                <w:szCs w:val="22"/>
              </w:rPr>
            </w:pPr>
          </w:p>
          <w:p w14:paraId="075909AD" w14:textId="2879A09F" w:rsidR="003B5742" w:rsidRPr="000A1781" w:rsidRDefault="003B5742" w:rsidP="003B5742">
            <w:pPr>
              <w:widowControl/>
              <w:autoSpaceDE/>
              <w:autoSpaceDN/>
              <w:adjustRightInd/>
              <w:jc w:val="center"/>
              <w:rPr>
                <w:sz w:val="22"/>
                <w:szCs w:val="22"/>
              </w:rPr>
            </w:pPr>
            <w:r w:rsidRPr="000A1781">
              <w:rPr>
                <w:sz w:val="22"/>
                <w:szCs w:val="22"/>
              </w:rPr>
              <w:t>7/3/2022</w:t>
            </w:r>
          </w:p>
        </w:tc>
        <w:tc>
          <w:tcPr>
            <w:tcW w:w="1260" w:type="dxa"/>
          </w:tcPr>
          <w:p w14:paraId="28E001D3" w14:textId="77777777" w:rsidR="0086548F" w:rsidRDefault="0086548F" w:rsidP="003B5742">
            <w:pPr>
              <w:jc w:val="center"/>
              <w:rPr>
                <w:sz w:val="22"/>
                <w:szCs w:val="22"/>
              </w:rPr>
            </w:pPr>
          </w:p>
          <w:p w14:paraId="472BC8B1" w14:textId="77777777" w:rsidR="0086548F" w:rsidRDefault="0086548F" w:rsidP="003B5742">
            <w:pPr>
              <w:jc w:val="center"/>
              <w:rPr>
                <w:sz w:val="22"/>
                <w:szCs w:val="22"/>
              </w:rPr>
            </w:pPr>
          </w:p>
          <w:p w14:paraId="3EE14525" w14:textId="77777777" w:rsidR="0086548F" w:rsidRDefault="0086548F" w:rsidP="003B5742">
            <w:pPr>
              <w:jc w:val="center"/>
              <w:rPr>
                <w:sz w:val="22"/>
                <w:szCs w:val="22"/>
              </w:rPr>
            </w:pPr>
          </w:p>
          <w:p w14:paraId="6D5FBC73" w14:textId="75BF16F9" w:rsidR="003B5742" w:rsidRPr="000A1781" w:rsidRDefault="003B5742" w:rsidP="003B5742">
            <w:pPr>
              <w:jc w:val="center"/>
              <w:rPr>
                <w:sz w:val="22"/>
                <w:szCs w:val="22"/>
              </w:rPr>
            </w:pPr>
            <w:r w:rsidRPr="000A1781">
              <w:rPr>
                <w:sz w:val="22"/>
                <w:szCs w:val="22"/>
              </w:rPr>
              <w:t>5/17/2022</w:t>
            </w:r>
          </w:p>
        </w:tc>
      </w:tr>
      <w:tr w:rsidR="003B5742" w:rsidRPr="000A1781" w14:paraId="5C51458D" w14:textId="77777777" w:rsidTr="00887129">
        <w:trPr>
          <w:trHeight w:val="517"/>
        </w:trPr>
        <w:tc>
          <w:tcPr>
            <w:tcW w:w="2700" w:type="dxa"/>
            <w:hideMark/>
          </w:tcPr>
          <w:p w14:paraId="34FF0CEF" w14:textId="77777777" w:rsidR="003B5742" w:rsidRPr="000A1781" w:rsidRDefault="003B5742" w:rsidP="003B5742">
            <w:pPr>
              <w:widowControl/>
              <w:autoSpaceDE/>
              <w:autoSpaceDN/>
              <w:adjustRightInd/>
              <w:rPr>
                <w:sz w:val="22"/>
                <w:szCs w:val="22"/>
              </w:rPr>
            </w:pPr>
            <w:r w:rsidRPr="000A1781">
              <w:rPr>
                <w:sz w:val="22"/>
                <w:szCs w:val="22"/>
              </w:rPr>
              <w:t>OSHA Whistleblower Investigations Manual</w:t>
            </w:r>
          </w:p>
          <w:p w14:paraId="379FEBFD" w14:textId="77777777" w:rsidR="003B5742" w:rsidRPr="000A1781" w:rsidRDefault="003B5742" w:rsidP="003B5742">
            <w:pPr>
              <w:widowControl/>
              <w:autoSpaceDE/>
              <w:autoSpaceDN/>
              <w:adjustRightInd/>
              <w:rPr>
                <w:sz w:val="22"/>
                <w:szCs w:val="22"/>
              </w:rPr>
            </w:pPr>
            <w:r w:rsidRPr="000A1781">
              <w:rPr>
                <w:sz w:val="22"/>
                <w:szCs w:val="22"/>
              </w:rPr>
              <w:t>CPL 02-03-011</w:t>
            </w:r>
          </w:p>
          <w:p w14:paraId="407CA13F" w14:textId="0D2D2779" w:rsidR="003B5742" w:rsidRPr="000A1781" w:rsidRDefault="003B5742" w:rsidP="003B5742">
            <w:pPr>
              <w:rPr>
                <w:sz w:val="22"/>
                <w:szCs w:val="22"/>
              </w:rPr>
            </w:pPr>
            <w:r w:rsidRPr="000A1781">
              <w:rPr>
                <w:sz w:val="22"/>
                <w:szCs w:val="22"/>
              </w:rPr>
              <w:t>(4/29/2022)</w:t>
            </w:r>
          </w:p>
        </w:tc>
        <w:tc>
          <w:tcPr>
            <w:tcW w:w="1260" w:type="dxa"/>
          </w:tcPr>
          <w:p w14:paraId="53F68C73" w14:textId="77777777" w:rsidR="0086548F" w:rsidRDefault="0086548F" w:rsidP="003B5742">
            <w:pPr>
              <w:jc w:val="center"/>
              <w:rPr>
                <w:sz w:val="22"/>
                <w:szCs w:val="22"/>
              </w:rPr>
            </w:pPr>
          </w:p>
          <w:p w14:paraId="54C0ADCF" w14:textId="77777777" w:rsidR="0086548F" w:rsidRDefault="0086548F" w:rsidP="003B5742">
            <w:pPr>
              <w:jc w:val="center"/>
              <w:rPr>
                <w:sz w:val="22"/>
                <w:szCs w:val="22"/>
              </w:rPr>
            </w:pPr>
          </w:p>
          <w:p w14:paraId="0842C110" w14:textId="0E7396D5" w:rsidR="003B5742" w:rsidRPr="000A1781" w:rsidRDefault="003B5742" w:rsidP="0086548F">
            <w:pPr>
              <w:jc w:val="center"/>
              <w:rPr>
                <w:sz w:val="22"/>
                <w:szCs w:val="22"/>
              </w:rPr>
            </w:pPr>
            <w:r w:rsidRPr="000A1781">
              <w:rPr>
                <w:sz w:val="22"/>
                <w:szCs w:val="22"/>
              </w:rPr>
              <w:t>10/11/2022</w:t>
            </w:r>
          </w:p>
        </w:tc>
        <w:tc>
          <w:tcPr>
            <w:tcW w:w="1260" w:type="dxa"/>
          </w:tcPr>
          <w:p w14:paraId="1C2E71C8" w14:textId="77777777" w:rsidR="0086548F" w:rsidRDefault="0086548F" w:rsidP="003B5742">
            <w:pPr>
              <w:jc w:val="center"/>
              <w:rPr>
                <w:sz w:val="22"/>
                <w:szCs w:val="22"/>
              </w:rPr>
            </w:pPr>
          </w:p>
          <w:p w14:paraId="09A78BE3" w14:textId="77777777" w:rsidR="0086548F" w:rsidRDefault="0086548F" w:rsidP="003B5742">
            <w:pPr>
              <w:jc w:val="center"/>
              <w:rPr>
                <w:sz w:val="22"/>
                <w:szCs w:val="22"/>
              </w:rPr>
            </w:pPr>
          </w:p>
          <w:p w14:paraId="03F527C2" w14:textId="3CCFC439" w:rsidR="003B5742" w:rsidRPr="000A1781" w:rsidRDefault="003B5742" w:rsidP="003B5742">
            <w:pPr>
              <w:jc w:val="center"/>
              <w:rPr>
                <w:sz w:val="22"/>
                <w:szCs w:val="22"/>
              </w:rPr>
            </w:pPr>
            <w:r w:rsidRPr="000A1781">
              <w:rPr>
                <w:sz w:val="22"/>
                <w:szCs w:val="22"/>
              </w:rPr>
              <w:t>10/11/2022</w:t>
            </w:r>
          </w:p>
        </w:tc>
        <w:tc>
          <w:tcPr>
            <w:tcW w:w="900" w:type="dxa"/>
          </w:tcPr>
          <w:p w14:paraId="6602C746" w14:textId="77777777" w:rsidR="0086548F" w:rsidRDefault="0086548F" w:rsidP="003B5742">
            <w:pPr>
              <w:jc w:val="center"/>
              <w:rPr>
                <w:sz w:val="22"/>
                <w:szCs w:val="22"/>
              </w:rPr>
            </w:pPr>
          </w:p>
          <w:p w14:paraId="07D9FFA3" w14:textId="77777777" w:rsidR="0086548F" w:rsidRDefault="0086548F" w:rsidP="003B5742">
            <w:pPr>
              <w:jc w:val="center"/>
              <w:rPr>
                <w:sz w:val="22"/>
                <w:szCs w:val="22"/>
              </w:rPr>
            </w:pPr>
          </w:p>
          <w:p w14:paraId="6F02DFA4" w14:textId="13A3A412" w:rsidR="003B5742" w:rsidRPr="000A1781" w:rsidRDefault="003B5742" w:rsidP="003B5742">
            <w:pPr>
              <w:jc w:val="center"/>
              <w:rPr>
                <w:sz w:val="22"/>
                <w:szCs w:val="22"/>
              </w:rPr>
            </w:pPr>
            <w:r w:rsidRPr="000A1781">
              <w:rPr>
                <w:sz w:val="22"/>
                <w:szCs w:val="22"/>
              </w:rPr>
              <w:t>No</w:t>
            </w:r>
          </w:p>
        </w:tc>
        <w:tc>
          <w:tcPr>
            <w:tcW w:w="1080" w:type="dxa"/>
          </w:tcPr>
          <w:p w14:paraId="592BD3D0" w14:textId="77777777" w:rsidR="0086548F" w:rsidRDefault="0086548F" w:rsidP="003B5742">
            <w:pPr>
              <w:jc w:val="center"/>
              <w:rPr>
                <w:sz w:val="22"/>
                <w:szCs w:val="22"/>
              </w:rPr>
            </w:pPr>
          </w:p>
          <w:p w14:paraId="508020A3" w14:textId="77777777" w:rsidR="0086548F" w:rsidRDefault="0086548F" w:rsidP="003B5742">
            <w:pPr>
              <w:jc w:val="center"/>
              <w:rPr>
                <w:sz w:val="22"/>
                <w:szCs w:val="22"/>
              </w:rPr>
            </w:pPr>
          </w:p>
          <w:p w14:paraId="5C4A902F" w14:textId="0169BCE4" w:rsidR="003B5742" w:rsidRPr="000A1781" w:rsidRDefault="003B5742" w:rsidP="003B5742">
            <w:pPr>
              <w:jc w:val="center"/>
              <w:rPr>
                <w:sz w:val="22"/>
                <w:szCs w:val="22"/>
              </w:rPr>
            </w:pPr>
            <w:r w:rsidRPr="000A1781">
              <w:rPr>
                <w:sz w:val="22"/>
                <w:szCs w:val="22"/>
              </w:rPr>
              <w:t>No</w:t>
            </w:r>
          </w:p>
        </w:tc>
        <w:tc>
          <w:tcPr>
            <w:tcW w:w="1260" w:type="dxa"/>
          </w:tcPr>
          <w:p w14:paraId="2E6809B0" w14:textId="77777777" w:rsidR="0086548F" w:rsidRDefault="0086548F" w:rsidP="003B5742">
            <w:pPr>
              <w:jc w:val="center"/>
              <w:rPr>
                <w:sz w:val="22"/>
                <w:szCs w:val="22"/>
              </w:rPr>
            </w:pPr>
          </w:p>
          <w:p w14:paraId="3BC4FD0D" w14:textId="77777777" w:rsidR="0086548F" w:rsidRDefault="0086548F" w:rsidP="003B5742">
            <w:pPr>
              <w:jc w:val="center"/>
              <w:rPr>
                <w:sz w:val="22"/>
                <w:szCs w:val="22"/>
              </w:rPr>
            </w:pPr>
          </w:p>
          <w:p w14:paraId="338A53C9" w14:textId="6848612D" w:rsidR="003B5742" w:rsidRPr="000A1781" w:rsidRDefault="003B5742" w:rsidP="003B5742">
            <w:pPr>
              <w:jc w:val="center"/>
              <w:rPr>
                <w:sz w:val="22"/>
                <w:szCs w:val="22"/>
              </w:rPr>
            </w:pPr>
            <w:r w:rsidRPr="000A1781">
              <w:rPr>
                <w:sz w:val="22"/>
                <w:szCs w:val="22"/>
              </w:rPr>
              <w:t>2/11/2023</w:t>
            </w:r>
          </w:p>
        </w:tc>
        <w:tc>
          <w:tcPr>
            <w:tcW w:w="1260" w:type="dxa"/>
          </w:tcPr>
          <w:p w14:paraId="3DE86D65" w14:textId="77777777" w:rsidR="0086548F" w:rsidRDefault="0086548F" w:rsidP="003B5742">
            <w:pPr>
              <w:jc w:val="center"/>
              <w:rPr>
                <w:sz w:val="22"/>
                <w:szCs w:val="22"/>
              </w:rPr>
            </w:pPr>
          </w:p>
          <w:p w14:paraId="220C3B31" w14:textId="77777777" w:rsidR="0086548F" w:rsidRDefault="0086548F" w:rsidP="003B5742">
            <w:pPr>
              <w:jc w:val="center"/>
              <w:rPr>
                <w:sz w:val="22"/>
                <w:szCs w:val="22"/>
              </w:rPr>
            </w:pPr>
          </w:p>
          <w:p w14:paraId="5CBD1165" w14:textId="18B99169" w:rsidR="003B5742" w:rsidRPr="000A1781" w:rsidRDefault="003B5742" w:rsidP="003B5742">
            <w:pPr>
              <w:jc w:val="center"/>
              <w:rPr>
                <w:sz w:val="22"/>
                <w:szCs w:val="22"/>
              </w:rPr>
            </w:pPr>
            <w:r w:rsidRPr="000A1781">
              <w:rPr>
                <w:sz w:val="22"/>
                <w:szCs w:val="22"/>
              </w:rPr>
              <w:t>**</w:t>
            </w:r>
          </w:p>
        </w:tc>
      </w:tr>
      <w:tr w:rsidR="003B5742" w:rsidRPr="000A1781" w14:paraId="08B41A07" w14:textId="77777777" w:rsidTr="00887129">
        <w:trPr>
          <w:trHeight w:val="517"/>
        </w:trPr>
        <w:tc>
          <w:tcPr>
            <w:tcW w:w="2700" w:type="dxa"/>
          </w:tcPr>
          <w:p w14:paraId="1557593C" w14:textId="77777777" w:rsidR="003B5742" w:rsidRPr="000A1781" w:rsidRDefault="003B5742" w:rsidP="00D91B19">
            <w:pPr>
              <w:widowControl/>
              <w:autoSpaceDE/>
              <w:autoSpaceDN/>
              <w:adjustRightInd/>
              <w:ind w:right="-105"/>
              <w:rPr>
                <w:sz w:val="22"/>
                <w:szCs w:val="22"/>
              </w:rPr>
            </w:pPr>
            <w:r w:rsidRPr="000A1781">
              <w:rPr>
                <w:sz w:val="22"/>
                <w:szCs w:val="22"/>
              </w:rPr>
              <w:t>Severe Violator Enforcement Program (SVEP)</w:t>
            </w:r>
          </w:p>
          <w:p w14:paraId="53072032" w14:textId="77777777" w:rsidR="003B5742" w:rsidRPr="000A1781" w:rsidRDefault="003B5742" w:rsidP="003B5742">
            <w:pPr>
              <w:widowControl/>
              <w:autoSpaceDE/>
              <w:autoSpaceDN/>
              <w:adjustRightInd/>
              <w:rPr>
                <w:sz w:val="22"/>
                <w:szCs w:val="22"/>
              </w:rPr>
            </w:pPr>
            <w:r w:rsidRPr="000A1781">
              <w:rPr>
                <w:sz w:val="22"/>
                <w:szCs w:val="22"/>
              </w:rPr>
              <w:t>CPL 02-00-169</w:t>
            </w:r>
          </w:p>
          <w:p w14:paraId="34E627B6" w14:textId="536B105B" w:rsidR="003B5742" w:rsidRPr="000A1781" w:rsidRDefault="003B5742" w:rsidP="003B5742">
            <w:pPr>
              <w:rPr>
                <w:sz w:val="22"/>
                <w:szCs w:val="22"/>
              </w:rPr>
            </w:pPr>
            <w:r w:rsidRPr="000A1781">
              <w:rPr>
                <w:sz w:val="22"/>
                <w:szCs w:val="22"/>
              </w:rPr>
              <w:t>(9/15/2022)</w:t>
            </w:r>
          </w:p>
        </w:tc>
        <w:tc>
          <w:tcPr>
            <w:tcW w:w="1260" w:type="dxa"/>
          </w:tcPr>
          <w:p w14:paraId="38522C1B" w14:textId="77777777" w:rsidR="0086548F" w:rsidRDefault="0086548F" w:rsidP="003B5742">
            <w:pPr>
              <w:jc w:val="center"/>
              <w:rPr>
                <w:sz w:val="22"/>
                <w:szCs w:val="22"/>
              </w:rPr>
            </w:pPr>
          </w:p>
          <w:p w14:paraId="5D303A30" w14:textId="77777777" w:rsidR="00D91B19" w:rsidRDefault="00D91B19" w:rsidP="0086548F">
            <w:pPr>
              <w:rPr>
                <w:sz w:val="22"/>
                <w:szCs w:val="22"/>
              </w:rPr>
            </w:pPr>
          </w:p>
          <w:p w14:paraId="7C8E43C2" w14:textId="04C38E21" w:rsidR="003B5742" w:rsidRPr="000A1781" w:rsidRDefault="003B5742" w:rsidP="0086548F">
            <w:pPr>
              <w:rPr>
                <w:sz w:val="22"/>
                <w:szCs w:val="22"/>
              </w:rPr>
            </w:pPr>
            <w:r w:rsidRPr="000A1781">
              <w:rPr>
                <w:sz w:val="22"/>
                <w:szCs w:val="22"/>
              </w:rPr>
              <w:t>11/15/2022</w:t>
            </w:r>
          </w:p>
        </w:tc>
        <w:tc>
          <w:tcPr>
            <w:tcW w:w="1260" w:type="dxa"/>
          </w:tcPr>
          <w:p w14:paraId="11F042CB" w14:textId="77777777" w:rsidR="0086548F" w:rsidRDefault="0086548F" w:rsidP="003B5742">
            <w:pPr>
              <w:jc w:val="center"/>
              <w:rPr>
                <w:sz w:val="22"/>
                <w:szCs w:val="22"/>
              </w:rPr>
            </w:pPr>
          </w:p>
          <w:p w14:paraId="7AB6102A" w14:textId="77777777" w:rsidR="00D91B19" w:rsidRDefault="00D91B19" w:rsidP="003B5742">
            <w:pPr>
              <w:jc w:val="center"/>
              <w:rPr>
                <w:sz w:val="22"/>
                <w:szCs w:val="22"/>
              </w:rPr>
            </w:pPr>
          </w:p>
          <w:p w14:paraId="78CA7717" w14:textId="1E35381A" w:rsidR="003B5742" w:rsidRPr="000A1781" w:rsidRDefault="003B5742" w:rsidP="003B5742">
            <w:pPr>
              <w:jc w:val="center"/>
              <w:rPr>
                <w:sz w:val="22"/>
                <w:szCs w:val="22"/>
              </w:rPr>
            </w:pPr>
            <w:r w:rsidRPr="000A1781">
              <w:rPr>
                <w:sz w:val="22"/>
                <w:szCs w:val="22"/>
              </w:rPr>
              <w:t>10/11/2022</w:t>
            </w:r>
          </w:p>
        </w:tc>
        <w:tc>
          <w:tcPr>
            <w:tcW w:w="900" w:type="dxa"/>
          </w:tcPr>
          <w:p w14:paraId="182709CF" w14:textId="77777777" w:rsidR="0086548F" w:rsidRDefault="0086548F" w:rsidP="003B5742">
            <w:pPr>
              <w:jc w:val="center"/>
              <w:rPr>
                <w:sz w:val="22"/>
                <w:szCs w:val="22"/>
              </w:rPr>
            </w:pPr>
          </w:p>
          <w:p w14:paraId="7E536EA6" w14:textId="77777777" w:rsidR="00D91B19" w:rsidRDefault="00D91B19" w:rsidP="003B5742">
            <w:pPr>
              <w:jc w:val="center"/>
              <w:rPr>
                <w:sz w:val="22"/>
                <w:szCs w:val="22"/>
              </w:rPr>
            </w:pPr>
          </w:p>
          <w:p w14:paraId="0A4792E3" w14:textId="3597097A" w:rsidR="003B5742" w:rsidRPr="000A1781" w:rsidRDefault="003B5742" w:rsidP="003B5742">
            <w:pPr>
              <w:jc w:val="center"/>
              <w:rPr>
                <w:sz w:val="22"/>
                <w:szCs w:val="22"/>
              </w:rPr>
            </w:pPr>
            <w:r w:rsidRPr="000A1781">
              <w:rPr>
                <w:sz w:val="22"/>
                <w:szCs w:val="22"/>
              </w:rPr>
              <w:t>Yes</w:t>
            </w:r>
          </w:p>
        </w:tc>
        <w:tc>
          <w:tcPr>
            <w:tcW w:w="1080" w:type="dxa"/>
          </w:tcPr>
          <w:p w14:paraId="77501FC2" w14:textId="77777777" w:rsidR="0086548F" w:rsidRDefault="0086548F" w:rsidP="003B5742">
            <w:pPr>
              <w:jc w:val="center"/>
              <w:rPr>
                <w:sz w:val="22"/>
                <w:szCs w:val="22"/>
              </w:rPr>
            </w:pPr>
          </w:p>
          <w:p w14:paraId="70922E47" w14:textId="77777777" w:rsidR="00D91B19" w:rsidRDefault="00D91B19" w:rsidP="003B5742">
            <w:pPr>
              <w:jc w:val="center"/>
              <w:rPr>
                <w:sz w:val="22"/>
                <w:szCs w:val="22"/>
              </w:rPr>
            </w:pPr>
          </w:p>
          <w:p w14:paraId="76DAC6BC" w14:textId="61C8D4A2" w:rsidR="003B5742" w:rsidRPr="000A1781" w:rsidRDefault="003B5742" w:rsidP="003B5742">
            <w:pPr>
              <w:jc w:val="center"/>
              <w:rPr>
                <w:sz w:val="22"/>
                <w:szCs w:val="22"/>
              </w:rPr>
            </w:pPr>
            <w:r w:rsidRPr="000A1781">
              <w:rPr>
                <w:sz w:val="22"/>
                <w:szCs w:val="22"/>
              </w:rPr>
              <w:t>Yes</w:t>
            </w:r>
          </w:p>
        </w:tc>
        <w:tc>
          <w:tcPr>
            <w:tcW w:w="1260" w:type="dxa"/>
          </w:tcPr>
          <w:p w14:paraId="2B462439" w14:textId="77777777" w:rsidR="0086548F" w:rsidRDefault="0086548F" w:rsidP="003B5742">
            <w:pPr>
              <w:jc w:val="center"/>
              <w:rPr>
                <w:sz w:val="22"/>
                <w:szCs w:val="22"/>
              </w:rPr>
            </w:pPr>
          </w:p>
          <w:p w14:paraId="15EDFB01" w14:textId="77777777" w:rsidR="00D91B19" w:rsidRDefault="00D91B19" w:rsidP="003B5742">
            <w:pPr>
              <w:jc w:val="center"/>
              <w:rPr>
                <w:sz w:val="22"/>
                <w:szCs w:val="22"/>
              </w:rPr>
            </w:pPr>
          </w:p>
          <w:p w14:paraId="420703F2" w14:textId="33065B6C" w:rsidR="003B5742" w:rsidRPr="000A1781" w:rsidRDefault="003B5742" w:rsidP="003B5742">
            <w:pPr>
              <w:jc w:val="center"/>
              <w:rPr>
                <w:sz w:val="22"/>
                <w:szCs w:val="22"/>
              </w:rPr>
            </w:pPr>
            <w:r w:rsidRPr="000A1781">
              <w:rPr>
                <w:sz w:val="22"/>
                <w:szCs w:val="22"/>
              </w:rPr>
              <w:t>11/15/2022</w:t>
            </w:r>
          </w:p>
        </w:tc>
        <w:tc>
          <w:tcPr>
            <w:tcW w:w="1260" w:type="dxa"/>
          </w:tcPr>
          <w:p w14:paraId="29146501" w14:textId="77777777" w:rsidR="0086548F" w:rsidRDefault="0086548F" w:rsidP="0086548F">
            <w:pPr>
              <w:jc w:val="center"/>
              <w:rPr>
                <w:sz w:val="22"/>
                <w:szCs w:val="22"/>
              </w:rPr>
            </w:pPr>
          </w:p>
          <w:p w14:paraId="07FFFD38" w14:textId="77777777" w:rsidR="00D91B19" w:rsidRDefault="00D91B19" w:rsidP="0086548F">
            <w:pPr>
              <w:jc w:val="center"/>
              <w:rPr>
                <w:sz w:val="22"/>
                <w:szCs w:val="22"/>
              </w:rPr>
            </w:pPr>
          </w:p>
          <w:p w14:paraId="222F3940" w14:textId="65C314C0" w:rsidR="003B5742" w:rsidRPr="000A1781" w:rsidRDefault="003B5742" w:rsidP="0086548F">
            <w:pPr>
              <w:jc w:val="center"/>
              <w:rPr>
                <w:sz w:val="22"/>
                <w:szCs w:val="22"/>
              </w:rPr>
            </w:pPr>
            <w:r w:rsidRPr="000A1781">
              <w:rPr>
                <w:sz w:val="22"/>
                <w:szCs w:val="22"/>
              </w:rPr>
              <w:t>10/11/2022</w:t>
            </w:r>
          </w:p>
        </w:tc>
      </w:tr>
      <w:tr w:rsidR="003B5742" w:rsidRPr="000A1781" w14:paraId="2C6276DB" w14:textId="77777777" w:rsidTr="00887129">
        <w:trPr>
          <w:trHeight w:val="517"/>
        </w:trPr>
        <w:tc>
          <w:tcPr>
            <w:tcW w:w="2700" w:type="dxa"/>
          </w:tcPr>
          <w:p w14:paraId="51EBD071" w14:textId="77777777" w:rsidR="003B5742" w:rsidRPr="000A1781" w:rsidRDefault="003B5742" w:rsidP="003B5742">
            <w:pPr>
              <w:widowControl/>
              <w:autoSpaceDE/>
              <w:autoSpaceDN/>
              <w:adjustRightInd/>
              <w:rPr>
                <w:sz w:val="22"/>
                <w:szCs w:val="22"/>
              </w:rPr>
            </w:pPr>
            <w:r w:rsidRPr="000A1781">
              <w:rPr>
                <w:sz w:val="22"/>
                <w:szCs w:val="22"/>
              </w:rPr>
              <w:t>Site-Specific Targeting (SST)</w:t>
            </w:r>
          </w:p>
          <w:p w14:paraId="5EA863FA" w14:textId="77777777" w:rsidR="003B5742" w:rsidRPr="000A1781" w:rsidRDefault="003B5742" w:rsidP="003B5742">
            <w:pPr>
              <w:widowControl/>
              <w:autoSpaceDE/>
              <w:autoSpaceDN/>
              <w:adjustRightInd/>
              <w:rPr>
                <w:sz w:val="22"/>
                <w:szCs w:val="22"/>
              </w:rPr>
            </w:pPr>
            <w:r w:rsidRPr="000A1781">
              <w:rPr>
                <w:sz w:val="22"/>
                <w:szCs w:val="22"/>
              </w:rPr>
              <w:t>CPL 02-01-064</w:t>
            </w:r>
          </w:p>
          <w:p w14:paraId="19C15496" w14:textId="7D10615B" w:rsidR="003B5742" w:rsidRPr="000A1781" w:rsidRDefault="003B5742" w:rsidP="003B5742">
            <w:pPr>
              <w:rPr>
                <w:sz w:val="22"/>
                <w:szCs w:val="22"/>
              </w:rPr>
            </w:pPr>
            <w:r w:rsidRPr="000A1781">
              <w:rPr>
                <w:sz w:val="22"/>
                <w:szCs w:val="22"/>
              </w:rPr>
              <w:t>(2/7/2023)</w:t>
            </w:r>
          </w:p>
        </w:tc>
        <w:tc>
          <w:tcPr>
            <w:tcW w:w="1260" w:type="dxa"/>
          </w:tcPr>
          <w:p w14:paraId="75CE0A3D" w14:textId="77777777" w:rsidR="0086548F" w:rsidRDefault="0086548F" w:rsidP="003B5742">
            <w:pPr>
              <w:jc w:val="center"/>
              <w:rPr>
                <w:sz w:val="22"/>
                <w:szCs w:val="22"/>
              </w:rPr>
            </w:pPr>
          </w:p>
          <w:p w14:paraId="1B7F300B" w14:textId="77777777" w:rsidR="00D91B19" w:rsidRDefault="00D91B19" w:rsidP="003B5742">
            <w:pPr>
              <w:jc w:val="center"/>
              <w:rPr>
                <w:sz w:val="22"/>
                <w:szCs w:val="22"/>
              </w:rPr>
            </w:pPr>
          </w:p>
          <w:p w14:paraId="28D6B3B1" w14:textId="02A1FD4D" w:rsidR="003B5742" w:rsidRPr="000A1781" w:rsidRDefault="003B5742" w:rsidP="003B5742">
            <w:pPr>
              <w:jc w:val="center"/>
              <w:rPr>
                <w:sz w:val="22"/>
                <w:szCs w:val="22"/>
              </w:rPr>
            </w:pPr>
            <w:r w:rsidRPr="000A1781">
              <w:rPr>
                <w:sz w:val="22"/>
                <w:szCs w:val="22"/>
              </w:rPr>
              <w:t>4/8/2023</w:t>
            </w:r>
          </w:p>
        </w:tc>
        <w:tc>
          <w:tcPr>
            <w:tcW w:w="1260" w:type="dxa"/>
          </w:tcPr>
          <w:p w14:paraId="4D553327" w14:textId="77777777" w:rsidR="0086548F" w:rsidRDefault="0086548F" w:rsidP="003B5742">
            <w:pPr>
              <w:jc w:val="center"/>
              <w:rPr>
                <w:sz w:val="22"/>
                <w:szCs w:val="22"/>
              </w:rPr>
            </w:pPr>
          </w:p>
          <w:p w14:paraId="2F1EA3E5" w14:textId="77777777" w:rsidR="00D91B19" w:rsidRDefault="00D91B19" w:rsidP="00D91B19">
            <w:pPr>
              <w:jc w:val="center"/>
              <w:rPr>
                <w:sz w:val="22"/>
                <w:szCs w:val="22"/>
              </w:rPr>
            </w:pPr>
          </w:p>
          <w:p w14:paraId="4FB865CA" w14:textId="1A57A341" w:rsidR="003B5742" w:rsidRPr="000A1781" w:rsidRDefault="003B5742" w:rsidP="00D91B19">
            <w:pPr>
              <w:jc w:val="center"/>
              <w:rPr>
                <w:sz w:val="22"/>
                <w:szCs w:val="22"/>
              </w:rPr>
            </w:pPr>
            <w:r w:rsidRPr="000A1781">
              <w:rPr>
                <w:sz w:val="22"/>
                <w:szCs w:val="22"/>
              </w:rPr>
              <w:t>3/28/2023</w:t>
            </w:r>
          </w:p>
        </w:tc>
        <w:tc>
          <w:tcPr>
            <w:tcW w:w="900" w:type="dxa"/>
          </w:tcPr>
          <w:p w14:paraId="63D84780" w14:textId="77777777" w:rsidR="0086548F" w:rsidRDefault="0086548F" w:rsidP="003B5742">
            <w:pPr>
              <w:jc w:val="center"/>
              <w:rPr>
                <w:sz w:val="22"/>
                <w:szCs w:val="22"/>
              </w:rPr>
            </w:pPr>
          </w:p>
          <w:p w14:paraId="33C1580E" w14:textId="77777777" w:rsidR="00D91B19" w:rsidRDefault="00D91B19" w:rsidP="003B5742">
            <w:pPr>
              <w:jc w:val="center"/>
              <w:rPr>
                <w:sz w:val="22"/>
                <w:szCs w:val="22"/>
              </w:rPr>
            </w:pPr>
          </w:p>
          <w:p w14:paraId="7025E413" w14:textId="45825345" w:rsidR="003B5742" w:rsidRPr="000A1781" w:rsidRDefault="003B5742" w:rsidP="003B5742">
            <w:pPr>
              <w:jc w:val="center"/>
              <w:rPr>
                <w:sz w:val="22"/>
                <w:szCs w:val="22"/>
              </w:rPr>
            </w:pPr>
            <w:r w:rsidRPr="000A1781">
              <w:rPr>
                <w:sz w:val="22"/>
                <w:szCs w:val="22"/>
              </w:rPr>
              <w:t>Yes</w:t>
            </w:r>
          </w:p>
        </w:tc>
        <w:tc>
          <w:tcPr>
            <w:tcW w:w="1080" w:type="dxa"/>
          </w:tcPr>
          <w:p w14:paraId="41C2BB4B" w14:textId="77777777" w:rsidR="0086548F" w:rsidRDefault="0086548F" w:rsidP="003B5742">
            <w:pPr>
              <w:jc w:val="center"/>
              <w:rPr>
                <w:sz w:val="22"/>
                <w:szCs w:val="22"/>
              </w:rPr>
            </w:pPr>
          </w:p>
          <w:p w14:paraId="312DADD0" w14:textId="77777777" w:rsidR="00D91B19" w:rsidRDefault="00D91B19" w:rsidP="003B5742">
            <w:pPr>
              <w:jc w:val="center"/>
              <w:rPr>
                <w:sz w:val="22"/>
                <w:szCs w:val="22"/>
              </w:rPr>
            </w:pPr>
          </w:p>
          <w:p w14:paraId="78ABAA1B" w14:textId="1B5BF0B2" w:rsidR="003B5742" w:rsidRPr="000A1781" w:rsidRDefault="003B5742" w:rsidP="003B5742">
            <w:pPr>
              <w:jc w:val="center"/>
              <w:rPr>
                <w:sz w:val="22"/>
                <w:szCs w:val="22"/>
              </w:rPr>
            </w:pPr>
            <w:r w:rsidRPr="000A1781">
              <w:rPr>
                <w:sz w:val="22"/>
                <w:szCs w:val="22"/>
              </w:rPr>
              <w:t>Yes</w:t>
            </w:r>
          </w:p>
        </w:tc>
        <w:tc>
          <w:tcPr>
            <w:tcW w:w="1260" w:type="dxa"/>
          </w:tcPr>
          <w:p w14:paraId="72423F3F" w14:textId="77777777" w:rsidR="0086548F" w:rsidRDefault="0086548F" w:rsidP="003B5742">
            <w:pPr>
              <w:jc w:val="center"/>
              <w:rPr>
                <w:sz w:val="22"/>
                <w:szCs w:val="22"/>
              </w:rPr>
            </w:pPr>
          </w:p>
          <w:p w14:paraId="69CD19D7" w14:textId="77777777" w:rsidR="00D91B19" w:rsidRDefault="00D91B19" w:rsidP="003B5742">
            <w:pPr>
              <w:jc w:val="center"/>
              <w:rPr>
                <w:sz w:val="22"/>
                <w:szCs w:val="22"/>
              </w:rPr>
            </w:pPr>
          </w:p>
          <w:p w14:paraId="6CA9BBBA" w14:textId="4071D38A" w:rsidR="003B5742" w:rsidRPr="000A1781" w:rsidRDefault="003B5742" w:rsidP="003B5742">
            <w:pPr>
              <w:jc w:val="center"/>
              <w:rPr>
                <w:sz w:val="22"/>
                <w:szCs w:val="22"/>
              </w:rPr>
            </w:pPr>
            <w:r w:rsidRPr="000A1781">
              <w:rPr>
                <w:sz w:val="22"/>
                <w:szCs w:val="22"/>
              </w:rPr>
              <w:t>4/8/2023</w:t>
            </w:r>
          </w:p>
        </w:tc>
        <w:tc>
          <w:tcPr>
            <w:tcW w:w="1260" w:type="dxa"/>
          </w:tcPr>
          <w:p w14:paraId="64A69D92" w14:textId="77777777" w:rsidR="0086548F" w:rsidRDefault="0086548F" w:rsidP="003B5742">
            <w:pPr>
              <w:jc w:val="center"/>
              <w:rPr>
                <w:sz w:val="22"/>
                <w:szCs w:val="22"/>
              </w:rPr>
            </w:pPr>
          </w:p>
          <w:p w14:paraId="52D29E36" w14:textId="77777777" w:rsidR="00D91B19" w:rsidRDefault="00D91B19" w:rsidP="003B5742">
            <w:pPr>
              <w:jc w:val="center"/>
              <w:rPr>
                <w:sz w:val="22"/>
                <w:szCs w:val="22"/>
              </w:rPr>
            </w:pPr>
          </w:p>
          <w:p w14:paraId="4693BA64" w14:textId="7C653C98" w:rsidR="003B5742" w:rsidRPr="000A1781" w:rsidRDefault="003B5742" w:rsidP="003B5742">
            <w:pPr>
              <w:jc w:val="center"/>
              <w:rPr>
                <w:sz w:val="22"/>
                <w:szCs w:val="22"/>
              </w:rPr>
            </w:pPr>
            <w:r w:rsidRPr="000A1781">
              <w:rPr>
                <w:sz w:val="22"/>
                <w:szCs w:val="22"/>
              </w:rPr>
              <w:t>3/28/2023</w:t>
            </w:r>
          </w:p>
        </w:tc>
      </w:tr>
      <w:tr w:rsidR="003B5742" w:rsidRPr="000A1781" w14:paraId="3A26AC13" w14:textId="77777777" w:rsidTr="00887129">
        <w:trPr>
          <w:trHeight w:val="517"/>
        </w:trPr>
        <w:tc>
          <w:tcPr>
            <w:tcW w:w="2700" w:type="dxa"/>
          </w:tcPr>
          <w:p w14:paraId="68EB002B" w14:textId="77777777" w:rsidR="003B5742" w:rsidRPr="000A1781" w:rsidRDefault="003B5742" w:rsidP="003B5742">
            <w:pPr>
              <w:widowControl/>
              <w:autoSpaceDE/>
              <w:autoSpaceDN/>
              <w:adjustRightInd/>
              <w:rPr>
                <w:sz w:val="22"/>
                <w:szCs w:val="22"/>
              </w:rPr>
            </w:pPr>
            <w:r w:rsidRPr="000A1781">
              <w:rPr>
                <w:sz w:val="22"/>
                <w:szCs w:val="22"/>
              </w:rPr>
              <w:lastRenderedPageBreak/>
              <w:t>National Emphasis Program – Falls</w:t>
            </w:r>
          </w:p>
          <w:p w14:paraId="1A725581" w14:textId="77777777" w:rsidR="003B5742" w:rsidRPr="000A1781" w:rsidRDefault="003B5742" w:rsidP="003B5742">
            <w:pPr>
              <w:widowControl/>
              <w:autoSpaceDE/>
              <w:autoSpaceDN/>
              <w:adjustRightInd/>
              <w:rPr>
                <w:sz w:val="22"/>
                <w:szCs w:val="22"/>
              </w:rPr>
            </w:pPr>
            <w:r w:rsidRPr="000A1781">
              <w:rPr>
                <w:sz w:val="22"/>
                <w:szCs w:val="22"/>
              </w:rPr>
              <w:t>CPL 03-00-025</w:t>
            </w:r>
          </w:p>
          <w:p w14:paraId="7631D00B" w14:textId="2F46EE36" w:rsidR="003B5742" w:rsidRPr="000A1781" w:rsidRDefault="003B5742" w:rsidP="003B5742">
            <w:pPr>
              <w:rPr>
                <w:sz w:val="22"/>
                <w:szCs w:val="22"/>
              </w:rPr>
            </w:pPr>
            <w:r w:rsidRPr="000A1781">
              <w:rPr>
                <w:sz w:val="22"/>
                <w:szCs w:val="22"/>
              </w:rPr>
              <w:t>(5/1/2023)</w:t>
            </w:r>
          </w:p>
        </w:tc>
        <w:tc>
          <w:tcPr>
            <w:tcW w:w="1260" w:type="dxa"/>
          </w:tcPr>
          <w:p w14:paraId="4A282027" w14:textId="77777777" w:rsidR="0086548F" w:rsidRDefault="0086548F" w:rsidP="003B5742">
            <w:pPr>
              <w:jc w:val="center"/>
              <w:rPr>
                <w:sz w:val="22"/>
                <w:szCs w:val="22"/>
              </w:rPr>
            </w:pPr>
          </w:p>
          <w:p w14:paraId="753378CB" w14:textId="77777777" w:rsidR="00D91B19" w:rsidRDefault="00D91B19" w:rsidP="003B5742">
            <w:pPr>
              <w:jc w:val="center"/>
              <w:rPr>
                <w:sz w:val="22"/>
                <w:szCs w:val="22"/>
              </w:rPr>
            </w:pPr>
          </w:p>
          <w:p w14:paraId="70071E38" w14:textId="750C555B" w:rsidR="003B5742" w:rsidRPr="000A1781" w:rsidRDefault="003B5742" w:rsidP="003B5742">
            <w:pPr>
              <w:jc w:val="center"/>
              <w:rPr>
                <w:sz w:val="22"/>
                <w:szCs w:val="22"/>
              </w:rPr>
            </w:pPr>
            <w:r w:rsidRPr="000A1781">
              <w:rPr>
                <w:sz w:val="22"/>
                <w:szCs w:val="22"/>
              </w:rPr>
              <w:t>6/30/2023</w:t>
            </w:r>
          </w:p>
        </w:tc>
        <w:tc>
          <w:tcPr>
            <w:tcW w:w="1260" w:type="dxa"/>
          </w:tcPr>
          <w:p w14:paraId="6F177766" w14:textId="77777777" w:rsidR="0086548F" w:rsidRDefault="0086548F" w:rsidP="003B5742">
            <w:pPr>
              <w:jc w:val="center"/>
              <w:rPr>
                <w:sz w:val="22"/>
                <w:szCs w:val="22"/>
              </w:rPr>
            </w:pPr>
          </w:p>
          <w:p w14:paraId="78DA5305" w14:textId="77777777" w:rsidR="00D91B19" w:rsidRDefault="00D91B19" w:rsidP="003B5742">
            <w:pPr>
              <w:jc w:val="center"/>
              <w:rPr>
                <w:sz w:val="22"/>
                <w:szCs w:val="22"/>
              </w:rPr>
            </w:pPr>
          </w:p>
          <w:p w14:paraId="5C1F3DA8" w14:textId="52AE03F3" w:rsidR="003B5742" w:rsidRPr="000A1781" w:rsidRDefault="003B5742" w:rsidP="003B5742">
            <w:pPr>
              <w:jc w:val="center"/>
              <w:rPr>
                <w:sz w:val="22"/>
                <w:szCs w:val="22"/>
              </w:rPr>
            </w:pPr>
            <w:r w:rsidRPr="000A1781">
              <w:rPr>
                <w:sz w:val="22"/>
                <w:szCs w:val="22"/>
              </w:rPr>
              <w:t>6/2/2023</w:t>
            </w:r>
          </w:p>
        </w:tc>
        <w:tc>
          <w:tcPr>
            <w:tcW w:w="900" w:type="dxa"/>
          </w:tcPr>
          <w:p w14:paraId="79501C94" w14:textId="77777777" w:rsidR="0086548F" w:rsidRDefault="0086548F" w:rsidP="003B5742">
            <w:pPr>
              <w:jc w:val="center"/>
              <w:rPr>
                <w:sz w:val="22"/>
                <w:szCs w:val="22"/>
              </w:rPr>
            </w:pPr>
          </w:p>
          <w:p w14:paraId="7A389162" w14:textId="77777777" w:rsidR="00D91B19" w:rsidRDefault="00D91B19" w:rsidP="003B5742">
            <w:pPr>
              <w:jc w:val="center"/>
              <w:rPr>
                <w:sz w:val="22"/>
                <w:szCs w:val="22"/>
              </w:rPr>
            </w:pPr>
          </w:p>
          <w:p w14:paraId="358D44DA" w14:textId="6AAFED89" w:rsidR="003B5742" w:rsidRPr="000A1781" w:rsidRDefault="003B5742" w:rsidP="003B5742">
            <w:pPr>
              <w:jc w:val="center"/>
              <w:rPr>
                <w:sz w:val="22"/>
                <w:szCs w:val="22"/>
              </w:rPr>
            </w:pPr>
            <w:r w:rsidRPr="000A1781">
              <w:rPr>
                <w:sz w:val="22"/>
                <w:szCs w:val="22"/>
              </w:rPr>
              <w:t>Yes</w:t>
            </w:r>
          </w:p>
        </w:tc>
        <w:tc>
          <w:tcPr>
            <w:tcW w:w="1080" w:type="dxa"/>
          </w:tcPr>
          <w:p w14:paraId="746DBC8D" w14:textId="77777777" w:rsidR="0086548F" w:rsidRDefault="0086548F" w:rsidP="003B5742">
            <w:pPr>
              <w:jc w:val="center"/>
              <w:rPr>
                <w:sz w:val="22"/>
                <w:szCs w:val="22"/>
              </w:rPr>
            </w:pPr>
          </w:p>
          <w:p w14:paraId="78B3BC44" w14:textId="77777777" w:rsidR="00D91B19" w:rsidRDefault="00D91B19" w:rsidP="003B5742">
            <w:pPr>
              <w:jc w:val="center"/>
              <w:rPr>
                <w:sz w:val="22"/>
                <w:szCs w:val="22"/>
              </w:rPr>
            </w:pPr>
          </w:p>
          <w:p w14:paraId="07972B7A" w14:textId="672E5D07" w:rsidR="003B5742" w:rsidRPr="000A1781" w:rsidRDefault="003B5742" w:rsidP="003B5742">
            <w:pPr>
              <w:jc w:val="center"/>
              <w:rPr>
                <w:sz w:val="22"/>
                <w:szCs w:val="22"/>
              </w:rPr>
            </w:pPr>
            <w:r w:rsidRPr="000A1781">
              <w:rPr>
                <w:sz w:val="22"/>
                <w:szCs w:val="22"/>
              </w:rPr>
              <w:t>Yes</w:t>
            </w:r>
          </w:p>
        </w:tc>
        <w:tc>
          <w:tcPr>
            <w:tcW w:w="1260" w:type="dxa"/>
          </w:tcPr>
          <w:p w14:paraId="365E42CD" w14:textId="77777777" w:rsidR="0086548F" w:rsidRDefault="0086548F" w:rsidP="003B5742">
            <w:pPr>
              <w:jc w:val="center"/>
              <w:rPr>
                <w:sz w:val="22"/>
                <w:szCs w:val="22"/>
              </w:rPr>
            </w:pPr>
          </w:p>
          <w:p w14:paraId="1ED1C02A" w14:textId="77777777" w:rsidR="00D91B19" w:rsidRDefault="00D91B19" w:rsidP="003B5742">
            <w:pPr>
              <w:jc w:val="center"/>
              <w:rPr>
                <w:sz w:val="22"/>
                <w:szCs w:val="22"/>
              </w:rPr>
            </w:pPr>
          </w:p>
          <w:p w14:paraId="4D6B9759" w14:textId="224A7E08" w:rsidR="003B5742" w:rsidRPr="000A1781" w:rsidRDefault="003B5742" w:rsidP="003B5742">
            <w:pPr>
              <w:jc w:val="center"/>
              <w:rPr>
                <w:sz w:val="22"/>
                <w:szCs w:val="22"/>
              </w:rPr>
            </w:pPr>
            <w:r w:rsidRPr="000A1781">
              <w:rPr>
                <w:sz w:val="22"/>
                <w:szCs w:val="22"/>
              </w:rPr>
              <w:t>6/30/2023</w:t>
            </w:r>
          </w:p>
        </w:tc>
        <w:tc>
          <w:tcPr>
            <w:tcW w:w="1260" w:type="dxa"/>
          </w:tcPr>
          <w:p w14:paraId="746EE096" w14:textId="77777777" w:rsidR="0086548F" w:rsidRDefault="0086548F" w:rsidP="003B5742">
            <w:pPr>
              <w:jc w:val="center"/>
              <w:rPr>
                <w:sz w:val="22"/>
                <w:szCs w:val="22"/>
              </w:rPr>
            </w:pPr>
          </w:p>
          <w:p w14:paraId="147472F5" w14:textId="77777777" w:rsidR="00D91B19" w:rsidRDefault="00D91B19" w:rsidP="003B5742">
            <w:pPr>
              <w:jc w:val="center"/>
              <w:rPr>
                <w:sz w:val="22"/>
                <w:szCs w:val="22"/>
              </w:rPr>
            </w:pPr>
          </w:p>
          <w:p w14:paraId="339A1BBB" w14:textId="6FC5DB21" w:rsidR="003B5742" w:rsidRPr="000A1781" w:rsidRDefault="003B5742" w:rsidP="003B5742">
            <w:pPr>
              <w:jc w:val="center"/>
              <w:rPr>
                <w:sz w:val="22"/>
                <w:szCs w:val="22"/>
              </w:rPr>
            </w:pPr>
            <w:r w:rsidRPr="000A1781">
              <w:rPr>
                <w:sz w:val="22"/>
                <w:szCs w:val="22"/>
              </w:rPr>
              <w:t>6/2/2023</w:t>
            </w:r>
          </w:p>
        </w:tc>
      </w:tr>
      <w:tr w:rsidR="003B5742" w:rsidRPr="000A1781" w14:paraId="221CC5BE" w14:textId="77777777" w:rsidTr="00887129">
        <w:trPr>
          <w:trHeight w:val="517"/>
        </w:trPr>
        <w:tc>
          <w:tcPr>
            <w:tcW w:w="2700" w:type="dxa"/>
          </w:tcPr>
          <w:p w14:paraId="4640F26A" w14:textId="77777777" w:rsidR="003B5742" w:rsidRPr="000A1781" w:rsidRDefault="003B5742" w:rsidP="003B5742">
            <w:pPr>
              <w:widowControl/>
              <w:autoSpaceDE/>
              <w:autoSpaceDN/>
              <w:adjustRightInd/>
              <w:rPr>
                <w:sz w:val="22"/>
                <w:szCs w:val="22"/>
              </w:rPr>
            </w:pPr>
            <w:r w:rsidRPr="000A1781">
              <w:rPr>
                <w:sz w:val="22"/>
                <w:szCs w:val="22"/>
              </w:rPr>
              <w:t xml:space="preserve">Consultation Policies and Procedures Manual </w:t>
            </w:r>
          </w:p>
          <w:p w14:paraId="44A0AEE4" w14:textId="77777777" w:rsidR="003B5742" w:rsidRPr="000A1781" w:rsidRDefault="003B5742" w:rsidP="003B5742">
            <w:pPr>
              <w:widowControl/>
              <w:autoSpaceDE/>
              <w:autoSpaceDN/>
              <w:adjustRightInd/>
              <w:rPr>
                <w:sz w:val="22"/>
                <w:szCs w:val="22"/>
              </w:rPr>
            </w:pPr>
            <w:r w:rsidRPr="000A1781">
              <w:rPr>
                <w:sz w:val="22"/>
                <w:szCs w:val="22"/>
              </w:rPr>
              <w:t>CSP 02-00-005</w:t>
            </w:r>
          </w:p>
          <w:p w14:paraId="3C0770E0" w14:textId="63622742" w:rsidR="003B5742" w:rsidRPr="000A1781" w:rsidRDefault="003B5742" w:rsidP="003B5742">
            <w:pPr>
              <w:rPr>
                <w:sz w:val="22"/>
                <w:szCs w:val="22"/>
              </w:rPr>
            </w:pPr>
            <w:r w:rsidRPr="000A1781">
              <w:rPr>
                <w:sz w:val="22"/>
                <w:szCs w:val="22"/>
              </w:rPr>
              <w:t xml:space="preserve">(9/29/2023)   </w:t>
            </w:r>
          </w:p>
        </w:tc>
        <w:tc>
          <w:tcPr>
            <w:tcW w:w="1260" w:type="dxa"/>
          </w:tcPr>
          <w:p w14:paraId="226686E6" w14:textId="77777777" w:rsidR="0086548F" w:rsidRDefault="0086548F" w:rsidP="003B5742">
            <w:pPr>
              <w:jc w:val="center"/>
              <w:rPr>
                <w:sz w:val="22"/>
                <w:szCs w:val="22"/>
              </w:rPr>
            </w:pPr>
          </w:p>
          <w:p w14:paraId="29D76FE1" w14:textId="77777777" w:rsidR="0086548F" w:rsidRDefault="0086548F" w:rsidP="003B5742">
            <w:pPr>
              <w:jc w:val="center"/>
              <w:rPr>
                <w:sz w:val="22"/>
                <w:szCs w:val="22"/>
              </w:rPr>
            </w:pPr>
          </w:p>
          <w:p w14:paraId="04820E2E" w14:textId="5251DEA6" w:rsidR="003B5742" w:rsidRPr="000A1781" w:rsidRDefault="003B5742" w:rsidP="003B5742">
            <w:pPr>
              <w:jc w:val="center"/>
              <w:rPr>
                <w:sz w:val="22"/>
                <w:szCs w:val="22"/>
              </w:rPr>
            </w:pPr>
            <w:r w:rsidRPr="000A1781">
              <w:rPr>
                <w:sz w:val="22"/>
                <w:szCs w:val="22"/>
              </w:rPr>
              <w:t>11/28/2023</w:t>
            </w:r>
          </w:p>
        </w:tc>
        <w:tc>
          <w:tcPr>
            <w:tcW w:w="1260" w:type="dxa"/>
          </w:tcPr>
          <w:p w14:paraId="1C4837F7" w14:textId="77777777" w:rsidR="0086548F" w:rsidRDefault="0086548F" w:rsidP="003B5742">
            <w:pPr>
              <w:jc w:val="center"/>
              <w:rPr>
                <w:sz w:val="22"/>
                <w:szCs w:val="22"/>
              </w:rPr>
            </w:pPr>
          </w:p>
          <w:p w14:paraId="6FE95B64" w14:textId="77777777" w:rsidR="0086548F" w:rsidRDefault="0086548F" w:rsidP="003B5742">
            <w:pPr>
              <w:jc w:val="center"/>
              <w:rPr>
                <w:sz w:val="22"/>
                <w:szCs w:val="22"/>
              </w:rPr>
            </w:pPr>
          </w:p>
          <w:p w14:paraId="0C66B529" w14:textId="1997CEE8" w:rsidR="003B5742" w:rsidRPr="000A1781" w:rsidRDefault="003B5742" w:rsidP="003B5742">
            <w:pPr>
              <w:jc w:val="center"/>
              <w:rPr>
                <w:sz w:val="22"/>
                <w:szCs w:val="22"/>
              </w:rPr>
            </w:pPr>
            <w:r w:rsidRPr="000A1781">
              <w:rPr>
                <w:sz w:val="22"/>
                <w:szCs w:val="22"/>
              </w:rPr>
              <w:t>10/18/2023</w:t>
            </w:r>
          </w:p>
        </w:tc>
        <w:tc>
          <w:tcPr>
            <w:tcW w:w="900" w:type="dxa"/>
          </w:tcPr>
          <w:p w14:paraId="26381C4C" w14:textId="77777777" w:rsidR="0086548F" w:rsidRDefault="0086548F" w:rsidP="003B5742">
            <w:pPr>
              <w:jc w:val="center"/>
              <w:rPr>
                <w:sz w:val="22"/>
                <w:szCs w:val="22"/>
              </w:rPr>
            </w:pPr>
          </w:p>
          <w:p w14:paraId="5BAEF53D" w14:textId="77777777" w:rsidR="0086548F" w:rsidRDefault="0086548F" w:rsidP="003B5742">
            <w:pPr>
              <w:jc w:val="center"/>
              <w:rPr>
                <w:sz w:val="22"/>
                <w:szCs w:val="22"/>
              </w:rPr>
            </w:pPr>
          </w:p>
          <w:p w14:paraId="5B408D15" w14:textId="51A2554B" w:rsidR="003B5742" w:rsidRPr="000A1781" w:rsidRDefault="003B5742" w:rsidP="003B5742">
            <w:pPr>
              <w:jc w:val="center"/>
              <w:rPr>
                <w:sz w:val="22"/>
                <w:szCs w:val="22"/>
              </w:rPr>
            </w:pPr>
            <w:r w:rsidRPr="000A1781">
              <w:rPr>
                <w:sz w:val="22"/>
                <w:szCs w:val="22"/>
              </w:rPr>
              <w:t>Yes</w:t>
            </w:r>
          </w:p>
        </w:tc>
        <w:tc>
          <w:tcPr>
            <w:tcW w:w="1080" w:type="dxa"/>
          </w:tcPr>
          <w:p w14:paraId="2753DC4E" w14:textId="77777777" w:rsidR="0086548F" w:rsidRDefault="0086548F" w:rsidP="003B5742">
            <w:pPr>
              <w:jc w:val="center"/>
              <w:rPr>
                <w:sz w:val="22"/>
                <w:szCs w:val="22"/>
              </w:rPr>
            </w:pPr>
          </w:p>
          <w:p w14:paraId="01DDBAA4" w14:textId="77777777" w:rsidR="0086548F" w:rsidRDefault="0086548F" w:rsidP="003B5742">
            <w:pPr>
              <w:jc w:val="center"/>
              <w:rPr>
                <w:sz w:val="22"/>
                <w:szCs w:val="22"/>
              </w:rPr>
            </w:pPr>
          </w:p>
          <w:p w14:paraId="56713864" w14:textId="57375C53" w:rsidR="003B5742" w:rsidRPr="000A1781" w:rsidRDefault="003B5742" w:rsidP="003B5742">
            <w:pPr>
              <w:jc w:val="center"/>
              <w:rPr>
                <w:sz w:val="22"/>
                <w:szCs w:val="22"/>
              </w:rPr>
            </w:pPr>
            <w:r w:rsidRPr="000A1781">
              <w:rPr>
                <w:sz w:val="22"/>
                <w:szCs w:val="22"/>
              </w:rPr>
              <w:t>Yes</w:t>
            </w:r>
          </w:p>
        </w:tc>
        <w:tc>
          <w:tcPr>
            <w:tcW w:w="1260" w:type="dxa"/>
          </w:tcPr>
          <w:p w14:paraId="6FD49C86" w14:textId="77777777" w:rsidR="0086548F" w:rsidRDefault="0086548F" w:rsidP="003B5742">
            <w:pPr>
              <w:jc w:val="center"/>
              <w:rPr>
                <w:sz w:val="22"/>
                <w:szCs w:val="22"/>
              </w:rPr>
            </w:pPr>
          </w:p>
          <w:p w14:paraId="07B5B652" w14:textId="77777777" w:rsidR="0086548F" w:rsidRDefault="0086548F" w:rsidP="003B5742">
            <w:pPr>
              <w:jc w:val="center"/>
              <w:rPr>
                <w:sz w:val="22"/>
                <w:szCs w:val="22"/>
              </w:rPr>
            </w:pPr>
          </w:p>
          <w:p w14:paraId="508D4565" w14:textId="4A85BD23" w:rsidR="003B5742" w:rsidRPr="000A1781" w:rsidRDefault="003B5742" w:rsidP="003B5742">
            <w:pPr>
              <w:jc w:val="center"/>
              <w:rPr>
                <w:sz w:val="22"/>
                <w:szCs w:val="22"/>
              </w:rPr>
            </w:pPr>
            <w:r w:rsidRPr="000A1781">
              <w:rPr>
                <w:sz w:val="22"/>
                <w:szCs w:val="22"/>
              </w:rPr>
              <w:t>11/28/2023</w:t>
            </w:r>
          </w:p>
        </w:tc>
        <w:tc>
          <w:tcPr>
            <w:tcW w:w="1260" w:type="dxa"/>
          </w:tcPr>
          <w:p w14:paraId="251F4FC5" w14:textId="77777777" w:rsidR="0086548F" w:rsidRDefault="0086548F" w:rsidP="003B5742">
            <w:pPr>
              <w:jc w:val="center"/>
              <w:rPr>
                <w:sz w:val="22"/>
                <w:szCs w:val="22"/>
              </w:rPr>
            </w:pPr>
          </w:p>
          <w:p w14:paraId="73194446" w14:textId="77777777" w:rsidR="0086548F" w:rsidRDefault="0086548F" w:rsidP="003B5742">
            <w:pPr>
              <w:jc w:val="center"/>
              <w:rPr>
                <w:sz w:val="22"/>
                <w:szCs w:val="22"/>
              </w:rPr>
            </w:pPr>
          </w:p>
          <w:p w14:paraId="56AC1133" w14:textId="3D43F4F6" w:rsidR="003B5742" w:rsidRPr="000A1781" w:rsidRDefault="003B5742" w:rsidP="003B5742">
            <w:pPr>
              <w:jc w:val="center"/>
              <w:rPr>
                <w:sz w:val="22"/>
                <w:szCs w:val="22"/>
              </w:rPr>
            </w:pPr>
            <w:r w:rsidRPr="000A1781">
              <w:rPr>
                <w:sz w:val="22"/>
                <w:szCs w:val="22"/>
              </w:rPr>
              <w:t>10/18/2023</w:t>
            </w:r>
          </w:p>
        </w:tc>
      </w:tr>
    </w:tbl>
    <w:p w14:paraId="5822DD15" w14:textId="77777777" w:rsidR="000A1781" w:rsidRPr="000A1781" w:rsidRDefault="000A1781" w:rsidP="003B5742">
      <w:pPr>
        <w:tabs>
          <w:tab w:val="left" w:pos="720"/>
          <w:tab w:val="left" w:pos="810"/>
        </w:tabs>
        <w:ind w:left="1440"/>
        <w:rPr>
          <w:bCs/>
        </w:rPr>
      </w:pPr>
      <w:r w:rsidRPr="000A1781">
        <w:rPr>
          <w:bCs/>
        </w:rPr>
        <w:t xml:space="preserve"> </w:t>
      </w:r>
      <w:r w:rsidR="003B5742" w:rsidRPr="000A1781">
        <w:rPr>
          <w:bCs/>
        </w:rPr>
        <w:t xml:space="preserve">**NMOHSB is in the process of adopting a similar directive in accordance with their </w:t>
      </w:r>
      <w:r w:rsidRPr="000A1781">
        <w:rPr>
          <w:bCs/>
        </w:rPr>
        <w:t xml:space="preserve"> </w:t>
      </w:r>
    </w:p>
    <w:p w14:paraId="1286A458" w14:textId="77777777" w:rsidR="000A1781" w:rsidRPr="000A1781" w:rsidRDefault="000A1781" w:rsidP="003B5742">
      <w:pPr>
        <w:tabs>
          <w:tab w:val="left" w:pos="720"/>
          <w:tab w:val="left" w:pos="810"/>
        </w:tabs>
        <w:ind w:left="1440"/>
        <w:rPr>
          <w:bCs/>
        </w:rPr>
      </w:pPr>
      <w:r w:rsidRPr="000A1781">
        <w:rPr>
          <w:bCs/>
        </w:rPr>
        <w:t xml:space="preserve"> </w:t>
      </w:r>
      <w:r w:rsidR="003B5742" w:rsidRPr="000A1781">
        <w:rPr>
          <w:bCs/>
        </w:rPr>
        <w:t xml:space="preserve">state regulations and is operating under a draft version which is undergoing internal state </w:t>
      </w:r>
      <w:r w:rsidRPr="000A1781">
        <w:rPr>
          <w:bCs/>
        </w:rPr>
        <w:t xml:space="preserve"> </w:t>
      </w:r>
    </w:p>
    <w:p w14:paraId="40D687D2" w14:textId="525B7BDD" w:rsidR="003B5742" w:rsidRPr="000A1781" w:rsidRDefault="000A1781" w:rsidP="003B5742">
      <w:pPr>
        <w:tabs>
          <w:tab w:val="left" w:pos="720"/>
          <w:tab w:val="left" w:pos="810"/>
        </w:tabs>
        <w:ind w:left="1440"/>
        <w:rPr>
          <w:bCs/>
        </w:rPr>
      </w:pPr>
      <w:r w:rsidRPr="000A1781">
        <w:rPr>
          <w:bCs/>
        </w:rPr>
        <w:t xml:space="preserve"> </w:t>
      </w:r>
      <w:r w:rsidR="003B5742" w:rsidRPr="000A1781">
        <w:rPr>
          <w:bCs/>
        </w:rPr>
        <w:t xml:space="preserve">legal review. </w:t>
      </w:r>
    </w:p>
    <w:p w14:paraId="285C38B3" w14:textId="77777777" w:rsidR="003B5742" w:rsidRPr="000A1781" w:rsidRDefault="003B5742" w:rsidP="00002D71">
      <w:pPr>
        <w:tabs>
          <w:tab w:val="left" w:pos="720"/>
          <w:tab w:val="left" w:pos="810"/>
        </w:tabs>
        <w:rPr>
          <w:b/>
          <w:highlight w:val="yellow"/>
        </w:rPr>
      </w:pPr>
    </w:p>
    <w:p w14:paraId="18022DC1" w14:textId="42856685" w:rsidR="001567A4" w:rsidRPr="000A1781" w:rsidRDefault="001567A4" w:rsidP="00002D71">
      <w:pPr>
        <w:pStyle w:val="ListParagraph"/>
        <w:tabs>
          <w:tab w:val="left" w:pos="720"/>
          <w:tab w:val="left" w:pos="810"/>
        </w:tabs>
        <w:spacing w:line="240" w:lineRule="auto"/>
        <w:rPr>
          <w:rFonts w:ascii="Times New Roman" w:hAnsi="Times New Roman" w:cs="Times New Roman"/>
          <w:b/>
          <w:caps/>
          <w:sz w:val="24"/>
          <w:szCs w:val="24"/>
        </w:rPr>
      </w:pPr>
      <w:r w:rsidRPr="000A1781">
        <w:rPr>
          <w:rFonts w:ascii="Times New Roman" w:hAnsi="Times New Roman" w:cs="Times New Roman"/>
          <w:b/>
          <w:sz w:val="24"/>
          <w:szCs w:val="24"/>
        </w:rPr>
        <w:t xml:space="preserve">5.    </w:t>
      </w:r>
      <w:r w:rsidRPr="000A1781">
        <w:rPr>
          <w:rFonts w:ascii="Times New Roman" w:hAnsi="Times New Roman" w:cs="Times New Roman"/>
          <w:b/>
          <w:caps/>
          <w:sz w:val="24"/>
          <w:szCs w:val="24"/>
        </w:rPr>
        <w:t xml:space="preserve">Variances </w:t>
      </w:r>
    </w:p>
    <w:p w14:paraId="4BAC9A56" w14:textId="4F56F07B" w:rsidR="00B315CA" w:rsidRPr="000A1781" w:rsidRDefault="006368B1" w:rsidP="00002D71">
      <w:pPr>
        <w:widowControl/>
        <w:tabs>
          <w:tab w:val="left" w:pos="2430"/>
        </w:tabs>
        <w:autoSpaceDE/>
        <w:autoSpaceDN/>
        <w:adjustRightInd/>
        <w:spacing w:after="200"/>
        <w:ind w:left="1170"/>
        <w:contextualSpacing/>
      </w:pPr>
      <w:r w:rsidRPr="000A1781">
        <w:t>NM OSHB did not issue any</w:t>
      </w:r>
      <w:r w:rsidR="00904AA3" w:rsidRPr="000A1781">
        <w:t xml:space="preserve"> </w:t>
      </w:r>
      <w:r w:rsidR="00433C3C" w:rsidRPr="000A1781">
        <w:t>permanent or temporary var</w:t>
      </w:r>
      <w:r w:rsidR="008E3EB3" w:rsidRPr="000A1781">
        <w:t>iances in FY 2023</w:t>
      </w:r>
      <w:r w:rsidR="00790838" w:rsidRPr="000A1781">
        <w:t>. NM OSHB has only issued one temporary variance in its</w:t>
      </w:r>
      <w:r w:rsidR="003A347A" w:rsidRPr="000A1781">
        <w:t xml:space="preserve"> total</w:t>
      </w:r>
      <w:r w:rsidR="00790838" w:rsidRPr="000A1781">
        <w:t xml:space="preserve"> history. The Bureau honors all multi-state variances that have been issued by OSHA.</w:t>
      </w:r>
    </w:p>
    <w:p w14:paraId="53DB63DB" w14:textId="77777777" w:rsidR="00F33567" w:rsidRPr="000A1781" w:rsidRDefault="00F33567" w:rsidP="00002D71">
      <w:pPr>
        <w:widowControl/>
        <w:tabs>
          <w:tab w:val="left" w:pos="2430"/>
        </w:tabs>
        <w:autoSpaceDE/>
        <w:autoSpaceDN/>
        <w:adjustRightInd/>
        <w:spacing w:after="200"/>
        <w:ind w:left="1170"/>
        <w:contextualSpacing/>
      </w:pPr>
    </w:p>
    <w:p w14:paraId="6CE5EE4A" w14:textId="77777777" w:rsidR="001567A4" w:rsidRPr="000A1781" w:rsidRDefault="001567A4" w:rsidP="00002D71">
      <w:pPr>
        <w:ind w:left="1890" w:hanging="1170"/>
        <w:rPr>
          <w:b/>
          <w:caps/>
        </w:rPr>
      </w:pPr>
      <w:r w:rsidRPr="000A1781">
        <w:rPr>
          <w:b/>
        </w:rPr>
        <w:t xml:space="preserve">6.    </w:t>
      </w:r>
      <w:r w:rsidRPr="000A1781">
        <w:rPr>
          <w:b/>
          <w:caps/>
        </w:rPr>
        <w:t>STATE AND LOCAL government WORKER Program</w:t>
      </w:r>
    </w:p>
    <w:p w14:paraId="374994E8" w14:textId="77777777" w:rsidR="004A43C3" w:rsidRPr="000A1781" w:rsidRDefault="004A43C3" w:rsidP="00002D71">
      <w:pPr>
        <w:rPr>
          <w:b/>
          <w:caps/>
          <w:highlight w:val="yellow"/>
        </w:rPr>
      </w:pPr>
    </w:p>
    <w:p w14:paraId="282AAFB3" w14:textId="5362AF46" w:rsidR="00682914" w:rsidRPr="000A1781" w:rsidRDefault="00682914" w:rsidP="00002D71">
      <w:pPr>
        <w:widowControl/>
        <w:autoSpaceDE/>
        <w:autoSpaceDN/>
        <w:adjustRightInd/>
        <w:ind w:left="1080"/>
        <w:contextualSpacing/>
      </w:pPr>
      <w:r w:rsidRPr="000A1781">
        <w:t>SAMM 6</w:t>
      </w:r>
      <w:r w:rsidR="00216C6C" w:rsidRPr="000A1781">
        <w:t xml:space="preserve"> shows that </w:t>
      </w:r>
      <w:r w:rsidRPr="000A1781">
        <w:t>10.09%</w:t>
      </w:r>
      <w:r w:rsidR="002259BF" w:rsidRPr="000A1781">
        <w:t xml:space="preserve"> of the total inspections conducted by NM OHSB were conducted in the state and local government. </w:t>
      </w:r>
      <w:r w:rsidR="00F41109" w:rsidRPr="000A1781">
        <w:t>NM OHSB falls within</w:t>
      </w:r>
      <w:r w:rsidRPr="000A1781">
        <w:t xml:space="preserve"> +/-5% of </w:t>
      </w:r>
      <w:r w:rsidR="00F41109" w:rsidRPr="000A1781">
        <w:t xml:space="preserve">the national average rate of </w:t>
      </w:r>
      <w:r w:rsidRPr="000A1781">
        <w:t>10.23% (9.72% to 10.74%)</w:t>
      </w:r>
      <w:r w:rsidR="00F41109" w:rsidRPr="000A1781">
        <w:t>.</w:t>
      </w:r>
    </w:p>
    <w:p w14:paraId="3A396A69" w14:textId="77777777" w:rsidR="00E70C0B" w:rsidRPr="000A1781" w:rsidRDefault="00E70C0B" w:rsidP="00002D71">
      <w:pPr>
        <w:widowControl/>
        <w:autoSpaceDE/>
        <w:autoSpaceDN/>
        <w:adjustRightInd/>
        <w:ind w:left="1080"/>
        <w:contextualSpacing/>
      </w:pPr>
    </w:p>
    <w:tbl>
      <w:tblPr>
        <w:tblStyle w:val="TableGrid"/>
        <w:tblW w:w="9180" w:type="dxa"/>
        <w:tblInd w:w="1075" w:type="dxa"/>
        <w:tblLook w:val="04A0" w:firstRow="1" w:lastRow="0" w:firstColumn="1" w:lastColumn="0" w:noHBand="0" w:noVBand="1"/>
      </w:tblPr>
      <w:tblGrid>
        <w:gridCol w:w="2430"/>
        <w:gridCol w:w="1080"/>
        <w:gridCol w:w="1170"/>
        <w:gridCol w:w="1080"/>
        <w:gridCol w:w="1170"/>
        <w:gridCol w:w="1170"/>
        <w:gridCol w:w="1080"/>
      </w:tblGrid>
      <w:tr w:rsidR="00E70C0B" w:rsidRPr="000A1781" w14:paraId="7E564A15" w14:textId="77777777" w:rsidTr="00887129">
        <w:tc>
          <w:tcPr>
            <w:tcW w:w="2430" w:type="dxa"/>
            <w:shd w:val="clear" w:color="auto" w:fill="FFFFFF" w:themeFill="background1"/>
          </w:tcPr>
          <w:p w14:paraId="123B6341" w14:textId="37CBA6A3" w:rsidR="00E70C0B" w:rsidRPr="00887129" w:rsidRDefault="00E70C0B" w:rsidP="00002D71">
            <w:pPr>
              <w:jc w:val="center"/>
              <w:rPr>
                <w:b/>
                <w:bCs/>
                <w:sz w:val="22"/>
                <w:szCs w:val="22"/>
              </w:rPr>
            </w:pPr>
            <w:r w:rsidRPr="00887129">
              <w:rPr>
                <w:b/>
                <w:bCs/>
                <w:sz w:val="22"/>
                <w:szCs w:val="22"/>
              </w:rPr>
              <w:t>SAMM 6</w:t>
            </w:r>
          </w:p>
        </w:tc>
        <w:tc>
          <w:tcPr>
            <w:tcW w:w="1080" w:type="dxa"/>
            <w:shd w:val="clear" w:color="auto" w:fill="FFFFFF" w:themeFill="background1"/>
          </w:tcPr>
          <w:p w14:paraId="0B5B6BD7" w14:textId="77777777" w:rsidR="00E70C0B" w:rsidRPr="00887129" w:rsidRDefault="00E70C0B" w:rsidP="00002D71">
            <w:pPr>
              <w:jc w:val="center"/>
              <w:rPr>
                <w:b/>
                <w:bCs/>
                <w:sz w:val="22"/>
                <w:szCs w:val="22"/>
              </w:rPr>
            </w:pPr>
            <w:r w:rsidRPr="00887129">
              <w:rPr>
                <w:b/>
                <w:bCs/>
                <w:sz w:val="22"/>
                <w:szCs w:val="22"/>
              </w:rPr>
              <w:t>FY 2023</w:t>
            </w:r>
          </w:p>
        </w:tc>
        <w:tc>
          <w:tcPr>
            <w:tcW w:w="1170" w:type="dxa"/>
            <w:shd w:val="clear" w:color="auto" w:fill="FFFFFF" w:themeFill="background1"/>
          </w:tcPr>
          <w:p w14:paraId="4D44C58F" w14:textId="77777777" w:rsidR="00E70C0B" w:rsidRPr="00887129" w:rsidRDefault="00E70C0B" w:rsidP="00002D71">
            <w:pPr>
              <w:jc w:val="center"/>
              <w:rPr>
                <w:b/>
                <w:bCs/>
                <w:sz w:val="22"/>
                <w:szCs w:val="22"/>
              </w:rPr>
            </w:pPr>
            <w:r w:rsidRPr="00887129">
              <w:rPr>
                <w:b/>
                <w:bCs/>
                <w:sz w:val="22"/>
                <w:szCs w:val="22"/>
              </w:rPr>
              <w:t>FY 2022</w:t>
            </w:r>
          </w:p>
        </w:tc>
        <w:tc>
          <w:tcPr>
            <w:tcW w:w="1080" w:type="dxa"/>
            <w:shd w:val="clear" w:color="auto" w:fill="FFFFFF" w:themeFill="background1"/>
          </w:tcPr>
          <w:p w14:paraId="625BF077" w14:textId="77777777" w:rsidR="00E70C0B" w:rsidRPr="00887129" w:rsidRDefault="00E70C0B" w:rsidP="00002D71">
            <w:pPr>
              <w:jc w:val="center"/>
              <w:rPr>
                <w:b/>
                <w:bCs/>
                <w:sz w:val="22"/>
                <w:szCs w:val="22"/>
              </w:rPr>
            </w:pPr>
            <w:r w:rsidRPr="00887129">
              <w:rPr>
                <w:b/>
                <w:bCs/>
                <w:sz w:val="22"/>
                <w:szCs w:val="22"/>
              </w:rPr>
              <w:t>FY 2021</w:t>
            </w:r>
          </w:p>
        </w:tc>
        <w:tc>
          <w:tcPr>
            <w:tcW w:w="1170" w:type="dxa"/>
            <w:shd w:val="clear" w:color="auto" w:fill="FFFFFF" w:themeFill="background1"/>
          </w:tcPr>
          <w:p w14:paraId="7C24E62F" w14:textId="77777777" w:rsidR="00E70C0B" w:rsidRPr="00887129" w:rsidRDefault="00E70C0B" w:rsidP="00002D71">
            <w:pPr>
              <w:jc w:val="center"/>
              <w:rPr>
                <w:b/>
                <w:bCs/>
                <w:sz w:val="22"/>
                <w:szCs w:val="22"/>
              </w:rPr>
            </w:pPr>
            <w:r w:rsidRPr="00887129">
              <w:rPr>
                <w:b/>
                <w:bCs/>
                <w:sz w:val="22"/>
                <w:szCs w:val="22"/>
              </w:rPr>
              <w:t>FY 2020</w:t>
            </w:r>
          </w:p>
        </w:tc>
        <w:tc>
          <w:tcPr>
            <w:tcW w:w="1170" w:type="dxa"/>
            <w:shd w:val="clear" w:color="auto" w:fill="FFFFFF" w:themeFill="background1"/>
          </w:tcPr>
          <w:p w14:paraId="2E9F9AED" w14:textId="77777777" w:rsidR="00E70C0B" w:rsidRPr="00887129" w:rsidRDefault="00E70C0B" w:rsidP="00002D71">
            <w:pPr>
              <w:jc w:val="center"/>
              <w:rPr>
                <w:b/>
                <w:bCs/>
                <w:sz w:val="22"/>
                <w:szCs w:val="22"/>
              </w:rPr>
            </w:pPr>
            <w:r w:rsidRPr="00887129">
              <w:rPr>
                <w:b/>
                <w:bCs/>
                <w:sz w:val="22"/>
                <w:szCs w:val="22"/>
              </w:rPr>
              <w:t>FY 2019</w:t>
            </w:r>
          </w:p>
        </w:tc>
        <w:tc>
          <w:tcPr>
            <w:tcW w:w="1080" w:type="dxa"/>
            <w:shd w:val="clear" w:color="auto" w:fill="FFFFFF" w:themeFill="background1"/>
          </w:tcPr>
          <w:p w14:paraId="3C0747B2" w14:textId="77777777" w:rsidR="00E70C0B" w:rsidRPr="00887129" w:rsidRDefault="00E70C0B" w:rsidP="00002D71">
            <w:pPr>
              <w:jc w:val="center"/>
              <w:rPr>
                <w:b/>
                <w:bCs/>
                <w:sz w:val="22"/>
                <w:szCs w:val="22"/>
              </w:rPr>
            </w:pPr>
            <w:r w:rsidRPr="00887129">
              <w:rPr>
                <w:b/>
                <w:bCs/>
                <w:sz w:val="22"/>
                <w:szCs w:val="22"/>
              </w:rPr>
              <w:t>FY 2018</w:t>
            </w:r>
          </w:p>
        </w:tc>
      </w:tr>
      <w:tr w:rsidR="00E70C0B" w:rsidRPr="000A1781" w14:paraId="485B6F76" w14:textId="77777777" w:rsidTr="00887129">
        <w:trPr>
          <w:trHeight w:val="278"/>
        </w:trPr>
        <w:tc>
          <w:tcPr>
            <w:tcW w:w="2430" w:type="dxa"/>
            <w:shd w:val="clear" w:color="auto" w:fill="FFFFFF" w:themeFill="background1"/>
          </w:tcPr>
          <w:p w14:paraId="4F650056" w14:textId="76250479" w:rsidR="00E70C0B" w:rsidRPr="00887129" w:rsidRDefault="00E70C0B" w:rsidP="00002D71">
            <w:pPr>
              <w:jc w:val="center"/>
              <w:rPr>
                <w:b/>
                <w:bCs/>
                <w:sz w:val="22"/>
                <w:szCs w:val="22"/>
              </w:rPr>
            </w:pPr>
            <w:r w:rsidRPr="00887129">
              <w:rPr>
                <w:b/>
                <w:bCs/>
                <w:sz w:val="22"/>
                <w:szCs w:val="22"/>
              </w:rPr>
              <w:t>Percent of Total Inspections in Local Government Workplaces</w:t>
            </w:r>
          </w:p>
        </w:tc>
        <w:tc>
          <w:tcPr>
            <w:tcW w:w="1080" w:type="dxa"/>
            <w:shd w:val="clear" w:color="auto" w:fill="FFFFFF" w:themeFill="background1"/>
          </w:tcPr>
          <w:p w14:paraId="4E5EFB74" w14:textId="77777777" w:rsidR="006C67C9" w:rsidRPr="00887129" w:rsidRDefault="006C67C9" w:rsidP="00002D71">
            <w:pPr>
              <w:rPr>
                <w:sz w:val="22"/>
                <w:szCs w:val="22"/>
              </w:rPr>
            </w:pPr>
          </w:p>
          <w:p w14:paraId="70CAD50E" w14:textId="4824FF32" w:rsidR="00F41109" w:rsidRPr="00887129" w:rsidRDefault="00F41109" w:rsidP="0086548F">
            <w:pPr>
              <w:jc w:val="center"/>
              <w:rPr>
                <w:sz w:val="22"/>
                <w:szCs w:val="22"/>
              </w:rPr>
            </w:pPr>
            <w:r w:rsidRPr="00887129">
              <w:rPr>
                <w:sz w:val="22"/>
                <w:szCs w:val="22"/>
              </w:rPr>
              <w:t>10.09%</w:t>
            </w:r>
          </w:p>
        </w:tc>
        <w:tc>
          <w:tcPr>
            <w:tcW w:w="1170" w:type="dxa"/>
            <w:shd w:val="clear" w:color="auto" w:fill="FFFFFF" w:themeFill="background1"/>
          </w:tcPr>
          <w:p w14:paraId="226CFB9D" w14:textId="77777777" w:rsidR="00E70C0B" w:rsidRPr="00887129" w:rsidRDefault="00E70C0B" w:rsidP="00002D71">
            <w:pPr>
              <w:jc w:val="center"/>
              <w:rPr>
                <w:sz w:val="22"/>
                <w:szCs w:val="22"/>
              </w:rPr>
            </w:pPr>
          </w:p>
          <w:p w14:paraId="305C76EB" w14:textId="6104DF4C" w:rsidR="00A664FE" w:rsidRPr="00887129" w:rsidRDefault="00A664FE" w:rsidP="00002D71">
            <w:pPr>
              <w:jc w:val="center"/>
              <w:rPr>
                <w:sz w:val="22"/>
                <w:szCs w:val="22"/>
              </w:rPr>
            </w:pPr>
            <w:r w:rsidRPr="00887129">
              <w:rPr>
                <w:sz w:val="22"/>
                <w:szCs w:val="22"/>
              </w:rPr>
              <w:t>14.52%</w:t>
            </w:r>
          </w:p>
        </w:tc>
        <w:tc>
          <w:tcPr>
            <w:tcW w:w="1080" w:type="dxa"/>
            <w:shd w:val="clear" w:color="auto" w:fill="FFFFFF" w:themeFill="background1"/>
          </w:tcPr>
          <w:p w14:paraId="5E1CD900" w14:textId="77777777" w:rsidR="006C67C9" w:rsidRPr="00887129" w:rsidRDefault="006C67C9" w:rsidP="00002D71">
            <w:pPr>
              <w:jc w:val="center"/>
              <w:rPr>
                <w:sz w:val="22"/>
                <w:szCs w:val="22"/>
              </w:rPr>
            </w:pPr>
          </w:p>
          <w:p w14:paraId="664AE086" w14:textId="2CE16643" w:rsidR="00E70C0B" w:rsidRPr="00887129" w:rsidRDefault="00E70C0B" w:rsidP="00002D71">
            <w:pPr>
              <w:jc w:val="center"/>
              <w:rPr>
                <w:sz w:val="22"/>
                <w:szCs w:val="22"/>
              </w:rPr>
            </w:pPr>
            <w:r w:rsidRPr="00887129">
              <w:rPr>
                <w:sz w:val="22"/>
                <w:szCs w:val="22"/>
              </w:rPr>
              <w:t>13.57%</w:t>
            </w:r>
          </w:p>
        </w:tc>
        <w:tc>
          <w:tcPr>
            <w:tcW w:w="1170" w:type="dxa"/>
            <w:shd w:val="clear" w:color="auto" w:fill="FFFFFF" w:themeFill="background1"/>
          </w:tcPr>
          <w:p w14:paraId="7341ADBA" w14:textId="77777777" w:rsidR="006C67C9" w:rsidRPr="00887129" w:rsidRDefault="006C67C9" w:rsidP="00002D71">
            <w:pPr>
              <w:jc w:val="center"/>
              <w:rPr>
                <w:sz w:val="22"/>
                <w:szCs w:val="22"/>
              </w:rPr>
            </w:pPr>
          </w:p>
          <w:p w14:paraId="619455A3" w14:textId="13BDCBD7" w:rsidR="00E70C0B" w:rsidRPr="00887129" w:rsidRDefault="00216C6C" w:rsidP="00002D71">
            <w:pPr>
              <w:jc w:val="center"/>
              <w:rPr>
                <w:sz w:val="22"/>
                <w:szCs w:val="22"/>
              </w:rPr>
            </w:pPr>
            <w:r w:rsidRPr="00887129">
              <w:rPr>
                <w:sz w:val="22"/>
                <w:szCs w:val="22"/>
              </w:rPr>
              <w:t>3.83%</w:t>
            </w:r>
          </w:p>
        </w:tc>
        <w:tc>
          <w:tcPr>
            <w:tcW w:w="1170" w:type="dxa"/>
            <w:shd w:val="clear" w:color="auto" w:fill="FFFFFF" w:themeFill="background1"/>
          </w:tcPr>
          <w:p w14:paraId="150BDC46" w14:textId="77777777" w:rsidR="006C67C9" w:rsidRPr="00887129" w:rsidRDefault="006C67C9" w:rsidP="00002D71">
            <w:pPr>
              <w:jc w:val="center"/>
              <w:rPr>
                <w:sz w:val="22"/>
                <w:szCs w:val="22"/>
              </w:rPr>
            </w:pPr>
          </w:p>
          <w:p w14:paraId="12A629B5" w14:textId="39B2A25F" w:rsidR="00E70C0B" w:rsidRPr="00887129" w:rsidRDefault="00216C6C" w:rsidP="00002D71">
            <w:pPr>
              <w:jc w:val="center"/>
              <w:rPr>
                <w:sz w:val="22"/>
                <w:szCs w:val="22"/>
              </w:rPr>
            </w:pPr>
            <w:r w:rsidRPr="00887129">
              <w:rPr>
                <w:sz w:val="22"/>
                <w:szCs w:val="22"/>
              </w:rPr>
              <w:t>7.08%</w:t>
            </w:r>
          </w:p>
        </w:tc>
        <w:tc>
          <w:tcPr>
            <w:tcW w:w="1080" w:type="dxa"/>
            <w:shd w:val="clear" w:color="auto" w:fill="FFFFFF" w:themeFill="background1"/>
          </w:tcPr>
          <w:p w14:paraId="5015DAD7" w14:textId="77777777" w:rsidR="006C67C9" w:rsidRPr="00887129" w:rsidRDefault="006C67C9" w:rsidP="00002D71">
            <w:pPr>
              <w:jc w:val="center"/>
              <w:rPr>
                <w:sz w:val="22"/>
                <w:szCs w:val="22"/>
              </w:rPr>
            </w:pPr>
          </w:p>
          <w:p w14:paraId="0B9AAFEB" w14:textId="030E2108" w:rsidR="00E70C0B" w:rsidRPr="00887129" w:rsidRDefault="00216C6C" w:rsidP="00002D71">
            <w:pPr>
              <w:jc w:val="center"/>
              <w:rPr>
                <w:sz w:val="22"/>
                <w:szCs w:val="22"/>
              </w:rPr>
            </w:pPr>
            <w:r w:rsidRPr="00887129">
              <w:rPr>
                <w:sz w:val="22"/>
                <w:szCs w:val="22"/>
              </w:rPr>
              <w:t>1.83%</w:t>
            </w:r>
          </w:p>
        </w:tc>
      </w:tr>
    </w:tbl>
    <w:p w14:paraId="04D8C6E7" w14:textId="77777777" w:rsidR="00682914" w:rsidRPr="000A1781" w:rsidRDefault="00682914" w:rsidP="00002D71">
      <w:pPr>
        <w:widowControl/>
        <w:autoSpaceDE/>
        <w:autoSpaceDN/>
        <w:adjustRightInd/>
        <w:contextualSpacing/>
      </w:pPr>
    </w:p>
    <w:p w14:paraId="270A2265" w14:textId="717DB948" w:rsidR="001567A4" w:rsidRPr="000A1781" w:rsidRDefault="001567A4" w:rsidP="00002D71">
      <w:pPr>
        <w:ind w:left="2160" w:hanging="1440"/>
        <w:rPr>
          <w:i/>
          <w:highlight w:val="cyan"/>
        </w:rPr>
      </w:pPr>
      <w:r w:rsidRPr="000A1781">
        <w:rPr>
          <w:b/>
        </w:rPr>
        <w:t xml:space="preserve">7.   </w:t>
      </w:r>
      <w:r w:rsidR="009769F4" w:rsidRPr="000A1781">
        <w:rPr>
          <w:b/>
        </w:rPr>
        <w:t xml:space="preserve"> </w:t>
      </w:r>
      <w:r w:rsidRPr="000A1781">
        <w:rPr>
          <w:b/>
        </w:rPr>
        <w:t xml:space="preserve">WHISTLEBLOWER </w:t>
      </w:r>
      <w:r w:rsidRPr="000A1781">
        <w:rPr>
          <w:b/>
          <w:caps/>
        </w:rPr>
        <w:t>Program</w:t>
      </w:r>
    </w:p>
    <w:p w14:paraId="2EDFA8B0" w14:textId="77777777" w:rsidR="00382C9B" w:rsidRPr="000A1781" w:rsidRDefault="00382C9B" w:rsidP="00002D71">
      <w:pPr>
        <w:ind w:left="1080"/>
      </w:pPr>
    </w:p>
    <w:p w14:paraId="236EDFE7" w14:textId="0B0DE38F" w:rsidR="00235C00" w:rsidRPr="000A1781" w:rsidRDefault="00235C00" w:rsidP="00002D71">
      <w:pPr>
        <w:ind w:left="1080"/>
      </w:pPr>
      <w:r w:rsidRPr="000A1781">
        <w:t>OHSB has made a great deal of progress addressing the findings and observations from the FY</w:t>
      </w:r>
      <w:r w:rsidR="002C4CB8" w:rsidRPr="000A1781">
        <w:t xml:space="preserve"> </w:t>
      </w:r>
      <w:r w:rsidRPr="000A1781">
        <w:t xml:space="preserve">22 </w:t>
      </w:r>
      <w:r w:rsidR="00870208" w:rsidRPr="000A1781">
        <w:t>follow-up</w:t>
      </w:r>
      <w:r w:rsidRPr="000A1781">
        <w:t xml:space="preserve"> F</w:t>
      </w:r>
      <w:r w:rsidR="00870208" w:rsidRPr="000A1781">
        <w:t xml:space="preserve">AME </w:t>
      </w:r>
      <w:r w:rsidR="002C4CB8" w:rsidRPr="000A1781">
        <w:t xml:space="preserve">pertaining to the whistleblower </w:t>
      </w:r>
      <w:r w:rsidR="00870208" w:rsidRPr="000A1781">
        <w:t>p</w:t>
      </w:r>
      <w:r w:rsidR="002C4CB8" w:rsidRPr="000A1781">
        <w:t>rogram</w:t>
      </w:r>
      <w:r w:rsidRPr="000A1781">
        <w:t>. Despite the loss of the whistleblower program’s supervisor in FY</w:t>
      </w:r>
      <w:r w:rsidR="002C4CB8" w:rsidRPr="000A1781">
        <w:t xml:space="preserve"> </w:t>
      </w:r>
      <w:r w:rsidRPr="000A1781">
        <w:t>23, the acting supervisor has devoted a great deal of time and effort to addressing policy and program issues. The results of these improvements should continue to move OHSB’s whistleblower program in the right direction.</w:t>
      </w:r>
    </w:p>
    <w:p w14:paraId="1D77D045" w14:textId="77777777" w:rsidR="000A1781" w:rsidRPr="000A1781" w:rsidRDefault="000A1781" w:rsidP="00002D71">
      <w:pPr>
        <w:widowControl/>
        <w:autoSpaceDE/>
        <w:autoSpaceDN/>
        <w:adjustRightInd/>
        <w:spacing w:after="200"/>
        <w:ind w:left="720" w:firstLine="360"/>
        <w:contextualSpacing/>
        <w:rPr>
          <w:b/>
          <w:bCs/>
        </w:rPr>
      </w:pPr>
    </w:p>
    <w:p w14:paraId="7C4F690D" w14:textId="187D98AC" w:rsidR="00655653" w:rsidRPr="000A1781" w:rsidRDefault="00655653" w:rsidP="00002D71">
      <w:pPr>
        <w:widowControl/>
        <w:autoSpaceDE/>
        <w:autoSpaceDN/>
        <w:adjustRightInd/>
        <w:spacing w:after="200"/>
        <w:ind w:left="720" w:firstLine="360"/>
        <w:contextualSpacing/>
        <w:rPr>
          <w:b/>
          <w:bCs/>
        </w:rPr>
      </w:pPr>
      <w:r w:rsidRPr="000A1781">
        <w:rPr>
          <w:b/>
          <w:bCs/>
        </w:rPr>
        <w:t>Whistleblower Findings</w:t>
      </w:r>
    </w:p>
    <w:p w14:paraId="364CBB60" w14:textId="77777777" w:rsidR="00655653" w:rsidRPr="000A1781" w:rsidRDefault="00655653" w:rsidP="00002D71">
      <w:pPr>
        <w:widowControl/>
        <w:autoSpaceDE/>
        <w:autoSpaceDN/>
        <w:adjustRightInd/>
        <w:spacing w:after="200"/>
        <w:ind w:left="720"/>
        <w:contextualSpacing/>
      </w:pPr>
    </w:p>
    <w:p w14:paraId="1342D0A9" w14:textId="12839BCA" w:rsidR="00F96D99" w:rsidRPr="000A1781" w:rsidRDefault="004502D5" w:rsidP="00002D71">
      <w:pPr>
        <w:ind w:left="1080"/>
      </w:pPr>
      <w:r w:rsidRPr="000A1781">
        <w:rPr>
          <w:b/>
          <w:bCs/>
        </w:rPr>
        <w:t>Finding FY 202</w:t>
      </w:r>
      <w:r w:rsidR="00664AB5" w:rsidRPr="000A1781">
        <w:rPr>
          <w:b/>
          <w:bCs/>
        </w:rPr>
        <w:t>3</w:t>
      </w:r>
      <w:r w:rsidRPr="000A1781">
        <w:rPr>
          <w:b/>
          <w:bCs/>
        </w:rPr>
        <w:t>‐0</w:t>
      </w:r>
      <w:r w:rsidR="007A23A5" w:rsidRPr="000A1781">
        <w:rPr>
          <w:b/>
          <w:bCs/>
        </w:rPr>
        <w:t>5</w:t>
      </w:r>
      <w:r w:rsidRPr="000A1781">
        <w:rPr>
          <w:b/>
          <w:bCs/>
        </w:rPr>
        <w:t>:</w:t>
      </w:r>
      <w:r w:rsidRPr="000A1781">
        <w:t xml:space="preserve"> </w:t>
      </w:r>
      <w:r w:rsidR="00F96D99" w:rsidRPr="000A1781">
        <w:t>OHSB lacks adequate written procedures for its whistleblower program. OHSB did not adopt federal program changes or equivalents to CPL 02‐03‐011 during FY 2023.</w:t>
      </w:r>
    </w:p>
    <w:p w14:paraId="72A4C630" w14:textId="77777777" w:rsidR="000A1781" w:rsidRPr="000A1781" w:rsidRDefault="000A1781" w:rsidP="00002D71">
      <w:pPr>
        <w:ind w:left="1080"/>
      </w:pPr>
    </w:p>
    <w:p w14:paraId="2CA44DA3" w14:textId="054B935A" w:rsidR="004502D5" w:rsidRPr="000A1781" w:rsidRDefault="004502D5" w:rsidP="00002D71">
      <w:pPr>
        <w:ind w:left="1080"/>
      </w:pPr>
      <w:r w:rsidRPr="000A1781">
        <w:t>In the FY</w:t>
      </w:r>
      <w:r w:rsidR="00870208" w:rsidRPr="000A1781">
        <w:t xml:space="preserve"> </w:t>
      </w:r>
      <w:r w:rsidR="007A463A" w:rsidRPr="000A1781">
        <w:t>20</w:t>
      </w:r>
      <w:r w:rsidRPr="000A1781">
        <w:t xml:space="preserve">22 </w:t>
      </w:r>
      <w:r w:rsidR="00870208" w:rsidRPr="000A1781">
        <w:t>follow-up</w:t>
      </w:r>
      <w:r w:rsidRPr="000A1781">
        <w:t xml:space="preserve"> FAME report, </w:t>
      </w:r>
      <w:r w:rsidR="002746EB" w:rsidRPr="000A1781">
        <w:t xml:space="preserve">Finding FY 2022-06, </w:t>
      </w:r>
      <w:r w:rsidR="00200FB0" w:rsidRPr="000A1781">
        <w:t>it was</w:t>
      </w:r>
      <w:r w:rsidRPr="000A1781">
        <w:t xml:space="preserve"> found that: “OHSB lacks adequate written procedures for its whistleblower program. OHSB did not adopt federal </w:t>
      </w:r>
      <w:r w:rsidRPr="000A1781">
        <w:lastRenderedPageBreak/>
        <w:t>program changes or equivalents for TED 01‐00‐ 020 and CPL 02‐03‐011.”</w:t>
      </w:r>
    </w:p>
    <w:p w14:paraId="36433770" w14:textId="77777777" w:rsidR="004502D5" w:rsidRPr="000A1781" w:rsidRDefault="004502D5" w:rsidP="00002D71">
      <w:pPr>
        <w:ind w:left="720"/>
      </w:pPr>
      <w:r w:rsidRPr="000A1781">
        <w:t xml:space="preserve"> </w:t>
      </w:r>
    </w:p>
    <w:p w14:paraId="4BB299A1" w14:textId="143D5C8F" w:rsidR="004502D5" w:rsidRPr="000A1781" w:rsidRDefault="004502D5" w:rsidP="005E0EFB">
      <w:pPr>
        <w:ind w:left="1080"/>
      </w:pPr>
      <w:r w:rsidRPr="000A1781">
        <w:t>On March 31, 2023, OHSB revised its “New Mexico Occupational Health and Safety Bureau (OHSB) Directive 09-09” which, upon review, is a sufficient equivalent of TED 01-00-020 “Mandatory Training Program for OSHA Whistleblower Investigators.” Therefore, this aspect of Finding FY 2022‐06 has been</w:t>
      </w:r>
      <w:r w:rsidR="005E0EFB" w:rsidRPr="000A1781">
        <w:t xml:space="preserve"> fully addressed.</w:t>
      </w:r>
      <w:r w:rsidRPr="000A1781">
        <w:t xml:space="preserve">                                                                                                                                                                </w:t>
      </w:r>
    </w:p>
    <w:p w14:paraId="1DBC9C71" w14:textId="77777777" w:rsidR="004502D5" w:rsidRPr="000A1781" w:rsidRDefault="004502D5" w:rsidP="00002D71">
      <w:pPr>
        <w:ind w:left="720"/>
      </w:pPr>
    </w:p>
    <w:p w14:paraId="67CA648E" w14:textId="236F13C9" w:rsidR="004502D5" w:rsidRPr="000A1781" w:rsidRDefault="004502D5" w:rsidP="00002D71">
      <w:pPr>
        <w:ind w:left="1080"/>
      </w:pPr>
      <w:r w:rsidRPr="000A1781">
        <w:t>On November 13, 2023 (beyond the dates of this FY</w:t>
      </w:r>
      <w:r w:rsidR="00F41EB2" w:rsidRPr="000A1781">
        <w:t xml:space="preserve"> </w:t>
      </w:r>
      <w:r w:rsidRPr="000A1781">
        <w:t>23 FAME review), OHSB submitted a draft Whistleblower Investigations Manual</w:t>
      </w:r>
      <w:r w:rsidR="005E0EFB" w:rsidRPr="000A1781">
        <w:t xml:space="preserve"> (WIM)</w:t>
      </w:r>
      <w:r w:rsidRPr="000A1781">
        <w:t xml:space="preserve"> which they intend to adopt as their equivalent to CPL 02‐03‐011. While the draft is not yet approved or adopted, OHSB advises: “It is also functioning as an interim guide until it is approved.” </w:t>
      </w:r>
    </w:p>
    <w:p w14:paraId="416357DA" w14:textId="00BC0ACF" w:rsidR="004502D5" w:rsidRPr="000A1781" w:rsidRDefault="004A43C3" w:rsidP="00287291">
      <w:pPr>
        <w:rPr>
          <w:b/>
          <w:bCs/>
        </w:rPr>
      </w:pPr>
      <w:r w:rsidRPr="000A1781">
        <w:tab/>
      </w:r>
    </w:p>
    <w:p w14:paraId="7487EA52" w14:textId="1BB9F88F" w:rsidR="0086548F" w:rsidRDefault="00616A41" w:rsidP="00616A41">
      <w:pPr>
        <w:ind w:left="1080"/>
      </w:pPr>
      <w:r w:rsidRPr="000A1781">
        <w:rPr>
          <w:b/>
          <w:bCs/>
        </w:rPr>
        <w:t xml:space="preserve">Recommendation: </w:t>
      </w:r>
      <w:r w:rsidRPr="000A1781">
        <w:t>OHSB addresses this issue by adopting their draft Whistleblower Investigations Manual (WIM) which, upon review, is a sufficient equivalent of CPL 02‐03‐011</w:t>
      </w:r>
      <w:r w:rsidR="0086548F">
        <w:t xml:space="preserve">. </w:t>
      </w:r>
      <w:r w:rsidR="0086548F" w:rsidRPr="000A1781">
        <w:t xml:space="preserve">If OHSB adopts their draft manual in FY 2024, this finding will be fully addressed and will be removed on the FY </w:t>
      </w:r>
      <w:r w:rsidR="0086548F">
        <w:t>20</w:t>
      </w:r>
      <w:r w:rsidR="0086548F" w:rsidRPr="000A1781">
        <w:t>24 FAME.</w:t>
      </w:r>
    </w:p>
    <w:p w14:paraId="2A044741" w14:textId="21793147" w:rsidR="00616A41" w:rsidRPr="000A1781" w:rsidRDefault="00616A41" w:rsidP="0086548F"/>
    <w:p w14:paraId="18267067" w14:textId="54FFEAA3" w:rsidR="00F96D99" w:rsidRPr="000A1781" w:rsidRDefault="004502D5" w:rsidP="00002D71">
      <w:pPr>
        <w:ind w:left="1080"/>
      </w:pPr>
      <w:r w:rsidRPr="000A1781">
        <w:rPr>
          <w:b/>
          <w:bCs/>
        </w:rPr>
        <w:t>Finding FY 202</w:t>
      </w:r>
      <w:r w:rsidR="00664AB5" w:rsidRPr="000A1781">
        <w:rPr>
          <w:b/>
          <w:bCs/>
        </w:rPr>
        <w:t>3</w:t>
      </w:r>
      <w:r w:rsidRPr="000A1781">
        <w:rPr>
          <w:b/>
          <w:bCs/>
        </w:rPr>
        <w:t>‐0</w:t>
      </w:r>
      <w:r w:rsidR="007A23A5" w:rsidRPr="000A1781">
        <w:rPr>
          <w:b/>
          <w:bCs/>
        </w:rPr>
        <w:t>6</w:t>
      </w:r>
      <w:r w:rsidRPr="000A1781">
        <w:rPr>
          <w:b/>
          <w:bCs/>
        </w:rPr>
        <w:t xml:space="preserve">: </w:t>
      </w:r>
      <w:r w:rsidR="00F96D99" w:rsidRPr="000A1781">
        <w:t>OHSB is less effective than the federal program in its criteria for acceptance of whistleblower complaints because it places more stringent requirements on Complainants to file whistleblower complaints.</w:t>
      </w:r>
    </w:p>
    <w:p w14:paraId="09400222" w14:textId="77777777" w:rsidR="00F96D99" w:rsidRPr="000A1781" w:rsidRDefault="00F96D99" w:rsidP="00002D71">
      <w:pPr>
        <w:ind w:left="1080"/>
      </w:pPr>
    </w:p>
    <w:p w14:paraId="1B2E1266" w14:textId="15B2D91E" w:rsidR="004502D5" w:rsidRPr="000A1781" w:rsidRDefault="004502D5" w:rsidP="00002D71">
      <w:pPr>
        <w:ind w:left="1080"/>
      </w:pPr>
      <w:r w:rsidRPr="000A1781">
        <w:t>In the FY</w:t>
      </w:r>
      <w:r w:rsidR="00E24EB4" w:rsidRPr="000A1781">
        <w:t xml:space="preserve"> </w:t>
      </w:r>
      <w:r w:rsidRPr="000A1781">
        <w:t xml:space="preserve">2022 Follow-Up FAME report, </w:t>
      </w:r>
      <w:r w:rsidR="00664AB5" w:rsidRPr="000A1781">
        <w:t xml:space="preserve">Finding FY 2022-07, </w:t>
      </w:r>
      <w:r w:rsidR="00200FB0" w:rsidRPr="000A1781">
        <w:t xml:space="preserve">it was </w:t>
      </w:r>
      <w:r w:rsidRPr="000A1781">
        <w:t>found that: “OHSB is less effective than the federal program in its criteria for acceptance of whistleblower complaints because it places</w:t>
      </w:r>
      <w:r w:rsidR="005E0EFB" w:rsidRPr="000A1781">
        <w:t xml:space="preserve"> a</w:t>
      </w:r>
      <w:r w:rsidRPr="000A1781">
        <w:t xml:space="preserve"> more stringent requirements on Complainants to file whistleblower complaints.”</w:t>
      </w:r>
    </w:p>
    <w:p w14:paraId="5184A27A" w14:textId="77777777" w:rsidR="004502D5" w:rsidRPr="000A1781" w:rsidRDefault="004502D5" w:rsidP="00002D71">
      <w:pPr>
        <w:ind w:left="720"/>
      </w:pPr>
    </w:p>
    <w:p w14:paraId="685A10D6" w14:textId="27FE1DF8" w:rsidR="004502D5" w:rsidRPr="000A1781" w:rsidRDefault="004502D5" w:rsidP="00002D71">
      <w:pPr>
        <w:ind w:left="1080"/>
      </w:pPr>
      <w:r w:rsidRPr="000A1781">
        <w:t xml:space="preserve">In </w:t>
      </w:r>
      <w:r w:rsidR="00200FB0" w:rsidRPr="000A1781">
        <w:t>the</w:t>
      </w:r>
      <w:r w:rsidRPr="000A1781">
        <w:t xml:space="preserve"> FY</w:t>
      </w:r>
      <w:r w:rsidR="00F41EB2" w:rsidRPr="000A1781">
        <w:t xml:space="preserve"> </w:t>
      </w:r>
      <w:r w:rsidR="00E24EB4" w:rsidRPr="000A1781">
        <w:t>20</w:t>
      </w:r>
      <w:r w:rsidRPr="000A1781">
        <w:t xml:space="preserve">23 review, </w:t>
      </w:r>
      <w:r w:rsidR="00200FB0" w:rsidRPr="000A1781">
        <w:t>it was</w:t>
      </w:r>
      <w:r w:rsidRPr="000A1781">
        <w:t xml:space="preserve"> found that in </w:t>
      </w:r>
      <w:proofErr w:type="gramStart"/>
      <w:r w:rsidRPr="000A1781">
        <w:t>the majority of</w:t>
      </w:r>
      <w:proofErr w:type="gramEnd"/>
      <w:r w:rsidRPr="000A1781">
        <w:t xml:space="preserve"> the complaints closed for lack of cooperation, the investigator asked the Complainant to provide a written document of the allegation, and if the document was not received in 48 hours the case would be closed for Lack of Cooperation. Several complaints were closed for lack of cooperation as a result. This is placing a more stringent requirement on state plan Complainants than federal OSHA requires.</w:t>
      </w:r>
    </w:p>
    <w:p w14:paraId="6244DEDF" w14:textId="77777777" w:rsidR="004502D5" w:rsidRPr="000A1781" w:rsidRDefault="004502D5" w:rsidP="00002D71">
      <w:pPr>
        <w:ind w:left="720"/>
      </w:pPr>
    </w:p>
    <w:p w14:paraId="52DA4442" w14:textId="10A483C2" w:rsidR="000B06E0" w:rsidRPr="000A1781" w:rsidRDefault="00351F11" w:rsidP="00002D71">
      <w:pPr>
        <w:ind w:left="1080"/>
      </w:pPr>
      <w:r w:rsidRPr="000A1781">
        <w:rPr>
          <w:b/>
          <w:bCs/>
        </w:rPr>
        <w:t>Recommendation:</w:t>
      </w:r>
      <w:r w:rsidRPr="000A1781">
        <w:t xml:space="preserve"> </w:t>
      </w:r>
      <w:r w:rsidR="004502D5" w:rsidRPr="000A1781">
        <w:t xml:space="preserve">OSHB addresses this issue in their draft Whistleblower Investigations Manual, </w:t>
      </w:r>
      <w:r w:rsidR="00702B30" w:rsidRPr="000A1781">
        <w:t xml:space="preserve">(Chapter 3, II A B, Page 26), </w:t>
      </w:r>
      <w:r w:rsidR="004502D5" w:rsidRPr="000A1781">
        <w:t>which states:</w:t>
      </w:r>
    </w:p>
    <w:p w14:paraId="3F5DF89E" w14:textId="77777777" w:rsidR="000B06E0" w:rsidRPr="000A1781" w:rsidRDefault="000B06E0" w:rsidP="00002D71">
      <w:pPr>
        <w:ind w:left="1080"/>
      </w:pPr>
    </w:p>
    <w:p w14:paraId="1D47DD04" w14:textId="6F4268BC" w:rsidR="004502D5" w:rsidRPr="000A1781" w:rsidRDefault="00702B30" w:rsidP="00002D71">
      <w:pPr>
        <w:ind w:left="1080"/>
      </w:pPr>
      <w:r w:rsidRPr="000A1781">
        <w:t>“</w:t>
      </w:r>
      <w:r w:rsidR="004502D5" w:rsidRPr="000A1781">
        <w:t>It is important to note that when taking a complaint over the phone that even though the New Mexico statute specifies in writing</w:t>
      </w:r>
      <w:r w:rsidR="005D15AB" w:rsidRPr="000A1781">
        <w:t>”</w:t>
      </w:r>
      <w:r w:rsidR="004502D5" w:rsidRPr="000A1781">
        <w:t xml:space="preserve"> and acknowledged by the employee that this does not require that the employee put the complaint in writing</w:t>
      </w:r>
      <w:r w:rsidR="00351F11" w:rsidRPr="000A1781">
        <w:t>.”</w:t>
      </w:r>
    </w:p>
    <w:p w14:paraId="0CD3E37E" w14:textId="77777777" w:rsidR="00351F11" w:rsidRPr="000A1781" w:rsidRDefault="00351F11" w:rsidP="00002D71">
      <w:pPr>
        <w:ind w:left="1080"/>
      </w:pPr>
    </w:p>
    <w:p w14:paraId="592D02C0" w14:textId="15755C7F" w:rsidR="004502D5" w:rsidRPr="000A1781" w:rsidRDefault="004502D5" w:rsidP="00002D71">
      <w:pPr>
        <w:ind w:left="1080"/>
      </w:pPr>
      <w:r w:rsidRPr="000A1781">
        <w:t xml:space="preserve">When the Complainant offers a verbal complaint over the phone, the Whistleblower Investigator should take the verbal complaint and document it in writing. At the end of documenting the complaint, the Investigator should read back the information they have gathered, correcting any mistakes with the Complainant, and gaining verbal confirmation that the information is correct. This agreement constitutes </w:t>
      </w:r>
      <w:r w:rsidRPr="000A1781">
        <w:rPr>
          <w:i/>
          <w:iCs/>
        </w:rPr>
        <w:t>acknowledgement</w:t>
      </w:r>
      <w:r w:rsidRPr="000A1781">
        <w:t xml:space="preserve"> for the purposes of 50-9-25 (B).</w:t>
      </w:r>
      <w:r w:rsidR="005D15AB" w:rsidRPr="000A1781">
        <w:t>”</w:t>
      </w:r>
    </w:p>
    <w:p w14:paraId="2ECF5C70" w14:textId="77777777" w:rsidR="004502D5" w:rsidRPr="000A1781" w:rsidRDefault="004502D5" w:rsidP="00002D71">
      <w:pPr>
        <w:ind w:left="720"/>
      </w:pPr>
    </w:p>
    <w:p w14:paraId="66E82BFF" w14:textId="7E07E9E2" w:rsidR="004502D5" w:rsidRDefault="004502D5" w:rsidP="00287291">
      <w:pPr>
        <w:ind w:left="1080"/>
      </w:pPr>
      <w:r w:rsidRPr="000A1781">
        <w:t>If the OSHB manual is adopted and put into practice in FY</w:t>
      </w:r>
      <w:r w:rsidR="00E24EB4" w:rsidRPr="000A1781">
        <w:t xml:space="preserve"> </w:t>
      </w:r>
      <w:r w:rsidRPr="000A1781">
        <w:t>2024, this finding may be removed in the FY</w:t>
      </w:r>
      <w:r w:rsidR="00F54125" w:rsidRPr="000A1781">
        <w:t xml:space="preserve"> </w:t>
      </w:r>
      <w:r w:rsidRPr="000A1781">
        <w:t>2024 FAME Review.</w:t>
      </w:r>
    </w:p>
    <w:p w14:paraId="541DBDFE" w14:textId="77777777" w:rsidR="00F32E71" w:rsidRPr="000A1781" w:rsidRDefault="00F32E71" w:rsidP="00287291">
      <w:pPr>
        <w:ind w:left="1080"/>
      </w:pPr>
    </w:p>
    <w:p w14:paraId="6BB1B086" w14:textId="7ABCF8A7" w:rsidR="00F96D99" w:rsidRPr="000A1781" w:rsidRDefault="004502D5" w:rsidP="00002D71">
      <w:pPr>
        <w:ind w:left="1080"/>
      </w:pPr>
      <w:r w:rsidRPr="000A1781">
        <w:rPr>
          <w:b/>
          <w:bCs/>
        </w:rPr>
        <w:t>Finding FY 202</w:t>
      </w:r>
      <w:r w:rsidR="00664AB5" w:rsidRPr="000A1781">
        <w:rPr>
          <w:b/>
          <w:bCs/>
        </w:rPr>
        <w:t>3</w:t>
      </w:r>
      <w:r w:rsidRPr="000A1781">
        <w:rPr>
          <w:b/>
          <w:bCs/>
        </w:rPr>
        <w:t>‐08</w:t>
      </w:r>
      <w:r w:rsidRPr="000A1781">
        <w:t xml:space="preserve">: </w:t>
      </w:r>
      <w:r w:rsidR="00F96D99" w:rsidRPr="000A1781">
        <w:t>OHSB management did not review Administrative Closures and Case Files. Of the 54 files reviewed, 32 cases contained no evidence of supervisory review or approval in the case file.</w:t>
      </w:r>
    </w:p>
    <w:p w14:paraId="68A77193" w14:textId="77777777" w:rsidR="00F96D99" w:rsidRPr="000A1781" w:rsidRDefault="00F96D99" w:rsidP="00002D71">
      <w:pPr>
        <w:ind w:left="1080"/>
      </w:pPr>
    </w:p>
    <w:p w14:paraId="73ECB83D" w14:textId="1ACDEA6F" w:rsidR="004502D5" w:rsidRPr="000A1781" w:rsidRDefault="004502D5" w:rsidP="00002D71">
      <w:pPr>
        <w:ind w:left="1080"/>
      </w:pPr>
      <w:r w:rsidRPr="000A1781">
        <w:t>In the FY</w:t>
      </w:r>
      <w:r w:rsidR="00A964ED" w:rsidRPr="000A1781">
        <w:t xml:space="preserve"> </w:t>
      </w:r>
      <w:r w:rsidRPr="000A1781">
        <w:t xml:space="preserve">2022 Follow-Up FAME report, </w:t>
      </w:r>
      <w:r w:rsidR="00664AB5" w:rsidRPr="000A1781">
        <w:t xml:space="preserve">Finding FY 2022-08, </w:t>
      </w:r>
      <w:r w:rsidR="00200FB0" w:rsidRPr="000A1781">
        <w:t xml:space="preserve">it was </w:t>
      </w:r>
      <w:r w:rsidRPr="000A1781">
        <w:t xml:space="preserve">found that: </w:t>
      </w:r>
      <w:bookmarkStart w:id="8" w:name="_Hlk154581601"/>
      <w:r w:rsidRPr="000A1781">
        <w:t>“OHSB management did not review Administrative Closures and Case Files. Of the 41 files reviewed, 30 cases contained no evidence of supervisory review or approval in the case file.”</w:t>
      </w:r>
      <w:bookmarkEnd w:id="8"/>
    </w:p>
    <w:p w14:paraId="4C6BCAF2" w14:textId="4110873F" w:rsidR="004502D5" w:rsidRPr="000A1781" w:rsidRDefault="004502D5" w:rsidP="00002D71">
      <w:pPr>
        <w:ind w:left="1080"/>
      </w:pPr>
      <w:r w:rsidRPr="000A1781">
        <w:t xml:space="preserve">In </w:t>
      </w:r>
      <w:r w:rsidR="00200FB0" w:rsidRPr="000A1781">
        <w:t>the</w:t>
      </w:r>
      <w:r w:rsidRPr="000A1781">
        <w:t xml:space="preserve"> FY</w:t>
      </w:r>
      <w:r w:rsidR="00F41EB2" w:rsidRPr="000A1781">
        <w:t xml:space="preserve"> </w:t>
      </w:r>
      <w:r w:rsidRPr="000A1781">
        <w:t xml:space="preserve">23 review, among the </w:t>
      </w:r>
      <w:bookmarkStart w:id="9" w:name="_Hlk154727140"/>
      <w:r w:rsidRPr="000A1781">
        <w:t xml:space="preserve">50 administratively closed complaints and 4 docketed cases </w:t>
      </w:r>
      <w:bookmarkEnd w:id="9"/>
      <w:r w:rsidRPr="000A1781">
        <w:t>reviewed files reviewed, 41 case files lacked closing letters and or management approval. 32 case files did not contain any documentation or evidence of review by a supervisor.</w:t>
      </w:r>
    </w:p>
    <w:p w14:paraId="5E558093" w14:textId="77777777" w:rsidR="004502D5" w:rsidRPr="000A1781" w:rsidRDefault="004502D5" w:rsidP="00002D71">
      <w:pPr>
        <w:ind w:left="720"/>
      </w:pPr>
    </w:p>
    <w:p w14:paraId="573E04BE" w14:textId="77777777" w:rsidR="00870D72" w:rsidRPr="000A1781" w:rsidRDefault="004502D5" w:rsidP="00002D71">
      <w:pPr>
        <w:ind w:left="1080"/>
      </w:pPr>
      <w:r w:rsidRPr="000A1781">
        <w:t xml:space="preserve">OSHB addresses supervisory review and approval of administrative closures and docketed cases in their draft Whistleblower Investigations Manual. </w:t>
      </w:r>
    </w:p>
    <w:p w14:paraId="60833823" w14:textId="77777777" w:rsidR="00870D72" w:rsidRPr="000A1781" w:rsidRDefault="00870D72" w:rsidP="00002D71">
      <w:pPr>
        <w:ind w:left="1080"/>
      </w:pPr>
    </w:p>
    <w:p w14:paraId="11327F5E" w14:textId="044E7EC4" w:rsidR="004502D5" w:rsidRPr="000A1781" w:rsidRDefault="00870D72" w:rsidP="00870D72">
      <w:pPr>
        <w:ind w:left="1080"/>
      </w:pPr>
      <w:r w:rsidRPr="000A1781">
        <w:rPr>
          <w:b/>
          <w:bCs/>
        </w:rPr>
        <w:t>Recommendation:</w:t>
      </w:r>
      <w:r w:rsidRPr="000A1781">
        <w:t xml:space="preserve"> I</w:t>
      </w:r>
      <w:r w:rsidR="004502D5" w:rsidRPr="000A1781">
        <w:t>f the OSHB manual is adopted and put into practice in FY2024, this finding may be considered for removal in the FY2024 FAME Review.</w:t>
      </w:r>
    </w:p>
    <w:p w14:paraId="24641DE9" w14:textId="77777777" w:rsidR="00287291" w:rsidRPr="000A1781" w:rsidRDefault="00287291" w:rsidP="00002D71">
      <w:pPr>
        <w:ind w:left="1080"/>
      </w:pPr>
    </w:p>
    <w:p w14:paraId="6D1097DE" w14:textId="2A5B5C52" w:rsidR="00655653" w:rsidRPr="000A1781" w:rsidRDefault="00655653" w:rsidP="00002D71">
      <w:pPr>
        <w:ind w:left="720" w:firstLine="360"/>
        <w:rPr>
          <w:b/>
          <w:bCs/>
        </w:rPr>
      </w:pPr>
      <w:r w:rsidRPr="000A1781">
        <w:rPr>
          <w:b/>
          <w:bCs/>
        </w:rPr>
        <w:t>Whistleblower Observations</w:t>
      </w:r>
    </w:p>
    <w:p w14:paraId="44118353" w14:textId="77777777" w:rsidR="004502D5" w:rsidRPr="000A1781" w:rsidRDefault="004502D5" w:rsidP="00002D71">
      <w:pPr>
        <w:ind w:left="720"/>
      </w:pPr>
    </w:p>
    <w:p w14:paraId="6EE7D6CC" w14:textId="647763B2" w:rsidR="004502D5" w:rsidRPr="000A1781" w:rsidRDefault="00E35608" w:rsidP="00002D71">
      <w:pPr>
        <w:ind w:left="1080"/>
      </w:pPr>
      <w:r w:rsidRPr="000A1781">
        <w:t xml:space="preserve">Observation FY 2022-OB-06: </w:t>
      </w:r>
      <w:r w:rsidR="004502D5" w:rsidRPr="000A1781">
        <w:t>In the FY</w:t>
      </w:r>
      <w:r w:rsidR="00D05446" w:rsidRPr="000A1781">
        <w:t xml:space="preserve"> </w:t>
      </w:r>
      <w:r w:rsidR="004502D5" w:rsidRPr="000A1781">
        <w:t xml:space="preserve">2022 Follow-Up FAME report, </w:t>
      </w:r>
      <w:r w:rsidR="00F96D99" w:rsidRPr="000A1781">
        <w:t>Observation FY 2022-OB-0</w:t>
      </w:r>
      <w:r w:rsidRPr="000A1781">
        <w:t>6</w:t>
      </w:r>
      <w:r w:rsidR="00F96D99" w:rsidRPr="000A1781">
        <w:t xml:space="preserve">, </w:t>
      </w:r>
      <w:r w:rsidR="00200FB0" w:rsidRPr="000A1781">
        <w:t xml:space="preserve">it was </w:t>
      </w:r>
      <w:r w:rsidR="004502D5" w:rsidRPr="000A1781">
        <w:t>observed that: “OHSB has not properly entered data in OITSS and OIS for whistleblower activities.”</w:t>
      </w:r>
    </w:p>
    <w:p w14:paraId="4F285388" w14:textId="77777777" w:rsidR="004502D5" w:rsidRPr="000A1781" w:rsidRDefault="004502D5" w:rsidP="00002D71">
      <w:pPr>
        <w:ind w:left="720"/>
      </w:pPr>
    </w:p>
    <w:p w14:paraId="59197952" w14:textId="731D3FB1" w:rsidR="004502D5" w:rsidRPr="000A1781" w:rsidRDefault="004502D5" w:rsidP="00002D71">
      <w:pPr>
        <w:ind w:left="1080"/>
      </w:pPr>
      <w:r w:rsidRPr="000A1781">
        <w:t>In FY</w:t>
      </w:r>
      <w:r w:rsidR="00200FB0" w:rsidRPr="000A1781">
        <w:t xml:space="preserve"> </w:t>
      </w:r>
      <w:r w:rsidRPr="000A1781">
        <w:t xml:space="preserve">2023, Federal OSHA referred 67 complaints to NM OSHA. 9 of those complaints were missing from the Case Listing report in OIS. </w:t>
      </w:r>
      <w:r w:rsidR="00200FB0" w:rsidRPr="000A1781">
        <w:t>It was</w:t>
      </w:r>
      <w:r w:rsidRPr="000A1781">
        <w:t xml:space="preserve"> found that this was likely because referrals were sent to one person and not tracked effectively by OHSB. However, OSHB implemented a new intake process which we are satisfied will prevent complaints from falling through the cracks in the future. OSHB is contacting the 9 complainants, so this issue is adequately addressed.</w:t>
      </w:r>
    </w:p>
    <w:p w14:paraId="415034BA" w14:textId="77777777" w:rsidR="004502D5" w:rsidRPr="000A1781" w:rsidRDefault="004502D5" w:rsidP="00002D71">
      <w:pPr>
        <w:ind w:left="720"/>
      </w:pPr>
    </w:p>
    <w:p w14:paraId="3D0399AA" w14:textId="77777777" w:rsidR="004502D5" w:rsidRPr="000A1781" w:rsidRDefault="004502D5" w:rsidP="00002D71">
      <w:pPr>
        <w:ind w:left="1080"/>
      </w:pPr>
      <w:r w:rsidRPr="000A1781">
        <w:t>Currently NM OHSB is entering all WB cases into OIS. This has improved significantly since the FY2022 Follow-Up FAME, and this observation will be closed.</w:t>
      </w:r>
    </w:p>
    <w:p w14:paraId="7E12A643" w14:textId="77777777" w:rsidR="000A1669" w:rsidRPr="000A1781" w:rsidRDefault="000A1669" w:rsidP="00002D71">
      <w:pPr>
        <w:ind w:left="1080"/>
      </w:pPr>
    </w:p>
    <w:p w14:paraId="4E2ADD48" w14:textId="47B3784C" w:rsidR="004502D5" w:rsidRPr="000A1781" w:rsidRDefault="00AF3A70" w:rsidP="00AF3A70">
      <w:pPr>
        <w:ind w:left="1080"/>
      </w:pPr>
      <w:r w:rsidRPr="000A1781">
        <w:t xml:space="preserve">During the FY 2023 review, it was determined that </w:t>
      </w:r>
      <w:r w:rsidR="004502D5" w:rsidRPr="000A1781">
        <w:t xml:space="preserve">Observation FY 2022‐OB‐06 </w:t>
      </w:r>
      <w:r w:rsidRPr="000A1781">
        <w:t>can be</w:t>
      </w:r>
      <w:r w:rsidR="004502D5" w:rsidRPr="000A1781">
        <w:t xml:space="preserve"> closed.</w:t>
      </w:r>
    </w:p>
    <w:p w14:paraId="1647AF08" w14:textId="7F08D568" w:rsidR="00E35608" w:rsidRPr="000A1781" w:rsidRDefault="004502D5" w:rsidP="00002D71">
      <w:pPr>
        <w:ind w:left="1080"/>
      </w:pPr>
      <w:r w:rsidRPr="000A1781">
        <w:rPr>
          <w:b/>
          <w:bCs/>
        </w:rPr>
        <w:t>Observation FY 202</w:t>
      </w:r>
      <w:r w:rsidR="00B97826" w:rsidRPr="000A1781">
        <w:rPr>
          <w:b/>
          <w:bCs/>
        </w:rPr>
        <w:t>3</w:t>
      </w:r>
      <w:r w:rsidRPr="000A1781">
        <w:rPr>
          <w:b/>
          <w:bCs/>
        </w:rPr>
        <w:t>‐OB‐</w:t>
      </w:r>
      <w:r w:rsidR="00B97826" w:rsidRPr="000A1781">
        <w:rPr>
          <w:b/>
          <w:bCs/>
        </w:rPr>
        <w:t>0</w:t>
      </w:r>
      <w:r w:rsidR="0069739F" w:rsidRPr="000A1781">
        <w:rPr>
          <w:b/>
          <w:bCs/>
        </w:rPr>
        <w:t>5</w:t>
      </w:r>
      <w:r w:rsidRPr="000A1781">
        <w:rPr>
          <w:b/>
          <w:bCs/>
        </w:rPr>
        <w:t xml:space="preserve">: </w:t>
      </w:r>
      <w:r w:rsidR="00E35608" w:rsidRPr="000A1781">
        <w:t>Whistleblower case files lacked organization and many files were missing documents. Although OHSB adopted a case file format directive, the directive is not being consistently followed</w:t>
      </w:r>
      <w:r w:rsidR="0069739F" w:rsidRPr="000A1781">
        <w:t xml:space="preserve">. </w:t>
      </w:r>
    </w:p>
    <w:p w14:paraId="320C68F3" w14:textId="77777777" w:rsidR="00AF3A70" w:rsidRPr="000A1781" w:rsidRDefault="00AF3A70" w:rsidP="00002D71">
      <w:pPr>
        <w:ind w:left="1080"/>
        <w:rPr>
          <w:b/>
          <w:bCs/>
        </w:rPr>
      </w:pPr>
    </w:p>
    <w:p w14:paraId="55F9CA93" w14:textId="71E95619" w:rsidR="00AF3A70" w:rsidRPr="000A1781" w:rsidRDefault="00AF3A70" w:rsidP="00002D71">
      <w:pPr>
        <w:ind w:left="1080"/>
      </w:pPr>
      <w:r w:rsidRPr="000A1781">
        <w:rPr>
          <w:b/>
          <w:bCs/>
        </w:rPr>
        <w:t xml:space="preserve">Federal Monitoring Plan: </w:t>
      </w:r>
      <w:r w:rsidRPr="000A1781">
        <w:t xml:space="preserve">OSHA will continue to monitor this measure during </w:t>
      </w:r>
      <w:r w:rsidR="00F32E71">
        <w:t xml:space="preserve">the </w:t>
      </w:r>
      <w:r w:rsidRPr="000A1781">
        <w:t>quarterly meetings.</w:t>
      </w:r>
    </w:p>
    <w:p w14:paraId="7B1512C7" w14:textId="77777777" w:rsidR="00E35608" w:rsidRPr="000A1781" w:rsidRDefault="00E35608" w:rsidP="00002D71">
      <w:pPr>
        <w:ind w:left="1080"/>
        <w:rPr>
          <w:b/>
          <w:bCs/>
        </w:rPr>
      </w:pPr>
    </w:p>
    <w:p w14:paraId="5EDCAC83" w14:textId="57127B67" w:rsidR="004502D5" w:rsidRPr="000A1781" w:rsidRDefault="004502D5" w:rsidP="00002D71">
      <w:pPr>
        <w:ind w:left="1080"/>
      </w:pPr>
      <w:r w:rsidRPr="000A1781">
        <w:t>In the FY</w:t>
      </w:r>
      <w:r w:rsidR="00B97826" w:rsidRPr="000A1781">
        <w:t xml:space="preserve"> </w:t>
      </w:r>
      <w:r w:rsidRPr="000A1781">
        <w:t xml:space="preserve">2022 Follow-Up FAME report, </w:t>
      </w:r>
      <w:r w:rsidR="00B97826" w:rsidRPr="000A1781">
        <w:t xml:space="preserve">Observation FY 2022-OB-07, </w:t>
      </w:r>
      <w:r w:rsidR="00200FB0" w:rsidRPr="000A1781">
        <w:t>it was</w:t>
      </w:r>
      <w:r w:rsidRPr="000A1781">
        <w:t xml:space="preserve"> observed that: “Whistleblower case files lacked a system of </w:t>
      </w:r>
      <w:r w:rsidR="008C010C" w:rsidRPr="000A1781">
        <w:t>organization,</w:t>
      </w:r>
      <w:r w:rsidRPr="000A1781">
        <w:t xml:space="preserve"> and many files were missing documents. Among the 41 files reviewed there were 178 instances of missing items including documents and signatures.”</w:t>
      </w:r>
    </w:p>
    <w:p w14:paraId="52D2FFF8" w14:textId="77777777" w:rsidR="004502D5" w:rsidRPr="000A1781" w:rsidRDefault="004502D5" w:rsidP="00002D71">
      <w:pPr>
        <w:ind w:left="720"/>
      </w:pPr>
    </w:p>
    <w:p w14:paraId="03B2B9E5" w14:textId="77777777" w:rsidR="004502D5" w:rsidRPr="000A1781" w:rsidRDefault="004502D5" w:rsidP="00002D71">
      <w:pPr>
        <w:ind w:left="1080"/>
      </w:pPr>
      <w:r w:rsidRPr="000A1781">
        <w:t xml:space="preserve">On May 1, 2023, OHSB notified federal OSHA of the adoption of a new directive: </w:t>
      </w:r>
      <w:r w:rsidRPr="000A1781">
        <w:lastRenderedPageBreak/>
        <w:t>“Electronic Case File System Procedures for Whistleblower Protection Program.” (Equivalent to federal directive CPL 02-03-009 “Electronic Case File (ECF) System Procedures for the Whistleblower Protection Program.”) We believe that this is a giant step forward for OHSB and their new directive will help improve the organization and completeness of OHSB’s whistleblower case files. However, this new policy has not yet translated into practice.</w:t>
      </w:r>
    </w:p>
    <w:p w14:paraId="7A922FC6" w14:textId="77777777" w:rsidR="004502D5" w:rsidRPr="000A1781" w:rsidRDefault="004502D5" w:rsidP="00002D71">
      <w:pPr>
        <w:ind w:left="720"/>
      </w:pPr>
    </w:p>
    <w:p w14:paraId="553FB7DD" w14:textId="05705A99" w:rsidR="004502D5" w:rsidRPr="000A1781" w:rsidRDefault="004502D5" w:rsidP="00002D71">
      <w:pPr>
        <w:ind w:left="1080"/>
      </w:pPr>
      <w:r w:rsidRPr="000A1781">
        <w:t>In FY</w:t>
      </w:r>
      <w:r w:rsidR="00D05446" w:rsidRPr="000A1781">
        <w:t xml:space="preserve"> </w:t>
      </w:r>
      <w:r w:rsidRPr="000A1781">
        <w:t>2023 NM OHSB closed 4 docketed cases and administratively closed 228 complaints without investigation. The review team evaluated 50 of the Administratively Closed case files from FY2023, the 4 Closed Docketed cases from FY</w:t>
      </w:r>
      <w:r w:rsidR="00D05446" w:rsidRPr="000A1781">
        <w:t xml:space="preserve"> </w:t>
      </w:r>
      <w:r w:rsidRPr="000A1781">
        <w:t>2023, as well as the current cases Pending Investigation from FY</w:t>
      </w:r>
      <w:r w:rsidR="00D05446" w:rsidRPr="000A1781">
        <w:t xml:space="preserve"> </w:t>
      </w:r>
      <w:r w:rsidRPr="000A1781">
        <w:t>2023.</w:t>
      </w:r>
    </w:p>
    <w:p w14:paraId="087D79B9" w14:textId="77777777" w:rsidR="004502D5" w:rsidRPr="000A1781" w:rsidRDefault="004502D5" w:rsidP="00002D71">
      <w:pPr>
        <w:ind w:left="720"/>
      </w:pPr>
    </w:p>
    <w:p w14:paraId="50B358EA" w14:textId="72AB8E9D" w:rsidR="004502D5" w:rsidRPr="000A1781" w:rsidRDefault="004502D5" w:rsidP="00002D71">
      <w:pPr>
        <w:ind w:left="1080"/>
      </w:pPr>
      <w:r w:rsidRPr="000A1781">
        <w:t xml:space="preserve">While OHSB’s new case file directive was instituted mid-way through the FY, it does not appear that directive was being consistently followed </w:t>
      </w:r>
      <w:r w:rsidR="00200FB0" w:rsidRPr="000A1781">
        <w:t>once</w:t>
      </w:r>
      <w:r w:rsidRPr="000A1781">
        <w:t xml:space="preserve"> implemented.</w:t>
      </w:r>
    </w:p>
    <w:p w14:paraId="0B66F761" w14:textId="77777777" w:rsidR="004502D5" w:rsidRPr="000A1781" w:rsidRDefault="004502D5" w:rsidP="00002D71">
      <w:pPr>
        <w:ind w:left="720"/>
      </w:pPr>
    </w:p>
    <w:p w14:paraId="082D0D13" w14:textId="57389F17" w:rsidR="004502D5" w:rsidRPr="000A1781" w:rsidRDefault="004502D5" w:rsidP="00002D71">
      <w:pPr>
        <w:ind w:left="1080"/>
      </w:pPr>
      <w:bookmarkStart w:id="10" w:name="_Hlk154581506"/>
      <w:r w:rsidRPr="000A1781">
        <w:t xml:space="preserve">Among the 50 administratively closed files reviewed files reviewed, 41 case files lacked closing letters and or management approval. 32 case files did not contain any </w:t>
      </w:r>
      <w:r w:rsidR="004A43C3" w:rsidRPr="000A1781">
        <w:t>d</w:t>
      </w:r>
      <w:r w:rsidRPr="000A1781">
        <w:t>ocumentation or evidence of review by a supervisor.</w:t>
      </w:r>
      <w:bookmarkEnd w:id="10"/>
      <w:r w:rsidRPr="000A1781">
        <w:t xml:space="preserve"> In 29 of the case files there was no closing letter in the file or evidence that it was mailed to the Complainant. </w:t>
      </w:r>
    </w:p>
    <w:p w14:paraId="435B344B" w14:textId="1D208681" w:rsidR="004502D5" w:rsidRPr="000A1781" w:rsidRDefault="004502D5" w:rsidP="00002D71">
      <w:pPr>
        <w:ind w:left="1080"/>
      </w:pPr>
      <w:r w:rsidRPr="000A1781">
        <w:t>All 4 closed docketed cases from FY</w:t>
      </w:r>
      <w:r w:rsidR="00D05446" w:rsidRPr="000A1781">
        <w:t xml:space="preserve"> </w:t>
      </w:r>
      <w:r w:rsidRPr="000A1781">
        <w:t>2023 were reviewed. Although OHSB adopted a policy outlining the procedures for organizing case files under the ECF, all 4 closed docketed and closed case files reviewed lacked organization, were missing documents, one case had the Respondent’s name wrong, and all 4 files contained many duplicate documents and documents were placed in the wrong folders.</w:t>
      </w:r>
    </w:p>
    <w:p w14:paraId="5E44FC6A" w14:textId="77777777" w:rsidR="00AF3A70" w:rsidRPr="000A1781" w:rsidRDefault="00AF3A70" w:rsidP="00002D71">
      <w:pPr>
        <w:ind w:left="1080"/>
      </w:pPr>
    </w:p>
    <w:p w14:paraId="642229C2" w14:textId="40B96678" w:rsidR="004502D5" w:rsidRPr="000A1781" w:rsidRDefault="004502D5" w:rsidP="00002D71">
      <w:pPr>
        <w:ind w:left="720" w:firstLine="360"/>
        <w:rPr>
          <w:b/>
          <w:bCs/>
        </w:rPr>
      </w:pPr>
      <w:r w:rsidRPr="000A1781">
        <w:rPr>
          <w:b/>
          <w:bCs/>
        </w:rPr>
        <w:t>Additional Points of Policy Needing Clarification</w:t>
      </w:r>
    </w:p>
    <w:p w14:paraId="4D2D0FD2" w14:textId="77777777" w:rsidR="003A4820" w:rsidRPr="000A1781" w:rsidRDefault="003A4820" w:rsidP="00002D71">
      <w:pPr>
        <w:ind w:left="720" w:firstLine="360"/>
        <w:rPr>
          <w:b/>
          <w:bCs/>
        </w:rPr>
      </w:pPr>
    </w:p>
    <w:p w14:paraId="0DA8D524" w14:textId="77777777" w:rsidR="004502D5" w:rsidRPr="000A1781" w:rsidRDefault="004502D5" w:rsidP="00002D71">
      <w:pPr>
        <w:ind w:left="1080"/>
      </w:pPr>
      <w:r w:rsidRPr="000A1781">
        <w:t>In the past, OSHA has discussed with OHSB our concerns over an unwritten policy understood by the investigators to mean that anytime a party in a whistleblower case was represented by an attorney, OGC must be contacted and be involved in the interviews. There still appears to be some confusion among the staff as to whether a referral to OGC is required or not and whether an OGC attorney must be present for witness interviews.</w:t>
      </w:r>
    </w:p>
    <w:p w14:paraId="6A5FCAE5" w14:textId="77777777" w:rsidR="004502D5" w:rsidRPr="000A1781" w:rsidRDefault="004502D5" w:rsidP="00002D71">
      <w:pPr>
        <w:ind w:left="1080"/>
      </w:pPr>
      <w:r w:rsidRPr="000A1781">
        <w:t xml:space="preserve">OSHA’s concern is that due to OGC’s resources, interviews could be delayed by requiring an OGC attorney be present for all interviews in which a party is represented by an attorney. We recommend that OHSB and OGC revisit this policy and then clearly communicate the policy to the staff in writing – possibly as part of their whistleblower investigations manual. </w:t>
      </w:r>
    </w:p>
    <w:p w14:paraId="2058B5C5" w14:textId="77777777" w:rsidR="004502D5" w:rsidRPr="000A1781" w:rsidRDefault="004502D5" w:rsidP="00002D71">
      <w:pPr>
        <w:widowControl/>
        <w:autoSpaceDE/>
        <w:autoSpaceDN/>
        <w:adjustRightInd/>
        <w:spacing w:after="200"/>
        <w:contextualSpacing/>
      </w:pPr>
    </w:p>
    <w:p w14:paraId="6452A6FF" w14:textId="0FA840F1" w:rsidR="001567A4" w:rsidRPr="000A1781" w:rsidRDefault="001567A4" w:rsidP="00002D71">
      <w:pPr>
        <w:tabs>
          <w:tab w:val="left" w:pos="1620"/>
        </w:tabs>
        <w:ind w:left="720"/>
        <w:rPr>
          <w:b/>
        </w:rPr>
      </w:pPr>
      <w:r w:rsidRPr="000A1781">
        <w:rPr>
          <w:b/>
        </w:rPr>
        <w:t xml:space="preserve">8.  </w:t>
      </w:r>
      <w:r w:rsidR="009769F4" w:rsidRPr="000A1781">
        <w:rPr>
          <w:b/>
        </w:rPr>
        <w:t xml:space="preserve"> </w:t>
      </w:r>
      <w:r w:rsidRPr="000A1781">
        <w:rPr>
          <w:b/>
          <w:caps/>
        </w:rPr>
        <w:t>Complaint About State Program Administration</w:t>
      </w:r>
      <w:r w:rsidRPr="000A1781">
        <w:rPr>
          <w:b/>
        </w:rPr>
        <w:t xml:space="preserve"> (CASPA) </w:t>
      </w:r>
    </w:p>
    <w:p w14:paraId="6FB71EB5" w14:textId="034A5E46" w:rsidR="006A36FE" w:rsidRPr="000A1781" w:rsidRDefault="006A36FE" w:rsidP="00002D71">
      <w:pPr>
        <w:contextualSpacing/>
        <w:rPr>
          <w:iCs/>
        </w:rPr>
      </w:pPr>
    </w:p>
    <w:p w14:paraId="12098C44" w14:textId="4EAFBAF9" w:rsidR="001567A4" w:rsidRPr="000A1781" w:rsidRDefault="006A36FE" w:rsidP="00002D71">
      <w:pPr>
        <w:ind w:left="1080"/>
        <w:rPr>
          <w:iCs/>
        </w:rPr>
      </w:pPr>
      <w:r w:rsidRPr="000A1781">
        <w:t xml:space="preserve">In FY </w:t>
      </w:r>
      <w:r w:rsidR="002C4CB8" w:rsidRPr="000A1781">
        <w:rPr>
          <w:iCs/>
        </w:rPr>
        <w:t>2023, Region</w:t>
      </w:r>
      <w:r w:rsidR="009C3BD2" w:rsidRPr="000A1781">
        <w:rPr>
          <w:iCs/>
        </w:rPr>
        <w:t xml:space="preserve"> </w:t>
      </w:r>
      <w:r w:rsidR="002B2D65" w:rsidRPr="000A1781">
        <w:rPr>
          <w:iCs/>
        </w:rPr>
        <w:t>VI</w:t>
      </w:r>
      <w:r w:rsidR="002C4CB8" w:rsidRPr="000A1781">
        <w:rPr>
          <w:iCs/>
        </w:rPr>
        <w:t xml:space="preserve"> received one CASPA concerning New Mexico OHSB not following their policies and procedures for handling complaints and/or referrals alleging safety hazards and job sites. The complaint was received by Talk to DOL</w:t>
      </w:r>
      <w:r w:rsidR="00F05410" w:rsidRPr="000A1781">
        <w:rPr>
          <w:iCs/>
        </w:rPr>
        <w:t xml:space="preserve"> </w:t>
      </w:r>
      <w:r w:rsidR="002C4CB8" w:rsidRPr="000A1781">
        <w:rPr>
          <w:iCs/>
        </w:rPr>
        <w:t xml:space="preserve">on August 17, 2023. The complaint was forwarded to the El Paso Area Office on August 30, 2023. </w:t>
      </w:r>
      <w:r w:rsidR="005714F6" w:rsidRPr="000A1781">
        <w:rPr>
          <w:iCs/>
        </w:rPr>
        <w:t>It was determined within</w:t>
      </w:r>
      <w:r w:rsidR="0016649C" w:rsidRPr="000A1781">
        <w:rPr>
          <w:iCs/>
        </w:rPr>
        <w:t xml:space="preserve"> five</w:t>
      </w:r>
      <w:r w:rsidR="00513564" w:rsidRPr="000A1781">
        <w:rPr>
          <w:iCs/>
        </w:rPr>
        <w:t xml:space="preserve"> </w:t>
      </w:r>
      <w:r w:rsidR="005714F6" w:rsidRPr="000A1781">
        <w:rPr>
          <w:iCs/>
        </w:rPr>
        <w:t>calendar days that this CASPA warranted a</w:t>
      </w:r>
      <w:r w:rsidR="00F05410" w:rsidRPr="000A1781">
        <w:rPr>
          <w:iCs/>
        </w:rPr>
        <w:t>n</w:t>
      </w:r>
      <w:r w:rsidR="005714F6" w:rsidRPr="000A1781">
        <w:rPr>
          <w:iCs/>
        </w:rPr>
        <w:t xml:space="preserve"> investigation of NM OHSB’s complaint and referral program. </w:t>
      </w:r>
      <w:r w:rsidR="0055137D" w:rsidRPr="000A1781">
        <w:rPr>
          <w:iCs/>
        </w:rPr>
        <w:t xml:space="preserve">A written response letter was sent to the complainant on September 11, 2023, providing notice of the initiation of investigation towards the CASPA. </w:t>
      </w:r>
      <w:r w:rsidR="005714F6" w:rsidRPr="000A1781">
        <w:rPr>
          <w:iCs/>
        </w:rPr>
        <w:t>OSHA reviewed NM OHSB</w:t>
      </w:r>
      <w:r w:rsidR="00F05410" w:rsidRPr="000A1781">
        <w:rPr>
          <w:iCs/>
        </w:rPr>
        <w:t>’s</w:t>
      </w:r>
      <w:r w:rsidR="005714F6" w:rsidRPr="000A1781">
        <w:rPr>
          <w:iCs/>
        </w:rPr>
        <w:t xml:space="preserve"> complaints and referrals and conducted employee interviews. Upon investigation, it </w:t>
      </w:r>
      <w:r w:rsidR="007D5538" w:rsidRPr="000A1781">
        <w:rPr>
          <w:iCs/>
        </w:rPr>
        <w:t>was determined that NM OHSB follow</w:t>
      </w:r>
      <w:r w:rsidR="00F53D2D" w:rsidRPr="000A1781">
        <w:rPr>
          <w:iCs/>
        </w:rPr>
        <w:t>ed</w:t>
      </w:r>
      <w:r w:rsidR="007D5538" w:rsidRPr="000A1781">
        <w:rPr>
          <w:iCs/>
        </w:rPr>
        <w:t xml:space="preserve"> their policies and procedures for handling </w:t>
      </w:r>
      <w:proofErr w:type="gramStart"/>
      <w:r w:rsidR="007D5538" w:rsidRPr="000A1781">
        <w:rPr>
          <w:iCs/>
        </w:rPr>
        <w:t>the majority of</w:t>
      </w:r>
      <w:proofErr w:type="gramEnd"/>
      <w:r w:rsidR="007D5538" w:rsidRPr="000A1781">
        <w:rPr>
          <w:iCs/>
        </w:rPr>
        <w:t xml:space="preserve"> complaints and/or referrals within the exception of some errors with the handling of one complaint. </w:t>
      </w:r>
      <w:r w:rsidR="003E2820" w:rsidRPr="000A1781">
        <w:rPr>
          <w:iCs/>
        </w:rPr>
        <w:t xml:space="preserve">In response to this CASPA, </w:t>
      </w:r>
      <w:r w:rsidR="007D5538" w:rsidRPr="000A1781">
        <w:rPr>
          <w:iCs/>
        </w:rPr>
        <w:t xml:space="preserve">NM OHSB management </w:t>
      </w:r>
      <w:r w:rsidR="007D5538" w:rsidRPr="000A1781">
        <w:rPr>
          <w:iCs/>
        </w:rPr>
        <w:lastRenderedPageBreak/>
        <w:t xml:space="preserve">immediately initiated a review of the complaints and </w:t>
      </w:r>
      <w:r w:rsidR="00F05410" w:rsidRPr="000A1781">
        <w:rPr>
          <w:iCs/>
        </w:rPr>
        <w:t>referral and</w:t>
      </w:r>
      <w:r w:rsidR="007D5538" w:rsidRPr="000A1781">
        <w:rPr>
          <w:iCs/>
        </w:rPr>
        <w:t xml:space="preserve"> provided additional training to staff</w:t>
      </w:r>
      <w:r w:rsidR="003E2820" w:rsidRPr="000A1781">
        <w:rPr>
          <w:iCs/>
        </w:rPr>
        <w:t xml:space="preserve"> to ensure proper handling of future complaints and referrals</w:t>
      </w:r>
      <w:r w:rsidR="007D5538" w:rsidRPr="000A1781">
        <w:rPr>
          <w:iCs/>
        </w:rPr>
        <w:t xml:space="preserve">. The CASPA was </w:t>
      </w:r>
      <w:r w:rsidR="00A37796" w:rsidRPr="000A1781">
        <w:rPr>
          <w:iCs/>
        </w:rPr>
        <w:t>closed</w:t>
      </w:r>
      <w:r w:rsidR="007D5538" w:rsidRPr="000A1781">
        <w:rPr>
          <w:iCs/>
        </w:rPr>
        <w:t xml:space="preserve"> on January 31, 2024</w:t>
      </w:r>
      <w:r w:rsidR="0055137D" w:rsidRPr="000A1781">
        <w:rPr>
          <w:iCs/>
        </w:rPr>
        <w:t xml:space="preserve">, and a </w:t>
      </w:r>
      <w:r w:rsidR="00A37796" w:rsidRPr="000A1781">
        <w:rPr>
          <w:iCs/>
        </w:rPr>
        <w:t>determination/</w:t>
      </w:r>
      <w:r w:rsidR="0055137D" w:rsidRPr="000A1781">
        <w:rPr>
          <w:iCs/>
        </w:rPr>
        <w:t xml:space="preserve">findings letter was sent to the complainant. On January 31, 2024, the complainant raised additional </w:t>
      </w:r>
      <w:r w:rsidR="005E761A" w:rsidRPr="000A1781">
        <w:rPr>
          <w:iCs/>
        </w:rPr>
        <w:t xml:space="preserve">safety and health </w:t>
      </w:r>
      <w:r w:rsidR="0055137D" w:rsidRPr="000A1781">
        <w:rPr>
          <w:iCs/>
        </w:rPr>
        <w:t>concerns</w:t>
      </w:r>
      <w:r w:rsidR="007D5538" w:rsidRPr="000A1781">
        <w:rPr>
          <w:iCs/>
        </w:rPr>
        <w:t>.</w:t>
      </w:r>
      <w:r w:rsidR="0055137D" w:rsidRPr="000A1781">
        <w:rPr>
          <w:iCs/>
        </w:rPr>
        <w:t xml:space="preserve"> OSHA </w:t>
      </w:r>
      <w:r w:rsidR="000D1D06" w:rsidRPr="000A1781">
        <w:rPr>
          <w:iCs/>
        </w:rPr>
        <w:t xml:space="preserve">determined that due to OSHA’s statute of limitations, six months from the date of exposure, OSHA is prohibited from further investigating the </w:t>
      </w:r>
      <w:r w:rsidR="005E761A" w:rsidRPr="000A1781">
        <w:rPr>
          <w:iCs/>
        </w:rPr>
        <w:t>safety and health concerns listed in</w:t>
      </w:r>
      <w:r w:rsidR="000D1D06" w:rsidRPr="000A1781">
        <w:rPr>
          <w:iCs/>
        </w:rPr>
        <w:t xml:space="preserve"> the complaint. The complainant was notified of this on </w:t>
      </w:r>
      <w:r w:rsidR="0055137D" w:rsidRPr="000A1781">
        <w:rPr>
          <w:iCs/>
        </w:rPr>
        <w:t>February 6, 2024</w:t>
      </w:r>
      <w:r w:rsidR="000D1D06" w:rsidRPr="000A1781">
        <w:rPr>
          <w:iCs/>
        </w:rPr>
        <w:t>.</w:t>
      </w:r>
    </w:p>
    <w:p w14:paraId="2D2C0BF0" w14:textId="77777777" w:rsidR="005714F6" w:rsidRPr="000A1781" w:rsidRDefault="005714F6" w:rsidP="00002D71">
      <w:pPr>
        <w:ind w:left="720"/>
        <w:contextualSpacing/>
        <w:rPr>
          <w:iCs/>
        </w:rPr>
      </w:pPr>
    </w:p>
    <w:p w14:paraId="69026B0D" w14:textId="08F3B619" w:rsidR="005714F6" w:rsidRPr="000A1781" w:rsidRDefault="005714F6" w:rsidP="00002D71">
      <w:pPr>
        <w:ind w:left="1080"/>
        <w:contextualSpacing/>
        <w:rPr>
          <w:iCs/>
        </w:rPr>
      </w:pPr>
      <w:r w:rsidRPr="000A1781">
        <w:rPr>
          <w:iCs/>
        </w:rPr>
        <w:t xml:space="preserve">During the FY 2022 follow-up FAME cycle, Region </w:t>
      </w:r>
      <w:r w:rsidR="0016649C" w:rsidRPr="000A1781">
        <w:rPr>
          <w:iCs/>
        </w:rPr>
        <w:t>VI</w:t>
      </w:r>
      <w:r w:rsidRPr="000A1781">
        <w:rPr>
          <w:iCs/>
        </w:rPr>
        <w:t xml:space="preserve"> received one CASPA concerning New Mexico OHSB not following their policies and procedures for providing personal protective equipment (PPE) to staff, </w:t>
      </w:r>
      <w:r w:rsidR="003E2820" w:rsidRPr="000A1781">
        <w:rPr>
          <w:iCs/>
        </w:rPr>
        <w:t>providing,</w:t>
      </w:r>
      <w:r w:rsidRPr="000A1781">
        <w:rPr>
          <w:iCs/>
        </w:rPr>
        <w:t xml:space="preserve"> and calibrating inspection equipment, and providing adequate training to compliance staff. A CASPA investigation was initiated and completed to evaluate the NM OHSB.</w:t>
      </w:r>
      <w:r w:rsidR="00874754" w:rsidRPr="000A1781">
        <w:rPr>
          <w:iCs/>
        </w:rPr>
        <w:t xml:space="preserve"> Upon investigation, it was determined that NM OHSB did not follow their policies and procedures for providing PPE. NM OHSB was made aware of the deficiencies and was given 30 days to correct the deficiencies. Information of the CASPA findings were provided to the complainant on November 30, 2023, and the CASPA has been closed.</w:t>
      </w:r>
    </w:p>
    <w:p w14:paraId="49AA6CB3" w14:textId="77777777" w:rsidR="002C4CB8" w:rsidRPr="000A1781" w:rsidRDefault="002C4CB8" w:rsidP="00002D71">
      <w:pPr>
        <w:contextualSpacing/>
        <w:rPr>
          <w:i/>
        </w:rPr>
      </w:pPr>
    </w:p>
    <w:p w14:paraId="1356C594" w14:textId="36FE2AC1" w:rsidR="001567A4" w:rsidRPr="000A1781" w:rsidRDefault="001567A4" w:rsidP="00002D71">
      <w:pPr>
        <w:ind w:left="720"/>
        <w:rPr>
          <w:b/>
          <w:caps/>
        </w:rPr>
      </w:pPr>
      <w:r w:rsidRPr="000A1781">
        <w:rPr>
          <w:b/>
        </w:rPr>
        <w:t xml:space="preserve">9.   </w:t>
      </w:r>
      <w:r w:rsidRPr="000A1781">
        <w:rPr>
          <w:b/>
          <w:caps/>
        </w:rPr>
        <w:t>Voluntary Compliance Program</w:t>
      </w:r>
      <w:r w:rsidR="00AC7141" w:rsidRPr="000A1781">
        <w:rPr>
          <w:b/>
          <w:caps/>
        </w:rPr>
        <w:t xml:space="preserve"> (VCP)</w:t>
      </w:r>
    </w:p>
    <w:p w14:paraId="48C57D3B" w14:textId="77777777" w:rsidR="006A36FE" w:rsidRPr="000A1781" w:rsidRDefault="006A36FE" w:rsidP="00002D71">
      <w:pPr>
        <w:ind w:left="1080"/>
        <w:contextualSpacing/>
        <w:rPr>
          <w:iCs/>
        </w:rPr>
      </w:pPr>
    </w:p>
    <w:p w14:paraId="62D35FE6" w14:textId="77777777" w:rsidR="006A36FE" w:rsidRPr="000A1781" w:rsidRDefault="006A36FE" w:rsidP="00002D71">
      <w:pPr>
        <w:ind w:left="1080"/>
        <w:contextualSpacing/>
      </w:pPr>
      <w:r w:rsidRPr="000A1781">
        <w:rPr>
          <w:iCs/>
        </w:rPr>
        <w:t xml:space="preserve">The </w:t>
      </w:r>
      <w:r w:rsidR="004502D5" w:rsidRPr="000A1781">
        <w:t>Cooperative Programs in OHSB are administered under the 23(g)‐grant program. OHSB cooperative programs include six (6) Voluntary Protection Program (VPP) sites, six (6) Partnerships, and three (3) Alliances.</w:t>
      </w:r>
    </w:p>
    <w:p w14:paraId="0A47F764" w14:textId="77777777" w:rsidR="006A36FE" w:rsidRPr="000A1781" w:rsidRDefault="006A36FE" w:rsidP="00002D71">
      <w:pPr>
        <w:ind w:left="1080"/>
        <w:contextualSpacing/>
      </w:pPr>
    </w:p>
    <w:p w14:paraId="0F223794" w14:textId="6212E780" w:rsidR="004502D5" w:rsidRPr="000A1781" w:rsidRDefault="004502D5" w:rsidP="00002D71">
      <w:pPr>
        <w:ind w:left="1080"/>
        <w:contextualSpacing/>
      </w:pPr>
      <w:r w:rsidRPr="000A1781">
        <w:t>OHSB’s Voluntary Protection Programs is called the Zia Star Voluntary Protection Programs (VPP). OHSB continued to focus efforts on strengthening program quality and reviewing current VPP participants during the year. The OHSB projected an increase of one (1) new VPP site in FY</w:t>
      </w:r>
      <w:r w:rsidR="00655653" w:rsidRPr="000A1781">
        <w:t xml:space="preserve"> </w:t>
      </w:r>
      <w:r w:rsidRPr="000A1781">
        <w:t xml:space="preserve">2023. However, the Zia Star VPP experienced a reduction of two (2) sites by withdraw due to operations/facility shut down. The OHSB performed two reapprovals in FY 2023. OSHA encourages OHSB to seek training for process safety management (PSM) to ensure that staff maintain the ability to evaluate PSM VPP sites (including all required PSM supplement reports A, B, and C) and increase the number of potential sites in Zia Star VPP. </w:t>
      </w:r>
    </w:p>
    <w:p w14:paraId="22223CA4" w14:textId="77777777" w:rsidR="004502D5" w:rsidRPr="000A1781" w:rsidRDefault="004502D5" w:rsidP="00002D71">
      <w:pPr>
        <w:ind w:left="720"/>
      </w:pPr>
    </w:p>
    <w:p w14:paraId="2EBAE635" w14:textId="77777777" w:rsidR="004502D5" w:rsidRPr="000A1781" w:rsidRDefault="004502D5" w:rsidP="00002D71">
      <w:pPr>
        <w:ind w:left="1080"/>
      </w:pPr>
      <w:r w:rsidRPr="000A1781">
        <w:t xml:space="preserve">OHSB has a cooperative program called the OHSB Strategic Partnership for Construction (OSPC). This program operates in accordance with New Mexico OHSB Directive 15-07 (OHSB 15-07). This directive applies only to employers within the construction industry when performing work at construction worksites. In addition, OHSB’s OSPC provides enforcement incentives to employers through a deferral from programmed inspections for partner employers. Per OHSB’s OSPC directive an annual onsite partnership verification must be conducted by OHSB for this deferral to be granted.  OHSB’s directive 15-07, in section L “Verification” indicates that a verification includes document review, site walkthrough, employee interviews and correction of hazards. </w:t>
      </w:r>
    </w:p>
    <w:p w14:paraId="58116918" w14:textId="77777777" w:rsidR="004502D5" w:rsidRPr="000A1781" w:rsidRDefault="004502D5" w:rsidP="00002D71">
      <w:pPr>
        <w:ind w:left="720"/>
      </w:pPr>
    </w:p>
    <w:p w14:paraId="6D07E0AC" w14:textId="305FF5A6" w:rsidR="00655653" w:rsidRPr="000A1781" w:rsidRDefault="00655653" w:rsidP="00002D71">
      <w:pPr>
        <w:ind w:left="720" w:firstLine="360"/>
        <w:rPr>
          <w:b/>
          <w:bCs/>
        </w:rPr>
      </w:pPr>
      <w:r w:rsidRPr="000A1781">
        <w:rPr>
          <w:b/>
          <w:bCs/>
        </w:rPr>
        <w:t>V</w:t>
      </w:r>
      <w:r w:rsidR="00E42C9A" w:rsidRPr="000A1781">
        <w:rPr>
          <w:b/>
          <w:bCs/>
        </w:rPr>
        <w:t>C</w:t>
      </w:r>
      <w:r w:rsidRPr="000A1781">
        <w:rPr>
          <w:b/>
          <w:bCs/>
        </w:rPr>
        <w:t>P Findings</w:t>
      </w:r>
    </w:p>
    <w:p w14:paraId="58A46A99" w14:textId="77777777" w:rsidR="00655653" w:rsidRPr="000A1781" w:rsidRDefault="00655653" w:rsidP="00002D71">
      <w:pPr>
        <w:ind w:left="720"/>
      </w:pPr>
    </w:p>
    <w:p w14:paraId="531E56FE" w14:textId="46834557" w:rsidR="004502D5" w:rsidRPr="000A1781" w:rsidRDefault="004502D5" w:rsidP="00002D71">
      <w:pPr>
        <w:ind w:left="1080"/>
      </w:pPr>
      <w:r w:rsidRPr="000A1781">
        <w:rPr>
          <w:b/>
          <w:bCs/>
        </w:rPr>
        <w:t>Finding FY 2023-0</w:t>
      </w:r>
      <w:r w:rsidR="007A23A5" w:rsidRPr="000A1781">
        <w:rPr>
          <w:b/>
          <w:bCs/>
        </w:rPr>
        <w:t>8</w:t>
      </w:r>
      <w:r w:rsidRPr="000A1781">
        <w:rPr>
          <w:b/>
          <w:bCs/>
        </w:rPr>
        <w:t xml:space="preserve">: </w:t>
      </w:r>
      <w:r w:rsidRPr="000A1781">
        <w:t xml:space="preserve">During the FY 2023 onsite FAME review OHSB did not provide documentation that onsite verification activities were conducted as required in Section L- “Verification” of the New Mexico OHSB Directive-15-07- OHSB Strategic Partnership for Construction. Additionally, no partnership verification activities were in recorded in the </w:t>
      </w:r>
      <w:r w:rsidRPr="000A1781">
        <w:lastRenderedPageBreak/>
        <w:t xml:space="preserve">OSHA Information System (OIS) as Compliance Assistance Activity. In FY 2023 OHSB provided enforcement incentives to construction employers through deferrals from programmed inspections in accordance with their OHSB OSPC, however, documentation of annual onsite partnership verification was not provided during or after the review. (Reference: OHSB Directive 15-07- OHSB Strategic Partnership for Construction Section L and N). </w:t>
      </w:r>
    </w:p>
    <w:p w14:paraId="74021860" w14:textId="77777777" w:rsidR="00C52484" w:rsidRPr="000A1781" w:rsidRDefault="00C52484" w:rsidP="00002D71">
      <w:pPr>
        <w:ind w:left="1080"/>
      </w:pPr>
    </w:p>
    <w:p w14:paraId="4DFC4303" w14:textId="77777777" w:rsidR="004502D5" w:rsidRPr="000A1781" w:rsidRDefault="004502D5" w:rsidP="00002D71">
      <w:pPr>
        <w:ind w:left="1080"/>
      </w:pPr>
      <w:r w:rsidRPr="000A1781">
        <w:rPr>
          <w:b/>
          <w:bCs/>
        </w:rPr>
        <w:t>Recommendation:</w:t>
      </w:r>
      <w:r w:rsidRPr="000A1781">
        <w:t xml:space="preserve"> OHSB should follow their internal directive titled OHSB Directive 15-07- OHSB Strategic Partnership for Construction specifically in Section N.- Recording Activities. In addition, as per OHSB Directive 15-07 Section N. Recording Activities- all information pertaining to this program shall be recorded in the OSHA Information System (OIS) following current instructions as a Compliance Assistance Activity. </w:t>
      </w:r>
    </w:p>
    <w:p w14:paraId="352E5167" w14:textId="77777777" w:rsidR="004502D5" w:rsidRPr="000A1781" w:rsidRDefault="004502D5" w:rsidP="00AF3A70"/>
    <w:p w14:paraId="5DCEF364" w14:textId="77777777" w:rsidR="004502D5" w:rsidRPr="000A1781" w:rsidRDefault="004502D5" w:rsidP="00002D71">
      <w:pPr>
        <w:ind w:left="1080"/>
      </w:pPr>
      <w:r w:rsidRPr="000A1781">
        <w:t xml:space="preserve">OHSB and partner members focus work on common construction safety issues. There were 52 member companies participating in six industry association partnerships during FY 2023. The Bureau currently has partnerships with industry groups including the </w:t>
      </w:r>
      <w:r w:rsidRPr="000A1781">
        <w:rPr>
          <w:noProof/>
        </w:rPr>
        <w:t>Associated General Contractors, the Associated Contractors of New Mexico, the Associated Builders and Contractors, the New Mexico Utility Contractors Association, the Mechanical Contractors Association, and the American Subcontractors Association.</w:t>
      </w:r>
      <w:r w:rsidRPr="000A1781">
        <w:t xml:space="preserve">The New Mexico Construction Safety Coalition held virtual meetings in FY 2023 that emphasized best practices in preventing heat illness at partner worksites. The Coalition is composed of OHSB staff and representatives from each of the six (6) OHSB Strategic Partnership for Construction (OSPC) partnership associations. </w:t>
      </w:r>
    </w:p>
    <w:p w14:paraId="0921765E" w14:textId="77777777" w:rsidR="004502D5" w:rsidRPr="000A1781" w:rsidRDefault="004502D5" w:rsidP="001324CC">
      <w:pPr>
        <w:ind w:left="720"/>
      </w:pPr>
    </w:p>
    <w:p w14:paraId="675C24F5" w14:textId="77777777" w:rsidR="004502D5" w:rsidRPr="000A1781" w:rsidRDefault="004502D5" w:rsidP="001324CC">
      <w:pPr>
        <w:ind w:left="1080"/>
      </w:pPr>
      <w:r w:rsidRPr="000A1781">
        <w:t xml:space="preserve">During FY 2023 OHSB signed two (2) alliances, </w:t>
      </w:r>
      <w:proofErr w:type="spellStart"/>
      <w:r w:rsidRPr="000A1781">
        <w:t>Somos</w:t>
      </w:r>
      <w:proofErr w:type="spellEnd"/>
      <w:r w:rsidRPr="000A1781">
        <w:t xml:space="preserve"> Un Pueblo </w:t>
      </w:r>
      <w:proofErr w:type="spellStart"/>
      <w:r w:rsidRPr="000A1781">
        <w:t>Unido</w:t>
      </w:r>
      <w:proofErr w:type="spellEnd"/>
      <w:r w:rsidRPr="000A1781">
        <w:t xml:space="preserve"> and Consulate of Mexico in Albuquerque, NM. The Alliance Agreement with the </w:t>
      </w:r>
      <w:proofErr w:type="spellStart"/>
      <w:r w:rsidRPr="000A1781">
        <w:t>Somos</w:t>
      </w:r>
      <w:proofErr w:type="spellEnd"/>
      <w:r w:rsidRPr="000A1781">
        <w:t xml:space="preserve"> Un Pueblo </w:t>
      </w:r>
      <w:proofErr w:type="spellStart"/>
      <w:r w:rsidRPr="000A1781">
        <w:t>Unido</w:t>
      </w:r>
      <w:proofErr w:type="spellEnd"/>
      <w:r w:rsidRPr="000A1781">
        <w:t xml:space="preserve"> offers community education about worker’s rights and remedies, and it forges leadership opportunities for immigrants and low-wage workers. The OHSB has worked closely with the Consulate of Mexico in Albuquerque, New Mexico to provide information about worker’s rights, employer obligations, and occupational safety and health since 2007, and more formally through signed Alliance Agreements since 2016.  The Bureau renewed the Alliance Agreement in FY2023 for the third time since 2016. </w:t>
      </w:r>
    </w:p>
    <w:p w14:paraId="5880C6A1" w14:textId="77777777" w:rsidR="004502D5" w:rsidRPr="000A1781" w:rsidRDefault="004502D5" w:rsidP="001324CC">
      <w:pPr>
        <w:ind w:left="720"/>
      </w:pPr>
    </w:p>
    <w:p w14:paraId="5502BED8" w14:textId="77777777" w:rsidR="004502D5" w:rsidRPr="000A1781" w:rsidRDefault="004502D5" w:rsidP="001324CC">
      <w:pPr>
        <w:ind w:left="1080"/>
      </w:pPr>
      <w:r w:rsidRPr="000A1781">
        <w:t xml:space="preserve">In addition, OHSB conducted virtual presentations on the common hazards in the dairy industry as part of the outreach goals through Alliance Agreements with Consulate of Mexico in Albuquerque, New Mexico and </w:t>
      </w:r>
      <w:proofErr w:type="spellStart"/>
      <w:r w:rsidRPr="000A1781">
        <w:t>Somos</w:t>
      </w:r>
      <w:proofErr w:type="spellEnd"/>
      <w:r w:rsidRPr="000A1781">
        <w:t xml:space="preserve"> Un Pueblo </w:t>
      </w:r>
      <w:proofErr w:type="spellStart"/>
      <w:r w:rsidRPr="000A1781">
        <w:t>Unido</w:t>
      </w:r>
      <w:proofErr w:type="spellEnd"/>
      <w:r w:rsidRPr="000A1781">
        <w:t>. New Mexico’s Dairy industry is a top contributor to national milk production with New Mexico and Texas combining for the 3</w:t>
      </w:r>
      <w:r w:rsidRPr="000A1781">
        <w:rPr>
          <w:vertAlign w:val="superscript"/>
        </w:rPr>
        <w:t>rd</w:t>
      </w:r>
      <w:r w:rsidRPr="000A1781">
        <w:t xml:space="preserve"> largest milkshed in the nation behind California and Wisconsin; Also, New Mexico is the 4th leading state in cheese production for the nation. (NMSU-2023 Statistics). Information was also presented in a radio interview with the local radio station, Radio Lobo 97.7FM.</w:t>
      </w:r>
    </w:p>
    <w:p w14:paraId="4126AB12" w14:textId="77777777" w:rsidR="004502D5" w:rsidRPr="000A1781" w:rsidRDefault="004502D5" w:rsidP="00002D71">
      <w:pPr>
        <w:ind w:left="720"/>
        <w:jc w:val="both"/>
      </w:pPr>
    </w:p>
    <w:p w14:paraId="65603743" w14:textId="77777777" w:rsidR="004502D5" w:rsidRPr="000A1781" w:rsidRDefault="004502D5" w:rsidP="00002D71">
      <w:pPr>
        <w:ind w:left="1080"/>
      </w:pPr>
      <w:r w:rsidRPr="000A1781">
        <w:t xml:space="preserve">OHSB presented and participated in farmworker workshops in Deming, Anthony, and Hatch, New Mexico. The workshops provided information about resources and services available to the farm working community. Over 350 farmworkers and representatives from federal, state, and local agencies and organizations attended the events. </w:t>
      </w:r>
    </w:p>
    <w:p w14:paraId="5F47BEBA" w14:textId="77777777" w:rsidR="003901EF" w:rsidRPr="000A1781" w:rsidRDefault="003901EF" w:rsidP="00002D71">
      <w:pPr>
        <w:ind w:left="1080"/>
      </w:pPr>
    </w:p>
    <w:p w14:paraId="7C6ECC53" w14:textId="560E11B4" w:rsidR="004502D5" w:rsidRPr="000A1781" w:rsidRDefault="004502D5" w:rsidP="0016649C">
      <w:pPr>
        <w:ind w:left="1080"/>
      </w:pPr>
      <w:r w:rsidRPr="000A1781">
        <w:t xml:space="preserve">During FY 2023, OHSB 23(g) compliance and outreach activities were focused on State Emphasis Programs (SEPs) and National Emphasis Programs (NEPs) within the industries of construction, industries that have occupational exposure to hexavalent chromium, industries that occupational heat exposure, primary and fabricated metals, oil and gas well drilling and </w:t>
      </w:r>
      <w:r w:rsidRPr="000A1781">
        <w:lastRenderedPageBreak/>
        <w:t xml:space="preserve">servicing, and hospitals and nursing care. The Bureau continued its SEP for silica exposure in the earth products manufacturing industries. A total 57 compliance assistance activities were completed in strategic SEPs and 38 National Emphasis Programs (NEPs) in FY 2023 for a total 95. OHSB outreach initiatives reached 32, 070 workers of their goal of 120,000 workers.  </w:t>
      </w:r>
    </w:p>
    <w:p w14:paraId="6A28781E" w14:textId="77777777" w:rsidR="004502D5" w:rsidRPr="000A1781" w:rsidRDefault="004502D5" w:rsidP="00002D71">
      <w:pPr>
        <w:widowControl/>
        <w:autoSpaceDE/>
        <w:autoSpaceDN/>
        <w:adjustRightInd/>
        <w:spacing w:after="200"/>
        <w:ind w:left="1350"/>
        <w:contextualSpacing/>
      </w:pPr>
    </w:p>
    <w:p w14:paraId="1B765FD3" w14:textId="03A56385" w:rsidR="001567A4" w:rsidRPr="000A1781" w:rsidRDefault="001567A4" w:rsidP="00D34A7B">
      <w:pPr>
        <w:tabs>
          <w:tab w:val="left" w:pos="1170"/>
        </w:tabs>
        <w:ind w:left="1080"/>
        <w:rPr>
          <w:b/>
          <w:caps/>
        </w:rPr>
      </w:pPr>
      <w:r w:rsidRPr="000A1781">
        <w:rPr>
          <w:b/>
          <w:caps/>
        </w:rPr>
        <w:t xml:space="preserve">10. </w:t>
      </w:r>
      <w:r w:rsidR="00E21A66" w:rsidRPr="000A1781">
        <w:rPr>
          <w:b/>
          <w:caps/>
        </w:rPr>
        <w:t xml:space="preserve"> </w:t>
      </w:r>
      <w:r w:rsidR="00937928" w:rsidRPr="000A1781">
        <w:rPr>
          <w:b/>
          <w:caps/>
        </w:rPr>
        <w:t xml:space="preserve"> </w:t>
      </w:r>
      <w:r w:rsidRPr="000A1781">
        <w:rPr>
          <w:b/>
          <w:caps/>
        </w:rPr>
        <w:t>STATE AND LOCAL GOVERNMENT 23</w:t>
      </w:r>
      <w:r w:rsidRPr="000A1781">
        <w:rPr>
          <w:b/>
        </w:rPr>
        <w:t>(g</w:t>
      </w:r>
      <w:r w:rsidRPr="000A1781">
        <w:rPr>
          <w:b/>
          <w:caps/>
        </w:rPr>
        <w:t xml:space="preserve">) On-site CONSULTATION PROGRAM </w:t>
      </w:r>
    </w:p>
    <w:p w14:paraId="2580D2DC" w14:textId="77777777" w:rsidR="00492DBF" w:rsidRPr="000A1781" w:rsidRDefault="00492DBF" w:rsidP="00002D71">
      <w:pPr>
        <w:ind w:left="1080"/>
      </w:pPr>
    </w:p>
    <w:p w14:paraId="2295E1B5" w14:textId="0691E167" w:rsidR="004502D5" w:rsidRPr="000A1781" w:rsidRDefault="00E034B7" w:rsidP="00002D71">
      <w:pPr>
        <w:ind w:left="1080"/>
      </w:pPr>
      <w:r w:rsidRPr="000A1781">
        <w:t xml:space="preserve">The State </w:t>
      </w:r>
      <w:r w:rsidR="004502D5" w:rsidRPr="000A1781">
        <w:t xml:space="preserve">and Local Government Consultation Program conducted three (3) consultation visits throughout New Mexico, reaching approximately 147 workers and impacting many more. Based on their FY 2023 grant proposal, OHSB had established a goal of 25 consultation visits but were not able to meet their goal. Through these visits, they identified 14 hazards. OHSB conducted 58 compliance assistance activities targeting state and local government agencies as part of the overall goal of reducing the injury rate. According to the 2022 BLS Injury and Illness Rates for New Mexico state and local governments (TRC- 3.6 and DART 1.7) continue to experience injury and illness rates greater than the private sector (TRC-2.3 and DART 1.3). </w:t>
      </w:r>
    </w:p>
    <w:p w14:paraId="2932D546" w14:textId="77777777" w:rsidR="00C15955" w:rsidRPr="000A1781" w:rsidRDefault="00C15955" w:rsidP="00002D71">
      <w:pPr>
        <w:ind w:left="1080"/>
      </w:pPr>
    </w:p>
    <w:p w14:paraId="6B00B338" w14:textId="3F8559C8" w:rsidR="004502D5" w:rsidRPr="000A1781" w:rsidRDefault="004502D5" w:rsidP="00002D71">
      <w:pPr>
        <w:ind w:left="1080"/>
      </w:pPr>
      <w:r w:rsidRPr="000A1781">
        <w:t xml:space="preserve">Staffing shortages for the program posed a challenge to meeting the consultation visit goal. During the review period, OHSB had 0.3 FTE (Full-Time Employee) safety consultants and 0.5 health FTE consultants. In addition, OHSB had 0.4 FTE safety consultant vacancies during the review period. The program continues to experience ongoing challenges with meeting its projected consultation visits goals in the FY 2023 grant. In FY 2023, the OHSB state and local government consultation program completed 12% (3/25) of its FY 2023 23(g) State Plan Projected Onsite Consultation Visits Goal. Since 2020, there has been a consistent decline in projected onsite consultation visits. </w:t>
      </w:r>
    </w:p>
    <w:p w14:paraId="6A3C0A44" w14:textId="77777777" w:rsidR="004502D5" w:rsidRPr="000A1781" w:rsidRDefault="004502D5" w:rsidP="00002D71">
      <w:pPr>
        <w:ind w:left="720"/>
      </w:pPr>
    </w:p>
    <w:p w14:paraId="14E85CB7" w14:textId="77777777" w:rsidR="004502D5" w:rsidRPr="000A1781" w:rsidRDefault="004502D5" w:rsidP="00002D71">
      <w:pPr>
        <w:ind w:left="1080"/>
      </w:pPr>
      <w:r w:rsidRPr="000A1781">
        <w:t>OSHA will work with OHSB to ensure managers evaluate and monitor the program’s marketing efforts to generate additional requests for state and local government consultation visits. OHSB should adjust its goals as necessary to provide adequate resources when consultation visit activities are projected.  OSHA will continue to monitor this in quarterly meetings to ensure its effectiveness.</w:t>
      </w:r>
    </w:p>
    <w:p w14:paraId="5AFA5EF0" w14:textId="77777777" w:rsidR="00A37796" w:rsidRPr="000A1781" w:rsidRDefault="00A37796" w:rsidP="00002D71">
      <w:pPr>
        <w:ind w:left="720"/>
      </w:pPr>
    </w:p>
    <w:p w14:paraId="31398537" w14:textId="77777777" w:rsidR="004502D5" w:rsidRPr="000A1781" w:rsidRDefault="004502D5" w:rsidP="00002D71">
      <w:pPr>
        <w:ind w:left="1080"/>
      </w:pPr>
      <w:r w:rsidRPr="000A1781">
        <w:t>The MARC Report for Consultation contains five (5) measures. The goal for MARC 1 is to conduct no less than 90% of initial visits in high hazard industries. OHSB conducted 100% (3/3) of their initial state and local government consultation visits in high- hazard industries.</w:t>
      </w:r>
    </w:p>
    <w:p w14:paraId="06B85352" w14:textId="77777777" w:rsidR="004502D5" w:rsidRPr="000A1781" w:rsidRDefault="004502D5" w:rsidP="00002D71">
      <w:pPr>
        <w:ind w:left="1080"/>
      </w:pPr>
      <w:r w:rsidRPr="000A1781">
        <w:t>The MARC 2 goal is to conduct no less than 90% of initial visits in small businesses (defined as no more than 250 employees in the establishment with no more than 500 employers controlled by the employer). OHSB conducted 100% (3/3) of initial visits in establishments with 250 or fewer employees, and 100% (3/3) of initial visits in establishments with 500 or fewer employees controlled by the employer.</w:t>
      </w:r>
    </w:p>
    <w:p w14:paraId="1D401F00" w14:textId="77777777" w:rsidR="004502D5" w:rsidRPr="000A1781" w:rsidRDefault="004502D5" w:rsidP="00002D71">
      <w:pPr>
        <w:ind w:left="720"/>
      </w:pPr>
    </w:p>
    <w:p w14:paraId="68611713" w14:textId="77777777" w:rsidR="004502D5" w:rsidRPr="000A1781" w:rsidRDefault="004502D5" w:rsidP="00002D71">
      <w:pPr>
        <w:ind w:left="1080"/>
      </w:pPr>
      <w:r w:rsidRPr="000A1781">
        <w:t>The MARC 3 goal indicates OHSB consulted with workers in 100% (3/3) of the state and local government sector initial visits, follow-up visits, and training and education visits.</w:t>
      </w:r>
    </w:p>
    <w:p w14:paraId="32F9B402" w14:textId="77777777" w:rsidR="00C15955" w:rsidRPr="000A1781" w:rsidRDefault="00C15955" w:rsidP="00002D71">
      <w:pPr>
        <w:ind w:left="1080"/>
      </w:pPr>
    </w:p>
    <w:p w14:paraId="6FBF2D22" w14:textId="77777777" w:rsidR="004502D5" w:rsidRPr="000A1781" w:rsidRDefault="004502D5" w:rsidP="00002D71">
      <w:pPr>
        <w:ind w:left="1080"/>
      </w:pPr>
      <w:r w:rsidRPr="000A1781">
        <w:t xml:space="preserve">MARC 4 has several subsections, two of which have goals. The first is to ensure that 100% of serious hazards are verified to have been corrected within 14 days of the original correction due date. OHSB verified correction of 100% (6/6) of identified serious hazards within this timeframe. The second goal is to verify correction of at least 65% of serious hazards either on </w:t>
      </w:r>
      <w:r w:rsidRPr="000A1781">
        <w:lastRenderedPageBreak/>
        <w:t>site or by the original correction due date. OHSB verified correction of 100% (6/6) of identified serious hazards either on site or by the original correction due date.</w:t>
      </w:r>
    </w:p>
    <w:p w14:paraId="4301DB8A" w14:textId="77777777" w:rsidR="004502D5" w:rsidRPr="000A1781" w:rsidRDefault="004502D5" w:rsidP="00002D71">
      <w:pPr>
        <w:ind w:left="720"/>
      </w:pPr>
    </w:p>
    <w:p w14:paraId="14336D83" w14:textId="77777777" w:rsidR="004502D5" w:rsidRPr="000A1781" w:rsidRDefault="004502D5" w:rsidP="00002D71">
      <w:pPr>
        <w:ind w:left="1080"/>
      </w:pPr>
      <w:r w:rsidRPr="000A1781">
        <w:t>MARC 5 is the number of serious hazards requiring correction more than 90 days due past due. The goal is zero, and the program had none.</w:t>
      </w:r>
    </w:p>
    <w:p w14:paraId="14B993F5" w14:textId="77777777" w:rsidR="00655653" w:rsidRPr="000A1781" w:rsidRDefault="00655653" w:rsidP="00002D71">
      <w:pPr>
        <w:ind w:left="720"/>
        <w:rPr>
          <w:b/>
          <w:caps/>
        </w:rPr>
      </w:pPr>
    </w:p>
    <w:p w14:paraId="580DE542" w14:textId="130A7F12" w:rsidR="00655653" w:rsidRPr="000A1781" w:rsidRDefault="00655653" w:rsidP="00002D71">
      <w:pPr>
        <w:ind w:left="720" w:firstLine="360"/>
        <w:rPr>
          <w:b/>
          <w:bCs/>
        </w:rPr>
      </w:pPr>
      <w:r w:rsidRPr="000A1781">
        <w:rPr>
          <w:b/>
          <w:bCs/>
        </w:rPr>
        <w:t>State and Local Government 23(g) Consultation Program Findings</w:t>
      </w:r>
    </w:p>
    <w:p w14:paraId="254B3F95" w14:textId="77777777" w:rsidR="00F96DC8" w:rsidRPr="000A1781" w:rsidRDefault="00F96DC8" w:rsidP="00002D71">
      <w:pPr>
        <w:ind w:left="720" w:firstLine="360"/>
        <w:rPr>
          <w:b/>
          <w:bCs/>
        </w:rPr>
      </w:pPr>
    </w:p>
    <w:p w14:paraId="4C45F9DC" w14:textId="4F4D38AF" w:rsidR="003E2820" w:rsidRPr="000A1781" w:rsidRDefault="003E2820" w:rsidP="00002D71">
      <w:pPr>
        <w:ind w:left="1080"/>
      </w:pPr>
      <w:r w:rsidRPr="000A1781">
        <w:rPr>
          <w:b/>
          <w:bCs/>
        </w:rPr>
        <w:t>Finding FY 2023-</w:t>
      </w:r>
      <w:r w:rsidR="007A23A5" w:rsidRPr="000A1781">
        <w:rPr>
          <w:b/>
          <w:bCs/>
        </w:rPr>
        <w:t>09</w:t>
      </w:r>
      <w:r w:rsidR="00D71DE5" w:rsidRPr="000A1781">
        <w:rPr>
          <w:b/>
          <w:bCs/>
        </w:rPr>
        <w:t>:</w:t>
      </w:r>
      <w:r w:rsidR="00093AEC" w:rsidRPr="000A1781">
        <w:rPr>
          <w:b/>
          <w:bCs/>
        </w:rPr>
        <w:t xml:space="preserve"> </w:t>
      </w:r>
      <w:r w:rsidR="00877AE9" w:rsidRPr="000A1781">
        <w:t xml:space="preserve">In two out of three (66%) files reviewed, NM OHSB did not send the List of Hazards to the union within twenty days after the closing conference. In the two casefile reviews, </w:t>
      </w:r>
      <w:r w:rsidR="00877AE9" w:rsidRPr="000A1781">
        <w:rPr>
          <w:rFonts w:eastAsia="Aptos"/>
          <w:iCs/>
        </w:rPr>
        <w:t xml:space="preserve">visit no. 335507 and visit no. 316964, </w:t>
      </w:r>
      <w:r w:rsidR="00877AE9" w:rsidRPr="000A1781">
        <w:rPr>
          <w:iCs/>
        </w:rPr>
        <w:t>no union</w:t>
      </w:r>
      <w:r w:rsidR="00877AE9" w:rsidRPr="000A1781">
        <w:t xml:space="preserve"> official was sent a copy of the written report to the employer. (Reference 29 CFR 1908.6(e)(8) and CPPM (Consultation Policy and Procedures Manual) Chapter 4, Section III.E.)</w:t>
      </w:r>
    </w:p>
    <w:p w14:paraId="1FC91DCF" w14:textId="77777777" w:rsidR="00A37796" w:rsidRPr="000A1781" w:rsidRDefault="00A37796" w:rsidP="00002D71">
      <w:pPr>
        <w:ind w:left="720"/>
      </w:pPr>
    </w:p>
    <w:p w14:paraId="338F57B2" w14:textId="0C482CCC" w:rsidR="003E2820" w:rsidRPr="000A1781" w:rsidRDefault="003E2820" w:rsidP="00002D71">
      <w:pPr>
        <w:ind w:left="1080"/>
      </w:pPr>
      <w:r w:rsidRPr="000A1781">
        <w:rPr>
          <w:b/>
          <w:bCs/>
        </w:rPr>
        <w:t>Recommendation</w:t>
      </w:r>
      <w:r w:rsidR="00D71DE5" w:rsidRPr="000A1781">
        <w:rPr>
          <w:b/>
          <w:bCs/>
        </w:rPr>
        <w:t>:</w:t>
      </w:r>
      <w:r w:rsidRPr="000A1781">
        <w:rPr>
          <w:b/>
          <w:bCs/>
        </w:rPr>
        <w:t xml:space="preserve"> </w:t>
      </w:r>
      <w:r w:rsidRPr="000A1781">
        <w:t xml:space="preserve">Send the List of Hazards to union officials within 20-working days of the closing conference per Chapter 4, Section III.E. of the CPPM and 29 CFR 1908.6(e)(8). </w:t>
      </w:r>
    </w:p>
    <w:p w14:paraId="0ACBAE76" w14:textId="77777777" w:rsidR="00A37796" w:rsidRPr="000A1781" w:rsidRDefault="00A37796" w:rsidP="00002D71">
      <w:pPr>
        <w:ind w:left="720"/>
      </w:pPr>
    </w:p>
    <w:p w14:paraId="45CB2703" w14:textId="30A9C649" w:rsidR="00655653" w:rsidRPr="000A1781" w:rsidRDefault="00655653" w:rsidP="00002D71">
      <w:pPr>
        <w:pStyle w:val="Default"/>
        <w:ind w:left="720" w:firstLine="360"/>
        <w:rPr>
          <w:b/>
          <w:bCs/>
        </w:rPr>
      </w:pPr>
      <w:r w:rsidRPr="000A1781">
        <w:rPr>
          <w:b/>
          <w:bCs/>
        </w:rPr>
        <w:t>State and Local Government 23(g) Consultation Program Observations</w:t>
      </w:r>
    </w:p>
    <w:p w14:paraId="2BDDD106" w14:textId="77777777" w:rsidR="003E2820" w:rsidRPr="000A1781" w:rsidRDefault="003E2820" w:rsidP="00002D71">
      <w:pPr>
        <w:pStyle w:val="Default"/>
        <w:ind w:left="720"/>
      </w:pPr>
    </w:p>
    <w:p w14:paraId="05C62917" w14:textId="25E4167D" w:rsidR="00010DC2" w:rsidRPr="000A1781" w:rsidRDefault="00010DC2" w:rsidP="00010DC2">
      <w:pPr>
        <w:ind w:left="1080"/>
      </w:pPr>
      <w:r w:rsidRPr="000A1781">
        <w:t xml:space="preserve"> </w:t>
      </w:r>
      <w:bookmarkStart w:id="11" w:name="_Hlk162251757"/>
      <w:r w:rsidRPr="000A1781">
        <w:rPr>
          <w:b/>
          <w:bCs/>
        </w:rPr>
        <w:t>Observation-2023-OB-06:</w:t>
      </w:r>
      <w:r w:rsidRPr="000A1781">
        <w:t xml:space="preserve"> The review showed two out of three (66%) casefiles did not include the Bureau of Labor Statistics (BLS) rates for the establishment’s industry average Days Away, Restricted, or Transferred (DART), and Total Recordable Case (TRC) rates in the Executive Summary of the Written Report to the Employer for the employer’s reference. (Reference: CPPM, Chapter 6, Section I.C.1.f.)</w:t>
      </w:r>
      <w:bookmarkEnd w:id="11"/>
      <w:r w:rsidRPr="000A1781">
        <w:t>.</w:t>
      </w:r>
    </w:p>
    <w:p w14:paraId="0C3162DB" w14:textId="77777777" w:rsidR="00010DC2" w:rsidRPr="000A1781" w:rsidRDefault="00010DC2" w:rsidP="00010DC2"/>
    <w:p w14:paraId="5DAA2B9F" w14:textId="21AE468D" w:rsidR="00010DC2" w:rsidRPr="000A1781" w:rsidRDefault="00010DC2" w:rsidP="00010DC2">
      <w:pPr>
        <w:ind w:left="1080"/>
      </w:pPr>
      <w:r w:rsidRPr="000A1781">
        <w:rPr>
          <w:b/>
          <w:bCs/>
        </w:rPr>
        <w:t xml:space="preserve">Federal Monitoring Plan: </w:t>
      </w:r>
      <w:r w:rsidRPr="000A1781">
        <w:t xml:space="preserve">OSHA will continue to monitor performance in this area during quarterly meetings and will encourage OHSB to ensure that all the Written Report to the Employer include a comparison of the establishment’s Days Away, Restricted, or Transferred (DART) rate, and Total Recordable Case (TRC) rate to the Bureau of Labor Statistics (BLS) rates for the industry in the Executive Summary.  If the employer does not maintain injury and illness logs, the industry average rates should be provided. </w:t>
      </w:r>
    </w:p>
    <w:p w14:paraId="0D667019" w14:textId="77777777" w:rsidR="00010DC2" w:rsidRPr="000A1781" w:rsidRDefault="00010DC2" w:rsidP="00002D71">
      <w:pPr>
        <w:pStyle w:val="Default"/>
        <w:ind w:left="720"/>
      </w:pPr>
    </w:p>
    <w:p w14:paraId="08D30063" w14:textId="04C72F31" w:rsidR="003E2820" w:rsidRPr="000A1781" w:rsidRDefault="003E2820" w:rsidP="00002D71">
      <w:pPr>
        <w:ind w:left="1080"/>
      </w:pPr>
      <w:r w:rsidRPr="000A1781">
        <w:rPr>
          <w:b/>
          <w:bCs/>
        </w:rPr>
        <w:t>Observation</w:t>
      </w:r>
      <w:r w:rsidR="00C15955" w:rsidRPr="000A1781">
        <w:rPr>
          <w:b/>
          <w:bCs/>
        </w:rPr>
        <w:t xml:space="preserve"> FY </w:t>
      </w:r>
      <w:r w:rsidRPr="000A1781">
        <w:rPr>
          <w:b/>
          <w:bCs/>
        </w:rPr>
        <w:t>2023</w:t>
      </w:r>
      <w:r w:rsidR="00A974AF" w:rsidRPr="000A1781">
        <w:rPr>
          <w:b/>
          <w:bCs/>
        </w:rPr>
        <w:t>-OB-</w:t>
      </w:r>
      <w:r w:rsidRPr="000A1781">
        <w:rPr>
          <w:b/>
          <w:bCs/>
        </w:rPr>
        <w:t>0</w:t>
      </w:r>
      <w:r w:rsidR="00096639" w:rsidRPr="000A1781">
        <w:rPr>
          <w:b/>
          <w:bCs/>
        </w:rPr>
        <w:t>7</w:t>
      </w:r>
      <w:r w:rsidRPr="000A1781">
        <w:rPr>
          <w:b/>
          <w:bCs/>
        </w:rPr>
        <w:t xml:space="preserve">: </w:t>
      </w:r>
      <w:r w:rsidRPr="000A1781">
        <w:t xml:space="preserve">In 3 out 3 files reviewed (100%) the files showed local and state government employers were scored as NE- not evaluated on the Form-33 attributes when sufficient data had been collected by the consultant to adequately score them. </w:t>
      </w:r>
    </w:p>
    <w:p w14:paraId="21C2932F" w14:textId="77777777" w:rsidR="003E2820" w:rsidRPr="000A1781" w:rsidRDefault="003E2820" w:rsidP="00002D71">
      <w:pPr>
        <w:ind w:left="1080"/>
      </w:pPr>
      <w:r w:rsidRPr="000A1781">
        <w:t xml:space="preserve">For example, in all on the consultation files reviewed when employers had experienced OSHA recordable injuries in prior years, or the consultant had identified numerous serious hazards applicable attributes not evaluated when they could have been by the consultant. </w:t>
      </w:r>
    </w:p>
    <w:p w14:paraId="409534E9" w14:textId="77777777" w:rsidR="003E2820" w:rsidRPr="000A1781" w:rsidRDefault="003E2820" w:rsidP="00002D71">
      <w:pPr>
        <w:ind w:left="1080"/>
      </w:pPr>
      <w:r w:rsidRPr="000A1781">
        <w:t>In each of these consultation visits a limited visit was conducted in a general industry establishment. The comments and ratings found on the Form-33 were not correlated well with entries on the OSHA 300 logs and serious hazards identified by the consultant in relation to the deficiencies in employer’s safety and health program.  (Reference: 29 CFR 1908.6(e)(3) CPPM, Chapter 4, Section II. B.3 and D.1, E. and F.)</w:t>
      </w:r>
    </w:p>
    <w:p w14:paraId="3B3DED2B" w14:textId="77777777" w:rsidR="003E2820" w:rsidRPr="000A1781" w:rsidRDefault="003E2820" w:rsidP="00002D71">
      <w:pPr>
        <w:pStyle w:val="Default"/>
        <w:ind w:left="720"/>
      </w:pPr>
    </w:p>
    <w:p w14:paraId="51C058EC" w14:textId="659F72B1" w:rsidR="003E2820" w:rsidRPr="000A1781" w:rsidRDefault="003E2820" w:rsidP="00002D71">
      <w:pPr>
        <w:pStyle w:val="Default"/>
        <w:ind w:left="1080"/>
      </w:pPr>
      <w:r w:rsidRPr="000A1781">
        <w:rPr>
          <w:b/>
          <w:bCs/>
        </w:rPr>
        <w:t>Federal Monitoring Plan:</w:t>
      </w:r>
      <w:r w:rsidR="00621BA7" w:rsidRPr="000A1781">
        <w:rPr>
          <w:b/>
          <w:bCs/>
        </w:rPr>
        <w:t xml:space="preserve"> </w:t>
      </w:r>
      <w:r w:rsidRPr="000A1781">
        <w:t>OSHA will continue to monitor performance in this area during quarterly meetings and will encourage OHSB to ensure that consultants on the Form-33 will include attribute assessed, and the consultants will complete the comments section of the Form 33 by adding a summary of findings (i.e., adequacies and deficiencies) and any recommendations for the employer.</w:t>
      </w:r>
    </w:p>
    <w:p w14:paraId="784E30B5" w14:textId="77777777" w:rsidR="00AF3A70" w:rsidRPr="000A1781" w:rsidRDefault="00AF3A70" w:rsidP="00002D71">
      <w:pPr>
        <w:pStyle w:val="Default"/>
        <w:ind w:left="1080"/>
      </w:pPr>
    </w:p>
    <w:p w14:paraId="1D56961A" w14:textId="77777777" w:rsidR="00AF3A70" w:rsidRPr="000A1781" w:rsidRDefault="00AF3A70" w:rsidP="00AF3A70">
      <w:pPr>
        <w:pStyle w:val="Default"/>
        <w:ind w:left="1080"/>
      </w:pPr>
      <w:r w:rsidRPr="000A1781">
        <w:t xml:space="preserve">It is recommended that the CPM shall ensure that consultants, on the Form-33, will include each attribute assessed, and the consultants will complete the comments section of the Form 33 by adding a summary of findings (i.e., adequacies and deficiencies) and any recommendations for the employer. The recommendations must be based on the findings (e.g., how to correct identified deficiencies or continuous improvement measures). </w:t>
      </w:r>
    </w:p>
    <w:p w14:paraId="7546F990" w14:textId="77777777" w:rsidR="00C15955" w:rsidRPr="000A1781" w:rsidRDefault="00C15955" w:rsidP="00002D71">
      <w:pPr>
        <w:pStyle w:val="Default"/>
        <w:ind w:left="1080"/>
      </w:pPr>
    </w:p>
    <w:p w14:paraId="4923464A" w14:textId="42D0C1D2" w:rsidR="00C15955" w:rsidRPr="000A1781" w:rsidRDefault="00C15955" w:rsidP="009C1982">
      <w:pPr>
        <w:pStyle w:val="Default"/>
        <w:ind w:left="1080"/>
      </w:pPr>
      <w:bookmarkStart w:id="12" w:name="_Hlk162251702"/>
      <w:r w:rsidRPr="000A1781">
        <w:rPr>
          <w:b/>
          <w:bCs/>
        </w:rPr>
        <w:t>Observation FY 2023-OB-08:</w:t>
      </w:r>
      <w:r w:rsidRPr="000A1781">
        <w:t xml:space="preserve"> </w:t>
      </w:r>
      <w:r w:rsidR="009C1982" w:rsidRPr="000A1781">
        <w:t xml:space="preserve">NM OSHB has experienced some delays in procurement of adequate technical equipment and personal protective equipment (PPE) i.e. (foot protection) for use by consultants. NM OHSB Consultants have not conducted any visits without proper equipment, procurement processes should be evaluated to ensure that necessary Industrial Hygiene equipment and PPE is available and </w:t>
      </w:r>
      <w:r w:rsidR="0025444C" w:rsidRPr="000A1781">
        <w:t>calibrated for immediate use</w:t>
      </w:r>
      <w:r w:rsidR="009C1982" w:rsidRPr="000A1781">
        <w:t xml:space="preserve"> to ensure that consultants are able to perform work and training assignments in a timely manner</w:t>
      </w:r>
      <w:r w:rsidRPr="000A1781">
        <w:t xml:space="preserve"> (Reference-29 CFR 1908.6(a)), CPPM- Chapter 4 Section I., Appendix K- Consultant Function – Competency Statements and Consultant Qualifications. </w:t>
      </w:r>
    </w:p>
    <w:p w14:paraId="694C5A26" w14:textId="77777777" w:rsidR="00C15955" w:rsidRPr="000A1781" w:rsidRDefault="00C15955" w:rsidP="00C15955">
      <w:pPr>
        <w:pStyle w:val="Default"/>
        <w:ind w:left="720"/>
      </w:pPr>
    </w:p>
    <w:p w14:paraId="03F780D9" w14:textId="77777777" w:rsidR="00C15955" w:rsidRPr="000A1781" w:rsidRDefault="00C15955" w:rsidP="00C15955">
      <w:pPr>
        <w:pStyle w:val="Default"/>
        <w:ind w:left="1080"/>
      </w:pPr>
      <w:r w:rsidRPr="000A1781">
        <w:rPr>
          <w:b/>
          <w:bCs/>
        </w:rPr>
        <w:t xml:space="preserve">Federal Monitoring Plan: </w:t>
      </w:r>
      <w:r w:rsidRPr="000A1781">
        <w:t>OSHA will continue to monitor performance in this area during quarterly meetings and will encourage OHSB to provide updates on procurement of technical equipment and protective equipment to include any issues with timely procurement.</w:t>
      </w:r>
    </w:p>
    <w:p w14:paraId="44C990C9" w14:textId="77777777" w:rsidR="00010DC2" w:rsidRPr="000A1781" w:rsidRDefault="00010DC2" w:rsidP="00C15955">
      <w:pPr>
        <w:pStyle w:val="Default"/>
        <w:ind w:left="1080"/>
      </w:pPr>
    </w:p>
    <w:bookmarkEnd w:id="12"/>
    <w:p w14:paraId="75513D16" w14:textId="7F8E596C" w:rsidR="001567A4" w:rsidRPr="000A1781" w:rsidRDefault="00C6613B" w:rsidP="00002D71">
      <w:pPr>
        <w:rPr>
          <w:b/>
          <w:caps/>
        </w:rPr>
      </w:pPr>
      <w:r w:rsidRPr="000A1781">
        <w:rPr>
          <w:b/>
        </w:rPr>
        <w:t xml:space="preserve">           </w:t>
      </w:r>
      <w:r w:rsidR="001567A4" w:rsidRPr="000A1781">
        <w:rPr>
          <w:b/>
        </w:rPr>
        <w:t xml:space="preserve">11.  </w:t>
      </w:r>
      <w:r w:rsidRPr="000A1781">
        <w:rPr>
          <w:b/>
        </w:rPr>
        <w:t xml:space="preserve"> </w:t>
      </w:r>
      <w:r w:rsidR="001567A4" w:rsidRPr="000A1781">
        <w:rPr>
          <w:b/>
          <w:caps/>
        </w:rPr>
        <w:t>Private Sector 23</w:t>
      </w:r>
      <w:r w:rsidR="001567A4" w:rsidRPr="000A1781">
        <w:rPr>
          <w:b/>
        </w:rPr>
        <w:t>(g)</w:t>
      </w:r>
      <w:r w:rsidR="001567A4" w:rsidRPr="000A1781">
        <w:rPr>
          <w:b/>
          <w:caps/>
        </w:rPr>
        <w:t xml:space="preserve"> On-site Consultation Program </w:t>
      </w:r>
    </w:p>
    <w:p w14:paraId="7E2F93D7" w14:textId="77777777" w:rsidR="00492DBF" w:rsidRPr="000A1781" w:rsidRDefault="00492DBF" w:rsidP="00002D71">
      <w:pPr>
        <w:rPr>
          <w:i/>
        </w:rPr>
      </w:pPr>
    </w:p>
    <w:p w14:paraId="1490B740" w14:textId="4FC57C54" w:rsidR="003E2820" w:rsidRPr="000A1781" w:rsidRDefault="00492DBF" w:rsidP="00002D71">
      <w:pPr>
        <w:pStyle w:val="Default"/>
        <w:ind w:left="1080"/>
      </w:pPr>
      <w:r w:rsidRPr="000A1781">
        <w:t>Private Sector</w:t>
      </w:r>
      <w:r w:rsidRPr="000A1781">
        <w:rPr>
          <w:b/>
          <w:bCs/>
        </w:rPr>
        <w:t xml:space="preserve"> </w:t>
      </w:r>
      <w:r w:rsidR="003E2820" w:rsidRPr="000A1781">
        <w:t>consultation services are provided in New Mexico under a 21(d) Cooperative Agreement, and state and local government agencies consultation services are provided under the 23(g) State Plan grant. Performance related to 21(d) funding work is reported in the Regional Annual Consultation Evaluation Report (RACER).</w:t>
      </w:r>
    </w:p>
    <w:p w14:paraId="1AEBE6B9" w14:textId="77777777" w:rsidR="00D20A8D" w:rsidRPr="000A1781" w:rsidRDefault="00D20A8D" w:rsidP="00002D71">
      <w:pPr>
        <w:rPr>
          <w:i/>
        </w:rPr>
        <w:sectPr w:rsidR="00D20A8D" w:rsidRPr="000A1781" w:rsidSect="000A1781">
          <w:footerReference w:type="even" r:id="rId10"/>
          <w:footerReference w:type="default" r:id="rId11"/>
          <w:footerReference w:type="first" r:id="rId12"/>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643"/>
        <w:gridCol w:w="4742"/>
        <w:gridCol w:w="4590"/>
        <w:gridCol w:w="1895"/>
      </w:tblGrid>
      <w:tr w:rsidR="001567A4" w:rsidRPr="000A1781" w14:paraId="63C1299D" w14:textId="77777777" w:rsidTr="006259D9">
        <w:trPr>
          <w:trHeight w:val="350"/>
          <w:tblHeader/>
        </w:trPr>
        <w:tc>
          <w:tcPr>
            <w:tcW w:w="1643" w:type="dxa"/>
            <w:shd w:val="clear" w:color="auto" w:fill="44546A" w:themeFill="text2"/>
          </w:tcPr>
          <w:p w14:paraId="66FF089E" w14:textId="5F226DA6" w:rsidR="001567A4" w:rsidRPr="000A1781" w:rsidRDefault="001567A4" w:rsidP="00002D71">
            <w:pPr>
              <w:widowControl/>
              <w:autoSpaceDE/>
              <w:autoSpaceDN/>
              <w:adjustRightInd/>
              <w:jc w:val="center"/>
              <w:rPr>
                <w:b/>
                <w:color w:val="FFFFFF" w:themeColor="background1"/>
              </w:rPr>
            </w:pPr>
            <w:r w:rsidRPr="000A1781">
              <w:rPr>
                <w:b/>
                <w:color w:val="FFFFFF" w:themeColor="background1"/>
              </w:rPr>
              <w:lastRenderedPageBreak/>
              <w:t>FY 20</w:t>
            </w:r>
            <w:r w:rsidR="0033106F">
              <w:rPr>
                <w:b/>
                <w:color w:val="FFFFFF" w:themeColor="background1"/>
              </w:rPr>
              <w:t>23</w:t>
            </w:r>
            <w:r w:rsidRPr="000A1781">
              <w:rPr>
                <w:b/>
                <w:color w:val="FFFFFF" w:themeColor="background1"/>
              </w:rPr>
              <w:t>-#</w:t>
            </w:r>
          </w:p>
        </w:tc>
        <w:tc>
          <w:tcPr>
            <w:tcW w:w="4742" w:type="dxa"/>
            <w:shd w:val="clear" w:color="auto" w:fill="44546A" w:themeFill="text2"/>
          </w:tcPr>
          <w:p w14:paraId="60FA8531" w14:textId="77777777" w:rsidR="001567A4" w:rsidRPr="000A1781" w:rsidRDefault="001567A4" w:rsidP="00002D71">
            <w:pPr>
              <w:widowControl/>
              <w:autoSpaceDE/>
              <w:autoSpaceDN/>
              <w:adjustRightInd/>
              <w:jc w:val="center"/>
              <w:rPr>
                <w:b/>
                <w:color w:val="FFFFFF" w:themeColor="background1"/>
              </w:rPr>
            </w:pPr>
            <w:r w:rsidRPr="000A1781">
              <w:rPr>
                <w:b/>
                <w:color w:val="FFFFFF" w:themeColor="background1"/>
              </w:rPr>
              <w:t>Finding</w:t>
            </w:r>
          </w:p>
        </w:tc>
        <w:tc>
          <w:tcPr>
            <w:tcW w:w="4590" w:type="dxa"/>
            <w:shd w:val="clear" w:color="auto" w:fill="44546A" w:themeFill="text2"/>
          </w:tcPr>
          <w:p w14:paraId="05D482F2" w14:textId="77777777" w:rsidR="001567A4" w:rsidRPr="000A1781" w:rsidRDefault="001567A4" w:rsidP="00002D71">
            <w:pPr>
              <w:widowControl/>
              <w:autoSpaceDE/>
              <w:autoSpaceDN/>
              <w:adjustRightInd/>
              <w:jc w:val="center"/>
              <w:rPr>
                <w:b/>
                <w:color w:val="FFFFFF" w:themeColor="background1"/>
              </w:rPr>
            </w:pPr>
            <w:r w:rsidRPr="000A1781">
              <w:rPr>
                <w:b/>
                <w:color w:val="FFFFFF" w:themeColor="background1"/>
              </w:rPr>
              <w:t>Recommendation</w:t>
            </w:r>
          </w:p>
        </w:tc>
        <w:tc>
          <w:tcPr>
            <w:tcW w:w="1895" w:type="dxa"/>
            <w:shd w:val="clear" w:color="auto" w:fill="44546A" w:themeFill="text2"/>
          </w:tcPr>
          <w:p w14:paraId="44B01EBC" w14:textId="77777777" w:rsidR="001567A4" w:rsidRPr="000A1781" w:rsidRDefault="001567A4" w:rsidP="00002D71">
            <w:pPr>
              <w:widowControl/>
              <w:autoSpaceDE/>
              <w:autoSpaceDN/>
              <w:adjustRightInd/>
              <w:jc w:val="center"/>
              <w:rPr>
                <w:b/>
                <w:color w:val="FFFFFF" w:themeColor="background1"/>
              </w:rPr>
            </w:pPr>
            <w:r w:rsidRPr="000A1781">
              <w:rPr>
                <w:b/>
                <w:color w:val="FFFFFF" w:themeColor="background1"/>
              </w:rPr>
              <w:t xml:space="preserve">FY 20XX-# or </w:t>
            </w:r>
          </w:p>
          <w:p w14:paraId="3397DB34" w14:textId="77777777" w:rsidR="001567A4" w:rsidRPr="000A1781" w:rsidRDefault="001567A4" w:rsidP="00002D71">
            <w:pPr>
              <w:widowControl/>
              <w:autoSpaceDE/>
              <w:autoSpaceDN/>
              <w:adjustRightInd/>
              <w:jc w:val="center"/>
              <w:rPr>
                <w:b/>
                <w:color w:val="FFFFFF" w:themeColor="background1"/>
              </w:rPr>
            </w:pPr>
            <w:r w:rsidRPr="000A1781">
              <w:rPr>
                <w:b/>
                <w:color w:val="FFFFFF" w:themeColor="background1"/>
              </w:rPr>
              <w:t>FY 20XX-OB-#</w:t>
            </w:r>
          </w:p>
        </w:tc>
      </w:tr>
      <w:tr w:rsidR="00E201E4" w:rsidRPr="000A1781" w14:paraId="3BC408AF" w14:textId="77777777" w:rsidTr="006259D9">
        <w:tc>
          <w:tcPr>
            <w:tcW w:w="1643" w:type="dxa"/>
          </w:tcPr>
          <w:p w14:paraId="149CE6BF" w14:textId="1DA632BA" w:rsidR="00E201E4" w:rsidRPr="000A1781" w:rsidRDefault="00E201E4" w:rsidP="00002D71">
            <w:pPr>
              <w:widowControl/>
              <w:autoSpaceDE/>
              <w:autoSpaceDN/>
              <w:adjustRightInd/>
            </w:pPr>
            <w:r w:rsidRPr="000A1781">
              <w:t>FY 2023-01</w:t>
            </w:r>
          </w:p>
          <w:p w14:paraId="1D9763AA" w14:textId="1F84FF48" w:rsidR="00E201E4" w:rsidRPr="000A1781" w:rsidRDefault="00E201E4" w:rsidP="00002D71">
            <w:pPr>
              <w:widowControl/>
              <w:autoSpaceDE/>
              <w:autoSpaceDN/>
              <w:adjustRightInd/>
            </w:pPr>
          </w:p>
        </w:tc>
        <w:tc>
          <w:tcPr>
            <w:tcW w:w="4742" w:type="dxa"/>
          </w:tcPr>
          <w:p w14:paraId="53D72728" w14:textId="26BB13D9" w:rsidR="00E201E4" w:rsidRPr="000A1781" w:rsidRDefault="00E201E4" w:rsidP="00002D71">
            <w:pPr>
              <w:widowControl/>
              <w:autoSpaceDE/>
              <w:autoSpaceDN/>
              <w:adjustRightInd/>
            </w:pPr>
            <w:r w:rsidRPr="000A1781">
              <w:t>In FY 20</w:t>
            </w:r>
            <w:r w:rsidR="00954F6B" w:rsidRPr="000A1781">
              <w:t>23</w:t>
            </w:r>
            <w:r w:rsidRPr="000A1781">
              <w:t xml:space="preserve">, </w:t>
            </w:r>
            <w:r w:rsidR="00AA203D" w:rsidRPr="000A1781">
              <w:t xml:space="preserve">24 </w:t>
            </w:r>
            <w:r w:rsidRPr="000A1781">
              <w:t>of</w:t>
            </w:r>
            <w:r w:rsidRPr="000A1781">
              <w:rPr>
                <w:spacing w:val="-6"/>
              </w:rPr>
              <w:t xml:space="preserve"> </w:t>
            </w:r>
            <w:r w:rsidRPr="000A1781">
              <w:t>the</w:t>
            </w:r>
            <w:r w:rsidRPr="000A1781">
              <w:rPr>
                <w:spacing w:val="-5"/>
              </w:rPr>
              <w:t xml:space="preserve"> </w:t>
            </w:r>
            <w:r w:rsidRPr="000A1781">
              <w:t>total</w:t>
            </w:r>
            <w:r w:rsidR="00AA203D" w:rsidRPr="000A1781">
              <w:t xml:space="preserve"> 52 </w:t>
            </w:r>
            <w:r w:rsidRPr="000A1781">
              <w:t>inspections</w:t>
            </w:r>
            <w:r w:rsidRPr="000A1781">
              <w:rPr>
                <w:spacing w:val="-5"/>
              </w:rPr>
              <w:t xml:space="preserve"> </w:t>
            </w:r>
            <w:r w:rsidRPr="000A1781">
              <w:t>reviewed</w:t>
            </w:r>
            <w:r w:rsidRPr="000A1781">
              <w:rPr>
                <w:spacing w:val="-7"/>
              </w:rPr>
              <w:t xml:space="preserve"> </w:t>
            </w:r>
            <w:r w:rsidRPr="000A1781">
              <w:t>(</w:t>
            </w:r>
            <w:r w:rsidR="001D6DC7" w:rsidRPr="000A1781">
              <w:t>46</w:t>
            </w:r>
            <w:r w:rsidRPr="000A1781">
              <w:t>%) lacked documentation of employee contact or interview where 100% were reportedly interviewed</w:t>
            </w:r>
            <w:r w:rsidRPr="000A1781">
              <w:rPr>
                <w:spacing w:val="-1"/>
              </w:rPr>
              <w:t xml:space="preserve"> </w:t>
            </w:r>
            <w:r w:rsidRPr="000A1781">
              <w:t>(SAMM</w:t>
            </w:r>
            <w:r w:rsidRPr="000A1781">
              <w:rPr>
                <w:spacing w:val="-2"/>
              </w:rPr>
              <w:t xml:space="preserve"> </w:t>
            </w:r>
            <w:r w:rsidRPr="000A1781">
              <w:rPr>
                <w:spacing w:val="-5"/>
              </w:rPr>
              <w:t>13).</w:t>
            </w:r>
          </w:p>
        </w:tc>
        <w:tc>
          <w:tcPr>
            <w:tcW w:w="4590" w:type="dxa"/>
          </w:tcPr>
          <w:p w14:paraId="0005FE6E" w14:textId="05D655D4" w:rsidR="00E201E4" w:rsidRPr="000A1781" w:rsidRDefault="00351F11" w:rsidP="00002D71">
            <w:pPr>
              <w:widowControl/>
              <w:autoSpaceDE/>
              <w:autoSpaceDN/>
              <w:adjustRightInd/>
            </w:pPr>
            <w:r w:rsidRPr="000A1781">
              <w:t>OSHB should e</w:t>
            </w:r>
            <w:r w:rsidR="00E201E4" w:rsidRPr="000A1781">
              <w:t>nsure</w:t>
            </w:r>
            <w:r w:rsidR="00E201E4" w:rsidRPr="000A1781">
              <w:rPr>
                <w:spacing w:val="-7"/>
              </w:rPr>
              <w:t xml:space="preserve"> </w:t>
            </w:r>
            <w:r w:rsidR="00E201E4" w:rsidRPr="000A1781">
              <w:t>compliance officers</w:t>
            </w:r>
            <w:r w:rsidR="00E201E4" w:rsidRPr="000A1781">
              <w:rPr>
                <w:spacing w:val="-8"/>
              </w:rPr>
              <w:t xml:space="preserve"> </w:t>
            </w:r>
            <w:r w:rsidR="00E201E4" w:rsidRPr="000A1781">
              <w:t>conduct</w:t>
            </w:r>
            <w:r w:rsidR="00E201E4" w:rsidRPr="000A1781">
              <w:rPr>
                <w:spacing w:val="-8"/>
              </w:rPr>
              <w:t xml:space="preserve"> </w:t>
            </w:r>
            <w:r w:rsidR="00E201E4" w:rsidRPr="000A1781">
              <w:t>and</w:t>
            </w:r>
            <w:r w:rsidR="00E201E4" w:rsidRPr="000A1781">
              <w:rPr>
                <w:spacing w:val="-8"/>
              </w:rPr>
              <w:t xml:space="preserve"> </w:t>
            </w:r>
            <w:r w:rsidR="00E201E4" w:rsidRPr="000A1781">
              <w:t>document</w:t>
            </w:r>
            <w:r w:rsidR="00E201E4" w:rsidRPr="000A1781">
              <w:rPr>
                <w:spacing w:val="-8"/>
              </w:rPr>
              <w:t xml:space="preserve"> </w:t>
            </w:r>
            <w:r w:rsidR="00E201E4" w:rsidRPr="000A1781">
              <w:t>employee interviews as required by the OHSB FOM Chapter 3.</w:t>
            </w:r>
          </w:p>
        </w:tc>
        <w:tc>
          <w:tcPr>
            <w:tcW w:w="1895" w:type="dxa"/>
          </w:tcPr>
          <w:p w14:paraId="00FE6DB9" w14:textId="5DF877E8" w:rsidR="00E201E4" w:rsidRPr="000A1781" w:rsidRDefault="00E201E4" w:rsidP="00002D71">
            <w:pPr>
              <w:widowControl/>
              <w:autoSpaceDE/>
              <w:autoSpaceDN/>
              <w:adjustRightInd/>
            </w:pPr>
            <w:r w:rsidRPr="000A1781">
              <w:t>FY 2022-01, FY</w:t>
            </w:r>
            <w:r w:rsidRPr="000A1781">
              <w:rPr>
                <w:spacing w:val="-5"/>
              </w:rPr>
              <w:t xml:space="preserve"> </w:t>
            </w:r>
            <w:r w:rsidRPr="000A1781">
              <w:t>2021‐01,</w:t>
            </w:r>
            <w:r w:rsidRPr="000A1781">
              <w:rPr>
                <w:spacing w:val="-3"/>
              </w:rPr>
              <w:t xml:space="preserve"> </w:t>
            </w:r>
            <w:r w:rsidRPr="000A1781">
              <w:rPr>
                <w:spacing w:val="-5"/>
              </w:rPr>
              <w:t xml:space="preserve">FY </w:t>
            </w:r>
            <w:r w:rsidRPr="000A1781">
              <w:t>2020‐01,</w:t>
            </w:r>
            <w:r w:rsidRPr="000A1781">
              <w:rPr>
                <w:spacing w:val="-4"/>
              </w:rPr>
              <w:t xml:space="preserve"> </w:t>
            </w:r>
            <w:r w:rsidRPr="000A1781">
              <w:rPr>
                <w:spacing w:val="-5"/>
              </w:rPr>
              <w:t xml:space="preserve">FY </w:t>
            </w:r>
            <w:r w:rsidRPr="000A1781">
              <w:t>2019‐01</w:t>
            </w:r>
          </w:p>
        </w:tc>
      </w:tr>
      <w:tr w:rsidR="00E201E4" w:rsidRPr="000A1781" w14:paraId="0EF0D3E4" w14:textId="77777777" w:rsidTr="006259D9">
        <w:tc>
          <w:tcPr>
            <w:tcW w:w="1643" w:type="dxa"/>
          </w:tcPr>
          <w:p w14:paraId="382455E6" w14:textId="77777777" w:rsidR="00E201E4" w:rsidRPr="000A1781" w:rsidRDefault="00E201E4" w:rsidP="00002D71">
            <w:pPr>
              <w:widowControl/>
              <w:autoSpaceDE/>
              <w:autoSpaceDN/>
              <w:adjustRightInd/>
            </w:pPr>
            <w:r w:rsidRPr="000A1781">
              <w:t>FY 2023-02</w:t>
            </w:r>
          </w:p>
          <w:p w14:paraId="78537289" w14:textId="4C422919" w:rsidR="00E201E4" w:rsidRPr="000A1781" w:rsidRDefault="00E201E4" w:rsidP="00002D71">
            <w:pPr>
              <w:widowControl/>
              <w:autoSpaceDE/>
              <w:autoSpaceDN/>
              <w:adjustRightInd/>
            </w:pPr>
          </w:p>
        </w:tc>
        <w:tc>
          <w:tcPr>
            <w:tcW w:w="4742" w:type="dxa"/>
          </w:tcPr>
          <w:p w14:paraId="345DEAC8" w14:textId="5402B42B" w:rsidR="00E201E4" w:rsidRPr="000A1781" w:rsidRDefault="00E201E4" w:rsidP="00002D71">
            <w:pPr>
              <w:widowControl/>
              <w:autoSpaceDE/>
              <w:autoSpaceDN/>
              <w:adjustRightInd/>
            </w:pPr>
            <w:r w:rsidRPr="000A1781">
              <w:t>In FY 202</w:t>
            </w:r>
            <w:r w:rsidR="00954F6B" w:rsidRPr="000A1781">
              <w:t>3</w:t>
            </w:r>
            <w:r w:rsidR="005E761A" w:rsidRPr="000A1781">
              <w:t>,</w:t>
            </w:r>
            <w:r w:rsidRPr="000A1781">
              <w:t xml:space="preserve"> OHSB conducted</w:t>
            </w:r>
            <w:r w:rsidR="001F655E" w:rsidRPr="000A1781">
              <w:t xml:space="preserve"> 218</w:t>
            </w:r>
            <w:r w:rsidRPr="000A1781">
              <w:t xml:space="preserve"> </w:t>
            </w:r>
            <w:r w:rsidR="001D6DC7" w:rsidRPr="000A1781">
              <w:t xml:space="preserve">(83%) </w:t>
            </w:r>
            <w:r w:rsidRPr="000A1781">
              <w:t xml:space="preserve">out of their project goal of </w:t>
            </w:r>
            <w:r w:rsidR="001F655E" w:rsidRPr="000A1781">
              <w:t>264</w:t>
            </w:r>
            <w:r w:rsidRPr="000A1781">
              <w:t xml:space="preserve"> (SAMM 7).</w:t>
            </w:r>
          </w:p>
        </w:tc>
        <w:tc>
          <w:tcPr>
            <w:tcW w:w="4590" w:type="dxa"/>
          </w:tcPr>
          <w:p w14:paraId="1204BB9F" w14:textId="62DD865B" w:rsidR="00E201E4" w:rsidRPr="000A1781" w:rsidRDefault="00E201E4" w:rsidP="00002D71">
            <w:pPr>
              <w:widowControl/>
              <w:autoSpaceDE/>
              <w:autoSpaceDN/>
              <w:adjustRightInd/>
            </w:pPr>
            <w:r w:rsidRPr="000A1781">
              <w:t>OHSB</w:t>
            </w:r>
            <w:r w:rsidRPr="000A1781">
              <w:rPr>
                <w:spacing w:val="-6"/>
              </w:rPr>
              <w:t xml:space="preserve"> </w:t>
            </w:r>
            <w:r w:rsidRPr="000A1781">
              <w:t>should</w:t>
            </w:r>
            <w:r w:rsidRPr="000A1781">
              <w:rPr>
                <w:spacing w:val="-7"/>
              </w:rPr>
              <w:t xml:space="preserve"> </w:t>
            </w:r>
            <w:r w:rsidRPr="000A1781">
              <w:t>implement</w:t>
            </w:r>
            <w:r w:rsidRPr="000A1781">
              <w:rPr>
                <w:spacing w:val="-6"/>
              </w:rPr>
              <w:t xml:space="preserve"> </w:t>
            </w:r>
            <w:r w:rsidRPr="000A1781">
              <w:t>a</w:t>
            </w:r>
            <w:r w:rsidRPr="000A1781">
              <w:rPr>
                <w:spacing w:val="-7"/>
              </w:rPr>
              <w:t xml:space="preserve"> </w:t>
            </w:r>
            <w:r w:rsidRPr="000A1781">
              <w:t>corrective</w:t>
            </w:r>
            <w:r w:rsidRPr="000A1781">
              <w:rPr>
                <w:spacing w:val="-7"/>
              </w:rPr>
              <w:t xml:space="preserve"> </w:t>
            </w:r>
            <w:r w:rsidRPr="000A1781">
              <w:t>action</w:t>
            </w:r>
            <w:r w:rsidRPr="000A1781">
              <w:rPr>
                <w:spacing w:val="-7"/>
              </w:rPr>
              <w:t xml:space="preserve"> </w:t>
            </w:r>
            <w:r w:rsidRPr="000A1781">
              <w:t>to ensure</w:t>
            </w:r>
            <w:r w:rsidRPr="000A1781">
              <w:rPr>
                <w:spacing w:val="-4"/>
              </w:rPr>
              <w:t xml:space="preserve"> </w:t>
            </w:r>
            <w:r w:rsidRPr="000A1781">
              <w:t>yearly</w:t>
            </w:r>
            <w:r w:rsidRPr="000A1781">
              <w:rPr>
                <w:spacing w:val="-3"/>
              </w:rPr>
              <w:t xml:space="preserve"> </w:t>
            </w:r>
            <w:r w:rsidRPr="000A1781">
              <w:t>goals</w:t>
            </w:r>
            <w:r w:rsidRPr="000A1781">
              <w:rPr>
                <w:spacing w:val="-4"/>
              </w:rPr>
              <w:t xml:space="preserve"> </w:t>
            </w:r>
            <w:r w:rsidRPr="000A1781">
              <w:t>are</w:t>
            </w:r>
            <w:r w:rsidRPr="000A1781">
              <w:rPr>
                <w:spacing w:val="-3"/>
              </w:rPr>
              <w:t xml:space="preserve"> </w:t>
            </w:r>
            <w:r w:rsidRPr="000A1781">
              <w:t>met.</w:t>
            </w:r>
            <w:r w:rsidRPr="000A1781">
              <w:rPr>
                <w:spacing w:val="-3"/>
              </w:rPr>
              <w:t xml:space="preserve"> </w:t>
            </w:r>
            <w:r w:rsidRPr="000A1781">
              <w:t>Managers</w:t>
            </w:r>
            <w:r w:rsidRPr="000A1781">
              <w:rPr>
                <w:spacing w:val="-4"/>
              </w:rPr>
              <w:t xml:space="preserve"> </w:t>
            </w:r>
            <w:r w:rsidRPr="000A1781">
              <w:t>should monitor and adjust if goals are not being met weekly to monthly.</w:t>
            </w:r>
          </w:p>
        </w:tc>
        <w:tc>
          <w:tcPr>
            <w:tcW w:w="1895" w:type="dxa"/>
          </w:tcPr>
          <w:p w14:paraId="5A9E88BE" w14:textId="53B0E51C" w:rsidR="00E201E4" w:rsidRPr="000A1781" w:rsidRDefault="00E201E4" w:rsidP="00002D71">
            <w:pPr>
              <w:widowControl/>
              <w:autoSpaceDE/>
              <w:autoSpaceDN/>
              <w:adjustRightInd/>
            </w:pPr>
            <w:r w:rsidRPr="000A1781">
              <w:t>FY 2022-02, FY</w:t>
            </w:r>
            <w:r w:rsidRPr="000A1781">
              <w:rPr>
                <w:spacing w:val="-14"/>
              </w:rPr>
              <w:t xml:space="preserve"> </w:t>
            </w:r>
            <w:r w:rsidRPr="000A1781">
              <w:t>2021‐02,</w:t>
            </w:r>
            <w:r w:rsidRPr="000A1781">
              <w:rPr>
                <w:spacing w:val="-14"/>
              </w:rPr>
              <w:t xml:space="preserve"> </w:t>
            </w:r>
            <w:r w:rsidRPr="000A1781">
              <w:t xml:space="preserve">FY </w:t>
            </w:r>
            <w:r w:rsidRPr="000A1781">
              <w:rPr>
                <w:spacing w:val="-2"/>
              </w:rPr>
              <w:t>2020‐02</w:t>
            </w:r>
          </w:p>
        </w:tc>
      </w:tr>
      <w:tr w:rsidR="00E201E4" w:rsidRPr="000A1781" w14:paraId="13A6511E" w14:textId="77777777" w:rsidTr="006259D9">
        <w:tc>
          <w:tcPr>
            <w:tcW w:w="1643" w:type="dxa"/>
          </w:tcPr>
          <w:p w14:paraId="27DAFEB5" w14:textId="77777777" w:rsidR="00E201E4" w:rsidRPr="000A1781" w:rsidRDefault="00E201E4" w:rsidP="00002D71">
            <w:pPr>
              <w:widowControl/>
              <w:autoSpaceDE/>
              <w:autoSpaceDN/>
              <w:adjustRightInd/>
            </w:pPr>
            <w:r w:rsidRPr="000A1781">
              <w:t>FY 2023-03</w:t>
            </w:r>
          </w:p>
          <w:p w14:paraId="10148A5B" w14:textId="212F89E9" w:rsidR="00E201E4" w:rsidRPr="000A1781" w:rsidRDefault="00E201E4" w:rsidP="00002D71">
            <w:pPr>
              <w:widowControl/>
              <w:autoSpaceDE/>
              <w:autoSpaceDN/>
              <w:adjustRightInd/>
            </w:pPr>
          </w:p>
        </w:tc>
        <w:tc>
          <w:tcPr>
            <w:tcW w:w="4742" w:type="dxa"/>
          </w:tcPr>
          <w:p w14:paraId="7F0C8B6A" w14:textId="229F2092" w:rsidR="00E201E4" w:rsidRPr="000A1781" w:rsidRDefault="00E201E4" w:rsidP="00002D71">
            <w:pPr>
              <w:widowControl/>
              <w:autoSpaceDE/>
              <w:autoSpaceDN/>
              <w:adjustRightInd/>
            </w:pPr>
            <w:r w:rsidRPr="000A1781">
              <w:t>In FY 202</w:t>
            </w:r>
            <w:r w:rsidR="00954F6B" w:rsidRPr="000A1781">
              <w:t>3</w:t>
            </w:r>
            <w:r w:rsidR="005E761A" w:rsidRPr="000A1781">
              <w:t>,</w:t>
            </w:r>
            <w:r w:rsidRPr="000A1781">
              <w:t xml:space="preserve"> </w:t>
            </w:r>
            <w:r w:rsidR="005E761A" w:rsidRPr="000A1781">
              <w:t>t</w:t>
            </w:r>
            <w:r w:rsidRPr="000A1781">
              <w:t>he</w:t>
            </w:r>
            <w:r w:rsidRPr="000A1781">
              <w:rPr>
                <w:spacing w:val="-6"/>
              </w:rPr>
              <w:t xml:space="preserve"> </w:t>
            </w:r>
            <w:r w:rsidRPr="000A1781">
              <w:t>average</w:t>
            </w:r>
            <w:r w:rsidRPr="000A1781">
              <w:rPr>
                <w:spacing w:val="-6"/>
              </w:rPr>
              <w:t xml:space="preserve"> </w:t>
            </w:r>
            <w:r w:rsidRPr="000A1781">
              <w:t>lapse</w:t>
            </w:r>
            <w:r w:rsidRPr="000A1781">
              <w:rPr>
                <w:spacing w:val="-6"/>
              </w:rPr>
              <w:t xml:space="preserve"> </w:t>
            </w:r>
            <w:r w:rsidRPr="000A1781">
              <w:t>time</w:t>
            </w:r>
            <w:r w:rsidRPr="000A1781">
              <w:rPr>
                <w:spacing w:val="-7"/>
              </w:rPr>
              <w:t xml:space="preserve"> </w:t>
            </w:r>
            <w:r w:rsidRPr="000A1781">
              <w:t>for</w:t>
            </w:r>
            <w:r w:rsidR="001F655E" w:rsidRPr="000A1781">
              <w:rPr>
                <w:spacing w:val="-6"/>
              </w:rPr>
              <w:t xml:space="preserve"> safety</w:t>
            </w:r>
            <w:r w:rsidRPr="000A1781">
              <w:rPr>
                <w:spacing w:val="-6"/>
              </w:rPr>
              <w:t xml:space="preserve"> </w:t>
            </w:r>
            <w:r w:rsidRPr="000A1781">
              <w:t xml:space="preserve">inspections was </w:t>
            </w:r>
            <w:r w:rsidR="001F655E" w:rsidRPr="000A1781">
              <w:t>108.94</w:t>
            </w:r>
            <w:r w:rsidRPr="000A1781">
              <w:t xml:space="preserve"> days and the average lapse time for </w:t>
            </w:r>
            <w:r w:rsidR="001F655E" w:rsidRPr="000A1781">
              <w:t>health</w:t>
            </w:r>
            <w:r w:rsidRPr="000A1781">
              <w:t xml:space="preserve"> inspections was</w:t>
            </w:r>
            <w:r w:rsidR="001F655E" w:rsidRPr="000A1781">
              <w:t xml:space="preserve"> 98.63 </w:t>
            </w:r>
            <w:r w:rsidRPr="000A1781">
              <w:t xml:space="preserve">days. This exceeded the FRL range of </w:t>
            </w:r>
            <w:r w:rsidR="001F655E" w:rsidRPr="000A1781">
              <w:t>44.18</w:t>
            </w:r>
            <w:r w:rsidRPr="000A1781">
              <w:t xml:space="preserve"> to </w:t>
            </w:r>
            <w:r w:rsidR="001F655E" w:rsidRPr="000A1781">
              <w:t>66.28</w:t>
            </w:r>
            <w:r w:rsidRPr="000A1781">
              <w:t xml:space="preserve"> for safety and </w:t>
            </w:r>
            <w:r w:rsidR="001F655E" w:rsidRPr="000A1781">
              <w:t>55.78</w:t>
            </w:r>
            <w:r w:rsidRPr="000A1781">
              <w:t xml:space="preserve"> to </w:t>
            </w:r>
            <w:r w:rsidR="001F655E" w:rsidRPr="000A1781">
              <w:t>83.66</w:t>
            </w:r>
            <w:r w:rsidRPr="000A1781">
              <w:t xml:space="preserve"> for health. (SAMM</w:t>
            </w:r>
            <w:r w:rsidRPr="000A1781">
              <w:rPr>
                <w:spacing w:val="-4"/>
              </w:rPr>
              <w:t xml:space="preserve"> 11</w:t>
            </w:r>
            <w:r w:rsidR="001F655E" w:rsidRPr="000A1781">
              <w:rPr>
                <w:spacing w:val="-4"/>
              </w:rPr>
              <w:t>a and 11b</w:t>
            </w:r>
            <w:r w:rsidRPr="000A1781">
              <w:rPr>
                <w:spacing w:val="-4"/>
              </w:rPr>
              <w:t>).</w:t>
            </w:r>
          </w:p>
        </w:tc>
        <w:tc>
          <w:tcPr>
            <w:tcW w:w="4590" w:type="dxa"/>
          </w:tcPr>
          <w:p w14:paraId="1F4D50DB" w14:textId="1BFBC118" w:rsidR="00E201E4" w:rsidRPr="000A1781" w:rsidRDefault="00E201E4" w:rsidP="00002D71">
            <w:pPr>
              <w:widowControl/>
              <w:autoSpaceDE/>
              <w:autoSpaceDN/>
              <w:adjustRightInd/>
            </w:pPr>
            <w:r w:rsidRPr="000A1781">
              <w:t>OHSB</w:t>
            </w:r>
            <w:r w:rsidRPr="000A1781">
              <w:rPr>
                <w:spacing w:val="-6"/>
              </w:rPr>
              <w:t xml:space="preserve"> </w:t>
            </w:r>
            <w:r w:rsidRPr="000A1781">
              <w:t>should</w:t>
            </w:r>
            <w:r w:rsidRPr="000A1781">
              <w:rPr>
                <w:spacing w:val="-7"/>
              </w:rPr>
              <w:t xml:space="preserve"> </w:t>
            </w:r>
            <w:r w:rsidRPr="000A1781">
              <w:t>periodically</w:t>
            </w:r>
            <w:r w:rsidRPr="000A1781">
              <w:rPr>
                <w:spacing w:val="-5"/>
              </w:rPr>
              <w:t xml:space="preserve"> </w:t>
            </w:r>
            <w:r w:rsidRPr="000A1781">
              <w:t>review</w:t>
            </w:r>
            <w:r w:rsidRPr="000A1781">
              <w:rPr>
                <w:spacing w:val="-7"/>
              </w:rPr>
              <w:t xml:space="preserve"> </w:t>
            </w:r>
            <w:r w:rsidRPr="000A1781">
              <w:t>all</w:t>
            </w:r>
            <w:r w:rsidRPr="000A1781">
              <w:rPr>
                <w:spacing w:val="-7"/>
              </w:rPr>
              <w:t xml:space="preserve"> </w:t>
            </w:r>
            <w:r w:rsidRPr="000A1781">
              <w:t>open</w:t>
            </w:r>
            <w:r w:rsidRPr="000A1781">
              <w:rPr>
                <w:spacing w:val="-7"/>
              </w:rPr>
              <w:t xml:space="preserve"> </w:t>
            </w:r>
            <w:r w:rsidRPr="000A1781">
              <w:t>cases with the compliance officers to prevent high lapse times.</w:t>
            </w:r>
          </w:p>
        </w:tc>
        <w:tc>
          <w:tcPr>
            <w:tcW w:w="1895" w:type="dxa"/>
          </w:tcPr>
          <w:p w14:paraId="74239209" w14:textId="0E583198" w:rsidR="00E201E4" w:rsidRPr="000A1781" w:rsidRDefault="00E201E4" w:rsidP="00002D71">
            <w:pPr>
              <w:widowControl/>
              <w:autoSpaceDE/>
              <w:autoSpaceDN/>
              <w:adjustRightInd/>
            </w:pPr>
            <w:r w:rsidRPr="000A1781">
              <w:t>FY 2022-03, FY 2021‐03</w:t>
            </w:r>
          </w:p>
        </w:tc>
      </w:tr>
      <w:tr w:rsidR="00D20A8D" w:rsidRPr="000A1781" w14:paraId="14D14976" w14:textId="77777777" w:rsidTr="006259D9">
        <w:tc>
          <w:tcPr>
            <w:tcW w:w="1643" w:type="dxa"/>
          </w:tcPr>
          <w:p w14:paraId="3422A060" w14:textId="6AD67FC9" w:rsidR="00D20A8D" w:rsidRPr="000A1781" w:rsidRDefault="00D20A8D" w:rsidP="00002D71">
            <w:pPr>
              <w:widowControl/>
              <w:autoSpaceDE/>
              <w:autoSpaceDN/>
              <w:adjustRightInd/>
            </w:pPr>
            <w:r w:rsidRPr="000A1781">
              <w:t>FY 202</w:t>
            </w:r>
            <w:r w:rsidR="00F33567" w:rsidRPr="000A1781">
              <w:t>3</w:t>
            </w:r>
            <w:r w:rsidRPr="000A1781">
              <w:t>-0</w:t>
            </w:r>
            <w:r w:rsidR="0069739F" w:rsidRPr="000A1781">
              <w:t>4</w:t>
            </w:r>
          </w:p>
          <w:p w14:paraId="46DC94C2" w14:textId="6C85B3D3" w:rsidR="008E049B" w:rsidRPr="000A1781" w:rsidRDefault="008E049B" w:rsidP="00002D71">
            <w:pPr>
              <w:widowControl/>
              <w:autoSpaceDE/>
              <w:autoSpaceDN/>
              <w:adjustRightInd/>
            </w:pPr>
          </w:p>
        </w:tc>
        <w:tc>
          <w:tcPr>
            <w:tcW w:w="4742" w:type="dxa"/>
          </w:tcPr>
          <w:p w14:paraId="6A1A01A8" w14:textId="609385C6" w:rsidR="00D20A8D" w:rsidRPr="000A1781" w:rsidRDefault="00D20A8D" w:rsidP="00D20A8D">
            <w:pPr>
              <w:pStyle w:val="ListParagraph"/>
              <w:spacing w:line="240" w:lineRule="auto"/>
              <w:ind w:left="0"/>
              <w:rPr>
                <w:rFonts w:ascii="Times New Roman" w:hAnsi="Times New Roman" w:cs="Times New Roman"/>
                <w:spacing w:val="-2"/>
                <w:sz w:val="24"/>
                <w:szCs w:val="24"/>
              </w:rPr>
            </w:pPr>
            <w:bookmarkStart w:id="13" w:name="_Hlk162251878"/>
            <w:r w:rsidRPr="000A1781">
              <w:rPr>
                <w:rFonts w:ascii="Times New Roman" w:hAnsi="Times New Roman" w:cs="Times New Roman"/>
                <w:sz w:val="24"/>
                <w:szCs w:val="24"/>
              </w:rPr>
              <w:t xml:space="preserve">Unions not contacted: </w:t>
            </w:r>
            <w:r w:rsidR="00C375F3" w:rsidRPr="000A1781">
              <w:rPr>
                <w:rFonts w:ascii="Times New Roman" w:hAnsi="Times New Roman" w:cs="Times New Roman"/>
                <w:sz w:val="24"/>
                <w:szCs w:val="24"/>
              </w:rPr>
              <w:t xml:space="preserve">Out </w:t>
            </w:r>
            <w:r w:rsidRPr="000A1781">
              <w:rPr>
                <w:rFonts w:ascii="Times New Roman" w:hAnsi="Times New Roman" w:cs="Times New Roman"/>
                <w:sz w:val="24"/>
                <w:szCs w:val="24"/>
              </w:rPr>
              <w:t>of a total of 5</w:t>
            </w:r>
            <w:r w:rsidR="005172C8" w:rsidRPr="000A1781">
              <w:rPr>
                <w:rFonts w:ascii="Times New Roman" w:hAnsi="Times New Roman" w:cs="Times New Roman"/>
                <w:sz w:val="24"/>
                <w:szCs w:val="24"/>
              </w:rPr>
              <w:t>2</w:t>
            </w:r>
            <w:r w:rsidRPr="000A1781">
              <w:rPr>
                <w:rFonts w:ascii="Times New Roman" w:hAnsi="Times New Roman" w:cs="Times New Roman"/>
                <w:sz w:val="24"/>
                <w:szCs w:val="24"/>
              </w:rPr>
              <w:t xml:space="preserve"> files reviewed</w:t>
            </w:r>
            <w:r w:rsidR="00621BA7" w:rsidRPr="000A1781">
              <w:rPr>
                <w:rFonts w:ascii="Times New Roman" w:hAnsi="Times New Roman" w:cs="Times New Roman"/>
                <w:sz w:val="24"/>
                <w:szCs w:val="24"/>
              </w:rPr>
              <w:t xml:space="preserve"> </w:t>
            </w:r>
            <w:r w:rsidRPr="000A1781">
              <w:rPr>
                <w:rFonts w:ascii="Times New Roman" w:hAnsi="Times New Roman" w:cs="Times New Roman"/>
                <w:sz w:val="24"/>
                <w:szCs w:val="24"/>
              </w:rPr>
              <w:t>for FY 202</w:t>
            </w:r>
            <w:r w:rsidR="00C375F3" w:rsidRPr="000A1781">
              <w:rPr>
                <w:rFonts w:ascii="Times New Roman" w:hAnsi="Times New Roman" w:cs="Times New Roman"/>
                <w:sz w:val="24"/>
                <w:szCs w:val="24"/>
              </w:rPr>
              <w:t>3</w:t>
            </w:r>
            <w:r w:rsidRPr="000A1781">
              <w:rPr>
                <w:rFonts w:ascii="Times New Roman" w:hAnsi="Times New Roman" w:cs="Times New Roman"/>
                <w:sz w:val="24"/>
                <w:szCs w:val="24"/>
              </w:rPr>
              <w:t>, five inspection case</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files</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had</w:t>
            </w:r>
            <w:r w:rsidRPr="000A1781">
              <w:rPr>
                <w:rFonts w:ascii="Times New Roman" w:hAnsi="Times New Roman" w:cs="Times New Roman"/>
                <w:spacing w:val="-6"/>
                <w:sz w:val="24"/>
                <w:szCs w:val="24"/>
              </w:rPr>
              <w:t xml:space="preserve"> </w:t>
            </w:r>
            <w:r w:rsidRPr="000A1781">
              <w:rPr>
                <w:rFonts w:ascii="Times New Roman" w:hAnsi="Times New Roman" w:cs="Times New Roman"/>
                <w:sz w:val="24"/>
                <w:szCs w:val="24"/>
              </w:rPr>
              <w:t>unions</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and</w:t>
            </w:r>
            <w:r w:rsidRPr="000A1781">
              <w:rPr>
                <w:rFonts w:ascii="Times New Roman" w:hAnsi="Times New Roman" w:cs="Times New Roman"/>
                <w:spacing w:val="-6"/>
                <w:sz w:val="24"/>
                <w:szCs w:val="24"/>
              </w:rPr>
              <w:t xml:space="preserve"> </w:t>
            </w:r>
            <w:r w:rsidR="0069739F" w:rsidRPr="000A1781">
              <w:rPr>
                <w:rFonts w:ascii="Times New Roman" w:hAnsi="Times New Roman" w:cs="Times New Roman"/>
                <w:sz w:val="24"/>
                <w:szCs w:val="24"/>
              </w:rPr>
              <w:t>thre</w:t>
            </w:r>
            <w:r w:rsidRPr="000A1781">
              <w:rPr>
                <w:rFonts w:ascii="Times New Roman" w:hAnsi="Times New Roman" w:cs="Times New Roman"/>
                <w:sz w:val="24"/>
                <w:szCs w:val="24"/>
              </w:rPr>
              <w:t>e</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of</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the</w:t>
            </w:r>
            <w:r w:rsidRPr="000A1781">
              <w:rPr>
                <w:rFonts w:ascii="Times New Roman" w:hAnsi="Times New Roman" w:cs="Times New Roman"/>
                <w:spacing w:val="-5"/>
                <w:sz w:val="24"/>
                <w:szCs w:val="24"/>
              </w:rPr>
              <w:t xml:space="preserve"> </w:t>
            </w:r>
            <w:r w:rsidRPr="000A1781">
              <w:rPr>
                <w:rFonts w:ascii="Times New Roman" w:hAnsi="Times New Roman" w:cs="Times New Roman"/>
                <w:sz w:val="24"/>
                <w:szCs w:val="24"/>
              </w:rPr>
              <w:t xml:space="preserve">union’s representatives were contacted during </w:t>
            </w:r>
            <w:r w:rsidRPr="000A1781">
              <w:rPr>
                <w:rFonts w:ascii="Times New Roman" w:hAnsi="Times New Roman" w:cs="Times New Roman"/>
                <w:spacing w:val="-2"/>
                <w:sz w:val="24"/>
                <w:szCs w:val="24"/>
              </w:rPr>
              <w:t>inspections.</w:t>
            </w:r>
            <w:bookmarkEnd w:id="13"/>
          </w:p>
          <w:p w14:paraId="1743B7D0" w14:textId="77777777" w:rsidR="00D20A8D" w:rsidRPr="000A1781" w:rsidRDefault="00D20A8D" w:rsidP="00002D71">
            <w:pPr>
              <w:widowControl/>
              <w:autoSpaceDE/>
              <w:autoSpaceDN/>
              <w:adjustRightInd/>
            </w:pPr>
          </w:p>
        </w:tc>
        <w:tc>
          <w:tcPr>
            <w:tcW w:w="4590" w:type="dxa"/>
          </w:tcPr>
          <w:p w14:paraId="5540ADFC" w14:textId="73F5CF2B" w:rsidR="00C375F3" w:rsidRPr="000A1781" w:rsidRDefault="00351F11" w:rsidP="00C375F3">
            <w:pPr>
              <w:tabs>
                <w:tab w:val="left" w:pos="1632"/>
              </w:tabs>
            </w:pPr>
            <w:r w:rsidRPr="000A1781">
              <w:t>OSHB should f</w:t>
            </w:r>
            <w:r w:rsidR="00C375F3" w:rsidRPr="000A1781">
              <w:t>ollow the policies in the OHSB FOM, Chapter 3. During the opening</w:t>
            </w:r>
            <w:r w:rsidR="00C375F3" w:rsidRPr="000A1781">
              <w:rPr>
                <w:spacing w:val="-9"/>
              </w:rPr>
              <w:t xml:space="preserve"> </w:t>
            </w:r>
            <w:r w:rsidR="00C375F3" w:rsidRPr="000A1781">
              <w:t>conference,</w:t>
            </w:r>
            <w:r w:rsidR="00C375F3" w:rsidRPr="000A1781">
              <w:rPr>
                <w:spacing w:val="-9"/>
              </w:rPr>
              <w:t xml:space="preserve"> </w:t>
            </w:r>
            <w:r w:rsidR="00C375F3" w:rsidRPr="000A1781">
              <w:t>the</w:t>
            </w:r>
            <w:r w:rsidR="00C375F3" w:rsidRPr="000A1781">
              <w:rPr>
                <w:spacing w:val="-10"/>
              </w:rPr>
              <w:t xml:space="preserve"> </w:t>
            </w:r>
            <w:r w:rsidR="00C375F3" w:rsidRPr="000A1781">
              <w:t>highest‐ranking</w:t>
            </w:r>
            <w:r w:rsidR="00C375F3" w:rsidRPr="000A1781">
              <w:rPr>
                <w:spacing w:val="-10"/>
              </w:rPr>
              <w:t xml:space="preserve"> </w:t>
            </w:r>
            <w:r w:rsidR="00C375F3" w:rsidRPr="000A1781">
              <w:t>in‐site union official or union employee representative shall designate who will participate in the walkaround</w:t>
            </w:r>
            <w:r w:rsidR="00F8509B" w:rsidRPr="000A1781">
              <w:t>.</w:t>
            </w:r>
          </w:p>
          <w:p w14:paraId="1BEF582B" w14:textId="77777777" w:rsidR="00D20A8D" w:rsidRPr="000A1781" w:rsidRDefault="00D20A8D" w:rsidP="00002D71">
            <w:pPr>
              <w:widowControl/>
              <w:autoSpaceDE/>
              <w:autoSpaceDN/>
              <w:adjustRightInd/>
            </w:pPr>
          </w:p>
        </w:tc>
        <w:tc>
          <w:tcPr>
            <w:tcW w:w="1895" w:type="dxa"/>
          </w:tcPr>
          <w:p w14:paraId="0A587156" w14:textId="77777777" w:rsidR="00D20A8D" w:rsidRPr="000A1781" w:rsidRDefault="00C375F3" w:rsidP="00002D71">
            <w:pPr>
              <w:widowControl/>
              <w:autoSpaceDE/>
              <w:autoSpaceDN/>
              <w:adjustRightInd/>
            </w:pPr>
            <w:r w:rsidRPr="000A1781">
              <w:t>FY 2022-05</w:t>
            </w:r>
          </w:p>
          <w:p w14:paraId="4816268A" w14:textId="2D8CE053" w:rsidR="00C375F3" w:rsidRPr="000A1781" w:rsidRDefault="00C375F3" w:rsidP="00002D71">
            <w:pPr>
              <w:widowControl/>
              <w:autoSpaceDE/>
              <w:autoSpaceDN/>
              <w:adjustRightInd/>
            </w:pPr>
            <w:r w:rsidRPr="000A1781">
              <w:t>FY 2021-05</w:t>
            </w:r>
          </w:p>
        </w:tc>
      </w:tr>
      <w:tr w:rsidR="00DA7122" w:rsidRPr="000A1781" w14:paraId="2E1490A2" w14:textId="77777777" w:rsidTr="006259D9">
        <w:tc>
          <w:tcPr>
            <w:tcW w:w="1643" w:type="dxa"/>
          </w:tcPr>
          <w:p w14:paraId="04408A14" w14:textId="5EABE048" w:rsidR="00DA7122" w:rsidRPr="000A1781" w:rsidRDefault="00DA7122" w:rsidP="00DA7122">
            <w:pPr>
              <w:widowControl/>
              <w:autoSpaceDE/>
              <w:autoSpaceDN/>
              <w:adjustRightInd/>
            </w:pPr>
            <w:r w:rsidRPr="000A1781">
              <w:t>FY 2023-0</w:t>
            </w:r>
            <w:r w:rsidR="0069739F" w:rsidRPr="000A1781">
              <w:t>5</w:t>
            </w:r>
          </w:p>
          <w:p w14:paraId="4AE179BE" w14:textId="6F2BD5AD" w:rsidR="00DA7122" w:rsidRPr="000A1781" w:rsidRDefault="00DA7122" w:rsidP="00DA7122">
            <w:pPr>
              <w:widowControl/>
              <w:autoSpaceDE/>
              <w:autoSpaceDN/>
              <w:adjustRightInd/>
            </w:pPr>
          </w:p>
        </w:tc>
        <w:tc>
          <w:tcPr>
            <w:tcW w:w="4742" w:type="dxa"/>
          </w:tcPr>
          <w:p w14:paraId="470855CD" w14:textId="2790EAC1" w:rsidR="00DA7122" w:rsidRPr="000A1781" w:rsidRDefault="00DA7122" w:rsidP="00DA7122">
            <w:pPr>
              <w:widowControl/>
              <w:autoSpaceDE/>
              <w:autoSpaceDN/>
              <w:adjustRightInd/>
            </w:pPr>
            <w:r w:rsidRPr="000A1781">
              <w:t>OHSB lacks adequate written procedures for its whistleblower program. OHSB did not adopt federal program changes or equivalents CPL 02‐03‐011 during FY2023.</w:t>
            </w:r>
          </w:p>
        </w:tc>
        <w:tc>
          <w:tcPr>
            <w:tcW w:w="4590" w:type="dxa"/>
          </w:tcPr>
          <w:p w14:paraId="25D062E8" w14:textId="3EBE23F7" w:rsidR="00DA7122" w:rsidRPr="000A1781" w:rsidRDefault="00DA7122" w:rsidP="00DA7122">
            <w:pPr>
              <w:widowControl/>
              <w:autoSpaceDE/>
              <w:autoSpaceDN/>
              <w:adjustRightInd/>
            </w:pPr>
            <w:r w:rsidRPr="000A1781">
              <w:t xml:space="preserve">If OHSB adopts their draft manual in FY 2024, this finding will be fully addressed and will be removed on the FY </w:t>
            </w:r>
            <w:r w:rsidR="0086548F">
              <w:t>20</w:t>
            </w:r>
            <w:r w:rsidRPr="000A1781">
              <w:t>24 FAME.</w:t>
            </w:r>
          </w:p>
        </w:tc>
        <w:tc>
          <w:tcPr>
            <w:tcW w:w="1895" w:type="dxa"/>
          </w:tcPr>
          <w:p w14:paraId="466F120E" w14:textId="4C0F5C63" w:rsidR="00DA7122" w:rsidRPr="000A1781" w:rsidRDefault="00DA7122" w:rsidP="00DA7122">
            <w:pPr>
              <w:widowControl/>
              <w:autoSpaceDE/>
              <w:autoSpaceDN/>
              <w:adjustRightInd/>
            </w:pPr>
            <w:r w:rsidRPr="000A1781">
              <w:t>FY 2022-06</w:t>
            </w:r>
          </w:p>
        </w:tc>
      </w:tr>
      <w:tr w:rsidR="00DA7122" w:rsidRPr="000A1781" w14:paraId="50B5BD5F" w14:textId="77777777" w:rsidTr="006259D9">
        <w:tc>
          <w:tcPr>
            <w:tcW w:w="1643" w:type="dxa"/>
          </w:tcPr>
          <w:p w14:paraId="19B2E321" w14:textId="5039A931" w:rsidR="00DA7122" w:rsidRPr="000A1781" w:rsidRDefault="00DA7122" w:rsidP="00DA7122">
            <w:pPr>
              <w:widowControl/>
              <w:autoSpaceDE/>
              <w:autoSpaceDN/>
              <w:adjustRightInd/>
            </w:pPr>
            <w:r w:rsidRPr="000A1781">
              <w:t>FY 2023-0</w:t>
            </w:r>
            <w:r w:rsidR="0069739F" w:rsidRPr="000A1781">
              <w:t>6</w:t>
            </w:r>
          </w:p>
          <w:p w14:paraId="73339799" w14:textId="7FB131A6" w:rsidR="00DA7122" w:rsidRPr="000A1781" w:rsidRDefault="00DA7122" w:rsidP="00DA7122">
            <w:pPr>
              <w:widowControl/>
              <w:autoSpaceDE/>
              <w:autoSpaceDN/>
              <w:adjustRightInd/>
            </w:pPr>
          </w:p>
        </w:tc>
        <w:tc>
          <w:tcPr>
            <w:tcW w:w="4742" w:type="dxa"/>
          </w:tcPr>
          <w:p w14:paraId="2E890AF1" w14:textId="77777777" w:rsidR="00DA7122" w:rsidRPr="000A1781" w:rsidRDefault="00DA7122" w:rsidP="00DA7122">
            <w:pPr>
              <w:widowControl/>
              <w:autoSpaceDE/>
              <w:autoSpaceDN/>
              <w:adjustRightInd/>
            </w:pPr>
            <w:r w:rsidRPr="000A1781">
              <w:t>OHSB is less effective than the federal program in its criteria for acceptance of whistleblower complaints because it places more stringent requirements on Complainants to file whistleblower complaints.</w:t>
            </w:r>
          </w:p>
          <w:p w14:paraId="5A759199" w14:textId="77777777" w:rsidR="00DA7122" w:rsidRPr="000A1781" w:rsidRDefault="00DA7122" w:rsidP="00DA7122">
            <w:pPr>
              <w:widowControl/>
              <w:autoSpaceDE/>
              <w:autoSpaceDN/>
              <w:adjustRightInd/>
            </w:pPr>
          </w:p>
          <w:p w14:paraId="1D4BB049" w14:textId="77777777" w:rsidR="00DA7122" w:rsidRPr="000A1781" w:rsidRDefault="00DA7122" w:rsidP="00DA7122">
            <w:pPr>
              <w:widowControl/>
              <w:autoSpaceDE/>
              <w:autoSpaceDN/>
              <w:adjustRightInd/>
            </w:pPr>
          </w:p>
        </w:tc>
        <w:tc>
          <w:tcPr>
            <w:tcW w:w="4590" w:type="dxa"/>
          </w:tcPr>
          <w:p w14:paraId="6B5F7073" w14:textId="77777777" w:rsidR="00DA7122" w:rsidRPr="000A1781" w:rsidRDefault="00DA7122" w:rsidP="00DA7122">
            <w:r w:rsidRPr="000A1781">
              <w:lastRenderedPageBreak/>
              <w:t>OSHB addresses this issue in their draft Whistleblower Investigations Manual, which states:</w:t>
            </w:r>
          </w:p>
          <w:p w14:paraId="4769CBC3" w14:textId="77777777" w:rsidR="00DA7122" w:rsidRPr="000A1781" w:rsidRDefault="00DA7122" w:rsidP="00DA7122">
            <w:pPr>
              <w:ind w:left="720"/>
            </w:pPr>
          </w:p>
          <w:p w14:paraId="40BAC58A" w14:textId="4CA3C330" w:rsidR="00DA7122" w:rsidRPr="000A1781" w:rsidRDefault="00351F11" w:rsidP="00DA7122">
            <w:r w:rsidRPr="000A1781">
              <w:t>“</w:t>
            </w:r>
            <w:r w:rsidR="00DA7122" w:rsidRPr="000A1781">
              <w:t xml:space="preserve">It is important to note that when taking a </w:t>
            </w:r>
            <w:r w:rsidR="00DA7122" w:rsidRPr="000A1781">
              <w:lastRenderedPageBreak/>
              <w:t xml:space="preserve">complaint over the phone that even though the New Mexico statute specifies “in writing and acknowledged by the employee” that this does not require that the employee put the complaint in </w:t>
            </w:r>
            <w:r w:rsidRPr="000A1781">
              <w:t>writing.”</w:t>
            </w:r>
          </w:p>
          <w:p w14:paraId="583926D5" w14:textId="77777777" w:rsidR="00DA7122" w:rsidRPr="000A1781" w:rsidRDefault="00DA7122" w:rsidP="00DA7122">
            <w:pPr>
              <w:ind w:left="1440"/>
            </w:pPr>
          </w:p>
          <w:p w14:paraId="2393A235" w14:textId="77777777" w:rsidR="00DA7122" w:rsidRPr="000A1781" w:rsidRDefault="00DA7122" w:rsidP="00DA7122">
            <w:r w:rsidRPr="000A1781">
              <w:t xml:space="preserve">When the Complainant offers a verbal complaint over the phone, the Whistleblower Investigator should take the verbal complaint and document it in writing. At the end of documenting the complaint, the Investigator should read back the information they have gathered, correcting any mistakes with the Complainant, and gaining verbal confirmation that the information is correct. This agreement constitutes </w:t>
            </w:r>
            <w:r w:rsidRPr="000A1781">
              <w:rPr>
                <w:i/>
                <w:iCs/>
              </w:rPr>
              <w:t>acknowledgement</w:t>
            </w:r>
            <w:r w:rsidRPr="000A1781">
              <w:t xml:space="preserve"> for the purposes of 50-9-25 (B).</w:t>
            </w:r>
          </w:p>
          <w:p w14:paraId="71C28326" w14:textId="77777777" w:rsidR="00DA7122" w:rsidRPr="000A1781" w:rsidRDefault="00DA7122" w:rsidP="00DA7122">
            <w:pPr>
              <w:ind w:left="720"/>
            </w:pPr>
          </w:p>
          <w:p w14:paraId="7BB6A2FA" w14:textId="0AA7670F" w:rsidR="00DA7122" w:rsidRPr="000A1781" w:rsidRDefault="00DA7122" w:rsidP="00DA7122">
            <w:pPr>
              <w:widowControl/>
              <w:autoSpaceDE/>
              <w:autoSpaceDN/>
              <w:adjustRightInd/>
            </w:pPr>
            <w:r w:rsidRPr="000A1781">
              <w:t>If the OSHB manual is adopted and put into practice in FY 2024, this finding may be removed in the FY</w:t>
            </w:r>
            <w:r w:rsidR="00351F11" w:rsidRPr="000A1781">
              <w:t xml:space="preserve"> </w:t>
            </w:r>
            <w:r w:rsidRPr="000A1781">
              <w:t>2024 FAME Review.</w:t>
            </w:r>
          </w:p>
        </w:tc>
        <w:tc>
          <w:tcPr>
            <w:tcW w:w="1895" w:type="dxa"/>
          </w:tcPr>
          <w:p w14:paraId="28975572" w14:textId="5DD98452" w:rsidR="00DA7122" w:rsidRPr="000A1781" w:rsidRDefault="00DA7122" w:rsidP="00DA7122">
            <w:pPr>
              <w:widowControl/>
              <w:autoSpaceDE/>
              <w:autoSpaceDN/>
              <w:adjustRightInd/>
            </w:pPr>
            <w:r w:rsidRPr="000A1781">
              <w:lastRenderedPageBreak/>
              <w:t>FY 2022-07</w:t>
            </w:r>
          </w:p>
        </w:tc>
      </w:tr>
      <w:tr w:rsidR="00A04659" w:rsidRPr="000A1781" w14:paraId="52D51FC3" w14:textId="77777777" w:rsidTr="006259D9">
        <w:tc>
          <w:tcPr>
            <w:tcW w:w="1643" w:type="dxa"/>
          </w:tcPr>
          <w:p w14:paraId="5B0B2558" w14:textId="1A5B3142" w:rsidR="00A04659" w:rsidRPr="000A1781" w:rsidRDefault="00A04659" w:rsidP="00A04659">
            <w:pPr>
              <w:widowControl/>
              <w:autoSpaceDE/>
              <w:autoSpaceDN/>
              <w:adjustRightInd/>
            </w:pPr>
            <w:r w:rsidRPr="000A1781">
              <w:t>FY 2023-0</w:t>
            </w:r>
            <w:r w:rsidR="0069739F" w:rsidRPr="000A1781">
              <w:t>7</w:t>
            </w:r>
          </w:p>
          <w:p w14:paraId="62C1DE67" w14:textId="4BCAAB69" w:rsidR="00A04659" w:rsidRPr="000A1781" w:rsidRDefault="00A04659" w:rsidP="00A04659">
            <w:pPr>
              <w:widowControl/>
              <w:autoSpaceDE/>
              <w:autoSpaceDN/>
              <w:adjustRightInd/>
            </w:pPr>
          </w:p>
        </w:tc>
        <w:tc>
          <w:tcPr>
            <w:tcW w:w="4742" w:type="dxa"/>
          </w:tcPr>
          <w:p w14:paraId="427DF806" w14:textId="4BB759B0" w:rsidR="00A04659" w:rsidRPr="000A1781" w:rsidRDefault="00A04659" w:rsidP="00A04659">
            <w:pPr>
              <w:widowControl/>
              <w:autoSpaceDE/>
              <w:autoSpaceDN/>
              <w:adjustRightInd/>
            </w:pPr>
            <w:r w:rsidRPr="000A1781">
              <w:t xml:space="preserve">OHSB management did not review </w:t>
            </w:r>
            <w:r w:rsidR="00621BA7" w:rsidRPr="000A1781">
              <w:t>a</w:t>
            </w:r>
            <w:r w:rsidRPr="000A1781">
              <w:t xml:space="preserve">dministrative </w:t>
            </w:r>
            <w:r w:rsidR="00621BA7" w:rsidRPr="000A1781">
              <w:t>c</w:t>
            </w:r>
            <w:r w:rsidRPr="000A1781">
              <w:t>losures and</w:t>
            </w:r>
            <w:r w:rsidR="00621BA7" w:rsidRPr="000A1781">
              <w:t xml:space="preserve"> c</w:t>
            </w:r>
            <w:r w:rsidRPr="000A1781">
              <w:t xml:space="preserve">ase </w:t>
            </w:r>
            <w:r w:rsidR="00621BA7" w:rsidRPr="000A1781">
              <w:t>f</w:t>
            </w:r>
            <w:r w:rsidRPr="000A1781">
              <w:t xml:space="preserve">iles. Of the 54 files reviewed, </w:t>
            </w:r>
            <w:r w:rsidR="00621BA7" w:rsidRPr="000A1781">
              <w:t xml:space="preserve">the Whistleblower team found that </w:t>
            </w:r>
            <w:r w:rsidRPr="000A1781">
              <w:t>32 cases contained no evidence of supervisory review or approval in the case file.</w:t>
            </w:r>
          </w:p>
        </w:tc>
        <w:tc>
          <w:tcPr>
            <w:tcW w:w="4590" w:type="dxa"/>
          </w:tcPr>
          <w:p w14:paraId="64CB1B78" w14:textId="1F768E0E" w:rsidR="00A04659" w:rsidRDefault="00A04659" w:rsidP="00A04659">
            <w:r w:rsidRPr="000A1781">
              <w:t>OSHB addresses supervisory review and approval of administrative closures and docketed cases in their draft Whistleblower Investigations Manual. If the OSHB manual is adopted and put into practice in FY2024, this finding may be considered for removal in the FY</w:t>
            </w:r>
            <w:r w:rsidR="0086548F">
              <w:t xml:space="preserve"> </w:t>
            </w:r>
            <w:r w:rsidRPr="000A1781">
              <w:t>2024 FAME Review.</w:t>
            </w:r>
          </w:p>
          <w:p w14:paraId="62478F00" w14:textId="77777777" w:rsidR="00887129" w:rsidRPr="000A1781" w:rsidRDefault="00887129" w:rsidP="00A04659"/>
          <w:p w14:paraId="75A0D984" w14:textId="77777777" w:rsidR="00A04659" w:rsidRPr="000A1781" w:rsidRDefault="00A04659" w:rsidP="00A04659"/>
        </w:tc>
        <w:tc>
          <w:tcPr>
            <w:tcW w:w="1895" w:type="dxa"/>
          </w:tcPr>
          <w:p w14:paraId="36C586E7" w14:textId="5EE9C7DF" w:rsidR="00A04659" w:rsidRPr="000A1781" w:rsidRDefault="00A04659" w:rsidP="00A04659">
            <w:pPr>
              <w:widowControl/>
              <w:autoSpaceDE/>
              <w:autoSpaceDN/>
              <w:adjustRightInd/>
            </w:pPr>
            <w:r w:rsidRPr="000A1781">
              <w:t>FY 2022-08</w:t>
            </w:r>
          </w:p>
        </w:tc>
      </w:tr>
      <w:tr w:rsidR="00202756" w:rsidRPr="000A1781" w14:paraId="62FBF020" w14:textId="77777777" w:rsidTr="006259D9">
        <w:tc>
          <w:tcPr>
            <w:tcW w:w="1643" w:type="dxa"/>
          </w:tcPr>
          <w:p w14:paraId="04665012" w14:textId="64889983" w:rsidR="00202756" w:rsidRPr="000A1781" w:rsidRDefault="00202756" w:rsidP="00202756">
            <w:pPr>
              <w:widowControl/>
              <w:autoSpaceDE/>
              <w:autoSpaceDN/>
              <w:adjustRightInd/>
            </w:pPr>
            <w:r w:rsidRPr="000A1781">
              <w:lastRenderedPageBreak/>
              <w:t>FY 2023-</w:t>
            </w:r>
            <w:r w:rsidR="001A72EA" w:rsidRPr="000A1781">
              <w:t>0</w:t>
            </w:r>
            <w:r w:rsidR="0069739F" w:rsidRPr="000A1781">
              <w:t>8</w:t>
            </w:r>
          </w:p>
          <w:p w14:paraId="641A6275" w14:textId="77777777" w:rsidR="00202756" w:rsidRPr="000A1781" w:rsidRDefault="00202756" w:rsidP="00E42C9A">
            <w:pPr>
              <w:widowControl/>
              <w:autoSpaceDE/>
              <w:autoSpaceDN/>
              <w:adjustRightInd/>
            </w:pPr>
          </w:p>
        </w:tc>
        <w:tc>
          <w:tcPr>
            <w:tcW w:w="4742" w:type="dxa"/>
          </w:tcPr>
          <w:p w14:paraId="63400AE1" w14:textId="6781E85C" w:rsidR="00202756" w:rsidRPr="000A1781" w:rsidRDefault="000A1781" w:rsidP="00202756">
            <w:pPr>
              <w:widowControl/>
              <w:autoSpaceDE/>
              <w:autoSpaceDN/>
              <w:adjustRightInd/>
            </w:pPr>
            <w:r w:rsidRPr="000A1781">
              <w:t>OHSB did not provide documentation that onsite verification activities were conducted as required in Section L- “Verification” of the New Mexico OHSB Directive-15-07- OHSB Strategic Partnership for Construction. Additionally, no partnership verification activities were recorded in the OSHA Information System (OIS) as Compliance Assistance Activity.</w:t>
            </w:r>
          </w:p>
        </w:tc>
        <w:tc>
          <w:tcPr>
            <w:tcW w:w="4590" w:type="dxa"/>
          </w:tcPr>
          <w:p w14:paraId="0F62E4C2" w14:textId="40A300D9" w:rsidR="00202756" w:rsidRPr="000A1781" w:rsidRDefault="00202756" w:rsidP="00202756">
            <w:pPr>
              <w:widowControl/>
              <w:autoSpaceDE/>
              <w:autoSpaceDN/>
              <w:adjustRightInd/>
            </w:pPr>
            <w:r w:rsidRPr="000A1781">
              <w:t>OHSB should follow their internal directive titled OHSB Directive 15-07- OHSB Strategic Partnership for Construction specifically in Section N.- Recording Activities. In addition, as per OHSB Directive 15-07 Section N. Recording Activities- all information pertaining to this program shall be recorded in the OSHA Information System (OIS) following current instructions as a Compliance Assistance Activity.</w:t>
            </w:r>
          </w:p>
        </w:tc>
        <w:tc>
          <w:tcPr>
            <w:tcW w:w="1895" w:type="dxa"/>
          </w:tcPr>
          <w:p w14:paraId="5FEEB0A7" w14:textId="1D91FD36" w:rsidR="00202756" w:rsidRPr="000A1781" w:rsidRDefault="00202756" w:rsidP="00202756">
            <w:pPr>
              <w:widowControl/>
              <w:autoSpaceDE/>
              <w:autoSpaceDN/>
              <w:adjustRightInd/>
            </w:pPr>
            <w:r w:rsidRPr="000A1781">
              <w:t xml:space="preserve"> New</w:t>
            </w:r>
          </w:p>
        </w:tc>
      </w:tr>
      <w:tr w:rsidR="001A72EA" w:rsidRPr="000A1781" w14:paraId="2195F3B1" w14:textId="77777777" w:rsidTr="006259D9">
        <w:tc>
          <w:tcPr>
            <w:tcW w:w="1643" w:type="dxa"/>
          </w:tcPr>
          <w:p w14:paraId="6577A871" w14:textId="7B5A1C73" w:rsidR="001A72EA" w:rsidRPr="000A1781" w:rsidRDefault="001A72EA" w:rsidP="001A72EA">
            <w:pPr>
              <w:widowControl/>
              <w:autoSpaceDE/>
              <w:autoSpaceDN/>
              <w:adjustRightInd/>
            </w:pPr>
            <w:r w:rsidRPr="000A1781">
              <w:t>FY 2023-</w:t>
            </w:r>
            <w:r w:rsidR="00096639" w:rsidRPr="000A1781">
              <w:t>0</w:t>
            </w:r>
            <w:r w:rsidR="0069739F" w:rsidRPr="000A1781">
              <w:t>9</w:t>
            </w:r>
          </w:p>
          <w:p w14:paraId="3F0CAACC" w14:textId="77777777" w:rsidR="001A72EA" w:rsidRPr="000A1781" w:rsidRDefault="001A72EA" w:rsidP="00E42C9A">
            <w:pPr>
              <w:widowControl/>
              <w:autoSpaceDE/>
              <w:autoSpaceDN/>
              <w:adjustRightInd/>
            </w:pPr>
          </w:p>
        </w:tc>
        <w:tc>
          <w:tcPr>
            <w:tcW w:w="4742" w:type="dxa"/>
          </w:tcPr>
          <w:p w14:paraId="640131C5" w14:textId="64E7061D" w:rsidR="001A72EA" w:rsidRPr="000A1781" w:rsidRDefault="00877AE9" w:rsidP="001A72EA">
            <w:pPr>
              <w:widowControl/>
              <w:autoSpaceDE/>
              <w:autoSpaceDN/>
              <w:adjustRightInd/>
            </w:pPr>
            <w:r w:rsidRPr="000A1781">
              <w:t xml:space="preserve">In two out of three (66%) files reviewed, NM OHSB did not send the List of Hazards to the union within twenty days after the closing conference. In the two casefile reviews, </w:t>
            </w:r>
            <w:r w:rsidRPr="000A1781">
              <w:rPr>
                <w:rFonts w:eastAsia="Aptos"/>
                <w:iCs/>
              </w:rPr>
              <w:t xml:space="preserve">visit no. 335507 and visit no. 316964, </w:t>
            </w:r>
            <w:r w:rsidRPr="000A1781">
              <w:rPr>
                <w:iCs/>
              </w:rPr>
              <w:t>no union</w:t>
            </w:r>
            <w:r w:rsidRPr="000A1781">
              <w:t xml:space="preserve"> official was sent a copy of the written report to the employer. (Reference 29 CFR 1908.6(e)(8) and CPPM (Consultation Policy and Procedures Manual) Chapter 4, Section III.E.)</w:t>
            </w:r>
          </w:p>
        </w:tc>
        <w:tc>
          <w:tcPr>
            <w:tcW w:w="4590" w:type="dxa"/>
          </w:tcPr>
          <w:p w14:paraId="0EB31001" w14:textId="77777777" w:rsidR="001A72EA" w:rsidRPr="000A1781" w:rsidRDefault="001A72EA" w:rsidP="001A72EA">
            <w:r w:rsidRPr="000A1781">
              <w:t xml:space="preserve">Send the List of Hazards to union officials within 20-working days of the closing conference per Chapter 4, Section III.E. of the CPPM and 29 CFR 1908.6(e)(8). </w:t>
            </w:r>
          </w:p>
          <w:p w14:paraId="1CDF2E5B" w14:textId="0679A8DE" w:rsidR="001A72EA" w:rsidRPr="000A1781" w:rsidRDefault="001A72EA" w:rsidP="001A72EA">
            <w:pPr>
              <w:widowControl/>
              <w:autoSpaceDE/>
              <w:autoSpaceDN/>
              <w:adjustRightInd/>
            </w:pPr>
            <w:r w:rsidRPr="000A1781">
              <w:tab/>
            </w:r>
          </w:p>
        </w:tc>
        <w:tc>
          <w:tcPr>
            <w:tcW w:w="1895" w:type="dxa"/>
          </w:tcPr>
          <w:p w14:paraId="39022017" w14:textId="04501076" w:rsidR="001A72EA" w:rsidRPr="000A1781" w:rsidRDefault="001A72EA" w:rsidP="001A72EA">
            <w:pPr>
              <w:widowControl/>
              <w:autoSpaceDE/>
              <w:autoSpaceDN/>
              <w:adjustRightInd/>
            </w:pPr>
            <w:r w:rsidRPr="000A1781">
              <w:t>FY 2022-05, FY 2021‐05</w:t>
            </w:r>
          </w:p>
        </w:tc>
      </w:tr>
    </w:tbl>
    <w:p w14:paraId="46511ECD" w14:textId="77777777" w:rsidR="001567A4" w:rsidRPr="000A1781" w:rsidRDefault="001567A4" w:rsidP="00D62B2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sectPr w:rsidR="001567A4" w:rsidRPr="000A1781" w:rsidSect="00326E56">
          <w:footerReference w:type="default" r:id="rId13"/>
          <w:headerReference w:type="first" r:id="rId14"/>
          <w:footerReference w:type="first" r:id="rId15"/>
          <w:pgSz w:w="15840" w:h="12240" w:orient="landscape"/>
          <w:pgMar w:top="1440" w:right="1440" w:bottom="1440" w:left="1440" w:header="720" w:footer="720" w:gutter="0"/>
          <w:cols w:space="720"/>
          <w:titlePg/>
          <w:rtlGutter/>
          <w:docGrid w:linePitch="360"/>
        </w:sectPr>
      </w:pPr>
    </w:p>
    <w:p w14:paraId="2AF6B7B2" w14:textId="2ED3AA76" w:rsidR="007B195A" w:rsidRPr="000A1781" w:rsidRDefault="007B195A" w:rsidP="00046BFF">
      <w:pPr>
        <w:pStyle w:val="Heading1"/>
        <w:spacing w:before="0" w:line="240" w:lineRule="auto"/>
        <w:ind w:left="-180"/>
        <w:jc w:val="center"/>
        <w:rPr>
          <w:rFonts w:ascii="Times New Roman" w:hAnsi="Times New Roman"/>
          <w:color w:val="0070C0"/>
        </w:rPr>
      </w:pPr>
      <w:r w:rsidRPr="000A1781">
        <w:rPr>
          <w:rFonts w:ascii="Times New Roman" w:hAnsi="Times New Roman"/>
          <w:color w:val="0070C0"/>
        </w:rPr>
        <w:lastRenderedPageBreak/>
        <w:t xml:space="preserve">Appendix B </w:t>
      </w:r>
      <w:r w:rsidR="00A6110B" w:rsidRPr="000A1781">
        <w:rPr>
          <w:rFonts w:ascii="Times New Roman" w:hAnsi="Times New Roman"/>
          <w:color w:val="0070C0"/>
        </w:rPr>
        <w:t>–</w:t>
      </w:r>
      <w:r w:rsidRPr="000A1781">
        <w:rPr>
          <w:rFonts w:ascii="Times New Roman" w:hAnsi="Times New Roman"/>
          <w:color w:val="0070C0"/>
        </w:rPr>
        <w:t xml:space="preserve"> </w:t>
      </w:r>
      <w:r w:rsidR="00A6110B" w:rsidRPr="000A1781">
        <w:rPr>
          <w:rFonts w:ascii="Times New Roman" w:hAnsi="Times New Roman"/>
          <w:color w:val="0070C0"/>
        </w:rPr>
        <w:t>Observations Subject to New and Continued Monitoring</w:t>
      </w:r>
    </w:p>
    <w:p w14:paraId="31176A14" w14:textId="28E56B5F" w:rsidR="001567A4" w:rsidRPr="000A1781" w:rsidRDefault="007B195A" w:rsidP="00002D71">
      <w:pPr>
        <w:widowControl/>
        <w:autoSpaceDE/>
        <w:autoSpaceDN/>
        <w:adjustRightInd/>
        <w:jc w:val="center"/>
        <w:rPr>
          <w:i/>
          <w:sz w:val="22"/>
          <w:szCs w:val="22"/>
        </w:rPr>
      </w:pPr>
      <w:r w:rsidRPr="000A1781">
        <w:t>FY 2023 New Mexico OSHB Comprehensive FAME Report</w:t>
      </w:r>
    </w:p>
    <w:p w14:paraId="6A4D3F4E" w14:textId="77777777" w:rsidR="001567A4" w:rsidRPr="000A1781" w:rsidRDefault="001567A4" w:rsidP="00002D71">
      <w:pPr>
        <w:widowControl/>
        <w:autoSpaceDE/>
        <w:autoSpaceDN/>
        <w:adjustRightInd/>
        <w:rPr>
          <w:i/>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05"/>
        <w:gridCol w:w="1864"/>
        <w:gridCol w:w="4568"/>
        <w:gridCol w:w="4501"/>
        <w:gridCol w:w="1230"/>
      </w:tblGrid>
      <w:tr w:rsidR="001567A4" w:rsidRPr="000A1781" w14:paraId="30579127" w14:textId="77777777" w:rsidTr="007073D3">
        <w:trPr>
          <w:trHeight w:val="411"/>
          <w:tblHeader/>
        </w:trPr>
        <w:tc>
          <w:tcPr>
            <w:tcW w:w="1805" w:type="dxa"/>
            <w:shd w:val="clear" w:color="auto" w:fill="44546A" w:themeFill="text2"/>
          </w:tcPr>
          <w:p w14:paraId="30827C76" w14:textId="7777777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Observation #</w:t>
            </w:r>
          </w:p>
          <w:p w14:paraId="18ED8EA4" w14:textId="46D555D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FY 20</w:t>
            </w:r>
            <w:r w:rsidR="0033106F">
              <w:rPr>
                <w:b/>
                <w:color w:val="FFFFFF" w:themeColor="background1"/>
                <w:sz w:val="22"/>
                <w:szCs w:val="22"/>
              </w:rPr>
              <w:t>23</w:t>
            </w:r>
            <w:r w:rsidRPr="000A1781">
              <w:rPr>
                <w:b/>
                <w:color w:val="FFFFFF" w:themeColor="background1"/>
                <w:sz w:val="22"/>
                <w:szCs w:val="22"/>
              </w:rPr>
              <w:t>-OB-#</w:t>
            </w:r>
          </w:p>
        </w:tc>
        <w:tc>
          <w:tcPr>
            <w:tcW w:w="1864" w:type="dxa"/>
            <w:shd w:val="clear" w:color="auto" w:fill="44546A" w:themeFill="text2"/>
          </w:tcPr>
          <w:p w14:paraId="6C85DFE6" w14:textId="7777777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Observation#</w:t>
            </w:r>
          </w:p>
          <w:p w14:paraId="66EB6ED7" w14:textId="134091A1"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FY 20</w:t>
            </w:r>
            <w:r w:rsidR="0046493D">
              <w:rPr>
                <w:b/>
                <w:color w:val="FFFFFF" w:themeColor="background1"/>
                <w:sz w:val="22"/>
                <w:szCs w:val="22"/>
              </w:rPr>
              <w:t>22</w:t>
            </w:r>
            <w:r w:rsidRPr="000A1781">
              <w:rPr>
                <w:b/>
                <w:color w:val="FFFFFF" w:themeColor="background1"/>
                <w:sz w:val="22"/>
                <w:szCs w:val="22"/>
              </w:rPr>
              <w:t xml:space="preserve">-OB-# </w:t>
            </w:r>
            <w:r w:rsidRPr="000A1781">
              <w:rPr>
                <w:b/>
                <w:i/>
                <w:color w:val="FFFFFF" w:themeColor="background1"/>
                <w:sz w:val="22"/>
                <w:szCs w:val="22"/>
              </w:rPr>
              <w:t>or</w:t>
            </w:r>
            <w:r w:rsidRPr="000A1781">
              <w:rPr>
                <w:b/>
                <w:color w:val="FFFFFF" w:themeColor="background1"/>
                <w:sz w:val="22"/>
                <w:szCs w:val="22"/>
              </w:rPr>
              <w:t xml:space="preserve"> FY 20</w:t>
            </w:r>
            <w:r w:rsidR="0046493D">
              <w:rPr>
                <w:b/>
                <w:color w:val="FFFFFF" w:themeColor="background1"/>
                <w:sz w:val="22"/>
                <w:szCs w:val="22"/>
              </w:rPr>
              <w:t>20</w:t>
            </w:r>
            <w:r w:rsidRPr="000A1781">
              <w:rPr>
                <w:b/>
                <w:color w:val="FFFFFF" w:themeColor="background1"/>
                <w:sz w:val="22"/>
                <w:szCs w:val="22"/>
              </w:rPr>
              <w:t>-#</w:t>
            </w:r>
          </w:p>
        </w:tc>
        <w:tc>
          <w:tcPr>
            <w:tcW w:w="4568" w:type="dxa"/>
            <w:shd w:val="clear" w:color="auto" w:fill="44546A" w:themeFill="text2"/>
          </w:tcPr>
          <w:p w14:paraId="71082AB5" w14:textId="7777777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Observation</w:t>
            </w:r>
          </w:p>
        </w:tc>
        <w:tc>
          <w:tcPr>
            <w:tcW w:w="4501" w:type="dxa"/>
            <w:shd w:val="clear" w:color="auto" w:fill="44546A" w:themeFill="text2"/>
          </w:tcPr>
          <w:p w14:paraId="615B6494" w14:textId="7777777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Federal Monitoring Plan</w:t>
            </w:r>
          </w:p>
        </w:tc>
        <w:tc>
          <w:tcPr>
            <w:tcW w:w="1230" w:type="dxa"/>
            <w:shd w:val="clear" w:color="auto" w:fill="44546A" w:themeFill="text2"/>
          </w:tcPr>
          <w:p w14:paraId="0A2E614E" w14:textId="77777777" w:rsidR="001567A4" w:rsidRPr="000A1781" w:rsidRDefault="001567A4" w:rsidP="00002D71">
            <w:pPr>
              <w:widowControl/>
              <w:autoSpaceDE/>
              <w:autoSpaceDN/>
              <w:adjustRightInd/>
              <w:jc w:val="center"/>
              <w:rPr>
                <w:b/>
                <w:color w:val="FFFFFF" w:themeColor="background1"/>
                <w:sz w:val="22"/>
                <w:szCs w:val="22"/>
              </w:rPr>
            </w:pPr>
            <w:r w:rsidRPr="000A1781">
              <w:rPr>
                <w:b/>
                <w:color w:val="FFFFFF" w:themeColor="background1"/>
                <w:sz w:val="22"/>
                <w:szCs w:val="22"/>
              </w:rPr>
              <w:t>Current Status</w:t>
            </w:r>
          </w:p>
        </w:tc>
      </w:tr>
      <w:tr w:rsidR="007073D3" w:rsidRPr="000A1781" w14:paraId="420B9C35" w14:textId="77777777" w:rsidTr="007073D3">
        <w:trPr>
          <w:trHeight w:val="397"/>
        </w:trPr>
        <w:tc>
          <w:tcPr>
            <w:tcW w:w="1805" w:type="dxa"/>
          </w:tcPr>
          <w:p w14:paraId="27393EC0" w14:textId="6AB28EF8" w:rsidR="007073D3" w:rsidRPr="000A1781" w:rsidRDefault="007073D3" w:rsidP="00002D71">
            <w:pPr>
              <w:widowControl/>
              <w:autoSpaceDE/>
              <w:autoSpaceDN/>
              <w:adjustRightInd/>
              <w:jc w:val="center"/>
              <w:rPr>
                <w:iCs/>
                <w:sz w:val="22"/>
                <w:szCs w:val="22"/>
              </w:rPr>
            </w:pPr>
            <w:r w:rsidRPr="000A1781">
              <w:rPr>
                <w:sz w:val="22"/>
                <w:szCs w:val="22"/>
              </w:rPr>
              <w:t>FY</w:t>
            </w:r>
            <w:r w:rsidRPr="000A1781">
              <w:rPr>
                <w:spacing w:val="-5"/>
                <w:sz w:val="22"/>
                <w:szCs w:val="22"/>
              </w:rPr>
              <w:t xml:space="preserve"> </w:t>
            </w:r>
            <w:r w:rsidRPr="000A1781">
              <w:rPr>
                <w:sz w:val="22"/>
                <w:szCs w:val="22"/>
              </w:rPr>
              <w:t>202</w:t>
            </w:r>
            <w:r w:rsidR="00425495" w:rsidRPr="000A1781">
              <w:rPr>
                <w:sz w:val="22"/>
                <w:szCs w:val="22"/>
              </w:rPr>
              <w:t>3</w:t>
            </w:r>
            <w:r w:rsidRPr="000A1781">
              <w:rPr>
                <w:sz w:val="22"/>
                <w:szCs w:val="22"/>
              </w:rPr>
              <w:t>‐OB‐01</w:t>
            </w:r>
          </w:p>
        </w:tc>
        <w:tc>
          <w:tcPr>
            <w:tcW w:w="1864" w:type="dxa"/>
          </w:tcPr>
          <w:p w14:paraId="5F9C5F93" w14:textId="77777777" w:rsidR="00E42C9A" w:rsidRPr="000A1781" w:rsidRDefault="00D17489"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 xml:space="preserve">FY </w:t>
            </w:r>
            <w:r w:rsidR="00611B40" w:rsidRPr="000A1781">
              <w:rPr>
                <w:rFonts w:ascii="Times New Roman" w:hAnsi="Times New Roman" w:cs="Times New Roman"/>
                <w:sz w:val="22"/>
                <w:szCs w:val="22"/>
              </w:rPr>
              <w:t>2022-OB-</w:t>
            </w:r>
            <w:r w:rsidRPr="000A1781">
              <w:rPr>
                <w:rFonts w:ascii="Times New Roman" w:hAnsi="Times New Roman" w:cs="Times New Roman"/>
                <w:sz w:val="22"/>
                <w:szCs w:val="22"/>
              </w:rPr>
              <w:t>0</w:t>
            </w:r>
            <w:r w:rsidR="00611B40" w:rsidRPr="000A1781">
              <w:rPr>
                <w:rFonts w:ascii="Times New Roman" w:hAnsi="Times New Roman" w:cs="Times New Roman"/>
                <w:sz w:val="22"/>
                <w:szCs w:val="22"/>
              </w:rPr>
              <w:t xml:space="preserve">1 </w:t>
            </w:r>
          </w:p>
          <w:p w14:paraId="0A1144B0" w14:textId="77777777" w:rsidR="00E42C9A" w:rsidRPr="000A1781" w:rsidRDefault="007073D3"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FY</w:t>
            </w:r>
            <w:r w:rsidRPr="000A1781">
              <w:rPr>
                <w:rFonts w:ascii="Times New Roman" w:hAnsi="Times New Roman" w:cs="Times New Roman"/>
                <w:spacing w:val="-13"/>
                <w:sz w:val="22"/>
                <w:szCs w:val="22"/>
              </w:rPr>
              <w:t xml:space="preserve"> </w:t>
            </w:r>
            <w:r w:rsidRPr="000A1781">
              <w:rPr>
                <w:rFonts w:ascii="Times New Roman" w:hAnsi="Times New Roman" w:cs="Times New Roman"/>
                <w:sz w:val="22"/>
                <w:szCs w:val="22"/>
              </w:rPr>
              <w:t xml:space="preserve">2021‐OB‐01 </w:t>
            </w:r>
          </w:p>
          <w:p w14:paraId="5A292510" w14:textId="0D0B6AEA" w:rsidR="007073D3" w:rsidRPr="000A1781" w:rsidRDefault="007073D3"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FY</w:t>
            </w:r>
            <w:r w:rsidRPr="000A1781">
              <w:rPr>
                <w:rFonts w:ascii="Times New Roman" w:hAnsi="Times New Roman" w:cs="Times New Roman"/>
                <w:spacing w:val="-5"/>
                <w:sz w:val="22"/>
                <w:szCs w:val="22"/>
              </w:rPr>
              <w:t xml:space="preserve"> </w:t>
            </w:r>
            <w:r w:rsidRPr="000A1781">
              <w:rPr>
                <w:rFonts w:ascii="Times New Roman" w:hAnsi="Times New Roman" w:cs="Times New Roman"/>
                <w:spacing w:val="-2"/>
                <w:sz w:val="22"/>
                <w:szCs w:val="22"/>
              </w:rPr>
              <w:t>2020‐OB‐01</w:t>
            </w:r>
          </w:p>
        </w:tc>
        <w:tc>
          <w:tcPr>
            <w:tcW w:w="4568" w:type="dxa"/>
          </w:tcPr>
          <w:p w14:paraId="777FC46E" w14:textId="306E2E45" w:rsidR="007073D3" w:rsidRPr="000A1781" w:rsidRDefault="007073D3" w:rsidP="00002D71">
            <w:pPr>
              <w:rPr>
                <w:sz w:val="22"/>
                <w:szCs w:val="22"/>
              </w:rPr>
            </w:pPr>
            <w:r w:rsidRPr="000A1781">
              <w:rPr>
                <w:sz w:val="22"/>
                <w:szCs w:val="22"/>
              </w:rPr>
              <w:t>OHSB</w:t>
            </w:r>
            <w:r w:rsidRPr="000A1781">
              <w:rPr>
                <w:spacing w:val="-5"/>
                <w:sz w:val="22"/>
                <w:szCs w:val="22"/>
              </w:rPr>
              <w:t xml:space="preserve"> </w:t>
            </w:r>
            <w:r w:rsidRPr="000A1781">
              <w:rPr>
                <w:sz w:val="22"/>
                <w:szCs w:val="22"/>
              </w:rPr>
              <w:t>did</w:t>
            </w:r>
            <w:r w:rsidRPr="000A1781">
              <w:rPr>
                <w:spacing w:val="-5"/>
                <w:sz w:val="22"/>
                <w:szCs w:val="22"/>
              </w:rPr>
              <w:t xml:space="preserve"> not </w:t>
            </w:r>
            <w:r w:rsidRPr="000A1781">
              <w:rPr>
                <w:sz w:val="22"/>
                <w:szCs w:val="22"/>
              </w:rPr>
              <w:t>complete</w:t>
            </w:r>
            <w:r w:rsidRPr="000A1781">
              <w:rPr>
                <w:spacing w:val="-10"/>
                <w:sz w:val="22"/>
                <w:szCs w:val="22"/>
              </w:rPr>
              <w:t xml:space="preserve"> </w:t>
            </w:r>
            <w:r w:rsidRPr="000A1781">
              <w:rPr>
                <w:sz w:val="22"/>
                <w:szCs w:val="22"/>
              </w:rPr>
              <w:t>abatement</w:t>
            </w:r>
            <w:r w:rsidRPr="000A1781">
              <w:rPr>
                <w:spacing w:val="-10"/>
                <w:sz w:val="22"/>
                <w:szCs w:val="22"/>
              </w:rPr>
              <w:t xml:space="preserve"> </w:t>
            </w:r>
            <w:r w:rsidRPr="000A1781">
              <w:rPr>
                <w:sz w:val="22"/>
                <w:szCs w:val="22"/>
              </w:rPr>
              <w:t>in</w:t>
            </w:r>
            <w:r w:rsidR="00D16CC1" w:rsidRPr="000A1781">
              <w:rPr>
                <w:spacing w:val="-9"/>
                <w:sz w:val="22"/>
                <w:szCs w:val="22"/>
              </w:rPr>
              <w:t xml:space="preserve"> twenty-seven</w:t>
            </w:r>
            <w:r w:rsidRPr="000A1781">
              <w:rPr>
                <w:sz w:val="22"/>
                <w:szCs w:val="22"/>
              </w:rPr>
              <w:t xml:space="preserve"> safety</w:t>
            </w:r>
            <w:r w:rsidRPr="000A1781">
              <w:rPr>
                <w:spacing w:val="-10"/>
                <w:sz w:val="22"/>
                <w:szCs w:val="22"/>
              </w:rPr>
              <w:t xml:space="preserve"> </w:t>
            </w:r>
            <w:r w:rsidRPr="000A1781">
              <w:rPr>
                <w:sz w:val="22"/>
                <w:szCs w:val="22"/>
              </w:rPr>
              <w:t>inspections</w:t>
            </w:r>
            <w:r w:rsidRPr="000A1781">
              <w:rPr>
                <w:spacing w:val="-9"/>
                <w:sz w:val="22"/>
                <w:szCs w:val="22"/>
              </w:rPr>
              <w:t xml:space="preserve"> </w:t>
            </w:r>
            <w:r w:rsidRPr="000A1781">
              <w:rPr>
                <w:spacing w:val="-4"/>
                <w:sz w:val="22"/>
                <w:szCs w:val="22"/>
              </w:rPr>
              <w:t>more</w:t>
            </w:r>
            <w:r w:rsidRPr="000A1781">
              <w:rPr>
                <w:sz w:val="22"/>
                <w:szCs w:val="22"/>
              </w:rPr>
              <w:t xml:space="preserve"> than</w:t>
            </w:r>
            <w:r w:rsidRPr="000A1781">
              <w:rPr>
                <w:spacing w:val="-5"/>
                <w:sz w:val="22"/>
                <w:szCs w:val="22"/>
              </w:rPr>
              <w:t xml:space="preserve"> </w:t>
            </w:r>
            <w:r w:rsidRPr="000A1781">
              <w:rPr>
                <w:sz w:val="22"/>
                <w:szCs w:val="22"/>
              </w:rPr>
              <w:t>60</w:t>
            </w:r>
            <w:r w:rsidRPr="000A1781">
              <w:rPr>
                <w:spacing w:val="-3"/>
                <w:sz w:val="22"/>
                <w:szCs w:val="22"/>
              </w:rPr>
              <w:t xml:space="preserve"> </w:t>
            </w:r>
            <w:r w:rsidRPr="000A1781">
              <w:rPr>
                <w:sz w:val="22"/>
                <w:szCs w:val="22"/>
              </w:rPr>
              <w:t>days</w:t>
            </w:r>
            <w:r w:rsidRPr="000A1781">
              <w:rPr>
                <w:spacing w:val="-2"/>
                <w:sz w:val="22"/>
                <w:szCs w:val="22"/>
              </w:rPr>
              <w:t xml:space="preserve"> </w:t>
            </w:r>
            <w:r w:rsidRPr="000A1781">
              <w:rPr>
                <w:sz w:val="22"/>
                <w:szCs w:val="22"/>
              </w:rPr>
              <w:t>and</w:t>
            </w:r>
            <w:r w:rsidRPr="000A1781">
              <w:rPr>
                <w:spacing w:val="-4"/>
                <w:sz w:val="22"/>
                <w:szCs w:val="22"/>
              </w:rPr>
              <w:t xml:space="preserve"> </w:t>
            </w:r>
            <w:r w:rsidR="00D16CC1" w:rsidRPr="000A1781">
              <w:rPr>
                <w:sz w:val="22"/>
                <w:szCs w:val="22"/>
              </w:rPr>
              <w:t>6</w:t>
            </w:r>
            <w:r w:rsidRPr="000A1781">
              <w:rPr>
                <w:spacing w:val="-3"/>
                <w:sz w:val="22"/>
                <w:szCs w:val="22"/>
              </w:rPr>
              <w:t xml:space="preserve"> </w:t>
            </w:r>
            <w:r w:rsidRPr="000A1781">
              <w:rPr>
                <w:spacing w:val="-2"/>
                <w:sz w:val="22"/>
                <w:szCs w:val="22"/>
              </w:rPr>
              <w:t>health</w:t>
            </w:r>
            <w:r w:rsidRPr="000A1781">
              <w:rPr>
                <w:sz w:val="22"/>
                <w:szCs w:val="22"/>
              </w:rPr>
              <w:t xml:space="preserve"> inspections</w:t>
            </w:r>
            <w:r w:rsidRPr="000A1781">
              <w:rPr>
                <w:spacing w:val="-11"/>
                <w:sz w:val="22"/>
                <w:szCs w:val="22"/>
              </w:rPr>
              <w:t xml:space="preserve"> </w:t>
            </w:r>
            <w:r w:rsidRPr="000A1781">
              <w:rPr>
                <w:sz w:val="22"/>
                <w:szCs w:val="22"/>
              </w:rPr>
              <w:t>more</w:t>
            </w:r>
            <w:r w:rsidRPr="000A1781">
              <w:rPr>
                <w:spacing w:val="-11"/>
                <w:sz w:val="22"/>
                <w:szCs w:val="22"/>
              </w:rPr>
              <w:t xml:space="preserve"> </w:t>
            </w:r>
            <w:r w:rsidRPr="000A1781">
              <w:rPr>
                <w:sz w:val="22"/>
                <w:szCs w:val="22"/>
              </w:rPr>
              <w:t>than</w:t>
            </w:r>
            <w:r w:rsidRPr="000A1781">
              <w:rPr>
                <w:spacing w:val="-10"/>
                <w:sz w:val="22"/>
                <w:szCs w:val="22"/>
              </w:rPr>
              <w:t xml:space="preserve"> </w:t>
            </w:r>
            <w:r w:rsidRPr="000A1781">
              <w:rPr>
                <w:spacing w:val="-5"/>
                <w:sz w:val="22"/>
                <w:szCs w:val="22"/>
              </w:rPr>
              <w:t>90</w:t>
            </w:r>
            <w:r w:rsidRPr="000A1781">
              <w:rPr>
                <w:sz w:val="22"/>
                <w:szCs w:val="22"/>
              </w:rPr>
              <w:t xml:space="preserve"> days.</w:t>
            </w:r>
            <w:r w:rsidR="00D16CC1" w:rsidRPr="000A1781">
              <w:rPr>
                <w:sz w:val="22"/>
                <w:szCs w:val="22"/>
              </w:rPr>
              <w:t xml:space="preserve"> (SIR 3a</w:t>
            </w:r>
            <w:r w:rsidR="00474730" w:rsidRPr="000A1781">
              <w:rPr>
                <w:sz w:val="22"/>
                <w:szCs w:val="22"/>
              </w:rPr>
              <w:t>-3b)</w:t>
            </w:r>
          </w:p>
        </w:tc>
        <w:tc>
          <w:tcPr>
            <w:tcW w:w="4501" w:type="dxa"/>
          </w:tcPr>
          <w:p w14:paraId="7B9FA632" w14:textId="1107698B" w:rsidR="007073D3" w:rsidRPr="000A1781" w:rsidRDefault="007073D3" w:rsidP="00002D71">
            <w:pPr>
              <w:rPr>
                <w:sz w:val="22"/>
                <w:szCs w:val="22"/>
              </w:rPr>
            </w:pPr>
            <w:r w:rsidRPr="000A1781">
              <w:rPr>
                <w:sz w:val="22"/>
                <w:szCs w:val="22"/>
              </w:rPr>
              <w:t>OSHA</w:t>
            </w:r>
            <w:r w:rsidRPr="000A1781">
              <w:rPr>
                <w:spacing w:val="-9"/>
                <w:sz w:val="22"/>
                <w:szCs w:val="22"/>
              </w:rPr>
              <w:t xml:space="preserve"> </w:t>
            </w:r>
            <w:r w:rsidRPr="000A1781">
              <w:rPr>
                <w:sz w:val="22"/>
                <w:szCs w:val="22"/>
              </w:rPr>
              <w:t>will</w:t>
            </w:r>
            <w:r w:rsidRPr="000A1781">
              <w:rPr>
                <w:spacing w:val="-8"/>
                <w:sz w:val="22"/>
                <w:szCs w:val="22"/>
              </w:rPr>
              <w:t xml:space="preserve"> </w:t>
            </w:r>
            <w:r w:rsidRPr="000A1781">
              <w:rPr>
                <w:sz w:val="22"/>
                <w:szCs w:val="22"/>
              </w:rPr>
              <w:t>continue</w:t>
            </w:r>
            <w:r w:rsidRPr="000A1781">
              <w:rPr>
                <w:spacing w:val="-9"/>
                <w:sz w:val="22"/>
                <w:szCs w:val="22"/>
              </w:rPr>
              <w:t xml:space="preserve"> </w:t>
            </w:r>
            <w:r w:rsidRPr="000A1781">
              <w:rPr>
                <w:spacing w:val="-5"/>
                <w:sz w:val="22"/>
                <w:szCs w:val="22"/>
              </w:rPr>
              <w:t xml:space="preserve">to </w:t>
            </w:r>
            <w:r w:rsidRPr="000A1781">
              <w:rPr>
                <w:sz w:val="22"/>
                <w:szCs w:val="22"/>
              </w:rPr>
              <w:t>monitor</w:t>
            </w:r>
            <w:r w:rsidRPr="000A1781">
              <w:rPr>
                <w:spacing w:val="-12"/>
                <w:sz w:val="22"/>
                <w:szCs w:val="22"/>
              </w:rPr>
              <w:t xml:space="preserve"> </w:t>
            </w:r>
            <w:r w:rsidRPr="000A1781">
              <w:rPr>
                <w:sz w:val="22"/>
                <w:szCs w:val="22"/>
              </w:rPr>
              <w:t>performance</w:t>
            </w:r>
            <w:r w:rsidRPr="000A1781">
              <w:rPr>
                <w:spacing w:val="-10"/>
                <w:sz w:val="22"/>
                <w:szCs w:val="22"/>
              </w:rPr>
              <w:t xml:space="preserve"> </w:t>
            </w:r>
            <w:r w:rsidRPr="000A1781">
              <w:rPr>
                <w:spacing w:val="-5"/>
                <w:sz w:val="22"/>
                <w:szCs w:val="22"/>
              </w:rPr>
              <w:t>in</w:t>
            </w:r>
            <w:r w:rsidRPr="000A1781">
              <w:rPr>
                <w:sz w:val="22"/>
                <w:szCs w:val="22"/>
              </w:rPr>
              <w:t xml:space="preserve"> this</w:t>
            </w:r>
            <w:r w:rsidRPr="000A1781">
              <w:rPr>
                <w:spacing w:val="-9"/>
                <w:sz w:val="22"/>
                <w:szCs w:val="22"/>
              </w:rPr>
              <w:t xml:space="preserve"> </w:t>
            </w:r>
            <w:r w:rsidRPr="000A1781">
              <w:rPr>
                <w:sz w:val="22"/>
                <w:szCs w:val="22"/>
              </w:rPr>
              <w:t>area</w:t>
            </w:r>
            <w:r w:rsidRPr="000A1781">
              <w:rPr>
                <w:spacing w:val="-7"/>
                <w:sz w:val="22"/>
                <w:szCs w:val="22"/>
              </w:rPr>
              <w:t xml:space="preserve"> </w:t>
            </w:r>
            <w:r w:rsidRPr="000A1781">
              <w:rPr>
                <w:sz w:val="22"/>
                <w:szCs w:val="22"/>
              </w:rPr>
              <w:t>during</w:t>
            </w:r>
            <w:r w:rsidRPr="000A1781">
              <w:rPr>
                <w:spacing w:val="-6"/>
                <w:sz w:val="22"/>
                <w:szCs w:val="22"/>
              </w:rPr>
              <w:t xml:space="preserve"> </w:t>
            </w:r>
            <w:r w:rsidRPr="000A1781">
              <w:rPr>
                <w:spacing w:val="-2"/>
                <w:sz w:val="22"/>
                <w:szCs w:val="22"/>
              </w:rPr>
              <w:t>quarterly</w:t>
            </w:r>
            <w:r w:rsidRPr="000A1781">
              <w:rPr>
                <w:sz w:val="22"/>
                <w:szCs w:val="22"/>
              </w:rPr>
              <w:t xml:space="preserve"> meeting</w:t>
            </w:r>
            <w:r w:rsidRPr="000A1781">
              <w:rPr>
                <w:spacing w:val="-8"/>
                <w:sz w:val="22"/>
                <w:szCs w:val="22"/>
              </w:rPr>
              <w:t xml:space="preserve"> </w:t>
            </w:r>
            <w:r w:rsidRPr="000A1781">
              <w:rPr>
                <w:sz w:val="22"/>
                <w:szCs w:val="22"/>
              </w:rPr>
              <w:t>and</w:t>
            </w:r>
            <w:r w:rsidRPr="000A1781">
              <w:rPr>
                <w:spacing w:val="-8"/>
                <w:sz w:val="22"/>
                <w:szCs w:val="22"/>
              </w:rPr>
              <w:t xml:space="preserve"> </w:t>
            </w:r>
            <w:r w:rsidRPr="000A1781">
              <w:rPr>
                <w:sz w:val="22"/>
                <w:szCs w:val="22"/>
              </w:rPr>
              <w:t>FY 2022</w:t>
            </w:r>
            <w:r w:rsidRPr="000A1781">
              <w:rPr>
                <w:spacing w:val="-7"/>
                <w:sz w:val="22"/>
                <w:szCs w:val="22"/>
              </w:rPr>
              <w:t xml:space="preserve"> </w:t>
            </w:r>
            <w:r w:rsidRPr="000A1781">
              <w:rPr>
                <w:spacing w:val="-4"/>
                <w:sz w:val="22"/>
                <w:szCs w:val="22"/>
              </w:rPr>
              <w:t>case</w:t>
            </w:r>
            <w:r w:rsidRPr="000A1781">
              <w:rPr>
                <w:sz w:val="22"/>
                <w:szCs w:val="22"/>
              </w:rPr>
              <w:t xml:space="preserve"> file</w:t>
            </w:r>
            <w:r w:rsidRPr="000A1781">
              <w:rPr>
                <w:spacing w:val="-4"/>
                <w:sz w:val="22"/>
                <w:szCs w:val="22"/>
              </w:rPr>
              <w:t xml:space="preserve"> </w:t>
            </w:r>
            <w:r w:rsidRPr="000A1781">
              <w:rPr>
                <w:sz w:val="22"/>
                <w:szCs w:val="22"/>
              </w:rPr>
              <w:t>review</w:t>
            </w:r>
          </w:p>
        </w:tc>
        <w:tc>
          <w:tcPr>
            <w:tcW w:w="1230" w:type="dxa"/>
          </w:tcPr>
          <w:p w14:paraId="36B7BE48" w14:textId="00041758" w:rsidR="007073D3" w:rsidRPr="000A1781" w:rsidRDefault="00CA0AEE" w:rsidP="00002D71">
            <w:pPr>
              <w:widowControl/>
              <w:autoSpaceDE/>
              <w:autoSpaceDN/>
              <w:adjustRightInd/>
              <w:jc w:val="center"/>
              <w:rPr>
                <w:iCs/>
                <w:sz w:val="22"/>
                <w:szCs w:val="22"/>
              </w:rPr>
            </w:pPr>
            <w:r w:rsidRPr="000A1781">
              <w:rPr>
                <w:iCs/>
                <w:sz w:val="22"/>
                <w:szCs w:val="22"/>
              </w:rPr>
              <w:t>Continued</w:t>
            </w:r>
          </w:p>
        </w:tc>
      </w:tr>
      <w:tr w:rsidR="007073D3" w:rsidRPr="000A1781" w14:paraId="374AAFFC" w14:textId="77777777" w:rsidTr="007073D3">
        <w:trPr>
          <w:trHeight w:val="397"/>
        </w:trPr>
        <w:tc>
          <w:tcPr>
            <w:tcW w:w="1805" w:type="dxa"/>
          </w:tcPr>
          <w:p w14:paraId="27A9959A" w14:textId="7192BB44" w:rsidR="007073D3" w:rsidRPr="000A1781" w:rsidRDefault="007073D3" w:rsidP="00002D71">
            <w:pPr>
              <w:widowControl/>
              <w:autoSpaceDE/>
              <w:autoSpaceDN/>
              <w:adjustRightInd/>
              <w:jc w:val="center"/>
              <w:rPr>
                <w:iCs/>
                <w:sz w:val="22"/>
                <w:szCs w:val="22"/>
              </w:rPr>
            </w:pPr>
            <w:r w:rsidRPr="000A1781">
              <w:rPr>
                <w:sz w:val="22"/>
                <w:szCs w:val="22"/>
              </w:rPr>
              <w:t>FY</w:t>
            </w:r>
            <w:r w:rsidRPr="000A1781">
              <w:rPr>
                <w:spacing w:val="-5"/>
                <w:sz w:val="22"/>
                <w:szCs w:val="22"/>
              </w:rPr>
              <w:t xml:space="preserve"> </w:t>
            </w:r>
            <w:r w:rsidRPr="000A1781">
              <w:rPr>
                <w:sz w:val="22"/>
                <w:szCs w:val="22"/>
              </w:rPr>
              <w:t>202</w:t>
            </w:r>
            <w:r w:rsidR="00D17489" w:rsidRPr="000A1781">
              <w:rPr>
                <w:sz w:val="22"/>
                <w:szCs w:val="22"/>
              </w:rPr>
              <w:t>3</w:t>
            </w:r>
            <w:r w:rsidRPr="000A1781">
              <w:rPr>
                <w:sz w:val="22"/>
                <w:szCs w:val="22"/>
              </w:rPr>
              <w:t>‐OB‐02</w:t>
            </w:r>
          </w:p>
        </w:tc>
        <w:tc>
          <w:tcPr>
            <w:tcW w:w="1864" w:type="dxa"/>
          </w:tcPr>
          <w:p w14:paraId="7B22F063" w14:textId="77777777" w:rsidR="00E42C9A" w:rsidRPr="000A1781" w:rsidRDefault="00D17489"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 xml:space="preserve">FY 2022-OB-02 </w:t>
            </w:r>
          </w:p>
          <w:p w14:paraId="1FC06F4D" w14:textId="77777777" w:rsidR="00E42C9A" w:rsidRPr="000A1781" w:rsidRDefault="007073D3"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FY</w:t>
            </w:r>
            <w:r w:rsidRPr="000A1781">
              <w:rPr>
                <w:rFonts w:ascii="Times New Roman" w:hAnsi="Times New Roman" w:cs="Times New Roman"/>
                <w:spacing w:val="-13"/>
                <w:sz w:val="22"/>
                <w:szCs w:val="22"/>
              </w:rPr>
              <w:t xml:space="preserve"> </w:t>
            </w:r>
            <w:r w:rsidRPr="000A1781">
              <w:rPr>
                <w:rFonts w:ascii="Times New Roman" w:hAnsi="Times New Roman" w:cs="Times New Roman"/>
                <w:sz w:val="22"/>
                <w:szCs w:val="22"/>
              </w:rPr>
              <w:t xml:space="preserve">2021‐OB‐02 </w:t>
            </w:r>
          </w:p>
          <w:p w14:paraId="2FDCF05D" w14:textId="066D075F" w:rsidR="007073D3" w:rsidRPr="000A1781" w:rsidRDefault="007073D3" w:rsidP="00E42C9A">
            <w:pPr>
              <w:pStyle w:val="TableParagraph"/>
              <w:spacing w:after="0"/>
              <w:rPr>
                <w:rFonts w:ascii="Times New Roman" w:hAnsi="Times New Roman" w:cs="Times New Roman"/>
                <w:sz w:val="22"/>
                <w:szCs w:val="22"/>
              </w:rPr>
            </w:pPr>
            <w:r w:rsidRPr="000A1781">
              <w:rPr>
                <w:rFonts w:ascii="Times New Roman" w:hAnsi="Times New Roman" w:cs="Times New Roman"/>
                <w:sz w:val="22"/>
                <w:szCs w:val="22"/>
              </w:rPr>
              <w:t>FY</w:t>
            </w:r>
            <w:r w:rsidRPr="000A1781">
              <w:rPr>
                <w:rFonts w:ascii="Times New Roman" w:hAnsi="Times New Roman" w:cs="Times New Roman"/>
                <w:spacing w:val="-5"/>
                <w:sz w:val="22"/>
                <w:szCs w:val="22"/>
              </w:rPr>
              <w:t xml:space="preserve"> </w:t>
            </w:r>
            <w:r w:rsidRPr="000A1781">
              <w:rPr>
                <w:rFonts w:ascii="Times New Roman" w:hAnsi="Times New Roman" w:cs="Times New Roman"/>
                <w:spacing w:val="-2"/>
                <w:sz w:val="22"/>
                <w:szCs w:val="22"/>
              </w:rPr>
              <w:t>2020‐OB‐03</w:t>
            </w:r>
          </w:p>
        </w:tc>
        <w:tc>
          <w:tcPr>
            <w:tcW w:w="4568" w:type="dxa"/>
          </w:tcPr>
          <w:p w14:paraId="34DE0252" w14:textId="77777777" w:rsidR="00096639" w:rsidRPr="000A1781" w:rsidRDefault="007073D3" w:rsidP="00002D71">
            <w:pPr>
              <w:rPr>
                <w:sz w:val="22"/>
                <w:szCs w:val="22"/>
              </w:rPr>
            </w:pPr>
            <w:r w:rsidRPr="000A1781">
              <w:rPr>
                <w:sz w:val="22"/>
                <w:szCs w:val="22"/>
              </w:rPr>
              <w:t>Of the 5</w:t>
            </w:r>
            <w:r w:rsidR="00080D80" w:rsidRPr="000A1781">
              <w:rPr>
                <w:sz w:val="22"/>
                <w:szCs w:val="22"/>
              </w:rPr>
              <w:t>2</w:t>
            </w:r>
            <w:r w:rsidRPr="000A1781">
              <w:rPr>
                <w:sz w:val="22"/>
                <w:szCs w:val="22"/>
              </w:rPr>
              <w:t xml:space="preserve"> files reviewed in FY 202</w:t>
            </w:r>
            <w:r w:rsidR="00080D80" w:rsidRPr="000A1781">
              <w:rPr>
                <w:sz w:val="22"/>
                <w:szCs w:val="22"/>
              </w:rPr>
              <w:t>3</w:t>
            </w:r>
            <w:r w:rsidRPr="000A1781">
              <w:rPr>
                <w:sz w:val="22"/>
                <w:szCs w:val="22"/>
              </w:rPr>
              <w:t>, the</w:t>
            </w:r>
            <w:r w:rsidRPr="000A1781">
              <w:rPr>
                <w:spacing w:val="-13"/>
                <w:sz w:val="22"/>
                <w:szCs w:val="22"/>
              </w:rPr>
              <w:t xml:space="preserve"> </w:t>
            </w:r>
            <w:r w:rsidRPr="000A1781">
              <w:rPr>
                <w:sz w:val="22"/>
                <w:szCs w:val="22"/>
              </w:rPr>
              <w:t>in‐compliance</w:t>
            </w:r>
            <w:r w:rsidRPr="000A1781">
              <w:rPr>
                <w:spacing w:val="-12"/>
                <w:sz w:val="22"/>
                <w:szCs w:val="22"/>
              </w:rPr>
              <w:t xml:space="preserve"> </w:t>
            </w:r>
            <w:r w:rsidRPr="000A1781">
              <w:rPr>
                <w:sz w:val="22"/>
                <w:szCs w:val="22"/>
              </w:rPr>
              <w:t>rate</w:t>
            </w:r>
            <w:r w:rsidRPr="000A1781">
              <w:rPr>
                <w:spacing w:val="-13"/>
                <w:sz w:val="22"/>
                <w:szCs w:val="22"/>
              </w:rPr>
              <w:t xml:space="preserve"> </w:t>
            </w:r>
            <w:r w:rsidRPr="000A1781">
              <w:rPr>
                <w:sz w:val="22"/>
                <w:szCs w:val="22"/>
              </w:rPr>
              <w:t>for safety and health inspections</w:t>
            </w:r>
            <w:r w:rsidRPr="000A1781">
              <w:rPr>
                <w:spacing w:val="-12"/>
                <w:sz w:val="22"/>
                <w:szCs w:val="22"/>
              </w:rPr>
              <w:t xml:space="preserve"> </w:t>
            </w:r>
            <w:r w:rsidRPr="000A1781">
              <w:rPr>
                <w:sz w:val="22"/>
                <w:szCs w:val="22"/>
              </w:rPr>
              <w:t>was</w:t>
            </w:r>
            <w:r w:rsidRPr="000A1781">
              <w:rPr>
                <w:spacing w:val="-12"/>
                <w:sz w:val="22"/>
                <w:szCs w:val="22"/>
              </w:rPr>
              <w:t xml:space="preserve"> </w:t>
            </w:r>
            <w:r w:rsidRPr="000A1781">
              <w:rPr>
                <w:spacing w:val="-4"/>
                <w:sz w:val="22"/>
                <w:szCs w:val="22"/>
              </w:rPr>
              <w:t>6</w:t>
            </w:r>
            <w:r w:rsidR="00AB69E2" w:rsidRPr="000A1781">
              <w:rPr>
                <w:spacing w:val="-4"/>
                <w:sz w:val="22"/>
                <w:szCs w:val="22"/>
              </w:rPr>
              <w:t>9</w:t>
            </w:r>
            <w:r w:rsidRPr="000A1781">
              <w:rPr>
                <w:spacing w:val="-4"/>
                <w:sz w:val="22"/>
                <w:szCs w:val="22"/>
              </w:rPr>
              <w:t>%,</w:t>
            </w:r>
            <w:r w:rsidRPr="000A1781">
              <w:rPr>
                <w:sz w:val="22"/>
                <w:szCs w:val="22"/>
              </w:rPr>
              <w:t xml:space="preserve"> which</w:t>
            </w:r>
            <w:r w:rsidRPr="000A1781">
              <w:rPr>
                <w:spacing w:val="-6"/>
                <w:sz w:val="22"/>
                <w:szCs w:val="22"/>
              </w:rPr>
              <w:t xml:space="preserve"> </w:t>
            </w:r>
            <w:r w:rsidRPr="000A1781">
              <w:rPr>
                <w:sz w:val="22"/>
                <w:szCs w:val="22"/>
              </w:rPr>
              <w:t>was</w:t>
            </w:r>
            <w:r w:rsidRPr="000A1781">
              <w:rPr>
                <w:spacing w:val="-7"/>
                <w:sz w:val="22"/>
                <w:szCs w:val="22"/>
              </w:rPr>
              <w:t xml:space="preserve"> </w:t>
            </w:r>
            <w:r w:rsidRPr="000A1781">
              <w:rPr>
                <w:sz w:val="22"/>
                <w:szCs w:val="22"/>
              </w:rPr>
              <w:t>above</w:t>
            </w:r>
            <w:r w:rsidRPr="000A1781">
              <w:rPr>
                <w:spacing w:val="-7"/>
                <w:sz w:val="22"/>
                <w:szCs w:val="22"/>
              </w:rPr>
              <w:t xml:space="preserve"> </w:t>
            </w:r>
            <w:r w:rsidRPr="000A1781">
              <w:rPr>
                <w:sz w:val="22"/>
                <w:szCs w:val="22"/>
              </w:rPr>
              <w:t xml:space="preserve">the </w:t>
            </w:r>
            <w:r w:rsidR="00DE6EEF" w:rsidRPr="000A1781">
              <w:rPr>
                <w:sz w:val="22"/>
                <w:szCs w:val="22"/>
              </w:rPr>
              <w:t xml:space="preserve">FRL </w:t>
            </w:r>
            <w:r w:rsidR="00140BC0" w:rsidRPr="000A1781">
              <w:rPr>
                <w:sz w:val="22"/>
                <w:szCs w:val="22"/>
              </w:rPr>
              <w:t xml:space="preserve">on the official end of year </w:t>
            </w:r>
            <w:r w:rsidR="00071377" w:rsidRPr="000A1781">
              <w:rPr>
                <w:sz w:val="22"/>
                <w:szCs w:val="22"/>
              </w:rPr>
              <w:t>SAMM</w:t>
            </w:r>
            <w:r w:rsidR="00E76656" w:rsidRPr="000A1781">
              <w:rPr>
                <w:sz w:val="22"/>
                <w:szCs w:val="22"/>
              </w:rPr>
              <w:t xml:space="preserve"> </w:t>
            </w:r>
            <w:r w:rsidR="00071377" w:rsidRPr="000A1781">
              <w:rPr>
                <w:sz w:val="22"/>
                <w:szCs w:val="22"/>
              </w:rPr>
              <w:t>9</w:t>
            </w:r>
            <w:r w:rsidR="00096639" w:rsidRPr="000A1781">
              <w:rPr>
                <w:sz w:val="22"/>
                <w:szCs w:val="22"/>
              </w:rPr>
              <w:t>.</w:t>
            </w:r>
          </w:p>
          <w:p w14:paraId="164DBAA5" w14:textId="77777777" w:rsidR="00624B24" w:rsidRPr="000A1781" w:rsidRDefault="00624B24" w:rsidP="00002D71">
            <w:pPr>
              <w:rPr>
                <w:sz w:val="22"/>
                <w:szCs w:val="22"/>
              </w:rPr>
            </w:pPr>
          </w:p>
          <w:p w14:paraId="49FDFB33" w14:textId="08C3A678" w:rsidR="00760F94" w:rsidRPr="000A1781" w:rsidRDefault="00760F94" w:rsidP="00624B24">
            <w:pPr>
              <w:widowControl/>
              <w:tabs>
                <w:tab w:val="left" w:pos="1800"/>
              </w:tabs>
              <w:autoSpaceDE/>
              <w:autoSpaceDN/>
              <w:adjustRightInd/>
              <w:contextualSpacing/>
              <w:rPr>
                <w:spacing w:val="-5"/>
                <w:sz w:val="22"/>
                <w:szCs w:val="22"/>
              </w:rPr>
            </w:pPr>
            <w:r w:rsidRPr="000A1781">
              <w:rPr>
                <w:spacing w:val="-5"/>
                <w:sz w:val="22"/>
                <w:szCs w:val="22"/>
              </w:rPr>
              <w:t>OSHA identified a significant discrepancy between the results of the FY 2023 casefile review versus the end-of-year SAMM report data which was run on November 14, 2023. In FY 2023, NM OHSB’s percent in-compliance in for safety inspections was 39.25% and 30.77% for health inspections.</w:t>
            </w:r>
          </w:p>
        </w:tc>
        <w:tc>
          <w:tcPr>
            <w:tcW w:w="4501" w:type="dxa"/>
          </w:tcPr>
          <w:p w14:paraId="3F9D4341" w14:textId="2CAC08BE" w:rsidR="00096639" w:rsidRPr="000A1781" w:rsidRDefault="006A2878" w:rsidP="00096639">
            <w:pPr>
              <w:widowControl/>
              <w:tabs>
                <w:tab w:val="left" w:pos="1800"/>
              </w:tabs>
              <w:autoSpaceDE/>
              <w:autoSpaceDN/>
              <w:adjustRightInd/>
              <w:contextualSpacing/>
              <w:rPr>
                <w:spacing w:val="-5"/>
                <w:sz w:val="22"/>
                <w:szCs w:val="22"/>
              </w:rPr>
            </w:pPr>
            <w:r w:rsidRPr="000A1781">
              <w:rPr>
                <w:sz w:val="22"/>
                <w:szCs w:val="22"/>
              </w:rPr>
              <w:t xml:space="preserve">OSHA will </w:t>
            </w:r>
            <w:r w:rsidR="00760F94" w:rsidRPr="000A1781">
              <w:rPr>
                <w:sz w:val="22"/>
                <w:szCs w:val="22"/>
              </w:rPr>
              <w:t xml:space="preserve">continue to </w:t>
            </w:r>
            <w:r w:rsidRPr="000A1781">
              <w:rPr>
                <w:sz w:val="22"/>
                <w:szCs w:val="22"/>
              </w:rPr>
              <w:t xml:space="preserve">partner with the National Office and OIS team to </w:t>
            </w:r>
            <w:proofErr w:type="gramStart"/>
            <w:r w:rsidRPr="000A1781">
              <w:rPr>
                <w:sz w:val="22"/>
                <w:szCs w:val="22"/>
              </w:rPr>
              <w:t>look into</w:t>
            </w:r>
            <w:proofErr w:type="gramEnd"/>
            <w:r w:rsidRPr="000A1781">
              <w:rPr>
                <w:sz w:val="22"/>
                <w:szCs w:val="22"/>
              </w:rPr>
              <w:t xml:space="preserve"> the inconsistency between the actual casefile review results versus the </w:t>
            </w:r>
            <w:r w:rsidR="00760F94" w:rsidRPr="000A1781">
              <w:rPr>
                <w:sz w:val="22"/>
                <w:szCs w:val="22"/>
              </w:rPr>
              <w:t xml:space="preserve">OIS </w:t>
            </w:r>
            <w:r w:rsidRPr="000A1781">
              <w:rPr>
                <w:sz w:val="22"/>
                <w:szCs w:val="22"/>
              </w:rPr>
              <w:t>calculated end-of-year SAMM data regarding in-compliance rates. OSHA will continue to monitor performance in this</w:t>
            </w:r>
            <w:r w:rsidRPr="000A1781">
              <w:rPr>
                <w:spacing w:val="-13"/>
                <w:sz w:val="22"/>
                <w:szCs w:val="22"/>
              </w:rPr>
              <w:t xml:space="preserve"> </w:t>
            </w:r>
            <w:r w:rsidRPr="000A1781">
              <w:rPr>
                <w:sz w:val="22"/>
                <w:szCs w:val="22"/>
              </w:rPr>
              <w:t>area</w:t>
            </w:r>
            <w:r w:rsidRPr="000A1781">
              <w:rPr>
                <w:spacing w:val="-12"/>
                <w:sz w:val="22"/>
                <w:szCs w:val="22"/>
              </w:rPr>
              <w:t xml:space="preserve"> </w:t>
            </w:r>
            <w:r w:rsidRPr="000A1781">
              <w:rPr>
                <w:sz w:val="22"/>
                <w:szCs w:val="22"/>
              </w:rPr>
              <w:t>during</w:t>
            </w:r>
            <w:r w:rsidRPr="000A1781">
              <w:rPr>
                <w:spacing w:val="-12"/>
                <w:sz w:val="22"/>
                <w:szCs w:val="22"/>
              </w:rPr>
              <w:t xml:space="preserve"> </w:t>
            </w:r>
            <w:r w:rsidRPr="000A1781">
              <w:rPr>
                <w:sz w:val="22"/>
                <w:szCs w:val="22"/>
              </w:rPr>
              <w:t xml:space="preserve">quarterly </w:t>
            </w:r>
            <w:r w:rsidRPr="000A1781">
              <w:rPr>
                <w:spacing w:val="-2"/>
                <w:sz w:val="22"/>
                <w:szCs w:val="22"/>
              </w:rPr>
              <w:t>meeting</w:t>
            </w:r>
            <w:r w:rsidR="00760F94" w:rsidRPr="000A1781">
              <w:rPr>
                <w:spacing w:val="-2"/>
                <w:sz w:val="22"/>
                <w:szCs w:val="22"/>
              </w:rPr>
              <w:t>s</w:t>
            </w:r>
            <w:r w:rsidRPr="000A1781">
              <w:rPr>
                <w:spacing w:val="-2"/>
                <w:sz w:val="22"/>
                <w:szCs w:val="22"/>
              </w:rPr>
              <w:t>.</w:t>
            </w:r>
          </w:p>
          <w:p w14:paraId="2F9A9E15" w14:textId="5D193FA8" w:rsidR="007073D3" w:rsidRPr="000A1781" w:rsidRDefault="007073D3" w:rsidP="00002D71">
            <w:pPr>
              <w:rPr>
                <w:sz w:val="22"/>
                <w:szCs w:val="22"/>
              </w:rPr>
            </w:pPr>
          </w:p>
        </w:tc>
        <w:tc>
          <w:tcPr>
            <w:tcW w:w="1230" w:type="dxa"/>
          </w:tcPr>
          <w:p w14:paraId="59AF5B34" w14:textId="660EEA63" w:rsidR="007073D3" w:rsidRPr="000A1781" w:rsidRDefault="00CA0AEE" w:rsidP="00002D71">
            <w:pPr>
              <w:widowControl/>
              <w:autoSpaceDE/>
              <w:autoSpaceDN/>
              <w:adjustRightInd/>
              <w:jc w:val="center"/>
              <w:rPr>
                <w:iCs/>
                <w:sz w:val="22"/>
                <w:szCs w:val="22"/>
              </w:rPr>
            </w:pPr>
            <w:r w:rsidRPr="000A1781">
              <w:rPr>
                <w:iCs/>
                <w:sz w:val="22"/>
                <w:szCs w:val="22"/>
              </w:rPr>
              <w:t>Continued</w:t>
            </w:r>
          </w:p>
        </w:tc>
      </w:tr>
      <w:tr w:rsidR="007073D3" w:rsidRPr="000A1781" w14:paraId="34219C84" w14:textId="77777777" w:rsidTr="007073D3">
        <w:trPr>
          <w:trHeight w:val="397"/>
        </w:trPr>
        <w:tc>
          <w:tcPr>
            <w:tcW w:w="1805" w:type="dxa"/>
          </w:tcPr>
          <w:p w14:paraId="1E3FFDC9" w14:textId="381554AD" w:rsidR="007073D3" w:rsidRPr="000A1781" w:rsidRDefault="007073D3" w:rsidP="00002D71">
            <w:pPr>
              <w:widowControl/>
              <w:autoSpaceDE/>
              <w:autoSpaceDN/>
              <w:adjustRightInd/>
              <w:jc w:val="center"/>
              <w:rPr>
                <w:iCs/>
                <w:sz w:val="22"/>
                <w:szCs w:val="22"/>
              </w:rPr>
            </w:pPr>
            <w:r w:rsidRPr="000A1781">
              <w:rPr>
                <w:sz w:val="22"/>
                <w:szCs w:val="22"/>
              </w:rPr>
              <w:t>FY</w:t>
            </w:r>
            <w:r w:rsidRPr="000A1781">
              <w:rPr>
                <w:spacing w:val="-5"/>
                <w:sz w:val="22"/>
                <w:szCs w:val="22"/>
              </w:rPr>
              <w:t xml:space="preserve"> </w:t>
            </w:r>
            <w:r w:rsidRPr="000A1781">
              <w:rPr>
                <w:sz w:val="22"/>
                <w:szCs w:val="22"/>
              </w:rPr>
              <w:t>202</w:t>
            </w:r>
            <w:r w:rsidR="00D17489" w:rsidRPr="000A1781">
              <w:rPr>
                <w:sz w:val="22"/>
                <w:szCs w:val="22"/>
              </w:rPr>
              <w:t>3</w:t>
            </w:r>
            <w:r w:rsidRPr="000A1781">
              <w:rPr>
                <w:sz w:val="22"/>
                <w:szCs w:val="22"/>
              </w:rPr>
              <w:t>‐OB‐03</w:t>
            </w:r>
          </w:p>
        </w:tc>
        <w:tc>
          <w:tcPr>
            <w:tcW w:w="1864" w:type="dxa"/>
          </w:tcPr>
          <w:p w14:paraId="67B2375E" w14:textId="77777777" w:rsidR="00E42C9A" w:rsidRPr="000A1781" w:rsidRDefault="00D17489" w:rsidP="00E42C9A">
            <w:pPr>
              <w:widowControl/>
              <w:autoSpaceDE/>
              <w:autoSpaceDN/>
              <w:adjustRightInd/>
              <w:rPr>
                <w:sz w:val="22"/>
                <w:szCs w:val="22"/>
              </w:rPr>
            </w:pPr>
            <w:r w:rsidRPr="000A1781">
              <w:rPr>
                <w:sz w:val="22"/>
                <w:szCs w:val="22"/>
              </w:rPr>
              <w:t>FY 2022-</w:t>
            </w:r>
            <w:r w:rsidR="00E3462D" w:rsidRPr="000A1781">
              <w:rPr>
                <w:sz w:val="22"/>
                <w:szCs w:val="22"/>
              </w:rPr>
              <w:t xml:space="preserve">OB-03 </w:t>
            </w:r>
          </w:p>
          <w:p w14:paraId="17F7DA98" w14:textId="1038A22C" w:rsidR="007073D3" w:rsidRPr="000A1781" w:rsidRDefault="007073D3" w:rsidP="00E42C9A">
            <w:pPr>
              <w:widowControl/>
              <w:autoSpaceDE/>
              <w:autoSpaceDN/>
              <w:adjustRightInd/>
              <w:rPr>
                <w:i/>
                <w:sz w:val="22"/>
                <w:szCs w:val="22"/>
              </w:rPr>
            </w:pPr>
            <w:r w:rsidRPr="000A1781">
              <w:rPr>
                <w:sz w:val="22"/>
                <w:szCs w:val="22"/>
              </w:rPr>
              <w:t>FY</w:t>
            </w:r>
            <w:r w:rsidRPr="000A1781">
              <w:rPr>
                <w:spacing w:val="-5"/>
                <w:sz w:val="22"/>
                <w:szCs w:val="22"/>
              </w:rPr>
              <w:t xml:space="preserve"> </w:t>
            </w:r>
            <w:r w:rsidRPr="000A1781">
              <w:rPr>
                <w:sz w:val="22"/>
                <w:szCs w:val="22"/>
              </w:rPr>
              <w:t>2021‐OB‐03</w:t>
            </w:r>
          </w:p>
        </w:tc>
        <w:tc>
          <w:tcPr>
            <w:tcW w:w="4568" w:type="dxa"/>
          </w:tcPr>
          <w:p w14:paraId="1A89B324" w14:textId="2B3E4DA3" w:rsidR="007073D3" w:rsidRPr="000A1781" w:rsidRDefault="007073D3" w:rsidP="00002D71">
            <w:pPr>
              <w:rPr>
                <w:sz w:val="22"/>
                <w:szCs w:val="22"/>
              </w:rPr>
            </w:pPr>
            <w:r w:rsidRPr="000A1781">
              <w:rPr>
                <w:sz w:val="22"/>
                <w:szCs w:val="22"/>
              </w:rPr>
              <w:t>In FY 202</w:t>
            </w:r>
            <w:r w:rsidR="00CE461D" w:rsidRPr="000A1781">
              <w:rPr>
                <w:sz w:val="22"/>
                <w:szCs w:val="22"/>
              </w:rPr>
              <w:t>3</w:t>
            </w:r>
            <w:r w:rsidRPr="000A1781">
              <w:rPr>
                <w:sz w:val="22"/>
                <w:szCs w:val="22"/>
              </w:rPr>
              <w:t xml:space="preserve">, there were </w:t>
            </w:r>
            <w:r w:rsidR="00206149" w:rsidRPr="000A1781">
              <w:rPr>
                <w:sz w:val="22"/>
                <w:szCs w:val="22"/>
              </w:rPr>
              <w:t>12</w:t>
            </w:r>
            <w:r w:rsidRPr="000A1781">
              <w:rPr>
                <w:sz w:val="22"/>
                <w:szCs w:val="22"/>
              </w:rPr>
              <w:t xml:space="preserve"> valid complaint </w:t>
            </w:r>
            <w:proofErr w:type="gramStart"/>
            <w:r w:rsidRPr="000A1781">
              <w:rPr>
                <w:sz w:val="22"/>
                <w:szCs w:val="22"/>
              </w:rPr>
              <w:t>UPAs</w:t>
            </w:r>
            <w:proofErr w:type="gramEnd"/>
            <w:r w:rsidRPr="000A1781">
              <w:rPr>
                <w:sz w:val="22"/>
                <w:szCs w:val="22"/>
              </w:rPr>
              <w:t xml:space="preserve"> handled as an inspection which</w:t>
            </w:r>
            <w:r w:rsidRPr="000A1781">
              <w:rPr>
                <w:spacing w:val="-6"/>
                <w:sz w:val="22"/>
                <w:szCs w:val="22"/>
              </w:rPr>
              <w:t xml:space="preserve"> </w:t>
            </w:r>
            <w:r w:rsidRPr="000A1781">
              <w:rPr>
                <w:sz w:val="22"/>
                <w:szCs w:val="22"/>
              </w:rPr>
              <w:t>have</w:t>
            </w:r>
            <w:r w:rsidRPr="000A1781">
              <w:rPr>
                <w:spacing w:val="-6"/>
                <w:sz w:val="22"/>
                <w:szCs w:val="22"/>
              </w:rPr>
              <w:t xml:space="preserve"> </w:t>
            </w:r>
            <w:r w:rsidRPr="000A1781">
              <w:rPr>
                <w:sz w:val="22"/>
                <w:szCs w:val="22"/>
              </w:rPr>
              <w:t>been</w:t>
            </w:r>
            <w:r w:rsidRPr="000A1781">
              <w:rPr>
                <w:spacing w:val="-7"/>
                <w:sz w:val="22"/>
                <w:szCs w:val="22"/>
              </w:rPr>
              <w:t xml:space="preserve"> </w:t>
            </w:r>
            <w:r w:rsidRPr="000A1781">
              <w:rPr>
                <w:sz w:val="22"/>
                <w:szCs w:val="22"/>
              </w:rPr>
              <w:t>open</w:t>
            </w:r>
            <w:r w:rsidRPr="000A1781">
              <w:rPr>
                <w:spacing w:val="-6"/>
                <w:sz w:val="22"/>
                <w:szCs w:val="22"/>
              </w:rPr>
              <w:t xml:space="preserve"> </w:t>
            </w:r>
            <w:r w:rsidRPr="000A1781">
              <w:rPr>
                <w:spacing w:val="-5"/>
                <w:sz w:val="22"/>
                <w:szCs w:val="22"/>
              </w:rPr>
              <w:t>for</w:t>
            </w:r>
            <w:r w:rsidRPr="000A1781">
              <w:rPr>
                <w:sz w:val="22"/>
                <w:szCs w:val="22"/>
              </w:rPr>
              <w:t xml:space="preserve"> more</w:t>
            </w:r>
            <w:r w:rsidRPr="000A1781">
              <w:rPr>
                <w:spacing w:val="-5"/>
                <w:sz w:val="22"/>
                <w:szCs w:val="22"/>
              </w:rPr>
              <w:t xml:space="preserve"> </w:t>
            </w:r>
            <w:r w:rsidRPr="000A1781">
              <w:rPr>
                <w:sz w:val="22"/>
                <w:szCs w:val="22"/>
              </w:rPr>
              <w:t>than</w:t>
            </w:r>
            <w:r w:rsidRPr="000A1781">
              <w:rPr>
                <w:spacing w:val="-6"/>
                <w:sz w:val="22"/>
                <w:szCs w:val="22"/>
              </w:rPr>
              <w:t xml:space="preserve"> </w:t>
            </w:r>
            <w:r w:rsidRPr="000A1781">
              <w:rPr>
                <w:sz w:val="22"/>
                <w:szCs w:val="22"/>
              </w:rPr>
              <w:t>60</w:t>
            </w:r>
            <w:r w:rsidRPr="000A1781">
              <w:rPr>
                <w:spacing w:val="-4"/>
                <w:sz w:val="22"/>
                <w:szCs w:val="22"/>
              </w:rPr>
              <w:t xml:space="preserve"> </w:t>
            </w:r>
            <w:r w:rsidRPr="000A1781">
              <w:rPr>
                <w:spacing w:val="-2"/>
                <w:sz w:val="22"/>
                <w:szCs w:val="22"/>
              </w:rPr>
              <w:t>calendar</w:t>
            </w:r>
            <w:r w:rsidRPr="000A1781">
              <w:rPr>
                <w:sz w:val="22"/>
                <w:szCs w:val="22"/>
              </w:rPr>
              <w:t xml:space="preserve"> days</w:t>
            </w:r>
            <w:r w:rsidRPr="000A1781">
              <w:rPr>
                <w:spacing w:val="-5"/>
                <w:sz w:val="22"/>
                <w:szCs w:val="22"/>
              </w:rPr>
              <w:t xml:space="preserve"> </w:t>
            </w:r>
            <w:r w:rsidRPr="000A1781">
              <w:rPr>
                <w:sz w:val="22"/>
                <w:szCs w:val="22"/>
              </w:rPr>
              <w:t>and</w:t>
            </w:r>
            <w:r w:rsidRPr="000A1781">
              <w:rPr>
                <w:spacing w:val="-6"/>
                <w:sz w:val="22"/>
                <w:szCs w:val="22"/>
              </w:rPr>
              <w:t xml:space="preserve"> </w:t>
            </w:r>
            <w:r w:rsidR="00236536" w:rsidRPr="000A1781">
              <w:rPr>
                <w:spacing w:val="-6"/>
                <w:sz w:val="22"/>
                <w:szCs w:val="22"/>
              </w:rPr>
              <w:t>1</w:t>
            </w:r>
            <w:r w:rsidRPr="000A1781">
              <w:rPr>
                <w:spacing w:val="-6"/>
                <w:sz w:val="22"/>
                <w:szCs w:val="22"/>
              </w:rPr>
              <w:t>3</w:t>
            </w:r>
            <w:r w:rsidR="00236536" w:rsidRPr="000A1781">
              <w:rPr>
                <w:spacing w:val="-6"/>
                <w:sz w:val="22"/>
                <w:szCs w:val="22"/>
              </w:rPr>
              <w:t>8</w:t>
            </w:r>
            <w:r w:rsidRPr="000A1781">
              <w:rPr>
                <w:spacing w:val="-6"/>
                <w:sz w:val="22"/>
                <w:szCs w:val="22"/>
              </w:rPr>
              <w:t xml:space="preserve"> </w:t>
            </w:r>
            <w:r w:rsidRPr="000A1781">
              <w:rPr>
                <w:sz w:val="22"/>
                <w:szCs w:val="22"/>
              </w:rPr>
              <w:t>number</w:t>
            </w:r>
            <w:r w:rsidRPr="000A1781">
              <w:rPr>
                <w:spacing w:val="-5"/>
                <w:sz w:val="22"/>
                <w:szCs w:val="22"/>
              </w:rPr>
              <w:t xml:space="preserve"> </w:t>
            </w:r>
            <w:r w:rsidRPr="000A1781">
              <w:rPr>
                <w:sz w:val="22"/>
                <w:szCs w:val="22"/>
              </w:rPr>
              <w:t>of</w:t>
            </w:r>
            <w:r w:rsidRPr="000A1781">
              <w:rPr>
                <w:spacing w:val="-6"/>
                <w:sz w:val="22"/>
                <w:szCs w:val="22"/>
              </w:rPr>
              <w:t xml:space="preserve"> </w:t>
            </w:r>
            <w:r w:rsidRPr="000A1781">
              <w:rPr>
                <w:spacing w:val="-2"/>
                <w:sz w:val="22"/>
                <w:szCs w:val="22"/>
              </w:rPr>
              <w:t>valid</w:t>
            </w:r>
            <w:r w:rsidRPr="000A1781">
              <w:rPr>
                <w:sz w:val="22"/>
                <w:szCs w:val="22"/>
              </w:rPr>
              <w:t xml:space="preserve"> complaints</w:t>
            </w:r>
            <w:r w:rsidRPr="000A1781">
              <w:rPr>
                <w:spacing w:val="-9"/>
                <w:sz w:val="22"/>
                <w:szCs w:val="22"/>
              </w:rPr>
              <w:t xml:space="preserve"> </w:t>
            </w:r>
            <w:r w:rsidRPr="000A1781">
              <w:rPr>
                <w:sz w:val="22"/>
                <w:szCs w:val="22"/>
              </w:rPr>
              <w:t>handled</w:t>
            </w:r>
            <w:r w:rsidRPr="000A1781">
              <w:rPr>
                <w:spacing w:val="-8"/>
                <w:sz w:val="22"/>
                <w:szCs w:val="22"/>
              </w:rPr>
              <w:t xml:space="preserve"> </w:t>
            </w:r>
            <w:r w:rsidRPr="000A1781">
              <w:rPr>
                <w:spacing w:val="-5"/>
                <w:sz w:val="22"/>
                <w:szCs w:val="22"/>
              </w:rPr>
              <w:t>as</w:t>
            </w:r>
            <w:r w:rsidRPr="000A1781">
              <w:rPr>
                <w:sz w:val="22"/>
                <w:szCs w:val="22"/>
              </w:rPr>
              <w:t xml:space="preserve"> a</w:t>
            </w:r>
            <w:r w:rsidRPr="000A1781">
              <w:rPr>
                <w:spacing w:val="-8"/>
                <w:sz w:val="22"/>
                <w:szCs w:val="22"/>
              </w:rPr>
              <w:t xml:space="preserve"> </w:t>
            </w:r>
            <w:r w:rsidRPr="000A1781">
              <w:rPr>
                <w:sz w:val="22"/>
                <w:szCs w:val="22"/>
              </w:rPr>
              <w:t>phone/fax</w:t>
            </w:r>
            <w:r w:rsidRPr="000A1781">
              <w:rPr>
                <w:spacing w:val="-6"/>
                <w:sz w:val="22"/>
                <w:szCs w:val="22"/>
              </w:rPr>
              <w:t xml:space="preserve"> </w:t>
            </w:r>
            <w:r w:rsidRPr="000A1781">
              <w:rPr>
                <w:sz w:val="22"/>
                <w:szCs w:val="22"/>
              </w:rPr>
              <w:t>which</w:t>
            </w:r>
            <w:r w:rsidRPr="000A1781">
              <w:rPr>
                <w:spacing w:val="-6"/>
                <w:sz w:val="22"/>
                <w:szCs w:val="22"/>
              </w:rPr>
              <w:t xml:space="preserve"> </w:t>
            </w:r>
            <w:r w:rsidRPr="000A1781">
              <w:rPr>
                <w:spacing w:val="-4"/>
                <w:sz w:val="22"/>
                <w:szCs w:val="22"/>
              </w:rPr>
              <w:t>have</w:t>
            </w:r>
            <w:r w:rsidRPr="000A1781">
              <w:rPr>
                <w:sz w:val="22"/>
                <w:szCs w:val="22"/>
              </w:rPr>
              <w:t xml:space="preserve"> been</w:t>
            </w:r>
            <w:r w:rsidRPr="000A1781">
              <w:rPr>
                <w:spacing w:val="-6"/>
                <w:sz w:val="22"/>
                <w:szCs w:val="22"/>
              </w:rPr>
              <w:t xml:space="preserve"> </w:t>
            </w:r>
            <w:r w:rsidRPr="000A1781">
              <w:rPr>
                <w:sz w:val="22"/>
                <w:szCs w:val="22"/>
              </w:rPr>
              <w:t>open</w:t>
            </w:r>
            <w:r w:rsidRPr="000A1781">
              <w:rPr>
                <w:spacing w:val="-5"/>
                <w:sz w:val="22"/>
                <w:szCs w:val="22"/>
              </w:rPr>
              <w:t xml:space="preserve"> </w:t>
            </w:r>
            <w:r w:rsidRPr="000A1781">
              <w:rPr>
                <w:sz w:val="22"/>
                <w:szCs w:val="22"/>
              </w:rPr>
              <w:t>more</w:t>
            </w:r>
            <w:r w:rsidRPr="000A1781">
              <w:rPr>
                <w:spacing w:val="-6"/>
                <w:sz w:val="22"/>
                <w:szCs w:val="22"/>
              </w:rPr>
              <w:t xml:space="preserve"> </w:t>
            </w:r>
            <w:r w:rsidRPr="000A1781">
              <w:rPr>
                <w:sz w:val="22"/>
                <w:szCs w:val="22"/>
              </w:rPr>
              <w:t>than</w:t>
            </w:r>
            <w:r w:rsidRPr="000A1781">
              <w:rPr>
                <w:spacing w:val="-5"/>
                <w:sz w:val="22"/>
                <w:szCs w:val="22"/>
              </w:rPr>
              <w:t xml:space="preserve"> 30</w:t>
            </w:r>
            <w:r w:rsidRPr="000A1781">
              <w:rPr>
                <w:sz w:val="22"/>
                <w:szCs w:val="22"/>
              </w:rPr>
              <w:t xml:space="preserve"> calendar</w:t>
            </w:r>
            <w:r w:rsidRPr="000A1781">
              <w:rPr>
                <w:spacing w:val="-8"/>
                <w:sz w:val="22"/>
                <w:szCs w:val="22"/>
              </w:rPr>
              <w:t xml:space="preserve"> </w:t>
            </w:r>
            <w:r w:rsidRPr="000A1781">
              <w:rPr>
                <w:spacing w:val="-2"/>
                <w:sz w:val="22"/>
                <w:szCs w:val="22"/>
              </w:rPr>
              <w:t>days</w:t>
            </w:r>
          </w:p>
        </w:tc>
        <w:tc>
          <w:tcPr>
            <w:tcW w:w="4501" w:type="dxa"/>
          </w:tcPr>
          <w:p w14:paraId="2FAA2F37" w14:textId="5ED82C66" w:rsidR="007073D3" w:rsidRPr="000A1781" w:rsidRDefault="007073D3" w:rsidP="00002D71">
            <w:pPr>
              <w:rPr>
                <w:sz w:val="22"/>
                <w:szCs w:val="22"/>
              </w:rPr>
            </w:pPr>
            <w:r w:rsidRPr="000A1781">
              <w:rPr>
                <w:sz w:val="22"/>
                <w:szCs w:val="22"/>
              </w:rPr>
              <w:t>OSHA will continue to monitor performance in this</w:t>
            </w:r>
            <w:r w:rsidRPr="000A1781">
              <w:rPr>
                <w:spacing w:val="-13"/>
                <w:sz w:val="22"/>
                <w:szCs w:val="22"/>
              </w:rPr>
              <w:t xml:space="preserve"> </w:t>
            </w:r>
            <w:r w:rsidRPr="000A1781">
              <w:rPr>
                <w:sz w:val="22"/>
                <w:szCs w:val="22"/>
              </w:rPr>
              <w:t>area</w:t>
            </w:r>
            <w:r w:rsidRPr="000A1781">
              <w:rPr>
                <w:spacing w:val="-12"/>
                <w:sz w:val="22"/>
                <w:szCs w:val="22"/>
              </w:rPr>
              <w:t xml:space="preserve"> </w:t>
            </w:r>
            <w:r w:rsidRPr="000A1781">
              <w:rPr>
                <w:sz w:val="22"/>
                <w:szCs w:val="22"/>
              </w:rPr>
              <w:t>during</w:t>
            </w:r>
            <w:r w:rsidRPr="000A1781">
              <w:rPr>
                <w:spacing w:val="-12"/>
                <w:sz w:val="22"/>
                <w:szCs w:val="22"/>
              </w:rPr>
              <w:t xml:space="preserve"> </w:t>
            </w:r>
            <w:r w:rsidRPr="000A1781">
              <w:rPr>
                <w:sz w:val="22"/>
                <w:szCs w:val="22"/>
              </w:rPr>
              <w:t xml:space="preserve">quarterly </w:t>
            </w:r>
            <w:r w:rsidRPr="000A1781">
              <w:rPr>
                <w:spacing w:val="-2"/>
                <w:sz w:val="22"/>
                <w:szCs w:val="22"/>
              </w:rPr>
              <w:t>meeting</w:t>
            </w:r>
            <w:r w:rsidR="00760F94" w:rsidRPr="000A1781">
              <w:rPr>
                <w:spacing w:val="-2"/>
                <w:sz w:val="22"/>
                <w:szCs w:val="22"/>
              </w:rPr>
              <w:t>s</w:t>
            </w:r>
            <w:r w:rsidRPr="000A1781">
              <w:rPr>
                <w:spacing w:val="-2"/>
                <w:sz w:val="22"/>
                <w:szCs w:val="22"/>
              </w:rPr>
              <w:t>.</w:t>
            </w:r>
          </w:p>
        </w:tc>
        <w:tc>
          <w:tcPr>
            <w:tcW w:w="1230" w:type="dxa"/>
          </w:tcPr>
          <w:p w14:paraId="2EE2213B" w14:textId="14526FC4" w:rsidR="007073D3" w:rsidRPr="000A1781" w:rsidRDefault="00CA0AEE" w:rsidP="00002D71">
            <w:pPr>
              <w:widowControl/>
              <w:autoSpaceDE/>
              <w:autoSpaceDN/>
              <w:adjustRightInd/>
              <w:jc w:val="center"/>
              <w:rPr>
                <w:iCs/>
                <w:sz w:val="22"/>
                <w:szCs w:val="22"/>
              </w:rPr>
            </w:pPr>
            <w:r w:rsidRPr="000A1781">
              <w:rPr>
                <w:iCs/>
                <w:sz w:val="22"/>
                <w:szCs w:val="22"/>
              </w:rPr>
              <w:t>Continued</w:t>
            </w:r>
          </w:p>
        </w:tc>
      </w:tr>
      <w:tr w:rsidR="0069739F" w:rsidRPr="000A1781" w14:paraId="730075AC" w14:textId="77777777" w:rsidTr="007073D3">
        <w:trPr>
          <w:trHeight w:val="397"/>
        </w:trPr>
        <w:tc>
          <w:tcPr>
            <w:tcW w:w="1805" w:type="dxa"/>
          </w:tcPr>
          <w:p w14:paraId="08DE6219" w14:textId="3E22AA42" w:rsidR="0069739F" w:rsidRPr="000A1781" w:rsidRDefault="0069739F" w:rsidP="0069739F">
            <w:pPr>
              <w:widowControl/>
              <w:autoSpaceDE/>
              <w:autoSpaceDN/>
              <w:adjustRightInd/>
              <w:jc w:val="center"/>
              <w:rPr>
                <w:sz w:val="22"/>
                <w:szCs w:val="22"/>
              </w:rPr>
            </w:pPr>
            <w:r w:rsidRPr="000A1781">
              <w:rPr>
                <w:iCs/>
                <w:sz w:val="22"/>
                <w:szCs w:val="22"/>
              </w:rPr>
              <w:t>FY 2023-OB-04</w:t>
            </w:r>
          </w:p>
        </w:tc>
        <w:tc>
          <w:tcPr>
            <w:tcW w:w="1864" w:type="dxa"/>
          </w:tcPr>
          <w:p w14:paraId="56660823" w14:textId="78186C08" w:rsidR="0069739F" w:rsidRPr="000A1781" w:rsidRDefault="0069739F" w:rsidP="0069739F">
            <w:pPr>
              <w:widowControl/>
              <w:autoSpaceDE/>
              <w:autoSpaceDN/>
              <w:adjustRightInd/>
              <w:rPr>
                <w:sz w:val="22"/>
                <w:szCs w:val="22"/>
              </w:rPr>
            </w:pPr>
            <w:r w:rsidRPr="000A1781">
              <w:rPr>
                <w:sz w:val="22"/>
                <w:szCs w:val="22"/>
              </w:rPr>
              <w:t>FY 2022-04, FY 2021‐04</w:t>
            </w:r>
          </w:p>
        </w:tc>
        <w:tc>
          <w:tcPr>
            <w:tcW w:w="4568" w:type="dxa"/>
          </w:tcPr>
          <w:p w14:paraId="23530341" w14:textId="6914820F" w:rsidR="0069739F" w:rsidRPr="000A1781" w:rsidRDefault="0069739F" w:rsidP="0069739F">
            <w:pPr>
              <w:rPr>
                <w:sz w:val="22"/>
                <w:szCs w:val="22"/>
              </w:rPr>
            </w:pPr>
            <w:r w:rsidRPr="000A1781">
              <w:rPr>
                <w:sz w:val="22"/>
                <w:szCs w:val="22"/>
              </w:rPr>
              <w:t>In FY 2023, one of the three</w:t>
            </w:r>
            <w:r w:rsidRPr="000A1781">
              <w:rPr>
                <w:spacing w:val="-5"/>
                <w:sz w:val="22"/>
                <w:szCs w:val="22"/>
              </w:rPr>
              <w:t xml:space="preserve"> </w:t>
            </w:r>
            <w:r w:rsidRPr="000A1781">
              <w:rPr>
                <w:sz w:val="22"/>
                <w:szCs w:val="22"/>
              </w:rPr>
              <w:t>(30%)</w:t>
            </w:r>
            <w:r w:rsidRPr="000A1781">
              <w:rPr>
                <w:spacing w:val="-5"/>
                <w:sz w:val="22"/>
                <w:szCs w:val="22"/>
              </w:rPr>
              <w:t xml:space="preserve"> </w:t>
            </w:r>
            <w:r w:rsidRPr="000A1781">
              <w:rPr>
                <w:sz w:val="22"/>
                <w:szCs w:val="22"/>
              </w:rPr>
              <w:t>fatality</w:t>
            </w:r>
            <w:r w:rsidRPr="000A1781">
              <w:rPr>
                <w:spacing w:val="-5"/>
                <w:sz w:val="22"/>
                <w:szCs w:val="22"/>
              </w:rPr>
              <w:t xml:space="preserve"> </w:t>
            </w:r>
            <w:r w:rsidRPr="000A1781">
              <w:rPr>
                <w:sz w:val="22"/>
                <w:szCs w:val="22"/>
              </w:rPr>
              <w:t>inspections</w:t>
            </w:r>
            <w:r w:rsidRPr="000A1781">
              <w:rPr>
                <w:spacing w:val="-5"/>
                <w:sz w:val="22"/>
                <w:szCs w:val="22"/>
              </w:rPr>
              <w:t xml:space="preserve"> </w:t>
            </w:r>
            <w:r w:rsidRPr="000A1781">
              <w:rPr>
                <w:sz w:val="22"/>
                <w:szCs w:val="22"/>
              </w:rPr>
              <w:t>lacked documentation for initial contact with family members</w:t>
            </w:r>
            <w:r w:rsidR="009C1982" w:rsidRPr="000A1781">
              <w:rPr>
                <w:sz w:val="22"/>
                <w:szCs w:val="22"/>
              </w:rPr>
              <w:t>.</w:t>
            </w:r>
          </w:p>
        </w:tc>
        <w:tc>
          <w:tcPr>
            <w:tcW w:w="4501" w:type="dxa"/>
          </w:tcPr>
          <w:p w14:paraId="42B0949A" w14:textId="1489B45F" w:rsidR="0069739F" w:rsidRPr="000A1781" w:rsidRDefault="009C1982" w:rsidP="0069739F">
            <w:pPr>
              <w:rPr>
                <w:sz w:val="22"/>
                <w:szCs w:val="22"/>
              </w:rPr>
            </w:pPr>
            <w:r w:rsidRPr="000A1781">
              <w:rPr>
                <w:sz w:val="22"/>
                <w:szCs w:val="22"/>
              </w:rPr>
              <w:t>OSHA will continue to monitor performance in this are</w:t>
            </w:r>
            <w:r w:rsidR="00E85699" w:rsidRPr="000A1781">
              <w:rPr>
                <w:sz w:val="22"/>
                <w:szCs w:val="22"/>
              </w:rPr>
              <w:t>a</w:t>
            </w:r>
            <w:r w:rsidRPr="000A1781">
              <w:rPr>
                <w:sz w:val="22"/>
                <w:szCs w:val="22"/>
              </w:rPr>
              <w:t xml:space="preserve"> during quarterly meetings.</w:t>
            </w:r>
          </w:p>
        </w:tc>
        <w:tc>
          <w:tcPr>
            <w:tcW w:w="1230" w:type="dxa"/>
          </w:tcPr>
          <w:p w14:paraId="0B41B66F" w14:textId="1892A02D" w:rsidR="0069739F" w:rsidRPr="000A1781" w:rsidRDefault="0069739F" w:rsidP="0069739F">
            <w:pPr>
              <w:widowControl/>
              <w:autoSpaceDE/>
              <w:autoSpaceDN/>
              <w:adjustRightInd/>
              <w:jc w:val="center"/>
              <w:rPr>
                <w:iCs/>
                <w:sz w:val="22"/>
                <w:szCs w:val="22"/>
              </w:rPr>
            </w:pPr>
            <w:r w:rsidRPr="000A1781">
              <w:rPr>
                <w:iCs/>
                <w:sz w:val="22"/>
                <w:szCs w:val="22"/>
              </w:rPr>
              <w:t xml:space="preserve">Previous Finding </w:t>
            </w:r>
          </w:p>
        </w:tc>
      </w:tr>
      <w:tr w:rsidR="0069739F" w:rsidRPr="000A1781" w14:paraId="6F48656E" w14:textId="77777777" w:rsidTr="007073D3">
        <w:trPr>
          <w:trHeight w:val="397"/>
        </w:trPr>
        <w:tc>
          <w:tcPr>
            <w:tcW w:w="1805" w:type="dxa"/>
          </w:tcPr>
          <w:p w14:paraId="1934CBCB" w14:textId="07A99873" w:rsidR="0069739F" w:rsidRPr="000A1781" w:rsidRDefault="0069739F" w:rsidP="0069739F">
            <w:pPr>
              <w:widowControl/>
              <w:autoSpaceDE/>
              <w:autoSpaceDN/>
              <w:adjustRightInd/>
              <w:jc w:val="center"/>
              <w:rPr>
                <w:sz w:val="22"/>
                <w:szCs w:val="22"/>
              </w:rPr>
            </w:pPr>
            <w:r w:rsidRPr="000A1781">
              <w:rPr>
                <w:sz w:val="22"/>
                <w:szCs w:val="22"/>
              </w:rPr>
              <w:t>FY</w:t>
            </w:r>
            <w:r w:rsidRPr="000A1781">
              <w:rPr>
                <w:spacing w:val="-5"/>
                <w:sz w:val="22"/>
                <w:szCs w:val="22"/>
              </w:rPr>
              <w:t xml:space="preserve"> </w:t>
            </w:r>
            <w:r w:rsidRPr="000A1781">
              <w:rPr>
                <w:sz w:val="22"/>
                <w:szCs w:val="22"/>
              </w:rPr>
              <w:t>2023‐OB‐05</w:t>
            </w:r>
          </w:p>
        </w:tc>
        <w:tc>
          <w:tcPr>
            <w:tcW w:w="1864" w:type="dxa"/>
          </w:tcPr>
          <w:p w14:paraId="197AE38B" w14:textId="24EBB37F" w:rsidR="0069739F" w:rsidRPr="000A1781" w:rsidRDefault="0069739F" w:rsidP="0069739F">
            <w:pPr>
              <w:widowControl/>
              <w:autoSpaceDE/>
              <w:autoSpaceDN/>
              <w:adjustRightInd/>
              <w:rPr>
                <w:i/>
                <w:sz w:val="22"/>
                <w:szCs w:val="22"/>
              </w:rPr>
            </w:pPr>
            <w:r w:rsidRPr="000A1781">
              <w:rPr>
                <w:sz w:val="22"/>
                <w:szCs w:val="22"/>
              </w:rPr>
              <w:t>FY 2022-OB-07</w:t>
            </w:r>
          </w:p>
        </w:tc>
        <w:tc>
          <w:tcPr>
            <w:tcW w:w="4568" w:type="dxa"/>
          </w:tcPr>
          <w:p w14:paraId="1A781933" w14:textId="5AFA860C" w:rsidR="0069739F" w:rsidRPr="000A1781" w:rsidRDefault="0069739F" w:rsidP="0069739F">
            <w:pPr>
              <w:rPr>
                <w:sz w:val="22"/>
                <w:szCs w:val="22"/>
              </w:rPr>
            </w:pPr>
            <w:r w:rsidRPr="000A1781">
              <w:rPr>
                <w:sz w:val="22"/>
                <w:szCs w:val="22"/>
              </w:rPr>
              <w:t>Whistleblower case files lacked organization and many files were missing documents. Although OHSB adopted a case file format directive, the directive is not being consistently followed.</w:t>
            </w:r>
          </w:p>
        </w:tc>
        <w:tc>
          <w:tcPr>
            <w:tcW w:w="4501" w:type="dxa"/>
          </w:tcPr>
          <w:p w14:paraId="0C6B7ADE" w14:textId="1E49C5DF" w:rsidR="0069739F" w:rsidRPr="000A1781" w:rsidRDefault="0069739F" w:rsidP="0069739F">
            <w:pPr>
              <w:rPr>
                <w:sz w:val="22"/>
                <w:szCs w:val="22"/>
              </w:rPr>
            </w:pPr>
            <w:r w:rsidRPr="000A1781">
              <w:rPr>
                <w:sz w:val="22"/>
                <w:szCs w:val="22"/>
              </w:rPr>
              <w:t>OHSB supervisory reviews need to enforce their ECF directive. Federal OSHA will continue to assist OHSB in training new supervisors.</w:t>
            </w:r>
          </w:p>
        </w:tc>
        <w:tc>
          <w:tcPr>
            <w:tcW w:w="1230" w:type="dxa"/>
          </w:tcPr>
          <w:p w14:paraId="1255591D" w14:textId="6A4679AA" w:rsidR="0069739F" w:rsidRPr="000A1781" w:rsidRDefault="0069739F" w:rsidP="0069739F">
            <w:pPr>
              <w:widowControl/>
              <w:autoSpaceDE/>
              <w:autoSpaceDN/>
              <w:adjustRightInd/>
              <w:jc w:val="center"/>
              <w:rPr>
                <w:iCs/>
                <w:sz w:val="22"/>
                <w:szCs w:val="22"/>
              </w:rPr>
            </w:pPr>
            <w:r w:rsidRPr="000A1781">
              <w:rPr>
                <w:iCs/>
                <w:sz w:val="22"/>
                <w:szCs w:val="22"/>
              </w:rPr>
              <w:t>Continued</w:t>
            </w:r>
          </w:p>
        </w:tc>
      </w:tr>
      <w:tr w:rsidR="0069739F" w:rsidRPr="000A1781" w14:paraId="06CD4222" w14:textId="77777777" w:rsidTr="007073D3">
        <w:trPr>
          <w:trHeight w:val="397"/>
        </w:trPr>
        <w:tc>
          <w:tcPr>
            <w:tcW w:w="1805" w:type="dxa"/>
          </w:tcPr>
          <w:p w14:paraId="2A685844" w14:textId="06BCC6B4" w:rsidR="0069739F" w:rsidRPr="000A1781" w:rsidRDefault="0069739F" w:rsidP="0069739F">
            <w:pPr>
              <w:widowControl/>
              <w:autoSpaceDE/>
              <w:autoSpaceDN/>
              <w:adjustRightInd/>
              <w:jc w:val="center"/>
              <w:rPr>
                <w:iCs/>
                <w:sz w:val="22"/>
                <w:szCs w:val="22"/>
              </w:rPr>
            </w:pPr>
            <w:r w:rsidRPr="000A1781">
              <w:rPr>
                <w:iCs/>
                <w:sz w:val="22"/>
                <w:szCs w:val="22"/>
              </w:rPr>
              <w:t>FY 2023-OB-06</w:t>
            </w:r>
          </w:p>
          <w:p w14:paraId="000EED0B" w14:textId="77777777" w:rsidR="0069739F" w:rsidRPr="000A1781" w:rsidRDefault="0069739F" w:rsidP="0069739F">
            <w:pPr>
              <w:widowControl/>
              <w:autoSpaceDE/>
              <w:autoSpaceDN/>
              <w:adjustRightInd/>
              <w:jc w:val="center"/>
              <w:rPr>
                <w:iCs/>
                <w:sz w:val="22"/>
                <w:szCs w:val="22"/>
              </w:rPr>
            </w:pPr>
          </w:p>
        </w:tc>
        <w:tc>
          <w:tcPr>
            <w:tcW w:w="1864" w:type="dxa"/>
          </w:tcPr>
          <w:p w14:paraId="57A86549" w14:textId="379AEDE3" w:rsidR="0069739F" w:rsidRPr="000A1781" w:rsidRDefault="0069739F" w:rsidP="0069739F">
            <w:pPr>
              <w:widowControl/>
              <w:autoSpaceDE/>
              <w:autoSpaceDN/>
              <w:adjustRightInd/>
              <w:jc w:val="center"/>
              <w:rPr>
                <w:i/>
                <w:sz w:val="22"/>
                <w:szCs w:val="22"/>
              </w:rPr>
            </w:pPr>
          </w:p>
          <w:p w14:paraId="72427464" w14:textId="77777777" w:rsidR="0069739F" w:rsidRPr="000A1781" w:rsidRDefault="0069739F" w:rsidP="0069739F">
            <w:pPr>
              <w:widowControl/>
              <w:autoSpaceDE/>
              <w:autoSpaceDN/>
              <w:adjustRightInd/>
              <w:jc w:val="center"/>
              <w:rPr>
                <w:i/>
                <w:sz w:val="22"/>
                <w:szCs w:val="22"/>
              </w:rPr>
            </w:pPr>
          </w:p>
        </w:tc>
        <w:tc>
          <w:tcPr>
            <w:tcW w:w="4568" w:type="dxa"/>
          </w:tcPr>
          <w:p w14:paraId="7A7803C1" w14:textId="6821C185" w:rsidR="0069739F" w:rsidRPr="000A1781" w:rsidRDefault="00010DC2" w:rsidP="0069739F">
            <w:pPr>
              <w:widowControl/>
              <w:autoSpaceDE/>
              <w:autoSpaceDN/>
              <w:adjustRightInd/>
              <w:rPr>
                <w:i/>
                <w:sz w:val="22"/>
                <w:szCs w:val="22"/>
              </w:rPr>
            </w:pPr>
            <w:r w:rsidRPr="000A1781">
              <w:rPr>
                <w:sz w:val="22"/>
                <w:szCs w:val="22"/>
              </w:rPr>
              <w:t xml:space="preserve">The review showed two out of three (66%) casefiles did not include the Bureau of Labor Statistics (BLS) rates for the establishment’s industry average Days Away, Restricted, or Transferred (DART), and Total Recordable Case (TRC) rates in the Executive Summary of the </w:t>
            </w:r>
            <w:r w:rsidRPr="000A1781">
              <w:rPr>
                <w:sz w:val="22"/>
                <w:szCs w:val="22"/>
              </w:rPr>
              <w:lastRenderedPageBreak/>
              <w:t>Written Report to the Employer for the employer’s reference. (Reference: CPPM, Chapter 6, Section I.C.1.f.).</w:t>
            </w:r>
          </w:p>
        </w:tc>
        <w:tc>
          <w:tcPr>
            <w:tcW w:w="4501" w:type="dxa"/>
          </w:tcPr>
          <w:p w14:paraId="32068996" w14:textId="4EFE31A7" w:rsidR="0069739F" w:rsidRPr="000A1781" w:rsidRDefault="0069739F" w:rsidP="00F60EAB">
            <w:pPr>
              <w:rPr>
                <w:sz w:val="22"/>
                <w:szCs w:val="22"/>
              </w:rPr>
            </w:pPr>
            <w:r w:rsidRPr="000A1781">
              <w:rPr>
                <w:sz w:val="22"/>
                <w:szCs w:val="22"/>
              </w:rPr>
              <w:lastRenderedPageBreak/>
              <w:t xml:space="preserve">OSHA will continue to monitor performance in this area during quarterly meetings and will encourage OHSB to ensure that all the Written Report to the Employer have a comparison of the establishment’s Days Away, Restricted, or Transferred (DART) rate, and Total Recordable </w:t>
            </w:r>
            <w:r w:rsidRPr="000A1781">
              <w:rPr>
                <w:sz w:val="22"/>
                <w:szCs w:val="22"/>
              </w:rPr>
              <w:lastRenderedPageBreak/>
              <w:t>Case (TRC) rate to the Bureau of Labor Statistics (BLS) rates for the industry in the Executive Summary.</w:t>
            </w:r>
          </w:p>
        </w:tc>
        <w:tc>
          <w:tcPr>
            <w:tcW w:w="1230" w:type="dxa"/>
          </w:tcPr>
          <w:p w14:paraId="3FD91A28" w14:textId="04C6D434" w:rsidR="0069739F" w:rsidRPr="000A1781" w:rsidRDefault="0069739F" w:rsidP="0069739F">
            <w:pPr>
              <w:widowControl/>
              <w:autoSpaceDE/>
              <w:autoSpaceDN/>
              <w:adjustRightInd/>
              <w:jc w:val="center"/>
              <w:rPr>
                <w:iCs/>
                <w:sz w:val="22"/>
                <w:szCs w:val="22"/>
              </w:rPr>
            </w:pPr>
            <w:r w:rsidRPr="000A1781">
              <w:rPr>
                <w:iCs/>
                <w:sz w:val="22"/>
                <w:szCs w:val="22"/>
              </w:rPr>
              <w:lastRenderedPageBreak/>
              <w:t>New</w:t>
            </w:r>
          </w:p>
        </w:tc>
      </w:tr>
      <w:tr w:rsidR="0069739F" w:rsidRPr="000A1781" w14:paraId="5005D447" w14:textId="77777777" w:rsidTr="007073D3">
        <w:trPr>
          <w:trHeight w:val="397"/>
        </w:trPr>
        <w:tc>
          <w:tcPr>
            <w:tcW w:w="1805" w:type="dxa"/>
          </w:tcPr>
          <w:p w14:paraId="0B6EBE6A" w14:textId="403FB468" w:rsidR="0069739F" w:rsidRPr="000A1781" w:rsidRDefault="0069739F" w:rsidP="0069739F">
            <w:pPr>
              <w:widowControl/>
              <w:autoSpaceDE/>
              <w:autoSpaceDN/>
              <w:adjustRightInd/>
              <w:jc w:val="center"/>
              <w:rPr>
                <w:iCs/>
                <w:sz w:val="22"/>
                <w:szCs w:val="22"/>
              </w:rPr>
            </w:pPr>
            <w:r w:rsidRPr="000A1781">
              <w:rPr>
                <w:iCs/>
                <w:sz w:val="22"/>
                <w:szCs w:val="22"/>
              </w:rPr>
              <w:t>FY 2023-OB-07</w:t>
            </w:r>
          </w:p>
          <w:p w14:paraId="328B947E" w14:textId="77777777" w:rsidR="0069739F" w:rsidRPr="000A1781" w:rsidRDefault="0069739F" w:rsidP="0069739F">
            <w:pPr>
              <w:widowControl/>
              <w:autoSpaceDE/>
              <w:autoSpaceDN/>
              <w:adjustRightInd/>
              <w:rPr>
                <w:iCs/>
                <w:sz w:val="22"/>
                <w:szCs w:val="22"/>
              </w:rPr>
            </w:pPr>
          </w:p>
          <w:p w14:paraId="2FCC7127" w14:textId="77777777" w:rsidR="0069739F" w:rsidRPr="000A1781" w:rsidRDefault="0069739F" w:rsidP="0069739F">
            <w:pPr>
              <w:widowControl/>
              <w:autoSpaceDE/>
              <w:autoSpaceDN/>
              <w:adjustRightInd/>
              <w:rPr>
                <w:iCs/>
                <w:sz w:val="22"/>
                <w:szCs w:val="22"/>
              </w:rPr>
            </w:pPr>
          </w:p>
        </w:tc>
        <w:tc>
          <w:tcPr>
            <w:tcW w:w="1864" w:type="dxa"/>
          </w:tcPr>
          <w:p w14:paraId="511DB4AB" w14:textId="77777777" w:rsidR="0069739F" w:rsidRPr="000A1781" w:rsidRDefault="0069739F" w:rsidP="0069739F">
            <w:pPr>
              <w:widowControl/>
              <w:autoSpaceDE/>
              <w:autoSpaceDN/>
              <w:adjustRightInd/>
              <w:jc w:val="center"/>
              <w:rPr>
                <w:i/>
                <w:sz w:val="22"/>
                <w:szCs w:val="22"/>
              </w:rPr>
            </w:pPr>
          </w:p>
        </w:tc>
        <w:tc>
          <w:tcPr>
            <w:tcW w:w="4568" w:type="dxa"/>
          </w:tcPr>
          <w:p w14:paraId="7BA8D33E" w14:textId="77777777" w:rsidR="0069739F" w:rsidRPr="000A1781" w:rsidRDefault="0069739F" w:rsidP="0069739F">
            <w:pPr>
              <w:rPr>
                <w:sz w:val="22"/>
                <w:szCs w:val="22"/>
              </w:rPr>
            </w:pPr>
            <w:bookmarkStart w:id="14" w:name="_Hlk152235177"/>
            <w:r w:rsidRPr="000A1781">
              <w:rPr>
                <w:sz w:val="22"/>
                <w:szCs w:val="22"/>
              </w:rPr>
              <w:t xml:space="preserve">In 3 out 3 files reviewed (100%), the files showed local and state government employers were scored as NE- not evaluated on the Form-33 attributes when sufficient data had been collected by the consultant to adequately score them. </w:t>
            </w:r>
            <w:bookmarkEnd w:id="14"/>
          </w:p>
        </w:tc>
        <w:tc>
          <w:tcPr>
            <w:tcW w:w="4501" w:type="dxa"/>
          </w:tcPr>
          <w:p w14:paraId="16BCEA89" w14:textId="3C0CB811" w:rsidR="0069739F" w:rsidRPr="000A1781" w:rsidRDefault="0069739F" w:rsidP="00F60EAB">
            <w:pPr>
              <w:widowControl/>
              <w:autoSpaceDE/>
              <w:autoSpaceDN/>
              <w:adjustRightInd/>
              <w:rPr>
                <w:sz w:val="22"/>
                <w:szCs w:val="22"/>
              </w:rPr>
            </w:pPr>
            <w:r w:rsidRPr="000A1781">
              <w:rPr>
                <w:sz w:val="22"/>
                <w:szCs w:val="22"/>
              </w:rPr>
              <w:t>OSHA will continue to monitor performance in this area during quarterly meetings and will encourage OHSB to ensure that consultants on the Form-33 will include attribute assessed, and the consultants will complete the comments section of the Form 33 by adding a summary of findings (i.e., adequacies and deficiencies) and any recommendations for the employer.</w:t>
            </w:r>
          </w:p>
        </w:tc>
        <w:tc>
          <w:tcPr>
            <w:tcW w:w="1230" w:type="dxa"/>
          </w:tcPr>
          <w:p w14:paraId="687E4ABB" w14:textId="77777777" w:rsidR="0069739F" w:rsidRPr="000A1781" w:rsidRDefault="0069739F" w:rsidP="0069739F">
            <w:pPr>
              <w:widowControl/>
              <w:autoSpaceDE/>
              <w:autoSpaceDN/>
              <w:adjustRightInd/>
              <w:jc w:val="center"/>
              <w:rPr>
                <w:iCs/>
                <w:sz w:val="22"/>
                <w:szCs w:val="22"/>
              </w:rPr>
            </w:pPr>
            <w:r w:rsidRPr="000A1781">
              <w:rPr>
                <w:iCs/>
                <w:sz w:val="22"/>
                <w:szCs w:val="22"/>
              </w:rPr>
              <w:t>New</w:t>
            </w:r>
          </w:p>
        </w:tc>
      </w:tr>
      <w:tr w:rsidR="0069739F" w:rsidRPr="000A1781" w14:paraId="49BAC61B" w14:textId="77777777" w:rsidTr="007073D3">
        <w:trPr>
          <w:trHeight w:val="397"/>
        </w:trPr>
        <w:tc>
          <w:tcPr>
            <w:tcW w:w="1805" w:type="dxa"/>
          </w:tcPr>
          <w:p w14:paraId="6BD33CCA" w14:textId="3F06D3AA" w:rsidR="0069739F" w:rsidRPr="000A1781" w:rsidRDefault="0069739F" w:rsidP="0069739F">
            <w:pPr>
              <w:widowControl/>
              <w:autoSpaceDE/>
              <w:autoSpaceDN/>
              <w:adjustRightInd/>
              <w:jc w:val="center"/>
              <w:rPr>
                <w:iCs/>
                <w:sz w:val="22"/>
                <w:szCs w:val="22"/>
              </w:rPr>
            </w:pPr>
            <w:r w:rsidRPr="000A1781">
              <w:rPr>
                <w:iCs/>
                <w:sz w:val="22"/>
                <w:szCs w:val="22"/>
              </w:rPr>
              <w:t>FY 2023-OB-08</w:t>
            </w:r>
          </w:p>
        </w:tc>
        <w:tc>
          <w:tcPr>
            <w:tcW w:w="1864" w:type="dxa"/>
          </w:tcPr>
          <w:p w14:paraId="21D00F7D" w14:textId="77777777" w:rsidR="0069739F" w:rsidRPr="000A1781" w:rsidRDefault="0069739F" w:rsidP="0069739F">
            <w:pPr>
              <w:widowControl/>
              <w:autoSpaceDE/>
              <w:autoSpaceDN/>
              <w:adjustRightInd/>
              <w:jc w:val="center"/>
              <w:rPr>
                <w:i/>
                <w:sz w:val="22"/>
                <w:szCs w:val="22"/>
              </w:rPr>
            </w:pPr>
          </w:p>
        </w:tc>
        <w:tc>
          <w:tcPr>
            <w:tcW w:w="4568" w:type="dxa"/>
          </w:tcPr>
          <w:p w14:paraId="45EEFCDC" w14:textId="36D1378C" w:rsidR="0069739F" w:rsidRPr="000A1781" w:rsidRDefault="00237700" w:rsidP="0069739F">
            <w:pPr>
              <w:rPr>
                <w:sz w:val="22"/>
                <w:szCs w:val="22"/>
              </w:rPr>
            </w:pPr>
            <w:r w:rsidRPr="000A1781">
              <w:rPr>
                <w:sz w:val="22"/>
                <w:szCs w:val="22"/>
              </w:rPr>
              <w:t>NM OSHB has experienced some delays in procurement of adequate technical equipment and personal protective equipment (PPE) i.e. (foot protection) for use by consultants. NM OHSB Consultants have not conducted any visits without proper equipment, procurement processes should be evaluated to ensure that necessary Industrial Hygiene equipment and PPE is available and functioning property to ensure that consultants are able to perform work and training assignments in a timely manner (Reference-29 CFR 1908.6(a)), CPPM- Chapter 4 Section I., Appendix K- Consultant Function – Competency Statements and Consultant Qualifications.</w:t>
            </w:r>
          </w:p>
        </w:tc>
        <w:tc>
          <w:tcPr>
            <w:tcW w:w="4501" w:type="dxa"/>
          </w:tcPr>
          <w:p w14:paraId="7C676493" w14:textId="29FC611E" w:rsidR="0069739F" w:rsidRPr="000A1781" w:rsidRDefault="0069739F" w:rsidP="0069739F">
            <w:pPr>
              <w:widowControl/>
              <w:autoSpaceDE/>
              <w:autoSpaceDN/>
              <w:adjustRightInd/>
              <w:rPr>
                <w:sz w:val="22"/>
                <w:szCs w:val="22"/>
              </w:rPr>
            </w:pPr>
            <w:r w:rsidRPr="000A1781">
              <w:rPr>
                <w:sz w:val="22"/>
                <w:szCs w:val="22"/>
              </w:rPr>
              <w:t>OSHA will continue to monitor performance in this area during quarterly meetings and will encourage OHSB to provide updates on procurement of technical equipment and protective equipment to include any issues with timely procurement.</w:t>
            </w:r>
          </w:p>
        </w:tc>
        <w:tc>
          <w:tcPr>
            <w:tcW w:w="1230" w:type="dxa"/>
          </w:tcPr>
          <w:p w14:paraId="258A67BF" w14:textId="74950FA9" w:rsidR="0069739F" w:rsidRPr="000A1781" w:rsidRDefault="00000AA9" w:rsidP="0069739F">
            <w:pPr>
              <w:widowControl/>
              <w:autoSpaceDE/>
              <w:autoSpaceDN/>
              <w:adjustRightInd/>
              <w:jc w:val="center"/>
              <w:rPr>
                <w:iCs/>
                <w:sz w:val="22"/>
                <w:szCs w:val="22"/>
              </w:rPr>
            </w:pPr>
            <w:r w:rsidRPr="000A1781">
              <w:rPr>
                <w:iCs/>
                <w:sz w:val="22"/>
                <w:szCs w:val="22"/>
              </w:rPr>
              <w:t>New</w:t>
            </w:r>
          </w:p>
        </w:tc>
      </w:tr>
    </w:tbl>
    <w:p w14:paraId="22791C6C" w14:textId="77777777" w:rsidR="00F64D89" w:rsidRPr="000A1781" w:rsidRDefault="00F64D89" w:rsidP="00002D71">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iCs/>
          <w:sz w:val="22"/>
          <w:szCs w:val="22"/>
        </w:rPr>
        <w:sectPr w:rsidR="00F64D89" w:rsidRPr="000A1781" w:rsidSect="00C45B06">
          <w:headerReference w:type="default" r:id="rId16"/>
          <w:footerReference w:type="default" r:id="rId17"/>
          <w:headerReference w:type="first" r:id="rId18"/>
          <w:footerReference w:type="first" r:id="rId19"/>
          <w:pgSz w:w="15840" w:h="12240" w:orient="landscape"/>
          <w:pgMar w:top="720" w:right="720" w:bottom="720" w:left="720" w:header="720" w:footer="720" w:gutter="0"/>
          <w:pgNumType w:fmt="upperLetter" w:start="2"/>
          <w:cols w:space="720"/>
          <w:titlePg/>
          <w:rtlGutter/>
          <w:docGrid w:linePitch="360"/>
        </w:sectPr>
      </w:pPr>
    </w:p>
    <w:p w14:paraId="70D4FA5D" w14:textId="014AFF76" w:rsidR="00F64D89" w:rsidRPr="000A1781" w:rsidRDefault="00F64D89" w:rsidP="00F64D89">
      <w:pPr>
        <w:pStyle w:val="ListParagraph"/>
        <w:keepNext/>
        <w:keepLines/>
        <w:spacing w:after="0" w:line="240" w:lineRule="auto"/>
        <w:ind w:left="0"/>
        <w:jc w:val="center"/>
        <w:outlineLvl w:val="0"/>
        <w:rPr>
          <w:rFonts w:ascii="Times New Roman" w:hAnsi="Times New Roman" w:cs="Times New Roman"/>
          <w:b/>
          <w:bCs/>
          <w:color w:val="4472C4" w:themeColor="accent1"/>
          <w:sz w:val="28"/>
          <w:szCs w:val="28"/>
        </w:rPr>
      </w:pPr>
      <w:r w:rsidRPr="000A1781">
        <w:rPr>
          <w:rFonts w:ascii="Times New Roman" w:hAnsi="Times New Roman" w:cs="Times New Roman"/>
          <w:b/>
          <w:bCs/>
          <w:color w:val="4472C4" w:themeColor="accent1"/>
          <w:sz w:val="28"/>
          <w:szCs w:val="28"/>
        </w:rPr>
        <w:lastRenderedPageBreak/>
        <w:t>Appendix C - Status of FY 202</w:t>
      </w:r>
      <w:r w:rsidR="0033106F">
        <w:rPr>
          <w:rFonts w:ascii="Times New Roman" w:hAnsi="Times New Roman" w:cs="Times New Roman"/>
          <w:b/>
          <w:bCs/>
          <w:color w:val="4472C4" w:themeColor="accent1"/>
          <w:sz w:val="28"/>
          <w:szCs w:val="28"/>
        </w:rPr>
        <w:t>2</w:t>
      </w:r>
      <w:r w:rsidRPr="000A1781">
        <w:rPr>
          <w:rFonts w:ascii="Times New Roman" w:hAnsi="Times New Roman" w:cs="Times New Roman"/>
          <w:b/>
          <w:bCs/>
          <w:color w:val="4472C4" w:themeColor="accent1"/>
          <w:sz w:val="28"/>
          <w:szCs w:val="28"/>
        </w:rPr>
        <w:t xml:space="preserve"> Findings and Recommendations</w:t>
      </w:r>
    </w:p>
    <w:tbl>
      <w:tblPr>
        <w:tblStyle w:val="TableGrid"/>
        <w:tblpPr w:leftFromText="180" w:rightFromText="180" w:vertAnchor="page" w:horzAnchor="margin" w:tblpY="1846"/>
        <w:tblW w:w="14058" w:type="dxa"/>
        <w:tblLayout w:type="fixed"/>
        <w:tblLook w:val="00A0" w:firstRow="1" w:lastRow="0" w:firstColumn="1" w:lastColumn="0" w:noHBand="0" w:noVBand="0"/>
        <w:tblCaption w:val="Status of FY 20XX Findings and Recommendations"/>
        <w:tblDescription w:val="Appendix C"/>
      </w:tblPr>
      <w:tblGrid>
        <w:gridCol w:w="1345"/>
        <w:gridCol w:w="2250"/>
        <w:gridCol w:w="2160"/>
        <w:gridCol w:w="4860"/>
        <w:gridCol w:w="1800"/>
        <w:gridCol w:w="1643"/>
      </w:tblGrid>
      <w:tr w:rsidR="00F64D89" w:rsidRPr="000A1781" w14:paraId="29F18C20" w14:textId="77777777" w:rsidTr="00420ACB">
        <w:trPr>
          <w:trHeight w:val="412"/>
          <w:tblHeader/>
        </w:trPr>
        <w:tc>
          <w:tcPr>
            <w:tcW w:w="1345" w:type="dxa"/>
            <w:shd w:val="clear" w:color="auto" w:fill="44546A" w:themeFill="text2"/>
          </w:tcPr>
          <w:p w14:paraId="3595ADC2" w14:textId="353709FD" w:rsidR="00F64D89" w:rsidRPr="000A1781" w:rsidRDefault="00F64D89" w:rsidP="00695989">
            <w:pPr>
              <w:jc w:val="center"/>
              <w:rPr>
                <w:b/>
                <w:color w:val="FFFFFF" w:themeColor="background1"/>
                <w:sz w:val="22"/>
                <w:szCs w:val="22"/>
              </w:rPr>
            </w:pPr>
            <w:r w:rsidRPr="000A1781">
              <w:rPr>
                <w:b/>
                <w:color w:val="FFFFFF" w:themeColor="background1"/>
                <w:sz w:val="22"/>
                <w:szCs w:val="22"/>
              </w:rPr>
              <w:t>FY 20</w:t>
            </w:r>
            <w:r w:rsidR="0033106F">
              <w:rPr>
                <w:b/>
                <w:color w:val="FFFFFF" w:themeColor="background1"/>
                <w:sz w:val="22"/>
                <w:szCs w:val="22"/>
              </w:rPr>
              <w:t>2</w:t>
            </w:r>
            <w:r w:rsidR="00595C9B">
              <w:rPr>
                <w:b/>
                <w:color w:val="FFFFFF" w:themeColor="background1"/>
                <w:sz w:val="22"/>
                <w:szCs w:val="22"/>
              </w:rPr>
              <w:t>2</w:t>
            </w:r>
            <w:r w:rsidRPr="000A1781">
              <w:rPr>
                <w:b/>
                <w:color w:val="FFFFFF" w:themeColor="background1"/>
                <w:sz w:val="22"/>
                <w:szCs w:val="22"/>
              </w:rPr>
              <w:t>-#</w:t>
            </w:r>
          </w:p>
        </w:tc>
        <w:tc>
          <w:tcPr>
            <w:tcW w:w="2250" w:type="dxa"/>
            <w:shd w:val="clear" w:color="auto" w:fill="44546A" w:themeFill="text2"/>
          </w:tcPr>
          <w:p w14:paraId="4A37BB93"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Finding</w:t>
            </w:r>
          </w:p>
        </w:tc>
        <w:tc>
          <w:tcPr>
            <w:tcW w:w="2160" w:type="dxa"/>
            <w:shd w:val="clear" w:color="auto" w:fill="44546A" w:themeFill="text2"/>
          </w:tcPr>
          <w:p w14:paraId="5723D6E9"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Recommendation</w:t>
            </w:r>
          </w:p>
        </w:tc>
        <w:tc>
          <w:tcPr>
            <w:tcW w:w="4860" w:type="dxa"/>
            <w:shd w:val="clear" w:color="auto" w:fill="44546A" w:themeFill="text2"/>
          </w:tcPr>
          <w:p w14:paraId="14F880B0"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State Plan Corrective Action</w:t>
            </w:r>
          </w:p>
        </w:tc>
        <w:tc>
          <w:tcPr>
            <w:tcW w:w="1800" w:type="dxa"/>
            <w:shd w:val="clear" w:color="auto" w:fill="44546A" w:themeFill="text2"/>
          </w:tcPr>
          <w:p w14:paraId="1C6DA3D3"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Completion Date (if Applicable)</w:t>
            </w:r>
          </w:p>
        </w:tc>
        <w:tc>
          <w:tcPr>
            <w:tcW w:w="1643" w:type="dxa"/>
            <w:shd w:val="clear" w:color="auto" w:fill="44546A" w:themeFill="text2"/>
          </w:tcPr>
          <w:p w14:paraId="35329EDC"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 xml:space="preserve">Current Status </w:t>
            </w:r>
          </w:p>
          <w:p w14:paraId="72052327"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w:t>
            </w:r>
            <w:proofErr w:type="gramStart"/>
            <w:r w:rsidRPr="000A1781">
              <w:rPr>
                <w:b/>
                <w:color w:val="FFFFFF" w:themeColor="background1"/>
                <w:sz w:val="22"/>
                <w:szCs w:val="22"/>
              </w:rPr>
              <w:t>and</w:t>
            </w:r>
            <w:proofErr w:type="gramEnd"/>
            <w:r w:rsidRPr="000A1781">
              <w:rPr>
                <w:b/>
                <w:color w:val="FFFFFF" w:themeColor="background1"/>
                <w:sz w:val="22"/>
                <w:szCs w:val="22"/>
              </w:rPr>
              <w:t xml:space="preserve"> Date if Item is </w:t>
            </w:r>
          </w:p>
          <w:p w14:paraId="4A228913" w14:textId="77777777" w:rsidR="00F64D89" w:rsidRPr="000A1781" w:rsidRDefault="00F64D89" w:rsidP="00695989">
            <w:pPr>
              <w:jc w:val="center"/>
              <w:rPr>
                <w:b/>
                <w:color w:val="FFFFFF" w:themeColor="background1"/>
                <w:sz w:val="22"/>
                <w:szCs w:val="22"/>
              </w:rPr>
            </w:pPr>
            <w:r w:rsidRPr="000A1781">
              <w:rPr>
                <w:b/>
                <w:color w:val="FFFFFF" w:themeColor="background1"/>
                <w:sz w:val="22"/>
                <w:szCs w:val="22"/>
              </w:rPr>
              <w:t>Not Completed)</w:t>
            </w:r>
          </w:p>
        </w:tc>
      </w:tr>
      <w:tr w:rsidR="00D34A7B" w:rsidRPr="000A1781" w14:paraId="25C5807E" w14:textId="77777777" w:rsidTr="00420ACB">
        <w:trPr>
          <w:trHeight w:val="412"/>
        </w:trPr>
        <w:tc>
          <w:tcPr>
            <w:tcW w:w="1345" w:type="dxa"/>
          </w:tcPr>
          <w:p w14:paraId="4705EDAA" w14:textId="011B78DC"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0A1781">
              <w:rPr>
                <w:sz w:val="22"/>
                <w:szCs w:val="22"/>
              </w:rPr>
              <w:t>FY 2022‐01</w:t>
            </w:r>
            <w:r w:rsidRPr="000A1781">
              <w:rPr>
                <w:b/>
                <w:bCs/>
                <w:sz w:val="22"/>
                <w:szCs w:val="22"/>
              </w:rPr>
              <w:t> </w:t>
            </w:r>
          </w:p>
        </w:tc>
        <w:tc>
          <w:tcPr>
            <w:tcW w:w="2250" w:type="dxa"/>
          </w:tcPr>
          <w:p w14:paraId="497B6BEC" w14:textId="15F8426D"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In FY 2021, 35</w:t>
            </w:r>
            <w:r w:rsidRPr="000A1781">
              <w:rPr>
                <w:spacing w:val="-6"/>
                <w:sz w:val="22"/>
                <w:szCs w:val="22"/>
              </w:rPr>
              <w:t xml:space="preserve"> </w:t>
            </w:r>
            <w:r w:rsidRPr="000A1781">
              <w:rPr>
                <w:sz w:val="22"/>
                <w:szCs w:val="22"/>
              </w:rPr>
              <w:t>of</w:t>
            </w:r>
            <w:r w:rsidRPr="000A1781">
              <w:rPr>
                <w:spacing w:val="-6"/>
                <w:sz w:val="22"/>
                <w:szCs w:val="22"/>
              </w:rPr>
              <w:t xml:space="preserve"> </w:t>
            </w:r>
            <w:r w:rsidRPr="000A1781">
              <w:rPr>
                <w:sz w:val="22"/>
                <w:szCs w:val="22"/>
              </w:rPr>
              <w:t>the</w:t>
            </w:r>
            <w:r w:rsidRPr="000A1781">
              <w:rPr>
                <w:spacing w:val="-5"/>
                <w:sz w:val="22"/>
                <w:szCs w:val="22"/>
              </w:rPr>
              <w:t xml:space="preserve"> </w:t>
            </w:r>
            <w:r w:rsidRPr="000A1781">
              <w:rPr>
                <w:sz w:val="22"/>
                <w:szCs w:val="22"/>
              </w:rPr>
              <w:t>total</w:t>
            </w:r>
            <w:r w:rsidRPr="000A1781">
              <w:rPr>
                <w:spacing w:val="-6"/>
                <w:sz w:val="22"/>
                <w:szCs w:val="22"/>
              </w:rPr>
              <w:t xml:space="preserve"> </w:t>
            </w:r>
            <w:r w:rsidRPr="000A1781">
              <w:rPr>
                <w:sz w:val="22"/>
                <w:szCs w:val="22"/>
              </w:rPr>
              <w:t>54</w:t>
            </w:r>
            <w:r w:rsidRPr="000A1781">
              <w:rPr>
                <w:spacing w:val="-6"/>
                <w:sz w:val="22"/>
                <w:szCs w:val="22"/>
              </w:rPr>
              <w:t xml:space="preserve"> </w:t>
            </w:r>
            <w:r w:rsidRPr="000A1781">
              <w:rPr>
                <w:sz w:val="22"/>
                <w:szCs w:val="22"/>
              </w:rPr>
              <w:t>inspections</w:t>
            </w:r>
            <w:r w:rsidRPr="000A1781">
              <w:rPr>
                <w:spacing w:val="-5"/>
                <w:sz w:val="22"/>
                <w:szCs w:val="22"/>
              </w:rPr>
              <w:t xml:space="preserve"> </w:t>
            </w:r>
            <w:r w:rsidRPr="000A1781">
              <w:rPr>
                <w:sz w:val="22"/>
                <w:szCs w:val="22"/>
              </w:rPr>
              <w:t>reviewed</w:t>
            </w:r>
            <w:r w:rsidRPr="000A1781">
              <w:rPr>
                <w:spacing w:val="-7"/>
                <w:sz w:val="22"/>
                <w:szCs w:val="22"/>
              </w:rPr>
              <w:t xml:space="preserve"> </w:t>
            </w:r>
            <w:r w:rsidRPr="000A1781">
              <w:rPr>
                <w:sz w:val="22"/>
                <w:szCs w:val="22"/>
              </w:rPr>
              <w:t>(65%) lacked documentation of employee contact or interview where 100% were reportedly interviewed</w:t>
            </w:r>
            <w:r w:rsidRPr="000A1781">
              <w:rPr>
                <w:spacing w:val="-1"/>
                <w:sz w:val="22"/>
                <w:szCs w:val="22"/>
              </w:rPr>
              <w:t xml:space="preserve"> </w:t>
            </w:r>
            <w:r w:rsidRPr="000A1781">
              <w:rPr>
                <w:sz w:val="22"/>
                <w:szCs w:val="22"/>
              </w:rPr>
              <w:t>(SAMM</w:t>
            </w:r>
            <w:r w:rsidRPr="000A1781">
              <w:rPr>
                <w:spacing w:val="-2"/>
                <w:sz w:val="22"/>
                <w:szCs w:val="22"/>
              </w:rPr>
              <w:t xml:space="preserve"> </w:t>
            </w:r>
            <w:r w:rsidRPr="000A1781">
              <w:rPr>
                <w:spacing w:val="-5"/>
                <w:sz w:val="22"/>
                <w:szCs w:val="22"/>
              </w:rPr>
              <w:t xml:space="preserve">13). </w:t>
            </w:r>
          </w:p>
        </w:tc>
        <w:tc>
          <w:tcPr>
            <w:tcW w:w="2160" w:type="dxa"/>
          </w:tcPr>
          <w:p w14:paraId="1EE81C6C" w14:textId="70191368"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Ensure</w:t>
            </w:r>
            <w:r w:rsidRPr="000A1781">
              <w:rPr>
                <w:spacing w:val="-7"/>
                <w:sz w:val="22"/>
                <w:szCs w:val="22"/>
              </w:rPr>
              <w:t xml:space="preserve"> </w:t>
            </w:r>
            <w:r w:rsidRPr="000A1781">
              <w:rPr>
                <w:sz w:val="22"/>
                <w:szCs w:val="22"/>
              </w:rPr>
              <w:t>compliance officers</w:t>
            </w:r>
            <w:r w:rsidRPr="000A1781">
              <w:rPr>
                <w:spacing w:val="-8"/>
                <w:sz w:val="22"/>
                <w:szCs w:val="22"/>
              </w:rPr>
              <w:t xml:space="preserve"> </w:t>
            </w:r>
            <w:r w:rsidRPr="000A1781">
              <w:rPr>
                <w:sz w:val="22"/>
                <w:szCs w:val="22"/>
              </w:rPr>
              <w:t>conduct</w:t>
            </w:r>
            <w:r w:rsidRPr="000A1781">
              <w:rPr>
                <w:spacing w:val="-8"/>
                <w:sz w:val="22"/>
                <w:szCs w:val="22"/>
              </w:rPr>
              <w:t xml:space="preserve"> </w:t>
            </w:r>
            <w:r w:rsidRPr="000A1781">
              <w:rPr>
                <w:sz w:val="22"/>
                <w:szCs w:val="22"/>
              </w:rPr>
              <w:t>and</w:t>
            </w:r>
            <w:r w:rsidRPr="000A1781">
              <w:rPr>
                <w:spacing w:val="-8"/>
                <w:sz w:val="22"/>
                <w:szCs w:val="22"/>
              </w:rPr>
              <w:t xml:space="preserve"> </w:t>
            </w:r>
            <w:r w:rsidRPr="000A1781">
              <w:rPr>
                <w:sz w:val="22"/>
                <w:szCs w:val="22"/>
              </w:rPr>
              <w:t>document</w:t>
            </w:r>
            <w:r w:rsidRPr="000A1781">
              <w:rPr>
                <w:spacing w:val="-8"/>
                <w:sz w:val="22"/>
                <w:szCs w:val="22"/>
              </w:rPr>
              <w:t xml:space="preserve"> </w:t>
            </w:r>
            <w:r w:rsidRPr="000A1781">
              <w:rPr>
                <w:sz w:val="22"/>
                <w:szCs w:val="22"/>
              </w:rPr>
              <w:t xml:space="preserve">employee interviews as required by the OHSB FOM Chapter 3. </w:t>
            </w:r>
          </w:p>
        </w:tc>
        <w:tc>
          <w:tcPr>
            <w:tcW w:w="4860" w:type="dxa"/>
          </w:tcPr>
          <w:p w14:paraId="0D0A70E3" w14:textId="77777777" w:rsidR="00D34A7B" w:rsidRPr="000A1781" w:rsidRDefault="00D34A7B" w:rsidP="00D34A7B">
            <w:pPr>
              <w:rPr>
                <w:sz w:val="22"/>
                <w:szCs w:val="22"/>
              </w:rPr>
            </w:pPr>
            <w:r w:rsidRPr="000A1781">
              <w:rPr>
                <w:sz w:val="22"/>
                <w:szCs w:val="22"/>
              </w:rPr>
              <w:t>OHSB added documentation of interviews to the standard casefile checklist in FY 2022. The Bureau created and filled additional supervisor positions in FY 2022 for immediate review of compliance officer (CO) inspections including employee contact. OHSB created and filled Management Analyst Program (MAP) positions in FY 2022 and instituted quarterly case reviews. The MAP team reviews files for employee participation. OHSB anticipates completion by September 30, 2023.</w:t>
            </w:r>
          </w:p>
          <w:p w14:paraId="49970CFD" w14:textId="493BC570"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p>
        </w:tc>
        <w:tc>
          <w:tcPr>
            <w:tcW w:w="1800" w:type="dxa"/>
          </w:tcPr>
          <w:p w14:paraId="42DA10C4" w14:textId="2D218824" w:rsidR="00D34A7B" w:rsidRPr="000A178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Completion confirmed by internal quarterly casefile audits.</w:t>
            </w:r>
          </w:p>
        </w:tc>
        <w:tc>
          <w:tcPr>
            <w:tcW w:w="1643" w:type="dxa"/>
          </w:tcPr>
          <w:p w14:paraId="42C1F44A" w14:textId="67E2F83D" w:rsidR="00D34A7B" w:rsidRPr="000A1781" w:rsidRDefault="001B5D91"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Pr>
                <w:sz w:val="22"/>
                <w:szCs w:val="22"/>
              </w:rPr>
              <w:t>Completed</w:t>
            </w:r>
          </w:p>
        </w:tc>
      </w:tr>
      <w:tr w:rsidR="00D34A7B" w:rsidRPr="000A1781" w14:paraId="3F021658" w14:textId="77777777" w:rsidTr="00420ACB">
        <w:trPr>
          <w:trHeight w:val="412"/>
        </w:trPr>
        <w:tc>
          <w:tcPr>
            <w:tcW w:w="1345" w:type="dxa"/>
          </w:tcPr>
          <w:p w14:paraId="24DF31CD" w14:textId="4EDC0684"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0A1781">
              <w:rPr>
                <w:sz w:val="22"/>
                <w:szCs w:val="22"/>
              </w:rPr>
              <w:t>FY 2022‐02</w:t>
            </w:r>
          </w:p>
        </w:tc>
        <w:tc>
          <w:tcPr>
            <w:tcW w:w="2250" w:type="dxa"/>
          </w:tcPr>
          <w:p w14:paraId="218638A7" w14:textId="69F2D08A"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In FY 2022 OHSB conducted 186 out of their project goal of 500 (37%) (SAMM 7).</w:t>
            </w:r>
          </w:p>
        </w:tc>
        <w:tc>
          <w:tcPr>
            <w:tcW w:w="2160" w:type="dxa"/>
          </w:tcPr>
          <w:p w14:paraId="35381478" w14:textId="23372F20"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OHSB</w:t>
            </w:r>
            <w:r w:rsidRPr="000A1781">
              <w:rPr>
                <w:spacing w:val="-6"/>
                <w:sz w:val="22"/>
                <w:szCs w:val="22"/>
              </w:rPr>
              <w:t xml:space="preserve"> </w:t>
            </w:r>
            <w:r w:rsidRPr="000A1781">
              <w:rPr>
                <w:sz w:val="22"/>
                <w:szCs w:val="22"/>
              </w:rPr>
              <w:t>should</w:t>
            </w:r>
            <w:r w:rsidRPr="000A1781">
              <w:rPr>
                <w:spacing w:val="-7"/>
                <w:sz w:val="22"/>
                <w:szCs w:val="22"/>
              </w:rPr>
              <w:t xml:space="preserve"> </w:t>
            </w:r>
            <w:r w:rsidRPr="000A1781">
              <w:rPr>
                <w:sz w:val="22"/>
                <w:szCs w:val="22"/>
              </w:rPr>
              <w:t>implement</w:t>
            </w:r>
            <w:r w:rsidRPr="000A1781">
              <w:rPr>
                <w:spacing w:val="-6"/>
                <w:sz w:val="22"/>
                <w:szCs w:val="22"/>
              </w:rPr>
              <w:t xml:space="preserve"> </w:t>
            </w:r>
            <w:r w:rsidRPr="000A1781">
              <w:rPr>
                <w:sz w:val="22"/>
                <w:szCs w:val="22"/>
              </w:rPr>
              <w:t>a</w:t>
            </w:r>
            <w:r w:rsidRPr="000A1781">
              <w:rPr>
                <w:spacing w:val="-7"/>
                <w:sz w:val="22"/>
                <w:szCs w:val="22"/>
              </w:rPr>
              <w:t xml:space="preserve"> </w:t>
            </w:r>
            <w:r w:rsidRPr="000A1781">
              <w:rPr>
                <w:sz w:val="22"/>
                <w:szCs w:val="22"/>
              </w:rPr>
              <w:t>corrective</w:t>
            </w:r>
            <w:r w:rsidRPr="000A1781">
              <w:rPr>
                <w:spacing w:val="-7"/>
                <w:sz w:val="22"/>
                <w:szCs w:val="22"/>
              </w:rPr>
              <w:t xml:space="preserve"> </w:t>
            </w:r>
            <w:r w:rsidRPr="000A1781">
              <w:rPr>
                <w:sz w:val="22"/>
                <w:szCs w:val="22"/>
              </w:rPr>
              <w:t>action</w:t>
            </w:r>
            <w:r w:rsidRPr="000A1781">
              <w:rPr>
                <w:spacing w:val="-7"/>
                <w:sz w:val="22"/>
                <w:szCs w:val="22"/>
              </w:rPr>
              <w:t xml:space="preserve"> </w:t>
            </w:r>
            <w:r w:rsidRPr="000A1781">
              <w:rPr>
                <w:sz w:val="22"/>
                <w:szCs w:val="22"/>
              </w:rPr>
              <w:t>to ensure</w:t>
            </w:r>
            <w:r w:rsidRPr="000A1781">
              <w:rPr>
                <w:spacing w:val="-4"/>
                <w:sz w:val="22"/>
                <w:szCs w:val="22"/>
              </w:rPr>
              <w:t xml:space="preserve"> </w:t>
            </w:r>
            <w:r w:rsidRPr="000A1781">
              <w:rPr>
                <w:sz w:val="22"/>
                <w:szCs w:val="22"/>
              </w:rPr>
              <w:t>yearly</w:t>
            </w:r>
            <w:r w:rsidRPr="000A1781">
              <w:rPr>
                <w:spacing w:val="-3"/>
                <w:sz w:val="22"/>
                <w:szCs w:val="22"/>
              </w:rPr>
              <w:t xml:space="preserve"> </w:t>
            </w:r>
            <w:r w:rsidRPr="000A1781">
              <w:rPr>
                <w:sz w:val="22"/>
                <w:szCs w:val="22"/>
              </w:rPr>
              <w:t>goals</w:t>
            </w:r>
            <w:r w:rsidRPr="000A1781">
              <w:rPr>
                <w:spacing w:val="-4"/>
                <w:sz w:val="22"/>
                <w:szCs w:val="22"/>
              </w:rPr>
              <w:t xml:space="preserve"> </w:t>
            </w:r>
            <w:r w:rsidRPr="000A1781">
              <w:rPr>
                <w:sz w:val="22"/>
                <w:szCs w:val="22"/>
              </w:rPr>
              <w:t>are</w:t>
            </w:r>
            <w:r w:rsidRPr="000A1781">
              <w:rPr>
                <w:spacing w:val="-3"/>
                <w:sz w:val="22"/>
                <w:szCs w:val="22"/>
              </w:rPr>
              <w:t xml:space="preserve"> </w:t>
            </w:r>
            <w:r w:rsidRPr="000A1781">
              <w:rPr>
                <w:sz w:val="22"/>
                <w:szCs w:val="22"/>
              </w:rPr>
              <w:t>met.</w:t>
            </w:r>
            <w:r w:rsidRPr="000A1781">
              <w:rPr>
                <w:spacing w:val="-3"/>
                <w:sz w:val="22"/>
                <w:szCs w:val="22"/>
              </w:rPr>
              <w:t xml:space="preserve"> </w:t>
            </w:r>
            <w:r w:rsidRPr="000A1781">
              <w:rPr>
                <w:sz w:val="22"/>
                <w:szCs w:val="22"/>
              </w:rPr>
              <w:t>Managers</w:t>
            </w:r>
            <w:r w:rsidRPr="000A1781">
              <w:rPr>
                <w:spacing w:val="-4"/>
                <w:sz w:val="22"/>
                <w:szCs w:val="22"/>
              </w:rPr>
              <w:t xml:space="preserve"> </w:t>
            </w:r>
            <w:r w:rsidRPr="000A1781">
              <w:rPr>
                <w:sz w:val="22"/>
                <w:szCs w:val="22"/>
              </w:rPr>
              <w:t>should monitor and adjust if goals are not being met weekly to monthly.</w:t>
            </w:r>
          </w:p>
        </w:tc>
        <w:tc>
          <w:tcPr>
            <w:tcW w:w="4860" w:type="dxa"/>
          </w:tcPr>
          <w:p w14:paraId="4376031B" w14:textId="1717B52C"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 xml:space="preserve">New Mexico inspection numbers have been significantly impacted by CO vacancies and turnover. OHSB increased the number of CO and supervisor positions by 80% in FY 2022 to help address inspection numbers. In FY 2022 and FY 2023 OHSB implemented an enhanced training schedule to expedite new CO competency development. The Bureau also adjusted inspections goals to account for CO turnover and development time; OHSB currently has 3 fully trained COs, 7 COs in training, and 7 vacant CO positions. OHSB is in the process of filling all 7 vacant CO positions including a rapid hire event scheduled for September 2023.  In FY 2023, OHSB also added recruitment incentives including paid leave upon hire and retention incentives including voluntary office relocation to reduce staff commuting time and improve morale. The Bureau improved inspection numbers over the past three years by conducting 138 inspections in FY 2021, 186 inspections in FY </w:t>
            </w:r>
            <w:r w:rsidRPr="000A1781">
              <w:rPr>
                <w:sz w:val="22"/>
                <w:szCs w:val="22"/>
              </w:rPr>
              <w:lastRenderedPageBreak/>
              <w:t>2022, and 189 inspections during the first 11 months of FY 2023. OHSB anticipates these actions will result increases to inspection numbers to meet goals submitted in the FY 2024 grant.</w:t>
            </w:r>
          </w:p>
        </w:tc>
        <w:tc>
          <w:tcPr>
            <w:tcW w:w="1800" w:type="dxa"/>
          </w:tcPr>
          <w:p w14:paraId="2161EF8A" w14:textId="038E0499" w:rsidR="00D34A7B" w:rsidRPr="000A178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lastRenderedPageBreak/>
              <w:t>Employee attrition and FLMA resulted in reduced overall goal attainment. Progress is ongoing. OHSB held a rapid hire event in September to fill most vacant positions. Performance improvement ongoing</w:t>
            </w:r>
          </w:p>
        </w:tc>
        <w:tc>
          <w:tcPr>
            <w:tcW w:w="1643" w:type="dxa"/>
          </w:tcPr>
          <w:p w14:paraId="452F349C" w14:textId="069E6A37"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0A1781">
              <w:t>Open</w:t>
            </w:r>
          </w:p>
        </w:tc>
      </w:tr>
      <w:tr w:rsidR="00D34A7B" w:rsidRPr="000A1781" w14:paraId="735D5A7A" w14:textId="77777777" w:rsidTr="00420ACB">
        <w:trPr>
          <w:trHeight w:val="412"/>
        </w:trPr>
        <w:tc>
          <w:tcPr>
            <w:tcW w:w="1345" w:type="dxa"/>
          </w:tcPr>
          <w:p w14:paraId="4E20075C" w14:textId="7616C994"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0A1781">
              <w:rPr>
                <w:sz w:val="22"/>
                <w:szCs w:val="22"/>
              </w:rPr>
              <w:t>FY 2022‐03</w:t>
            </w:r>
          </w:p>
        </w:tc>
        <w:tc>
          <w:tcPr>
            <w:tcW w:w="2250" w:type="dxa"/>
          </w:tcPr>
          <w:p w14:paraId="3DC722A6" w14:textId="1CDC89C1"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In FY 2022</w:t>
            </w:r>
            <w:r w:rsidR="00F32E71">
              <w:rPr>
                <w:sz w:val="22"/>
                <w:szCs w:val="22"/>
              </w:rPr>
              <w:t>, t</w:t>
            </w:r>
            <w:r w:rsidRPr="000A1781">
              <w:rPr>
                <w:sz w:val="22"/>
                <w:szCs w:val="22"/>
              </w:rPr>
              <w:t>he</w:t>
            </w:r>
            <w:r w:rsidRPr="000A1781">
              <w:rPr>
                <w:spacing w:val="-6"/>
                <w:sz w:val="22"/>
                <w:szCs w:val="22"/>
              </w:rPr>
              <w:t xml:space="preserve"> </w:t>
            </w:r>
            <w:r w:rsidRPr="000A1781">
              <w:rPr>
                <w:sz w:val="22"/>
                <w:szCs w:val="22"/>
              </w:rPr>
              <w:t>average</w:t>
            </w:r>
            <w:r w:rsidRPr="000A1781">
              <w:rPr>
                <w:spacing w:val="-6"/>
                <w:sz w:val="22"/>
                <w:szCs w:val="22"/>
              </w:rPr>
              <w:t xml:space="preserve"> </w:t>
            </w:r>
            <w:r w:rsidRPr="000A1781">
              <w:rPr>
                <w:sz w:val="22"/>
                <w:szCs w:val="22"/>
              </w:rPr>
              <w:t>lapse</w:t>
            </w:r>
            <w:r w:rsidRPr="000A1781">
              <w:rPr>
                <w:spacing w:val="-6"/>
                <w:sz w:val="22"/>
                <w:szCs w:val="22"/>
              </w:rPr>
              <w:t xml:space="preserve"> </w:t>
            </w:r>
            <w:r w:rsidRPr="000A1781">
              <w:rPr>
                <w:sz w:val="22"/>
                <w:szCs w:val="22"/>
              </w:rPr>
              <w:t>time</w:t>
            </w:r>
            <w:r w:rsidRPr="000A1781">
              <w:rPr>
                <w:spacing w:val="-7"/>
                <w:sz w:val="22"/>
                <w:szCs w:val="22"/>
              </w:rPr>
              <w:t xml:space="preserve"> </w:t>
            </w:r>
            <w:r w:rsidRPr="000A1781">
              <w:rPr>
                <w:sz w:val="22"/>
                <w:szCs w:val="22"/>
              </w:rPr>
              <w:t>for</w:t>
            </w:r>
            <w:r w:rsidRPr="000A1781">
              <w:rPr>
                <w:spacing w:val="-6"/>
                <w:sz w:val="22"/>
                <w:szCs w:val="22"/>
              </w:rPr>
              <w:t xml:space="preserve"> </w:t>
            </w:r>
            <w:r w:rsidRPr="000A1781">
              <w:rPr>
                <w:sz w:val="22"/>
                <w:szCs w:val="22"/>
              </w:rPr>
              <w:t>health</w:t>
            </w:r>
            <w:r w:rsidRPr="000A1781">
              <w:rPr>
                <w:spacing w:val="-6"/>
                <w:sz w:val="22"/>
                <w:szCs w:val="22"/>
              </w:rPr>
              <w:t xml:space="preserve"> </w:t>
            </w:r>
            <w:r w:rsidRPr="000A1781">
              <w:rPr>
                <w:sz w:val="22"/>
                <w:szCs w:val="22"/>
              </w:rPr>
              <w:t>inspections was 119.34 days and the average lapse time for safety inspections was 119.68 days. This exceeded the FRL range of 43.66 to 65.50 for safety and 55.22 to 82.84 for health. (SAMM</w:t>
            </w:r>
            <w:r w:rsidRPr="000A1781">
              <w:rPr>
                <w:spacing w:val="-4"/>
                <w:sz w:val="22"/>
                <w:szCs w:val="22"/>
              </w:rPr>
              <w:t xml:space="preserve"> 11).</w:t>
            </w:r>
          </w:p>
        </w:tc>
        <w:tc>
          <w:tcPr>
            <w:tcW w:w="2160" w:type="dxa"/>
          </w:tcPr>
          <w:p w14:paraId="1B89060F" w14:textId="2EA8A005"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OHSB</w:t>
            </w:r>
            <w:r w:rsidRPr="000A1781">
              <w:rPr>
                <w:spacing w:val="-6"/>
                <w:sz w:val="22"/>
                <w:szCs w:val="22"/>
              </w:rPr>
              <w:t xml:space="preserve"> </w:t>
            </w:r>
            <w:r w:rsidRPr="000A1781">
              <w:rPr>
                <w:sz w:val="22"/>
                <w:szCs w:val="22"/>
              </w:rPr>
              <w:t>should</w:t>
            </w:r>
            <w:r w:rsidRPr="000A1781">
              <w:rPr>
                <w:spacing w:val="-7"/>
                <w:sz w:val="22"/>
                <w:szCs w:val="22"/>
              </w:rPr>
              <w:t xml:space="preserve"> </w:t>
            </w:r>
            <w:r w:rsidRPr="000A1781">
              <w:rPr>
                <w:sz w:val="22"/>
                <w:szCs w:val="22"/>
              </w:rPr>
              <w:t>periodically</w:t>
            </w:r>
            <w:r w:rsidRPr="000A1781">
              <w:rPr>
                <w:spacing w:val="-5"/>
                <w:sz w:val="22"/>
                <w:szCs w:val="22"/>
              </w:rPr>
              <w:t xml:space="preserve"> </w:t>
            </w:r>
            <w:r w:rsidRPr="000A1781">
              <w:rPr>
                <w:sz w:val="22"/>
                <w:szCs w:val="22"/>
              </w:rPr>
              <w:t>review</w:t>
            </w:r>
            <w:r w:rsidRPr="000A1781">
              <w:rPr>
                <w:spacing w:val="-7"/>
                <w:sz w:val="22"/>
                <w:szCs w:val="22"/>
              </w:rPr>
              <w:t xml:space="preserve"> </w:t>
            </w:r>
            <w:r w:rsidRPr="000A1781">
              <w:rPr>
                <w:sz w:val="22"/>
                <w:szCs w:val="22"/>
              </w:rPr>
              <w:t>all</w:t>
            </w:r>
            <w:r w:rsidRPr="000A1781">
              <w:rPr>
                <w:spacing w:val="-7"/>
                <w:sz w:val="22"/>
                <w:szCs w:val="22"/>
              </w:rPr>
              <w:t xml:space="preserve"> </w:t>
            </w:r>
            <w:r w:rsidRPr="000A1781">
              <w:rPr>
                <w:sz w:val="22"/>
                <w:szCs w:val="22"/>
              </w:rPr>
              <w:t>open</w:t>
            </w:r>
            <w:r w:rsidRPr="000A1781">
              <w:rPr>
                <w:spacing w:val="-7"/>
                <w:sz w:val="22"/>
                <w:szCs w:val="22"/>
              </w:rPr>
              <w:t xml:space="preserve"> </w:t>
            </w:r>
            <w:r w:rsidRPr="000A1781">
              <w:rPr>
                <w:sz w:val="22"/>
                <w:szCs w:val="22"/>
              </w:rPr>
              <w:t>cases with the compliance officers to prevent high lapse times.</w:t>
            </w:r>
          </w:p>
        </w:tc>
        <w:tc>
          <w:tcPr>
            <w:tcW w:w="4860" w:type="dxa"/>
          </w:tcPr>
          <w:p w14:paraId="72BA396C" w14:textId="160FB1CA"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bookmarkStart w:id="15" w:name="_Hlk113293300"/>
            <w:r w:rsidRPr="000A1781">
              <w:rPr>
                <w:sz w:val="22"/>
                <w:szCs w:val="22"/>
              </w:rPr>
              <w:t>OHSB’s new MAP team reported lapse times to compliance supervisors on a weekly basis and in quarterly file reviews. Leadership set goals for staff and added supervisors to direct workflow and reduce time to complete files.</w:t>
            </w:r>
            <w:bookmarkEnd w:id="15"/>
            <w:r w:rsidRPr="000A1781">
              <w:rPr>
                <w:sz w:val="22"/>
                <w:szCs w:val="22"/>
              </w:rPr>
              <w:t xml:space="preserve"> OHSB scheduled extensive training of COs in 2023, which will aid in reducing lapse times in the long-term.  The Bureau’s high turnover rate continues to have an impact on lapse times. To account for high turnover and vacancies, OHSB created and filled additional CO positions in FY 2022 to address caseloads and lapse times. In FY 2023, OHSB began recruitment incentives including paid leave upon hire and retention incentives including office relocation to reduce staff commuting time. The Bureau anticipates completion of this by September 30, 2024 with the following schedule: FY 2022 baseline was 119 days for safety and 119 days for health; FY 2023 through 11 months was 108 days for safety and 100 days for health; FY 2024 goal for Quarter 1 (Q1) is 90 days for safety and 90 days for health; goal for Q2 is 75 days for safety and 80 days for health; goal for Q3 is 60 days for safety and 70 days for health; goal for Q4 is 50 days for safety and 60 days for health.</w:t>
            </w:r>
          </w:p>
        </w:tc>
        <w:tc>
          <w:tcPr>
            <w:tcW w:w="1800" w:type="dxa"/>
          </w:tcPr>
          <w:p w14:paraId="6D39EB7A" w14:textId="3CDB6FD7" w:rsidR="00D34A7B" w:rsidRPr="000A178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Lapse times have been dropping and were in line with federal and other state plans during Q3 of FY23. Employee attrition and FLMA resulted in another increase. Progress is ongoing.</w:t>
            </w:r>
          </w:p>
        </w:tc>
        <w:tc>
          <w:tcPr>
            <w:tcW w:w="1643" w:type="dxa"/>
          </w:tcPr>
          <w:p w14:paraId="620BA247" w14:textId="00080231"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0A1781">
              <w:t>Open</w:t>
            </w:r>
          </w:p>
        </w:tc>
      </w:tr>
      <w:tr w:rsidR="00D34A7B" w:rsidRPr="000A1781" w14:paraId="0307ED9B" w14:textId="77777777" w:rsidTr="00420ACB">
        <w:trPr>
          <w:trHeight w:val="412"/>
        </w:trPr>
        <w:tc>
          <w:tcPr>
            <w:tcW w:w="1345" w:type="dxa"/>
          </w:tcPr>
          <w:p w14:paraId="70CBAD9F" w14:textId="18B23698"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0A1781">
              <w:rPr>
                <w:sz w:val="22"/>
                <w:szCs w:val="22"/>
              </w:rPr>
              <w:t>FY 2022‐04</w:t>
            </w:r>
          </w:p>
        </w:tc>
        <w:tc>
          <w:tcPr>
            <w:tcW w:w="2250" w:type="dxa"/>
          </w:tcPr>
          <w:p w14:paraId="50D0A8D8" w14:textId="07E5231D" w:rsidR="00D34A7B" w:rsidRPr="000A1781" w:rsidRDefault="00D34A7B" w:rsidP="00D34A7B">
            <w:pPr>
              <w:pStyle w:val="ListParagraph"/>
              <w:spacing w:line="240" w:lineRule="auto"/>
              <w:ind w:left="0"/>
              <w:rPr>
                <w:rFonts w:ascii="Times New Roman" w:hAnsi="Times New Roman" w:cs="Times New Roman"/>
                <w:spacing w:val="-2"/>
              </w:rPr>
            </w:pPr>
            <w:r w:rsidRPr="000A1781">
              <w:rPr>
                <w:rFonts w:ascii="Times New Roman" w:hAnsi="Times New Roman" w:cs="Times New Roman"/>
              </w:rPr>
              <w:t>In FY 2021, 12</w:t>
            </w:r>
            <w:r w:rsidRPr="000A1781">
              <w:rPr>
                <w:rFonts w:ascii="Times New Roman" w:hAnsi="Times New Roman" w:cs="Times New Roman"/>
                <w:spacing w:val="-6"/>
              </w:rPr>
              <w:t xml:space="preserve"> </w:t>
            </w:r>
            <w:r w:rsidRPr="000A1781">
              <w:rPr>
                <w:rFonts w:ascii="Times New Roman" w:hAnsi="Times New Roman" w:cs="Times New Roman"/>
              </w:rPr>
              <w:t>of</w:t>
            </w:r>
            <w:r w:rsidRPr="000A1781">
              <w:rPr>
                <w:rFonts w:ascii="Times New Roman" w:hAnsi="Times New Roman" w:cs="Times New Roman"/>
                <w:spacing w:val="-6"/>
              </w:rPr>
              <w:t xml:space="preserve"> </w:t>
            </w:r>
            <w:r w:rsidRPr="000A1781">
              <w:rPr>
                <w:rFonts w:ascii="Times New Roman" w:hAnsi="Times New Roman" w:cs="Times New Roman"/>
              </w:rPr>
              <w:t>the</w:t>
            </w:r>
            <w:r w:rsidRPr="000A1781">
              <w:rPr>
                <w:rFonts w:ascii="Times New Roman" w:hAnsi="Times New Roman" w:cs="Times New Roman"/>
                <w:spacing w:val="-5"/>
              </w:rPr>
              <w:t xml:space="preserve"> </w:t>
            </w:r>
            <w:r w:rsidRPr="000A1781">
              <w:rPr>
                <w:rFonts w:ascii="Times New Roman" w:hAnsi="Times New Roman" w:cs="Times New Roman"/>
              </w:rPr>
              <w:t>12</w:t>
            </w:r>
            <w:r w:rsidRPr="000A1781">
              <w:rPr>
                <w:rFonts w:ascii="Times New Roman" w:hAnsi="Times New Roman" w:cs="Times New Roman"/>
                <w:spacing w:val="-5"/>
              </w:rPr>
              <w:t xml:space="preserve"> </w:t>
            </w:r>
            <w:r w:rsidRPr="000A1781">
              <w:rPr>
                <w:rFonts w:ascii="Times New Roman" w:hAnsi="Times New Roman" w:cs="Times New Roman"/>
              </w:rPr>
              <w:t>(100%)</w:t>
            </w:r>
            <w:r w:rsidRPr="000A1781">
              <w:rPr>
                <w:rFonts w:ascii="Times New Roman" w:hAnsi="Times New Roman" w:cs="Times New Roman"/>
                <w:spacing w:val="-5"/>
              </w:rPr>
              <w:t xml:space="preserve"> </w:t>
            </w:r>
            <w:r w:rsidRPr="000A1781">
              <w:rPr>
                <w:rFonts w:ascii="Times New Roman" w:hAnsi="Times New Roman" w:cs="Times New Roman"/>
              </w:rPr>
              <w:t>fatality</w:t>
            </w:r>
            <w:r w:rsidRPr="000A1781">
              <w:rPr>
                <w:rFonts w:ascii="Times New Roman" w:hAnsi="Times New Roman" w:cs="Times New Roman"/>
                <w:spacing w:val="-5"/>
              </w:rPr>
              <w:t xml:space="preserve"> </w:t>
            </w:r>
            <w:r w:rsidRPr="000A1781">
              <w:rPr>
                <w:rFonts w:ascii="Times New Roman" w:hAnsi="Times New Roman" w:cs="Times New Roman"/>
              </w:rPr>
              <w:t>inspections</w:t>
            </w:r>
            <w:r w:rsidRPr="000A1781">
              <w:rPr>
                <w:rFonts w:ascii="Times New Roman" w:hAnsi="Times New Roman" w:cs="Times New Roman"/>
                <w:spacing w:val="-5"/>
              </w:rPr>
              <w:t xml:space="preserve"> </w:t>
            </w:r>
            <w:r w:rsidRPr="000A1781">
              <w:rPr>
                <w:rFonts w:ascii="Times New Roman" w:hAnsi="Times New Roman" w:cs="Times New Roman"/>
              </w:rPr>
              <w:t xml:space="preserve">lacked documentation for initial contact with family members, </w:t>
            </w:r>
            <w:r w:rsidRPr="000A1781">
              <w:rPr>
                <w:rFonts w:ascii="Times New Roman" w:hAnsi="Times New Roman" w:cs="Times New Roman"/>
              </w:rPr>
              <w:lastRenderedPageBreak/>
              <w:t>and/or family members did not receive</w:t>
            </w:r>
            <w:r w:rsidRPr="000A1781">
              <w:rPr>
                <w:rFonts w:ascii="Times New Roman" w:hAnsi="Times New Roman" w:cs="Times New Roman"/>
                <w:spacing w:val="-2"/>
              </w:rPr>
              <w:t xml:space="preserve"> </w:t>
            </w:r>
            <w:r w:rsidRPr="000A1781">
              <w:rPr>
                <w:rFonts w:ascii="Times New Roman" w:hAnsi="Times New Roman" w:cs="Times New Roman"/>
              </w:rPr>
              <w:t>final</w:t>
            </w:r>
            <w:r w:rsidRPr="000A1781">
              <w:rPr>
                <w:rFonts w:ascii="Times New Roman" w:hAnsi="Times New Roman" w:cs="Times New Roman"/>
                <w:spacing w:val="-3"/>
              </w:rPr>
              <w:t xml:space="preserve"> </w:t>
            </w:r>
            <w:r w:rsidRPr="000A1781">
              <w:rPr>
                <w:rFonts w:ascii="Times New Roman" w:hAnsi="Times New Roman" w:cs="Times New Roman"/>
              </w:rPr>
              <w:t>notification</w:t>
            </w:r>
            <w:r w:rsidRPr="000A1781">
              <w:rPr>
                <w:rFonts w:ascii="Times New Roman" w:hAnsi="Times New Roman" w:cs="Times New Roman"/>
                <w:spacing w:val="-3"/>
              </w:rPr>
              <w:t xml:space="preserve"> </w:t>
            </w:r>
            <w:r w:rsidRPr="000A1781">
              <w:rPr>
                <w:rFonts w:ascii="Times New Roman" w:hAnsi="Times New Roman" w:cs="Times New Roman"/>
              </w:rPr>
              <w:t>or</w:t>
            </w:r>
            <w:r w:rsidRPr="000A1781">
              <w:rPr>
                <w:rFonts w:ascii="Times New Roman" w:hAnsi="Times New Roman" w:cs="Times New Roman"/>
                <w:spacing w:val="-1"/>
              </w:rPr>
              <w:t xml:space="preserve"> </w:t>
            </w:r>
            <w:r w:rsidRPr="000A1781">
              <w:rPr>
                <w:rFonts w:ascii="Times New Roman" w:hAnsi="Times New Roman" w:cs="Times New Roman"/>
              </w:rPr>
              <w:t>inspection results.</w:t>
            </w:r>
          </w:p>
        </w:tc>
        <w:tc>
          <w:tcPr>
            <w:tcW w:w="2160" w:type="dxa"/>
          </w:tcPr>
          <w:p w14:paraId="6FEA3883" w14:textId="0A8F41F8"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lastRenderedPageBreak/>
              <w:t>Family</w:t>
            </w:r>
            <w:r w:rsidRPr="000A1781">
              <w:rPr>
                <w:spacing w:val="-6"/>
                <w:sz w:val="22"/>
                <w:szCs w:val="22"/>
              </w:rPr>
              <w:t xml:space="preserve"> </w:t>
            </w:r>
            <w:r w:rsidRPr="000A1781">
              <w:rPr>
                <w:sz w:val="22"/>
                <w:szCs w:val="22"/>
              </w:rPr>
              <w:t>members</w:t>
            </w:r>
            <w:r w:rsidRPr="000A1781">
              <w:rPr>
                <w:spacing w:val="-7"/>
                <w:sz w:val="22"/>
                <w:szCs w:val="22"/>
              </w:rPr>
              <w:t xml:space="preserve"> </w:t>
            </w:r>
            <w:r w:rsidRPr="000A1781">
              <w:rPr>
                <w:sz w:val="22"/>
                <w:szCs w:val="22"/>
              </w:rPr>
              <w:t>of</w:t>
            </w:r>
            <w:r w:rsidRPr="000A1781">
              <w:rPr>
                <w:spacing w:val="-7"/>
                <w:sz w:val="22"/>
                <w:szCs w:val="22"/>
              </w:rPr>
              <w:t xml:space="preserve"> </w:t>
            </w:r>
            <w:r w:rsidRPr="000A1781">
              <w:rPr>
                <w:sz w:val="22"/>
                <w:szCs w:val="22"/>
              </w:rPr>
              <w:t>employees</w:t>
            </w:r>
            <w:r w:rsidRPr="000A1781">
              <w:rPr>
                <w:spacing w:val="-7"/>
                <w:sz w:val="22"/>
                <w:szCs w:val="22"/>
              </w:rPr>
              <w:t xml:space="preserve"> </w:t>
            </w:r>
            <w:r w:rsidRPr="000A1781">
              <w:rPr>
                <w:sz w:val="22"/>
                <w:szCs w:val="22"/>
              </w:rPr>
              <w:t>involved</w:t>
            </w:r>
            <w:r w:rsidRPr="000A1781">
              <w:rPr>
                <w:spacing w:val="-7"/>
                <w:sz w:val="22"/>
                <w:szCs w:val="22"/>
              </w:rPr>
              <w:t xml:space="preserve"> </w:t>
            </w:r>
            <w:r w:rsidRPr="000A1781">
              <w:rPr>
                <w:sz w:val="22"/>
                <w:szCs w:val="22"/>
              </w:rPr>
              <w:t>in</w:t>
            </w:r>
            <w:r w:rsidRPr="000A1781">
              <w:rPr>
                <w:spacing w:val="-7"/>
                <w:sz w:val="22"/>
                <w:szCs w:val="22"/>
              </w:rPr>
              <w:t xml:space="preserve"> </w:t>
            </w:r>
            <w:r w:rsidRPr="000A1781">
              <w:rPr>
                <w:sz w:val="22"/>
                <w:szCs w:val="22"/>
              </w:rPr>
              <w:t xml:space="preserve">fatal or catastrophic occupational incidents should be </w:t>
            </w:r>
            <w:r w:rsidRPr="000A1781">
              <w:rPr>
                <w:sz w:val="22"/>
                <w:szCs w:val="22"/>
              </w:rPr>
              <w:lastRenderedPageBreak/>
              <w:t xml:space="preserve">contacted early in investigation, be allowed to discuss incident </w:t>
            </w:r>
            <w:r w:rsidR="00420ACB">
              <w:rPr>
                <w:sz w:val="22"/>
                <w:szCs w:val="22"/>
              </w:rPr>
              <w:t>c</w:t>
            </w:r>
            <w:r w:rsidRPr="000A1781">
              <w:rPr>
                <w:sz w:val="22"/>
                <w:szCs w:val="22"/>
              </w:rPr>
              <w:t>ircumstances, and be sent a</w:t>
            </w:r>
            <w:r w:rsidRPr="000A1781">
              <w:rPr>
                <w:spacing w:val="-6"/>
                <w:sz w:val="22"/>
                <w:szCs w:val="22"/>
              </w:rPr>
              <w:t xml:space="preserve"> </w:t>
            </w:r>
            <w:r w:rsidRPr="000A1781">
              <w:rPr>
                <w:sz w:val="22"/>
                <w:szCs w:val="22"/>
              </w:rPr>
              <w:t>letter</w:t>
            </w:r>
            <w:r w:rsidRPr="000A1781">
              <w:rPr>
                <w:spacing w:val="-6"/>
                <w:sz w:val="22"/>
                <w:szCs w:val="22"/>
              </w:rPr>
              <w:t xml:space="preserve"> </w:t>
            </w:r>
            <w:r w:rsidRPr="000A1781">
              <w:rPr>
                <w:sz w:val="22"/>
                <w:szCs w:val="22"/>
              </w:rPr>
              <w:t>of</w:t>
            </w:r>
            <w:r w:rsidRPr="000A1781">
              <w:rPr>
                <w:spacing w:val="-6"/>
                <w:sz w:val="22"/>
                <w:szCs w:val="22"/>
              </w:rPr>
              <w:t xml:space="preserve"> </w:t>
            </w:r>
            <w:r w:rsidRPr="000A1781">
              <w:rPr>
                <w:sz w:val="22"/>
                <w:szCs w:val="22"/>
              </w:rPr>
              <w:t>finding</w:t>
            </w:r>
            <w:r w:rsidRPr="000A1781">
              <w:rPr>
                <w:spacing w:val="-6"/>
                <w:sz w:val="22"/>
                <w:szCs w:val="22"/>
              </w:rPr>
              <w:t xml:space="preserve"> </w:t>
            </w:r>
            <w:r w:rsidRPr="000A1781">
              <w:rPr>
                <w:sz w:val="22"/>
                <w:szCs w:val="22"/>
              </w:rPr>
              <w:t>in</w:t>
            </w:r>
            <w:r w:rsidRPr="000A1781">
              <w:rPr>
                <w:spacing w:val="-6"/>
                <w:sz w:val="22"/>
                <w:szCs w:val="22"/>
              </w:rPr>
              <w:t xml:space="preserve"> </w:t>
            </w:r>
            <w:r w:rsidRPr="000A1781">
              <w:rPr>
                <w:sz w:val="22"/>
                <w:szCs w:val="22"/>
              </w:rPr>
              <w:t>accordance</w:t>
            </w:r>
            <w:r w:rsidRPr="000A1781">
              <w:rPr>
                <w:spacing w:val="-4"/>
                <w:sz w:val="22"/>
                <w:szCs w:val="22"/>
              </w:rPr>
              <w:t xml:space="preserve"> </w:t>
            </w:r>
            <w:r w:rsidRPr="000A1781">
              <w:rPr>
                <w:sz w:val="22"/>
                <w:szCs w:val="22"/>
              </w:rPr>
              <w:t>with</w:t>
            </w:r>
            <w:r w:rsidRPr="000A1781">
              <w:rPr>
                <w:spacing w:val="-6"/>
                <w:sz w:val="22"/>
                <w:szCs w:val="22"/>
              </w:rPr>
              <w:t xml:space="preserve"> </w:t>
            </w:r>
            <w:r w:rsidRPr="000A1781">
              <w:rPr>
                <w:sz w:val="22"/>
                <w:szCs w:val="22"/>
              </w:rPr>
              <w:t>the</w:t>
            </w:r>
            <w:r w:rsidRPr="000A1781">
              <w:rPr>
                <w:spacing w:val="-5"/>
                <w:sz w:val="22"/>
                <w:szCs w:val="22"/>
              </w:rPr>
              <w:t xml:space="preserve"> </w:t>
            </w:r>
            <w:r w:rsidRPr="000A1781">
              <w:rPr>
                <w:sz w:val="22"/>
                <w:szCs w:val="22"/>
              </w:rPr>
              <w:t xml:space="preserve">NM </w:t>
            </w:r>
            <w:r w:rsidRPr="000A1781">
              <w:rPr>
                <w:spacing w:val="-4"/>
                <w:sz w:val="22"/>
                <w:szCs w:val="22"/>
              </w:rPr>
              <w:t>FOM.</w:t>
            </w:r>
          </w:p>
        </w:tc>
        <w:tc>
          <w:tcPr>
            <w:tcW w:w="4860" w:type="dxa"/>
          </w:tcPr>
          <w:p w14:paraId="0786F5D3" w14:textId="72F9D96E"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lastRenderedPageBreak/>
              <w:t xml:space="preserve">OHSB instituted updated letters in FY 2022 sent to families in all cases. The MAP team provided weekly reports and conducted quarterly file reviews to address errors. The MAP team is also developing standard operating procedure to supplement the FOM and prevent loss of institutional knowledge </w:t>
            </w:r>
            <w:r w:rsidRPr="000A1781">
              <w:rPr>
                <w:sz w:val="22"/>
                <w:szCs w:val="22"/>
              </w:rPr>
              <w:lastRenderedPageBreak/>
              <w:t>during periods of high staff turnover. OHSB completed corrective action in FY 2022.</w:t>
            </w:r>
          </w:p>
        </w:tc>
        <w:tc>
          <w:tcPr>
            <w:tcW w:w="1800" w:type="dxa"/>
          </w:tcPr>
          <w:p w14:paraId="76175342" w14:textId="77777777" w:rsidR="00D34A7B" w:rsidRPr="000A1781" w:rsidRDefault="00D34A7B" w:rsidP="00420ACB">
            <w:pPr>
              <w:rPr>
                <w:sz w:val="22"/>
                <w:szCs w:val="22"/>
              </w:rPr>
            </w:pPr>
            <w:r w:rsidRPr="000A1781">
              <w:rPr>
                <w:sz w:val="22"/>
                <w:szCs w:val="22"/>
              </w:rPr>
              <w:lastRenderedPageBreak/>
              <w:t>Completion confirmed by internal quarterly casefile audits.</w:t>
            </w:r>
          </w:p>
          <w:p w14:paraId="5F91596C" w14:textId="77E20661" w:rsidR="00D34A7B" w:rsidRPr="000A178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April 25, 2023</w:t>
            </w:r>
          </w:p>
        </w:tc>
        <w:tc>
          <w:tcPr>
            <w:tcW w:w="1643" w:type="dxa"/>
          </w:tcPr>
          <w:p w14:paraId="66205FCB" w14:textId="0BB4B33F" w:rsidR="00D34A7B" w:rsidRPr="000A1781" w:rsidRDefault="00F477FC"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t>Converted to Observation</w:t>
            </w:r>
          </w:p>
        </w:tc>
      </w:tr>
      <w:tr w:rsidR="00D34A7B" w:rsidRPr="000A1781" w14:paraId="1C9EC1E1" w14:textId="77777777" w:rsidTr="00420ACB">
        <w:trPr>
          <w:trHeight w:val="412"/>
        </w:trPr>
        <w:tc>
          <w:tcPr>
            <w:tcW w:w="1345" w:type="dxa"/>
          </w:tcPr>
          <w:p w14:paraId="6232F446" w14:textId="6B4DE5BA"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0A1781">
              <w:rPr>
                <w:sz w:val="22"/>
                <w:szCs w:val="22"/>
              </w:rPr>
              <w:t>FY 2022‐05</w:t>
            </w:r>
          </w:p>
        </w:tc>
        <w:tc>
          <w:tcPr>
            <w:tcW w:w="2250" w:type="dxa"/>
          </w:tcPr>
          <w:p w14:paraId="57D21EA3" w14:textId="267308AF"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Unions not contacted: Out of a total of 54 files reviewed for FY 2021, five inspection case</w:t>
            </w:r>
            <w:r w:rsidRPr="000A1781">
              <w:rPr>
                <w:spacing w:val="-5"/>
                <w:sz w:val="22"/>
                <w:szCs w:val="22"/>
              </w:rPr>
              <w:t xml:space="preserve"> </w:t>
            </w:r>
            <w:r w:rsidRPr="000A1781">
              <w:rPr>
                <w:sz w:val="22"/>
                <w:szCs w:val="22"/>
              </w:rPr>
              <w:t>files</w:t>
            </w:r>
            <w:r w:rsidRPr="000A1781">
              <w:rPr>
                <w:spacing w:val="-5"/>
                <w:sz w:val="22"/>
                <w:szCs w:val="22"/>
              </w:rPr>
              <w:t xml:space="preserve"> </w:t>
            </w:r>
            <w:r w:rsidRPr="000A1781">
              <w:rPr>
                <w:sz w:val="22"/>
                <w:szCs w:val="22"/>
              </w:rPr>
              <w:t>had</w:t>
            </w:r>
            <w:r w:rsidRPr="000A1781">
              <w:rPr>
                <w:spacing w:val="-6"/>
                <w:sz w:val="22"/>
                <w:szCs w:val="22"/>
              </w:rPr>
              <w:t xml:space="preserve"> </w:t>
            </w:r>
            <w:r w:rsidRPr="000A1781">
              <w:rPr>
                <w:sz w:val="22"/>
                <w:szCs w:val="22"/>
              </w:rPr>
              <w:t>unions</w:t>
            </w:r>
            <w:r w:rsidRPr="000A1781">
              <w:rPr>
                <w:spacing w:val="-5"/>
                <w:sz w:val="22"/>
                <w:szCs w:val="22"/>
              </w:rPr>
              <w:t xml:space="preserve"> </w:t>
            </w:r>
            <w:r w:rsidRPr="000A1781">
              <w:rPr>
                <w:sz w:val="22"/>
                <w:szCs w:val="22"/>
              </w:rPr>
              <w:t>and</w:t>
            </w:r>
            <w:r w:rsidRPr="000A1781">
              <w:rPr>
                <w:spacing w:val="-6"/>
                <w:sz w:val="22"/>
                <w:szCs w:val="22"/>
              </w:rPr>
              <w:t xml:space="preserve"> </w:t>
            </w:r>
            <w:r w:rsidRPr="000A1781">
              <w:rPr>
                <w:sz w:val="22"/>
                <w:szCs w:val="22"/>
              </w:rPr>
              <w:t>none</w:t>
            </w:r>
            <w:r w:rsidRPr="000A1781">
              <w:rPr>
                <w:spacing w:val="-5"/>
                <w:sz w:val="22"/>
                <w:szCs w:val="22"/>
              </w:rPr>
              <w:t xml:space="preserve"> </w:t>
            </w:r>
            <w:r w:rsidRPr="000A1781">
              <w:rPr>
                <w:sz w:val="22"/>
                <w:szCs w:val="22"/>
              </w:rPr>
              <w:t>of</w:t>
            </w:r>
            <w:r w:rsidRPr="000A1781">
              <w:rPr>
                <w:spacing w:val="-5"/>
                <w:sz w:val="22"/>
                <w:szCs w:val="22"/>
              </w:rPr>
              <w:t xml:space="preserve"> </w:t>
            </w:r>
            <w:r w:rsidRPr="000A1781">
              <w:rPr>
                <w:sz w:val="22"/>
                <w:szCs w:val="22"/>
              </w:rPr>
              <w:t>the</w:t>
            </w:r>
            <w:r w:rsidRPr="000A1781">
              <w:rPr>
                <w:spacing w:val="-5"/>
                <w:sz w:val="22"/>
                <w:szCs w:val="22"/>
              </w:rPr>
              <w:t xml:space="preserve"> </w:t>
            </w:r>
            <w:r w:rsidRPr="000A1781">
              <w:rPr>
                <w:sz w:val="22"/>
                <w:szCs w:val="22"/>
              </w:rPr>
              <w:t xml:space="preserve">union’s representatives were contacted during </w:t>
            </w:r>
            <w:r w:rsidRPr="000A1781">
              <w:rPr>
                <w:spacing w:val="-2"/>
                <w:sz w:val="22"/>
                <w:szCs w:val="22"/>
              </w:rPr>
              <w:t>inspections.</w:t>
            </w:r>
          </w:p>
        </w:tc>
        <w:tc>
          <w:tcPr>
            <w:tcW w:w="2160" w:type="dxa"/>
          </w:tcPr>
          <w:p w14:paraId="32EE31B3" w14:textId="2620DBA5"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Follow the policies in the OHSB FOM, Chapter 3. During the opening</w:t>
            </w:r>
            <w:r w:rsidRPr="000A1781">
              <w:rPr>
                <w:spacing w:val="-9"/>
                <w:sz w:val="22"/>
                <w:szCs w:val="22"/>
              </w:rPr>
              <w:t xml:space="preserve"> </w:t>
            </w:r>
            <w:r w:rsidRPr="000A1781">
              <w:rPr>
                <w:sz w:val="22"/>
                <w:szCs w:val="22"/>
              </w:rPr>
              <w:t>conference,</w:t>
            </w:r>
            <w:r w:rsidRPr="000A1781">
              <w:rPr>
                <w:spacing w:val="-9"/>
                <w:sz w:val="22"/>
                <w:szCs w:val="22"/>
              </w:rPr>
              <w:t xml:space="preserve"> </w:t>
            </w:r>
            <w:r w:rsidRPr="000A1781">
              <w:rPr>
                <w:sz w:val="22"/>
                <w:szCs w:val="22"/>
              </w:rPr>
              <w:t>the</w:t>
            </w:r>
            <w:r w:rsidRPr="000A1781">
              <w:rPr>
                <w:spacing w:val="-10"/>
                <w:sz w:val="22"/>
                <w:szCs w:val="22"/>
              </w:rPr>
              <w:t xml:space="preserve"> </w:t>
            </w:r>
            <w:r w:rsidRPr="000A1781">
              <w:rPr>
                <w:sz w:val="22"/>
                <w:szCs w:val="22"/>
              </w:rPr>
              <w:t>highest‐ranking</w:t>
            </w:r>
            <w:r w:rsidRPr="000A1781">
              <w:rPr>
                <w:spacing w:val="-10"/>
                <w:sz w:val="22"/>
                <w:szCs w:val="22"/>
              </w:rPr>
              <w:t xml:space="preserve"> </w:t>
            </w:r>
            <w:r w:rsidRPr="000A1781">
              <w:rPr>
                <w:sz w:val="22"/>
                <w:szCs w:val="22"/>
              </w:rPr>
              <w:t>in‐site union official or union employee representative shall designate who will participate in the walkaround.</w:t>
            </w:r>
          </w:p>
        </w:tc>
        <w:tc>
          <w:tcPr>
            <w:tcW w:w="4860" w:type="dxa"/>
          </w:tcPr>
          <w:p w14:paraId="76F57BBD" w14:textId="55971A03" w:rsidR="00D34A7B" w:rsidRPr="000A178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 xml:space="preserve">OHSB added documentation of union participation to the standard casefile checklist. The Bureau added compliance supervisor positions for additional case file review and follow-up with COs in cases where union contact is not made or not documented. The OHSB MAP team conducts quarterly reviews to ensure completeness of files including documentation of union contact including a review completed April 19, 2023. </w:t>
            </w:r>
          </w:p>
        </w:tc>
        <w:tc>
          <w:tcPr>
            <w:tcW w:w="1800" w:type="dxa"/>
          </w:tcPr>
          <w:p w14:paraId="20CDD376" w14:textId="77777777" w:rsidR="00D34A7B" w:rsidRPr="000A1781" w:rsidRDefault="00D34A7B" w:rsidP="00420ACB">
            <w:pPr>
              <w:rPr>
                <w:sz w:val="22"/>
                <w:szCs w:val="22"/>
              </w:rPr>
            </w:pPr>
            <w:r w:rsidRPr="000A1781">
              <w:rPr>
                <w:sz w:val="22"/>
                <w:szCs w:val="22"/>
              </w:rPr>
              <w:t>Completion confirmed by internal quarterly casefile audits.</w:t>
            </w:r>
          </w:p>
          <w:p w14:paraId="4298E816" w14:textId="13361EB3" w:rsidR="00D34A7B" w:rsidRPr="000A178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0A1781">
              <w:rPr>
                <w:sz w:val="22"/>
                <w:szCs w:val="22"/>
              </w:rPr>
              <w:t>April 19, 2023.</w:t>
            </w:r>
          </w:p>
        </w:tc>
        <w:tc>
          <w:tcPr>
            <w:tcW w:w="1643" w:type="dxa"/>
          </w:tcPr>
          <w:p w14:paraId="7F0C7984" w14:textId="614B82C7" w:rsidR="00D34A7B" w:rsidRPr="000A1781" w:rsidRDefault="00F477FC"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t>Completed</w:t>
            </w:r>
          </w:p>
        </w:tc>
      </w:tr>
      <w:tr w:rsidR="00D34A7B" w:rsidRPr="000A1781" w14:paraId="1A5CF806" w14:textId="77777777" w:rsidTr="00420ACB">
        <w:trPr>
          <w:trHeight w:val="412"/>
        </w:trPr>
        <w:tc>
          <w:tcPr>
            <w:tcW w:w="1345" w:type="dxa"/>
          </w:tcPr>
          <w:p w14:paraId="11809135" w14:textId="1E4481C9"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F32E71">
              <w:rPr>
                <w:sz w:val="22"/>
                <w:szCs w:val="22"/>
              </w:rPr>
              <w:t>FY 2022‐06</w:t>
            </w:r>
          </w:p>
        </w:tc>
        <w:tc>
          <w:tcPr>
            <w:tcW w:w="2250" w:type="dxa"/>
          </w:tcPr>
          <w:p w14:paraId="0C4F6823" w14:textId="4533BDCE"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 xml:space="preserve">OHSB lacks adequate written procedures for its whistleblower program. OHSB did not adopt federal program changes or equivalents for TED 01‐00‐ 020 and CPL 02‐03‐011. </w:t>
            </w:r>
          </w:p>
        </w:tc>
        <w:tc>
          <w:tcPr>
            <w:tcW w:w="2160" w:type="dxa"/>
          </w:tcPr>
          <w:p w14:paraId="5D5ABDEF" w14:textId="6D05741B"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OHSB should institute an updated policy that adopts the federal WIM or incorporates equivalent provisions.</w:t>
            </w:r>
          </w:p>
        </w:tc>
        <w:tc>
          <w:tcPr>
            <w:tcW w:w="4860" w:type="dxa"/>
          </w:tcPr>
          <w:p w14:paraId="7D357501" w14:textId="77777777"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OHSB adopted a state equivalent to TED 01‐00‐ 020 training directive and CPL 02-03-009 Electronic Case File system in 2023. The Bureau is incorporating applicable provisions of CPL 02‐03‐011 WIM into a state directive that is in accordance with New Mexico’s state whistleblower statute. OHSB anticipates completion by September 30, 2023.</w:t>
            </w:r>
          </w:p>
        </w:tc>
        <w:tc>
          <w:tcPr>
            <w:tcW w:w="1800" w:type="dxa"/>
          </w:tcPr>
          <w:p w14:paraId="06D698E2" w14:textId="6A2731FB" w:rsidR="00D34A7B" w:rsidRPr="00F32E7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 xml:space="preserve">Training directive updated </w:t>
            </w:r>
            <w:r w:rsidR="00616A41" w:rsidRPr="00F32E71">
              <w:rPr>
                <w:sz w:val="22"/>
                <w:szCs w:val="22"/>
              </w:rPr>
              <w:t xml:space="preserve">with Whistleblower </w:t>
            </w:r>
            <w:r w:rsidRPr="00F32E71">
              <w:rPr>
                <w:sz w:val="22"/>
                <w:szCs w:val="22"/>
              </w:rPr>
              <w:t xml:space="preserve">classes </w:t>
            </w:r>
            <w:r w:rsidR="00420ACB">
              <w:rPr>
                <w:sz w:val="22"/>
                <w:szCs w:val="22"/>
              </w:rPr>
              <w:t xml:space="preserve">May 25, 2023, </w:t>
            </w:r>
            <w:r w:rsidRPr="00F32E71">
              <w:rPr>
                <w:sz w:val="22"/>
                <w:szCs w:val="22"/>
              </w:rPr>
              <w:t xml:space="preserve">ECF adopted </w:t>
            </w:r>
            <w:r w:rsidR="00420ACB">
              <w:rPr>
                <w:sz w:val="22"/>
                <w:szCs w:val="22"/>
              </w:rPr>
              <w:t>May 22, 2023,</w:t>
            </w:r>
            <w:r w:rsidRPr="00F32E71">
              <w:rPr>
                <w:sz w:val="22"/>
                <w:szCs w:val="22"/>
              </w:rPr>
              <w:t xml:space="preserve"> WIM in draft review by Legal and send to </w:t>
            </w:r>
            <w:r w:rsidR="00616A41" w:rsidRPr="00F32E71">
              <w:rPr>
                <w:sz w:val="22"/>
                <w:szCs w:val="22"/>
              </w:rPr>
              <w:t>OSHA</w:t>
            </w:r>
            <w:r w:rsidRPr="00F32E71">
              <w:rPr>
                <w:sz w:val="22"/>
                <w:szCs w:val="22"/>
              </w:rPr>
              <w:t xml:space="preserve"> by </w:t>
            </w:r>
            <w:r w:rsidR="00420ACB">
              <w:rPr>
                <w:sz w:val="22"/>
                <w:szCs w:val="22"/>
              </w:rPr>
              <w:t xml:space="preserve">November 10, 2023. </w:t>
            </w:r>
          </w:p>
        </w:tc>
        <w:tc>
          <w:tcPr>
            <w:tcW w:w="1643" w:type="dxa"/>
          </w:tcPr>
          <w:p w14:paraId="71B3D0C5" w14:textId="0D585449" w:rsidR="00D34A7B" w:rsidRPr="00F32E71" w:rsidRDefault="00F32E71"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sidRPr="00F32E71">
              <w:rPr>
                <w:rFonts w:eastAsia="PMingLiU"/>
                <w:bCs/>
                <w:sz w:val="22"/>
                <w:szCs w:val="22"/>
              </w:rPr>
              <w:t>Open</w:t>
            </w:r>
          </w:p>
        </w:tc>
      </w:tr>
      <w:tr w:rsidR="00D34A7B" w:rsidRPr="000A1781" w14:paraId="257679CB" w14:textId="77777777" w:rsidTr="00420ACB">
        <w:trPr>
          <w:trHeight w:val="412"/>
        </w:trPr>
        <w:tc>
          <w:tcPr>
            <w:tcW w:w="1345" w:type="dxa"/>
          </w:tcPr>
          <w:p w14:paraId="7BA3CBBA" w14:textId="74835DDB"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sz w:val="22"/>
                <w:szCs w:val="22"/>
              </w:rPr>
            </w:pPr>
            <w:r w:rsidRPr="00F32E71">
              <w:rPr>
                <w:sz w:val="22"/>
                <w:szCs w:val="22"/>
              </w:rPr>
              <w:t>FY 2022‐07</w:t>
            </w:r>
          </w:p>
        </w:tc>
        <w:tc>
          <w:tcPr>
            <w:tcW w:w="2250" w:type="dxa"/>
          </w:tcPr>
          <w:p w14:paraId="55CB9EB2" w14:textId="6EB49CB5"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 xml:space="preserve">OHSB places excessive requirements on its whistleblower </w:t>
            </w:r>
            <w:r w:rsidRPr="00F32E71">
              <w:rPr>
                <w:sz w:val="22"/>
                <w:szCs w:val="22"/>
              </w:rPr>
              <w:lastRenderedPageBreak/>
              <w:t xml:space="preserve">complainants </w:t>
            </w:r>
            <w:proofErr w:type="gramStart"/>
            <w:r w:rsidRPr="00F32E71">
              <w:rPr>
                <w:sz w:val="22"/>
                <w:szCs w:val="22"/>
              </w:rPr>
              <w:t>in order to</w:t>
            </w:r>
            <w:proofErr w:type="gramEnd"/>
            <w:r w:rsidRPr="00F32E71">
              <w:rPr>
                <w:sz w:val="22"/>
                <w:szCs w:val="22"/>
              </w:rPr>
              <w:t xml:space="preserve"> file a complaint. </w:t>
            </w:r>
          </w:p>
        </w:tc>
        <w:tc>
          <w:tcPr>
            <w:tcW w:w="2160" w:type="dxa"/>
          </w:tcPr>
          <w:p w14:paraId="7F9403E1" w14:textId="21ECB93A"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lastRenderedPageBreak/>
              <w:t>OHSB</w:t>
            </w:r>
            <w:r w:rsidRPr="00F32E71">
              <w:rPr>
                <w:spacing w:val="-3"/>
                <w:sz w:val="22"/>
                <w:szCs w:val="22"/>
              </w:rPr>
              <w:t xml:space="preserve"> </w:t>
            </w:r>
            <w:r w:rsidRPr="00F32E71">
              <w:rPr>
                <w:sz w:val="22"/>
                <w:szCs w:val="22"/>
              </w:rPr>
              <w:t>should</w:t>
            </w:r>
            <w:r w:rsidRPr="00F32E71">
              <w:rPr>
                <w:spacing w:val="-4"/>
                <w:sz w:val="22"/>
                <w:szCs w:val="22"/>
              </w:rPr>
              <w:t xml:space="preserve"> </w:t>
            </w:r>
            <w:r w:rsidRPr="00F32E71">
              <w:rPr>
                <w:sz w:val="22"/>
                <w:szCs w:val="22"/>
              </w:rPr>
              <w:t>adopt</w:t>
            </w:r>
            <w:r w:rsidRPr="00F32E71">
              <w:rPr>
                <w:spacing w:val="-4"/>
                <w:sz w:val="22"/>
                <w:szCs w:val="22"/>
              </w:rPr>
              <w:t xml:space="preserve"> </w:t>
            </w:r>
            <w:r w:rsidRPr="00F32E71">
              <w:rPr>
                <w:sz w:val="22"/>
                <w:szCs w:val="22"/>
              </w:rPr>
              <w:t>requirements</w:t>
            </w:r>
            <w:r w:rsidRPr="00F32E71">
              <w:rPr>
                <w:spacing w:val="-4"/>
                <w:sz w:val="22"/>
                <w:szCs w:val="22"/>
              </w:rPr>
              <w:t xml:space="preserve"> </w:t>
            </w:r>
            <w:r w:rsidRPr="00F32E71">
              <w:rPr>
                <w:sz w:val="22"/>
                <w:szCs w:val="22"/>
              </w:rPr>
              <w:t>equivalent</w:t>
            </w:r>
            <w:r w:rsidRPr="00F32E71">
              <w:rPr>
                <w:spacing w:val="-4"/>
                <w:sz w:val="22"/>
                <w:szCs w:val="22"/>
              </w:rPr>
              <w:t xml:space="preserve"> </w:t>
            </w:r>
            <w:r w:rsidRPr="00F32E71">
              <w:rPr>
                <w:sz w:val="22"/>
                <w:szCs w:val="22"/>
              </w:rPr>
              <w:t>to</w:t>
            </w:r>
            <w:r w:rsidRPr="00F32E71">
              <w:rPr>
                <w:spacing w:val="-3"/>
                <w:sz w:val="22"/>
                <w:szCs w:val="22"/>
              </w:rPr>
              <w:t xml:space="preserve"> </w:t>
            </w:r>
            <w:r w:rsidRPr="00F32E71">
              <w:rPr>
                <w:sz w:val="22"/>
                <w:szCs w:val="22"/>
              </w:rPr>
              <w:t>federal</w:t>
            </w:r>
            <w:r w:rsidRPr="00F32E71">
              <w:rPr>
                <w:spacing w:val="-3"/>
                <w:sz w:val="22"/>
                <w:szCs w:val="22"/>
              </w:rPr>
              <w:t xml:space="preserve"> </w:t>
            </w:r>
            <w:r w:rsidRPr="00F32E71">
              <w:rPr>
                <w:sz w:val="22"/>
                <w:szCs w:val="22"/>
              </w:rPr>
              <w:t>for</w:t>
            </w:r>
            <w:r w:rsidRPr="00F32E71">
              <w:rPr>
                <w:spacing w:val="-3"/>
                <w:sz w:val="22"/>
                <w:szCs w:val="22"/>
              </w:rPr>
              <w:t xml:space="preserve"> </w:t>
            </w:r>
            <w:r w:rsidRPr="00F32E71">
              <w:rPr>
                <w:sz w:val="22"/>
                <w:szCs w:val="22"/>
              </w:rPr>
              <w:t>acceptance</w:t>
            </w:r>
            <w:r w:rsidRPr="00F32E71">
              <w:rPr>
                <w:spacing w:val="-5"/>
                <w:sz w:val="22"/>
                <w:szCs w:val="22"/>
              </w:rPr>
              <w:t xml:space="preserve"> </w:t>
            </w:r>
            <w:r w:rsidRPr="00F32E71">
              <w:rPr>
                <w:sz w:val="22"/>
                <w:szCs w:val="22"/>
              </w:rPr>
              <w:t>of</w:t>
            </w:r>
            <w:r w:rsidRPr="00F32E71">
              <w:rPr>
                <w:spacing w:val="-4"/>
                <w:sz w:val="22"/>
                <w:szCs w:val="22"/>
              </w:rPr>
              <w:t xml:space="preserve"> </w:t>
            </w:r>
            <w:r w:rsidRPr="00F32E71">
              <w:rPr>
                <w:sz w:val="22"/>
                <w:szCs w:val="22"/>
              </w:rPr>
              <w:lastRenderedPageBreak/>
              <w:t>complaints.</w:t>
            </w:r>
            <w:r w:rsidRPr="00F32E71">
              <w:rPr>
                <w:spacing w:val="-3"/>
                <w:sz w:val="22"/>
                <w:szCs w:val="22"/>
              </w:rPr>
              <w:t xml:space="preserve"> </w:t>
            </w:r>
            <w:r w:rsidRPr="00F32E71">
              <w:rPr>
                <w:sz w:val="22"/>
                <w:szCs w:val="22"/>
              </w:rPr>
              <w:t>If</w:t>
            </w:r>
            <w:r w:rsidRPr="00F32E71">
              <w:rPr>
                <w:spacing w:val="-4"/>
                <w:sz w:val="22"/>
                <w:szCs w:val="22"/>
              </w:rPr>
              <w:t xml:space="preserve"> </w:t>
            </w:r>
            <w:r w:rsidRPr="00F32E71">
              <w:rPr>
                <w:sz w:val="22"/>
                <w:szCs w:val="22"/>
              </w:rPr>
              <w:t>OHSB believes that they are constrained by statute from having equivalent requirements for acceptance of complaints, a legislative change to Section 50‐9‐25. A should be sought.</w:t>
            </w:r>
          </w:p>
        </w:tc>
        <w:tc>
          <w:tcPr>
            <w:tcW w:w="4860" w:type="dxa"/>
          </w:tcPr>
          <w:p w14:paraId="6C65BA2F" w14:textId="118AA816" w:rsidR="00D34A7B" w:rsidRPr="00F32E71" w:rsidRDefault="00D34A7B"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lastRenderedPageBreak/>
              <w:t xml:space="preserve">OHSB issued clarification of complaint requirements to include interpretation of state statute commensurate with federal equivalents. The Bureau completed staff training and instruction to </w:t>
            </w:r>
            <w:r w:rsidRPr="00F32E71">
              <w:rPr>
                <w:sz w:val="22"/>
                <w:szCs w:val="22"/>
              </w:rPr>
              <w:lastRenderedPageBreak/>
              <w:t>whistleblower investigators on April 25, 2023.   During FY 2024, the OHSB MAP team will review WBI cases quarterly to verify continued compliance.</w:t>
            </w:r>
          </w:p>
        </w:tc>
        <w:tc>
          <w:tcPr>
            <w:tcW w:w="1800" w:type="dxa"/>
          </w:tcPr>
          <w:p w14:paraId="0F5F0872" w14:textId="77777777" w:rsidR="00D34A7B" w:rsidRPr="00F32E71" w:rsidRDefault="00D34A7B" w:rsidP="00420ACB">
            <w:pPr>
              <w:rPr>
                <w:sz w:val="22"/>
                <w:szCs w:val="22"/>
              </w:rPr>
            </w:pPr>
            <w:r w:rsidRPr="00F32E71">
              <w:rPr>
                <w:sz w:val="22"/>
                <w:szCs w:val="22"/>
              </w:rPr>
              <w:lastRenderedPageBreak/>
              <w:t xml:space="preserve">Clarification on OHSB policy sent out and trained to WB </w:t>
            </w:r>
            <w:r w:rsidRPr="00F32E71">
              <w:rPr>
                <w:sz w:val="22"/>
                <w:szCs w:val="22"/>
              </w:rPr>
              <w:lastRenderedPageBreak/>
              <w:t>investigators</w:t>
            </w:r>
          </w:p>
          <w:p w14:paraId="15A48933" w14:textId="4BD3B695" w:rsidR="00D34A7B" w:rsidRPr="00F32E71" w:rsidRDefault="00D34A7B" w:rsidP="00420A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F32E71">
              <w:rPr>
                <w:sz w:val="22"/>
                <w:szCs w:val="22"/>
              </w:rPr>
              <w:t>April 25, 2023.</w:t>
            </w:r>
          </w:p>
        </w:tc>
        <w:tc>
          <w:tcPr>
            <w:tcW w:w="1643" w:type="dxa"/>
          </w:tcPr>
          <w:p w14:paraId="64302132" w14:textId="0AA242CF" w:rsidR="00D34A7B" w:rsidRPr="00F32E71" w:rsidRDefault="002E0551" w:rsidP="00D34A7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eastAsia="PMingLiU"/>
                <w:bCs/>
                <w:sz w:val="22"/>
                <w:szCs w:val="22"/>
              </w:rPr>
              <w:lastRenderedPageBreak/>
              <w:t>Completed</w:t>
            </w:r>
          </w:p>
        </w:tc>
      </w:tr>
      <w:tr w:rsidR="00F32E71" w:rsidRPr="000A1781" w14:paraId="139BE676" w14:textId="77777777" w:rsidTr="00420ACB">
        <w:trPr>
          <w:trHeight w:val="412"/>
        </w:trPr>
        <w:tc>
          <w:tcPr>
            <w:tcW w:w="1345" w:type="dxa"/>
          </w:tcPr>
          <w:p w14:paraId="2545D52F" w14:textId="7EEC9DC6" w:rsidR="00F32E71" w:rsidRPr="00F32E71" w:rsidRDefault="00F32E71" w:rsidP="00F32E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F32E71">
              <w:rPr>
                <w:rFonts w:cstheme="minorHAnsi"/>
                <w:sz w:val="22"/>
                <w:szCs w:val="22"/>
              </w:rPr>
              <w:t>FY 2022‐08</w:t>
            </w:r>
          </w:p>
        </w:tc>
        <w:tc>
          <w:tcPr>
            <w:tcW w:w="2250" w:type="dxa"/>
          </w:tcPr>
          <w:p w14:paraId="031030CA" w14:textId="566DB595" w:rsidR="00F32E71" w:rsidRPr="00F32E71" w:rsidRDefault="00F32E71" w:rsidP="00F32E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32E71">
              <w:rPr>
                <w:rFonts w:cstheme="minorHAnsi"/>
                <w:sz w:val="22"/>
                <w:szCs w:val="22"/>
              </w:rPr>
              <w:t>OHSB management did not review Administrative</w:t>
            </w:r>
            <w:r w:rsidRPr="00F32E71">
              <w:rPr>
                <w:rFonts w:cstheme="minorHAnsi"/>
                <w:spacing w:val="-7"/>
                <w:sz w:val="22"/>
                <w:szCs w:val="22"/>
              </w:rPr>
              <w:t xml:space="preserve"> </w:t>
            </w:r>
            <w:r w:rsidRPr="00F32E71">
              <w:rPr>
                <w:rFonts w:cstheme="minorHAnsi"/>
                <w:sz w:val="22"/>
                <w:szCs w:val="22"/>
              </w:rPr>
              <w:t>Closures</w:t>
            </w:r>
            <w:r w:rsidRPr="00F32E71">
              <w:rPr>
                <w:rFonts w:cstheme="minorHAnsi"/>
                <w:spacing w:val="-8"/>
                <w:sz w:val="22"/>
                <w:szCs w:val="22"/>
              </w:rPr>
              <w:t xml:space="preserve"> </w:t>
            </w:r>
            <w:r w:rsidRPr="00F32E71">
              <w:rPr>
                <w:rFonts w:cstheme="minorHAnsi"/>
                <w:sz w:val="22"/>
                <w:szCs w:val="22"/>
              </w:rPr>
              <w:t>and</w:t>
            </w:r>
            <w:r w:rsidRPr="00F32E71">
              <w:rPr>
                <w:rFonts w:cstheme="minorHAnsi"/>
                <w:spacing w:val="-7"/>
                <w:sz w:val="22"/>
                <w:szCs w:val="22"/>
              </w:rPr>
              <w:t xml:space="preserve"> </w:t>
            </w:r>
            <w:r w:rsidRPr="00F32E71">
              <w:rPr>
                <w:rFonts w:cstheme="minorHAnsi"/>
                <w:sz w:val="22"/>
                <w:szCs w:val="22"/>
              </w:rPr>
              <w:t>Case</w:t>
            </w:r>
            <w:r w:rsidRPr="00F32E71">
              <w:rPr>
                <w:rFonts w:cstheme="minorHAnsi"/>
                <w:spacing w:val="-6"/>
                <w:sz w:val="22"/>
                <w:szCs w:val="22"/>
              </w:rPr>
              <w:t xml:space="preserve"> </w:t>
            </w:r>
            <w:r w:rsidRPr="00F32E71">
              <w:rPr>
                <w:rFonts w:cstheme="minorHAnsi"/>
                <w:sz w:val="22"/>
                <w:szCs w:val="22"/>
              </w:rPr>
              <w:t>Files.</w:t>
            </w:r>
            <w:r w:rsidRPr="00F32E71">
              <w:rPr>
                <w:rFonts w:cstheme="minorHAnsi"/>
                <w:spacing w:val="-6"/>
                <w:sz w:val="22"/>
                <w:szCs w:val="22"/>
              </w:rPr>
              <w:t xml:space="preserve"> </w:t>
            </w:r>
            <w:r w:rsidRPr="00F32E71">
              <w:rPr>
                <w:rFonts w:cstheme="minorHAnsi"/>
                <w:sz w:val="22"/>
                <w:szCs w:val="22"/>
              </w:rPr>
              <w:t>Of</w:t>
            </w:r>
            <w:r w:rsidRPr="00F32E71">
              <w:rPr>
                <w:rFonts w:cstheme="minorHAnsi"/>
                <w:spacing w:val="-7"/>
                <w:sz w:val="22"/>
                <w:szCs w:val="22"/>
              </w:rPr>
              <w:t xml:space="preserve"> </w:t>
            </w:r>
            <w:r w:rsidRPr="00F32E71">
              <w:rPr>
                <w:rFonts w:cstheme="minorHAnsi"/>
                <w:sz w:val="22"/>
                <w:szCs w:val="22"/>
              </w:rPr>
              <w:t>the 41 files reviewed in FY 2022, 30 cases contained no evidence</w:t>
            </w:r>
            <w:r w:rsidRPr="00F32E71">
              <w:rPr>
                <w:rFonts w:cstheme="minorHAnsi"/>
                <w:spacing w:val="-3"/>
                <w:sz w:val="22"/>
                <w:szCs w:val="22"/>
              </w:rPr>
              <w:t xml:space="preserve"> </w:t>
            </w:r>
            <w:r w:rsidRPr="00F32E71">
              <w:rPr>
                <w:rFonts w:cstheme="minorHAnsi"/>
                <w:sz w:val="22"/>
                <w:szCs w:val="22"/>
              </w:rPr>
              <w:t>of</w:t>
            </w:r>
            <w:r w:rsidRPr="00F32E71">
              <w:rPr>
                <w:rFonts w:cstheme="minorHAnsi"/>
                <w:spacing w:val="-4"/>
                <w:sz w:val="22"/>
                <w:szCs w:val="22"/>
              </w:rPr>
              <w:t xml:space="preserve"> </w:t>
            </w:r>
            <w:r w:rsidRPr="00F32E71">
              <w:rPr>
                <w:rFonts w:cstheme="minorHAnsi"/>
                <w:sz w:val="22"/>
                <w:szCs w:val="22"/>
              </w:rPr>
              <w:t>supervisory</w:t>
            </w:r>
            <w:r w:rsidRPr="00F32E71">
              <w:rPr>
                <w:rFonts w:cstheme="minorHAnsi"/>
                <w:spacing w:val="-3"/>
                <w:sz w:val="22"/>
                <w:szCs w:val="22"/>
              </w:rPr>
              <w:t xml:space="preserve"> </w:t>
            </w:r>
            <w:r w:rsidRPr="00F32E71">
              <w:rPr>
                <w:rFonts w:cstheme="minorHAnsi"/>
                <w:sz w:val="22"/>
                <w:szCs w:val="22"/>
              </w:rPr>
              <w:t>review</w:t>
            </w:r>
            <w:r w:rsidRPr="00F32E71">
              <w:rPr>
                <w:rFonts w:cstheme="minorHAnsi"/>
                <w:spacing w:val="-3"/>
                <w:sz w:val="22"/>
                <w:szCs w:val="22"/>
              </w:rPr>
              <w:t xml:space="preserve"> </w:t>
            </w:r>
            <w:r w:rsidRPr="00F32E71">
              <w:rPr>
                <w:rFonts w:cstheme="minorHAnsi"/>
                <w:sz w:val="22"/>
                <w:szCs w:val="22"/>
              </w:rPr>
              <w:t>or</w:t>
            </w:r>
            <w:r w:rsidRPr="00F32E71">
              <w:rPr>
                <w:rFonts w:cstheme="minorHAnsi"/>
                <w:spacing w:val="-2"/>
                <w:sz w:val="22"/>
                <w:szCs w:val="22"/>
              </w:rPr>
              <w:t xml:space="preserve"> </w:t>
            </w:r>
            <w:r w:rsidRPr="00F32E71">
              <w:rPr>
                <w:rFonts w:cstheme="minorHAnsi"/>
                <w:sz w:val="22"/>
                <w:szCs w:val="22"/>
              </w:rPr>
              <w:t>approval</w:t>
            </w:r>
            <w:r w:rsidRPr="00F32E71">
              <w:rPr>
                <w:rFonts w:cstheme="minorHAnsi"/>
                <w:spacing w:val="-2"/>
                <w:sz w:val="22"/>
                <w:szCs w:val="22"/>
              </w:rPr>
              <w:t xml:space="preserve"> </w:t>
            </w:r>
            <w:r w:rsidRPr="00F32E71">
              <w:rPr>
                <w:rFonts w:cstheme="minorHAnsi"/>
                <w:sz w:val="22"/>
                <w:szCs w:val="22"/>
              </w:rPr>
              <w:t>in the</w:t>
            </w:r>
            <w:r w:rsidRPr="00F32E71">
              <w:rPr>
                <w:rFonts w:cstheme="minorHAnsi"/>
                <w:spacing w:val="-3"/>
                <w:sz w:val="22"/>
                <w:szCs w:val="22"/>
              </w:rPr>
              <w:t xml:space="preserve"> </w:t>
            </w:r>
            <w:r w:rsidRPr="00F32E71">
              <w:rPr>
                <w:rFonts w:cstheme="minorHAnsi"/>
                <w:sz w:val="22"/>
                <w:szCs w:val="22"/>
              </w:rPr>
              <w:t>case</w:t>
            </w:r>
            <w:r w:rsidRPr="00F32E71">
              <w:rPr>
                <w:rFonts w:cstheme="minorHAnsi"/>
                <w:spacing w:val="-1"/>
                <w:sz w:val="22"/>
                <w:szCs w:val="22"/>
              </w:rPr>
              <w:t xml:space="preserve"> </w:t>
            </w:r>
            <w:r w:rsidRPr="00F32E71">
              <w:rPr>
                <w:rFonts w:cstheme="minorHAnsi"/>
                <w:spacing w:val="-2"/>
                <w:sz w:val="22"/>
                <w:szCs w:val="22"/>
              </w:rPr>
              <w:t>file.</w:t>
            </w:r>
          </w:p>
        </w:tc>
        <w:tc>
          <w:tcPr>
            <w:tcW w:w="2160" w:type="dxa"/>
          </w:tcPr>
          <w:p w14:paraId="1F2C5827" w14:textId="49DBEA52" w:rsidR="00F32E71" w:rsidRPr="00F32E71" w:rsidRDefault="00F32E71" w:rsidP="00F32E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32E71">
              <w:rPr>
                <w:rFonts w:cstheme="minorHAnsi"/>
                <w:sz w:val="22"/>
                <w:szCs w:val="22"/>
              </w:rPr>
              <w:t>OHSB management should conduct case file reviews to ensure that Complainant interviews and final letters to Complainants are present in the case files, both for administrative closures (“screen outs”) as well as docketed cases. The date on the final letter should match the closing date in OITSS or OIS. Also, case file reviews should ensure that they are complete, and all required documents and evidence are present.</w:t>
            </w:r>
          </w:p>
        </w:tc>
        <w:tc>
          <w:tcPr>
            <w:tcW w:w="4860" w:type="dxa"/>
          </w:tcPr>
          <w:p w14:paraId="033E8E71" w14:textId="14B939C9" w:rsidR="00F32E71" w:rsidRPr="00F32E71" w:rsidRDefault="00F32E71" w:rsidP="00F32E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32E71">
              <w:rPr>
                <w:rFonts w:cstheme="minorHAnsi"/>
                <w:sz w:val="22"/>
                <w:szCs w:val="22"/>
              </w:rPr>
              <w:t>OHSB management instructed each whistleblower investigator (WBI) to request supervisor review and approval prior to administrative closure. The supervisor reviews the available information and responds by email to further direct intake/ investigation or approve the complaint for administrative closure. The WB Investigator then saves the full email chain as a document in the case file folder as a record of review and decision. During FY 2024, the OHSB MAP team will review WBI cases quarterly to verify continued compliance.</w:t>
            </w:r>
          </w:p>
        </w:tc>
        <w:tc>
          <w:tcPr>
            <w:tcW w:w="1800" w:type="dxa"/>
          </w:tcPr>
          <w:p w14:paraId="20EAA060" w14:textId="77777777" w:rsidR="00F32E71" w:rsidRPr="00F32E71" w:rsidRDefault="00F32E71" w:rsidP="00420ACB">
            <w:pPr>
              <w:rPr>
                <w:rFonts w:cstheme="minorHAnsi"/>
                <w:sz w:val="22"/>
                <w:szCs w:val="22"/>
              </w:rPr>
            </w:pPr>
            <w:r w:rsidRPr="00F32E71">
              <w:rPr>
                <w:rFonts w:cstheme="minorHAnsi"/>
                <w:sz w:val="22"/>
                <w:szCs w:val="22"/>
              </w:rPr>
              <w:t>OHSB Leadership instituted supervisor review on all case closures including documentation thereof</w:t>
            </w:r>
          </w:p>
          <w:p w14:paraId="11EB26FF" w14:textId="641739DF" w:rsidR="00F32E71" w:rsidRPr="00F32E71" w:rsidRDefault="00F32E71" w:rsidP="00420ACB">
            <w:pPr>
              <w:rPr>
                <w:sz w:val="22"/>
                <w:szCs w:val="22"/>
              </w:rPr>
            </w:pPr>
            <w:r w:rsidRPr="00F32E71">
              <w:rPr>
                <w:rFonts w:cstheme="minorHAnsi"/>
                <w:sz w:val="22"/>
                <w:szCs w:val="22"/>
              </w:rPr>
              <w:t>April 25, 2023.</w:t>
            </w:r>
          </w:p>
        </w:tc>
        <w:tc>
          <w:tcPr>
            <w:tcW w:w="1643" w:type="dxa"/>
          </w:tcPr>
          <w:p w14:paraId="0543C2FC" w14:textId="212A30DA" w:rsidR="00F32E71" w:rsidRPr="00F32E71" w:rsidRDefault="002E0551" w:rsidP="00F32E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Pr>
                <w:rFonts w:cstheme="minorHAnsi"/>
                <w:sz w:val="22"/>
                <w:szCs w:val="22"/>
              </w:rPr>
              <w:t>Completed</w:t>
            </w:r>
          </w:p>
        </w:tc>
      </w:tr>
    </w:tbl>
    <w:p w14:paraId="70B50C7F" w14:textId="77777777" w:rsidR="0055159E" w:rsidRPr="000A1781" w:rsidRDefault="0055159E" w:rsidP="00046BFF">
      <w:pPr>
        <w:tabs>
          <w:tab w:val="left" w:pos="3330"/>
        </w:tabs>
        <w:rPr>
          <w:sz w:val="22"/>
          <w:szCs w:val="22"/>
        </w:rPr>
        <w:sectPr w:rsidR="0055159E" w:rsidRPr="000A1781" w:rsidSect="0055159E">
          <w:footerReference w:type="even" r:id="rId20"/>
          <w:footerReference w:type="default" r:id="rId21"/>
          <w:pgSz w:w="15840" w:h="12240" w:orient="landscape"/>
          <w:pgMar w:top="720" w:right="720" w:bottom="720" w:left="720" w:header="720" w:footer="720" w:gutter="0"/>
          <w:pgNumType w:fmt="upperLetter" w:start="3"/>
          <w:cols w:space="720"/>
          <w:titlePg/>
          <w:rtlGutter/>
          <w:docGrid w:linePitch="360"/>
        </w:sectPr>
      </w:pPr>
    </w:p>
    <w:p w14:paraId="252E982C" w14:textId="7899953C" w:rsidR="007B195A" w:rsidRPr="000A1781" w:rsidRDefault="007B195A" w:rsidP="00002D71">
      <w:pPr>
        <w:pStyle w:val="ListParagraph"/>
        <w:keepNext/>
        <w:keepLines/>
        <w:spacing w:line="240" w:lineRule="auto"/>
        <w:ind w:left="0"/>
        <w:jc w:val="center"/>
        <w:outlineLvl w:val="0"/>
        <w:rPr>
          <w:rFonts w:ascii="Times New Roman" w:hAnsi="Times New Roman" w:cs="Times New Roman"/>
          <w:b/>
          <w:bCs/>
          <w:color w:val="4472C4" w:themeColor="accent1"/>
          <w:sz w:val="28"/>
          <w:szCs w:val="28"/>
        </w:rPr>
      </w:pPr>
      <w:r w:rsidRPr="000A1781">
        <w:rPr>
          <w:rFonts w:ascii="Times New Roman" w:hAnsi="Times New Roman" w:cs="Times New Roman"/>
          <w:b/>
          <w:bCs/>
          <w:color w:val="4472C4" w:themeColor="accent1"/>
          <w:sz w:val="28"/>
          <w:szCs w:val="28"/>
        </w:rPr>
        <w:lastRenderedPageBreak/>
        <w:t>Appendix D – FY 2023 State Activity Mandated Measures (SAMM) Report</w:t>
      </w:r>
    </w:p>
    <w:p w14:paraId="0790A6C2" w14:textId="77777777" w:rsidR="007B195A" w:rsidRPr="000A1781" w:rsidRDefault="007B195A" w:rsidP="00002D71">
      <w:pPr>
        <w:pStyle w:val="ListParagraph"/>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spacing w:line="240" w:lineRule="auto"/>
        <w:ind w:left="0"/>
        <w:jc w:val="center"/>
        <w:rPr>
          <w:rFonts w:ascii="Times New Roman" w:hAnsi="Times New Roman" w:cs="Times New Roman"/>
        </w:rPr>
      </w:pPr>
      <w:r w:rsidRPr="000A1781">
        <w:rPr>
          <w:rFonts w:ascii="Times New Roman" w:hAnsi="Times New Roman" w:cs="Times New Roman"/>
        </w:rPr>
        <w:t>FY 2023 New Mexico OHSB Comprehensive FAME Report</w:t>
      </w:r>
    </w:p>
    <w:p w14:paraId="75EBB244" w14:textId="77777777" w:rsidR="007B195A" w:rsidRPr="000A1781" w:rsidRDefault="007B195A" w:rsidP="00002D71">
      <w:pPr>
        <w:pStyle w:val="ListParagraph"/>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spacing w:line="240" w:lineRule="auto"/>
        <w:ind w:left="0"/>
        <w:jc w:val="center"/>
        <w:rPr>
          <w:rFonts w:ascii="Times New Roman" w:hAnsi="Times New Roman" w:cs="Times New Roman"/>
          <w:sz w:val="24"/>
          <w:szCs w:val="24"/>
        </w:rPr>
      </w:pPr>
    </w:p>
    <w:p w14:paraId="47800745" w14:textId="1016CA9E" w:rsidR="007B195A" w:rsidRPr="000A1781" w:rsidRDefault="007B195A" w:rsidP="00002D71">
      <w:pPr>
        <w:pStyle w:val="ListParagraph"/>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spacing w:line="240" w:lineRule="auto"/>
        <w:ind w:left="0"/>
        <w:jc w:val="center"/>
        <w:rPr>
          <w:rFonts w:ascii="Times New Roman" w:hAnsi="Times New Roman" w:cs="Times New Roman"/>
          <w:b/>
          <w:bCs/>
          <w:sz w:val="28"/>
          <w:szCs w:val="28"/>
        </w:rPr>
      </w:pPr>
      <w:r w:rsidRPr="000A1781">
        <w:rPr>
          <w:rFonts w:ascii="Times New Roman" w:hAnsi="Times New Roman" w:cs="Times New Roman"/>
          <w:b/>
          <w:bCs/>
          <w:sz w:val="28"/>
          <w:szCs w:val="28"/>
        </w:rPr>
        <w:t>U.S. Department of Labor</w:t>
      </w:r>
    </w:p>
    <w:p w14:paraId="4192A51B" w14:textId="7624AFC9" w:rsidR="001567A4" w:rsidRPr="000A1781" w:rsidRDefault="007B195A" w:rsidP="00002D71">
      <w:pPr>
        <w:pStyle w:val="ListParagraph"/>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spacing w:line="240" w:lineRule="auto"/>
        <w:ind w:left="0"/>
        <w:jc w:val="center"/>
        <w:rPr>
          <w:rFonts w:ascii="Times New Roman" w:hAnsi="Times New Roman" w:cs="Times New Roman"/>
          <w:b/>
          <w:bCs/>
          <w:sz w:val="24"/>
          <w:szCs w:val="24"/>
        </w:rPr>
        <w:sectPr w:rsidR="001567A4" w:rsidRPr="000A1781" w:rsidSect="00326E56">
          <w:headerReference w:type="default" r:id="rId22"/>
          <w:footerReference w:type="default" r:id="rId23"/>
          <w:footerReference w:type="first" r:id="rId24"/>
          <w:pgSz w:w="12240" w:h="15840" w:code="1"/>
          <w:pgMar w:top="720" w:right="720" w:bottom="720" w:left="720" w:header="720" w:footer="620" w:gutter="0"/>
          <w:pgNumType w:fmt="upperLetter" w:start="1" w:chapStyle="1"/>
          <w:cols w:space="720"/>
          <w:titlePg/>
          <w:rtlGutter/>
          <w:docGrid w:linePitch="360"/>
        </w:sectPr>
      </w:pPr>
      <w:r w:rsidRPr="000A1781">
        <w:rPr>
          <w:rFonts w:ascii="Times New Roman" w:hAnsi="Times New Roman" w:cs="Times New Roman"/>
          <w:b/>
          <w:bCs/>
          <w:sz w:val="24"/>
          <w:szCs w:val="24"/>
        </w:rPr>
        <w:t>Occupational Safety and Health Administration State Plan Activity Mandated Measures (SAMM)</w:t>
      </w:r>
    </w:p>
    <w:tbl>
      <w:tblPr>
        <w:tblStyle w:val="GridTable41"/>
        <w:tblW w:w="10350" w:type="dxa"/>
        <w:tblInd w:w="-365" w:type="dxa"/>
        <w:tblLook w:val="06A0" w:firstRow="1" w:lastRow="0" w:firstColumn="1" w:lastColumn="0" w:noHBand="1" w:noVBand="1"/>
        <w:tblCaption w:val="FY 20XX SAMM Report"/>
        <w:tblDescription w:val="Appendix D"/>
      </w:tblPr>
      <w:tblGrid>
        <w:gridCol w:w="1070"/>
        <w:gridCol w:w="3251"/>
        <w:gridCol w:w="1260"/>
        <w:gridCol w:w="1273"/>
        <w:gridCol w:w="3496"/>
      </w:tblGrid>
      <w:tr w:rsidR="00E20D7D" w:rsidRPr="000A1781" w14:paraId="72C7428A" w14:textId="77777777" w:rsidTr="009A0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9" w:type="dxa"/>
            <w:tcBorders>
              <w:right w:val="single" w:sz="4" w:space="0" w:color="000000"/>
            </w:tcBorders>
            <w:shd w:val="clear" w:color="auto" w:fill="D9E2F3" w:themeFill="accent1" w:themeFillTint="33"/>
          </w:tcPr>
          <w:p w14:paraId="26D79EB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auto"/>
              </w:rPr>
            </w:pPr>
            <w:r w:rsidRPr="000A1781">
              <w:rPr>
                <w:rFonts w:eastAsia="PMingLiU"/>
                <w:color w:val="auto"/>
              </w:rPr>
              <w:t>SAMM Number</w:t>
            </w:r>
          </w:p>
        </w:tc>
        <w:tc>
          <w:tcPr>
            <w:tcW w:w="3251" w:type="dxa"/>
            <w:tcBorders>
              <w:left w:val="single" w:sz="4" w:space="0" w:color="000000"/>
              <w:right w:val="single" w:sz="4" w:space="0" w:color="000000"/>
            </w:tcBorders>
            <w:shd w:val="clear" w:color="auto" w:fill="D9E2F3" w:themeFill="accent1" w:themeFillTint="33"/>
          </w:tcPr>
          <w:p w14:paraId="38F1B85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0A1781">
              <w:rPr>
                <w:rFonts w:eastAsia="PMingLiU"/>
                <w:color w:val="auto"/>
              </w:rPr>
              <w:t>SAMM Name</w:t>
            </w:r>
          </w:p>
        </w:tc>
        <w:tc>
          <w:tcPr>
            <w:tcW w:w="1260" w:type="dxa"/>
            <w:tcBorders>
              <w:left w:val="single" w:sz="4" w:space="0" w:color="000000"/>
              <w:right w:val="single" w:sz="4" w:space="0" w:color="000000"/>
            </w:tcBorders>
            <w:shd w:val="clear" w:color="auto" w:fill="D9E2F3" w:themeFill="accent1" w:themeFillTint="33"/>
          </w:tcPr>
          <w:p w14:paraId="2C39A8D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0A1781">
              <w:rPr>
                <w:rFonts w:eastAsia="PMingLiU"/>
                <w:color w:val="auto"/>
              </w:rPr>
              <w:t>State Plan Data</w:t>
            </w:r>
          </w:p>
        </w:tc>
        <w:tc>
          <w:tcPr>
            <w:tcW w:w="1273" w:type="dxa"/>
            <w:tcBorders>
              <w:left w:val="single" w:sz="4" w:space="0" w:color="000000"/>
              <w:right w:val="single" w:sz="4" w:space="0" w:color="000000"/>
            </w:tcBorders>
            <w:shd w:val="clear" w:color="auto" w:fill="D9E2F3" w:themeFill="accent1" w:themeFillTint="33"/>
          </w:tcPr>
          <w:p w14:paraId="3B0FF62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0A1781">
              <w:rPr>
                <w:rFonts w:eastAsia="PMingLiU"/>
                <w:color w:val="auto"/>
              </w:rPr>
              <w:t>Further Review Level</w:t>
            </w:r>
          </w:p>
        </w:tc>
        <w:tc>
          <w:tcPr>
            <w:tcW w:w="3497" w:type="dxa"/>
            <w:tcBorders>
              <w:left w:val="single" w:sz="4" w:space="0" w:color="000000"/>
            </w:tcBorders>
            <w:shd w:val="clear" w:color="auto" w:fill="D9E2F3" w:themeFill="accent1" w:themeFillTint="33"/>
          </w:tcPr>
          <w:p w14:paraId="6E634E7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0A1781">
              <w:rPr>
                <w:rFonts w:eastAsia="PMingLiU"/>
                <w:color w:val="auto"/>
              </w:rPr>
              <w:t>FY 2023 Notes</w:t>
            </w:r>
          </w:p>
        </w:tc>
      </w:tr>
      <w:tr w:rsidR="00E20D7D" w:rsidRPr="000A1781" w14:paraId="394020BD"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6150914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1a</w:t>
            </w:r>
          </w:p>
        </w:tc>
        <w:tc>
          <w:tcPr>
            <w:tcW w:w="3251" w:type="dxa"/>
          </w:tcPr>
          <w:p w14:paraId="6AE164D2" w14:textId="3E42F86F"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Average number of </w:t>
            </w:r>
            <w:r w:rsidR="000E7D0D" w:rsidRPr="000A1781">
              <w:t>workdays</w:t>
            </w:r>
            <w:r w:rsidRPr="000A1781">
              <w:t xml:space="preserve"> to initiate complaint inspections (state formula)</w:t>
            </w:r>
          </w:p>
        </w:tc>
        <w:tc>
          <w:tcPr>
            <w:tcW w:w="1260" w:type="dxa"/>
          </w:tcPr>
          <w:p w14:paraId="63E5AFF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13.85</w:t>
            </w:r>
          </w:p>
        </w:tc>
        <w:tc>
          <w:tcPr>
            <w:tcW w:w="1273" w:type="dxa"/>
          </w:tcPr>
          <w:p w14:paraId="7D9BA0D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5</w:t>
            </w:r>
          </w:p>
        </w:tc>
        <w:tc>
          <w:tcPr>
            <w:tcW w:w="3497" w:type="dxa"/>
          </w:tcPr>
          <w:p w14:paraId="5677493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negotiated by OSHA and the State Plan.</w:t>
            </w:r>
          </w:p>
        </w:tc>
      </w:tr>
      <w:tr w:rsidR="00E20D7D" w:rsidRPr="000A1781" w14:paraId="68B8492C"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6C34CC1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1b</w:t>
            </w:r>
          </w:p>
        </w:tc>
        <w:tc>
          <w:tcPr>
            <w:tcW w:w="3251" w:type="dxa"/>
          </w:tcPr>
          <w:p w14:paraId="4087BCD2" w14:textId="7A9884B4"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Average number of </w:t>
            </w:r>
            <w:r w:rsidR="000E7D0D" w:rsidRPr="000A1781">
              <w:t>workdays</w:t>
            </w:r>
            <w:r w:rsidRPr="000A1781">
              <w:t xml:space="preserve"> to initiate complaint inspections (federal formula)</w:t>
            </w:r>
          </w:p>
        </w:tc>
        <w:tc>
          <w:tcPr>
            <w:tcW w:w="1260" w:type="dxa"/>
          </w:tcPr>
          <w:p w14:paraId="32638BF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12.75</w:t>
            </w:r>
          </w:p>
        </w:tc>
        <w:tc>
          <w:tcPr>
            <w:tcW w:w="1273" w:type="dxa"/>
          </w:tcPr>
          <w:p w14:paraId="2FFE88F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N/A</w:t>
            </w:r>
          </w:p>
        </w:tc>
        <w:tc>
          <w:tcPr>
            <w:tcW w:w="3497" w:type="dxa"/>
          </w:tcPr>
          <w:p w14:paraId="52D8F83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This measure is for informational purposes only and is not a mandated measure.</w:t>
            </w:r>
          </w:p>
        </w:tc>
      </w:tr>
      <w:tr w:rsidR="00E20D7D" w:rsidRPr="000A1781" w14:paraId="654255F4"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00DC175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2a</w:t>
            </w:r>
          </w:p>
        </w:tc>
        <w:tc>
          <w:tcPr>
            <w:tcW w:w="3251" w:type="dxa"/>
          </w:tcPr>
          <w:p w14:paraId="16785633" w14:textId="488F852C"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Average number of </w:t>
            </w:r>
            <w:r w:rsidR="000E7D0D" w:rsidRPr="000A1781">
              <w:t>workdays</w:t>
            </w:r>
            <w:r w:rsidRPr="000A1781">
              <w:t xml:space="preserve"> to initiate complaint investigations (state formula)</w:t>
            </w:r>
          </w:p>
        </w:tc>
        <w:tc>
          <w:tcPr>
            <w:tcW w:w="1260" w:type="dxa"/>
          </w:tcPr>
          <w:p w14:paraId="218FA41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3.66</w:t>
            </w:r>
          </w:p>
        </w:tc>
        <w:tc>
          <w:tcPr>
            <w:tcW w:w="1273" w:type="dxa"/>
          </w:tcPr>
          <w:p w14:paraId="1E96E93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0</w:t>
            </w:r>
          </w:p>
        </w:tc>
        <w:tc>
          <w:tcPr>
            <w:tcW w:w="3497" w:type="dxa"/>
          </w:tcPr>
          <w:p w14:paraId="1E7E104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negotiated by OSHA and the State Plan.</w:t>
            </w:r>
          </w:p>
        </w:tc>
      </w:tr>
      <w:tr w:rsidR="00E20D7D" w:rsidRPr="000A1781" w14:paraId="72848A31"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3CE86D0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2b</w:t>
            </w:r>
          </w:p>
        </w:tc>
        <w:tc>
          <w:tcPr>
            <w:tcW w:w="3251" w:type="dxa"/>
          </w:tcPr>
          <w:p w14:paraId="3BAAD585" w14:textId="2E3A5F53"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Average number of </w:t>
            </w:r>
            <w:r w:rsidR="000E7D0D" w:rsidRPr="000A1781">
              <w:t>workdays</w:t>
            </w:r>
            <w:r w:rsidRPr="000A1781">
              <w:t xml:space="preserve"> to initiate complaint investigations (federal formula)</w:t>
            </w:r>
          </w:p>
        </w:tc>
        <w:tc>
          <w:tcPr>
            <w:tcW w:w="1260" w:type="dxa"/>
          </w:tcPr>
          <w:p w14:paraId="23CE297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1.81</w:t>
            </w:r>
          </w:p>
        </w:tc>
        <w:tc>
          <w:tcPr>
            <w:tcW w:w="1273" w:type="dxa"/>
          </w:tcPr>
          <w:p w14:paraId="371934B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N/A</w:t>
            </w:r>
          </w:p>
        </w:tc>
        <w:tc>
          <w:tcPr>
            <w:tcW w:w="3497" w:type="dxa"/>
          </w:tcPr>
          <w:p w14:paraId="5D070CD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This measure is for informational purposes only and is not a mandated measure.</w:t>
            </w:r>
          </w:p>
        </w:tc>
      </w:tr>
      <w:tr w:rsidR="00E20D7D" w:rsidRPr="000A1781" w14:paraId="3300367B"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61B65DD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3</w:t>
            </w:r>
          </w:p>
        </w:tc>
        <w:tc>
          <w:tcPr>
            <w:tcW w:w="3251" w:type="dxa"/>
          </w:tcPr>
          <w:p w14:paraId="2C3A7AB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Percent of complaints and referrals responded to within one workday (imminent danger)</w:t>
            </w:r>
          </w:p>
        </w:tc>
        <w:tc>
          <w:tcPr>
            <w:tcW w:w="1260" w:type="dxa"/>
          </w:tcPr>
          <w:p w14:paraId="5A836DA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100%</w:t>
            </w:r>
          </w:p>
        </w:tc>
        <w:tc>
          <w:tcPr>
            <w:tcW w:w="1273" w:type="dxa"/>
          </w:tcPr>
          <w:p w14:paraId="7F12034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100%</w:t>
            </w:r>
          </w:p>
        </w:tc>
        <w:tc>
          <w:tcPr>
            <w:tcW w:w="3497" w:type="dxa"/>
          </w:tcPr>
          <w:p w14:paraId="71144DF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fixed for all State Plans.</w:t>
            </w:r>
          </w:p>
        </w:tc>
      </w:tr>
      <w:tr w:rsidR="00E20D7D" w:rsidRPr="000A1781" w14:paraId="0726A51E"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2A36CB4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4</w:t>
            </w:r>
          </w:p>
        </w:tc>
        <w:tc>
          <w:tcPr>
            <w:tcW w:w="3251" w:type="dxa"/>
          </w:tcPr>
          <w:p w14:paraId="1320236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Number of denials where entry not obtained</w:t>
            </w:r>
          </w:p>
        </w:tc>
        <w:tc>
          <w:tcPr>
            <w:tcW w:w="1260" w:type="dxa"/>
          </w:tcPr>
          <w:p w14:paraId="52FBE9E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0</w:t>
            </w:r>
          </w:p>
        </w:tc>
        <w:tc>
          <w:tcPr>
            <w:tcW w:w="1273" w:type="dxa"/>
          </w:tcPr>
          <w:p w14:paraId="2548626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0</w:t>
            </w:r>
          </w:p>
        </w:tc>
        <w:tc>
          <w:tcPr>
            <w:tcW w:w="3497" w:type="dxa"/>
          </w:tcPr>
          <w:p w14:paraId="64F431C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fixed for all State Plans.</w:t>
            </w:r>
          </w:p>
        </w:tc>
      </w:tr>
      <w:tr w:rsidR="00E20D7D" w:rsidRPr="000A1781" w14:paraId="7B468E21" w14:textId="77777777" w:rsidTr="009A08E6">
        <w:trPr>
          <w:cantSplit/>
          <w:trHeight w:val="1628"/>
        </w:trPr>
        <w:tc>
          <w:tcPr>
            <w:cnfStyle w:val="001000000000" w:firstRow="0" w:lastRow="0" w:firstColumn="1" w:lastColumn="0" w:oddVBand="0" w:evenVBand="0" w:oddHBand="0" w:evenHBand="0" w:firstRowFirstColumn="0" w:firstRowLastColumn="0" w:lastRowFirstColumn="0" w:lastRowLastColumn="0"/>
            <w:tcW w:w="1069" w:type="dxa"/>
          </w:tcPr>
          <w:p w14:paraId="7099331B"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5a</w:t>
            </w:r>
          </w:p>
        </w:tc>
        <w:tc>
          <w:tcPr>
            <w:tcW w:w="3251" w:type="dxa"/>
          </w:tcPr>
          <w:p w14:paraId="404A906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Average number of violations per inspection with violations by violation type (SWRU)</w:t>
            </w:r>
          </w:p>
        </w:tc>
        <w:tc>
          <w:tcPr>
            <w:tcW w:w="1260" w:type="dxa"/>
          </w:tcPr>
          <w:p w14:paraId="0792104B"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2.27</w:t>
            </w:r>
          </w:p>
        </w:tc>
        <w:tc>
          <w:tcPr>
            <w:tcW w:w="1273" w:type="dxa"/>
          </w:tcPr>
          <w:p w14:paraId="0987B70F"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 1.75</w:t>
            </w:r>
          </w:p>
          <w:p w14:paraId="36867B90"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p>
          <w:p w14:paraId="5675325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24FFE326" w14:textId="77777777" w:rsidR="00E351F9" w:rsidRPr="000A1781" w:rsidRDefault="00E351F9" w:rsidP="00E351F9">
            <w:pPr>
              <w:cnfStyle w:val="000000000000" w:firstRow="0" w:lastRow="0" w:firstColumn="0" w:lastColumn="0" w:oddVBand="0" w:evenVBand="0" w:oddHBand="0" w:evenHBand="0" w:firstRowFirstColumn="0" w:firstRowLastColumn="0" w:lastRowFirstColumn="0" w:lastRowLastColumn="0"/>
              <w:rPr>
                <w:rFonts w:eastAsia="PMingLiU"/>
              </w:rPr>
            </w:pPr>
          </w:p>
          <w:p w14:paraId="05F5E644" w14:textId="77777777" w:rsidR="00E351F9" w:rsidRPr="000A1781" w:rsidRDefault="00E351F9" w:rsidP="00E351F9">
            <w:pPr>
              <w:cnfStyle w:val="000000000000" w:firstRow="0" w:lastRow="0" w:firstColumn="0" w:lastColumn="0" w:oddVBand="0" w:evenVBand="0" w:oddHBand="0" w:evenHBand="0" w:firstRowFirstColumn="0" w:firstRowLastColumn="0" w:lastRowFirstColumn="0" w:lastRowLastColumn="0"/>
              <w:rPr>
                <w:rFonts w:eastAsia="PMingLiU"/>
              </w:rPr>
            </w:pPr>
          </w:p>
          <w:p w14:paraId="28619FD0" w14:textId="77777777" w:rsidR="00E351F9" w:rsidRPr="000A1781" w:rsidRDefault="00E351F9" w:rsidP="00E351F9">
            <w:pPr>
              <w:cnfStyle w:val="000000000000" w:firstRow="0" w:lastRow="0" w:firstColumn="0" w:lastColumn="0" w:oddVBand="0" w:evenVBand="0" w:oddHBand="0" w:evenHBand="0" w:firstRowFirstColumn="0" w:firstRowLastColumn="0" w:lastRowFirstColumn="0" w:lastRowLastColumn="0"/>
              <w:rPr>
                <w:rFonts w:eastAsia="PMingLiU"/>
              </w:rPr>
            </w:pPr>
          </w:p>
          <w:p w14:paraId="65A84539" w14:textId="77777777" w:rsidR="00E351F9" w:rsidRPr="000A1781" w:rsidRDefault="00E351F9" w:rsidP="00E351F9">
            <w:pPr>
              <w:cnfStyle w:val="000000000000" w:firstRow="0" w:lastRow="0" w:firstColumn="0" w:lastColumn="0" w:oddVBand="0" w:evenVBand="0" w:oddHBand="0" w:evenHBand="0" w:firstRowFirstColumn="0" w:firstRowLastColumn="0" w:lastRowFirstColumn="0" w:lastRowLastColumn="0"/>
              <w:rPr>
                <w:rFonts w:eastAsia="PMingLiU"/>
              </w:rPr>
            </w:pPr>
          </w:p>
          <w:p w14:paraId="603F173B" w14:textId="77777777" w:rsidR="00E351F9" w:rsidRPr="000A1781" w:rsidRDefault="00E351F9" w:rsidP="00E351F9">
            <w:pPr>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6F6B1D0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 xml:space="preserve">The further review level is based on a three-year national average.  The range of acceptable data not requiring further review is from 1.40 to 2.10 for SWRU. </w:t>
            </w:r>
          </w:p>
        </w:tc>
      </w:tr>
      <w:tr w:rsidR="00E20D7D" w:rsidRPr="000A1781" w14:paraId="278002DC"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5CC7857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5b</w:t>
            </w:r>
          </w:p>
        </w:tc>
        <w:tc>
          <w:tcPr>
            <w:tcW w:w="3251" w:type="dxa"/>
          </w:tcPr>
          <w:p w14:paraId="6D59163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Average number of violations per inspection with violations by violation type (other)</w:t>
            </w:r>
          </w:p>
        </w:tc>
        <w:tc>
          <w:tcPr>
            <w:tcW w:w="1260" w:type="dxa"/>
          </w:tcPr>
          <w:p w14:paraId="0DB5A42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0.53</w:t>
            </w:r>
          </w:p>
        </w:tc>
        <w:tc>
          <w:tcPr>
            <w:tcW w:w="1273" w:type="dxa"/>
          </w:tcPr>
          <w:p w14:paraId="0C674F4D"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 0.89</w:t>
            </w:r>
          </w:p>
          <w:p w14:paraId="7259FC5C"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013348E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The further review level is based on a three-year national average.  The range of acceptable data not requiring further review is from 0.71 to 1.07 for OTS.</w:t>
            </w:r>
          </w:p>
        </w:tc>
      </w:tr>
      <w:tr w:rsidR="00E20D7D" w:rsidRPr="000A1781" w14:paraId="34D41289"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74FA75F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lastRenderedPageBreak/>
              <w:t>6</w:t>
            </w:r>
          </w:p>
        </w:tc>
        <w:tc>
          <w:tcPr>
            <w:tcW w:w="3251" w:type="dxa"/>
          </w:tcPr>
          <w:p w14:paraId="478C1AA6"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Percent of total inspections in state and local government workplaces</w:t>
            </w:r>
          </w:p>
        </w:tc>
        <w:tc>
          <w:tcPr>
            <w:tcW w:w="1260" w:type="dxa"/>
          </w:tcPr>
          <w:p w14:paraId="636D725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10.09%</w:t>
            </w:r>
          </w:p>
          <w:p w14:paraId="230889A7"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173000A2"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1BBB5E84"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04AECAA3"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68B7127D"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761BD03E"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35A3E351"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22F73B20"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0CA6C271"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p w14:paraId="64E71E0E" w14:textId="77777777" w:rsidR="00434B99" w:rsidRPr="000A1781" w:rsidRDefault="00434B99" w:rsidP="00434B99">
            <w:pPr>
              <w:cnfStyle w:val="000000000000" w:firstRow="0" w:lastRow="0" w:firstColumn="0" w:lastColumn="0" w:oddVBand="0" w:evenVBand="0" w:oddHBand="0" w:evenHBand="0" w:firstRowFirstColumn="0" w:firstRowLastColumn="0" w:lastRowFirstColumn="0" w:lastRowLastColumn="0"/>
              <w:rPr>
                <w:rFonts w:eastAsia="PMingLiU"/>
              </w:rPr>
            </w:pPr>
          </w:p>
        </w:tc>
        <w:tc>
          <w:tcPr>
            <w:tcW w:w="1273" w:type="dxa"/>
          </w:tcPr>
          <w:p w14:paraId="1178F16E"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+/- 5% of</w:t>
            </w:r>
          </w:p>
          <w:p w14:paraId="67D2C37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10.23%</w:t>
            </w:r>
          </w:p>
        </w:tc>
        <w:tc>
          <w:tcPr>
            <w:tcW w:w="3497" w:type="dxa"/>
          </w:tcPr>
          <w:p w14:paraId="1BA21A3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The further review level is based on a number negotiated by OSHA and the State Plan through the grant application.  The range of acceptable data not requiring further review is from 9.72% to 10.74%.</w:t>
            </w:r>
          </w:p>
        </w:tc>
      </w:tr>
      <w:tr w:rsidR="00E20D7D" w:rsidRPr="000A1781" w14:paraId="076BEC0E"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46D7DCD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7a</w:t>
            </w:r>
          </w:p>
        </w:tc>
        <w:tc>
          <w:tcPr>
            <w:tcW w:w="3251" w:type="dxa"/>
          </w:tcPr>
          <w:p w14:paraId="62404AD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Planned v. actual inspections (safety)</w:t>
            </w:r>
          </w:p>
        </w:tc>
        <w:tc>
          <w:tcPr>
            <w:tcW w:w="1260" w:type="dxa"/>
          </w:tcPr>
          <w:p w14:paraId="578339E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169</w:t>
            </w:r>
          </w:p>
        </w:tc>
        <w:tc>
          <w:tcPr>
            <w:tcW w:w="1273" w:type="dxa"/>
          </w:tcPr>
          <w:p w14:paraId="6050FDB3"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+/- 5% of </w:t>
            </w:r>
          </w:p>
          <w:p w14:paraId="1E21B15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190</w:t>
            </w:r>
          </w:p>
        </w:tc>
        <w:tc>
          <w:tcPr>
            <w:tcW w:w="3497" w:type="dxa"/>
          </w:tcPr>
          <w:p w14:paraId="0D9E27DC"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number negotiated by OSHA and the State Plan through the grant application.  The range of acceptable data not requiring further review is from 180.50 to 199.50 for safety.</w:t>
            </w:r>
          </w:p>
        </w:tc>
      </w:tr>
      <w:tr w:rsidR="00E20D7D" w:rsidRPr="000A1781" w14:paraId="02A4748E"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524B935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7b</w:t>
            </w:r>
          </w:p>
        </w:tc>
        <w:tc>
          <w:tcPr>
            <w:tcW w:w="3251" w:type="dxa"/>
          </w:tcPr>
          <w:p w14:paraId="3860BB5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Planned v. actual inspections (health)</w:t>
            </w:r>
          </w:p>
        </w:tc>
        <w:tc>
          <w:tcPr>
            <w:tcW w:w="1260" w:type="dxa"/>
          </w:tcPr>
          <w:p w14:paraId="7200A63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49</w:t>
            </w:r>
          </w:p>
        </w:tc>
        <w:tc>
          <w:tcPr>
            <w:tcW w:w="1273" w:type="dxa"/>
          </w:tcPr>
          <w:p w14:paraId="1DF4839D"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+/- 5% of </w:t>
            </w:r>
          </w:p>
          <w:p w14:paraId="4869E16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74</w:t>
            </w:r>
          </w:p>
        </w:tc>
        <w:tc>
          <w:tcPr>
            <w:tcW w:w="3497" w:type="dxa"/>
          </w:tcPr>
          <w:p w14:paraId="20F8C4D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number negotiated by OSHA and the State Plan through the grant application.  The range of acceptable data not requiring further review is from 70.30 to 77.70 for health.</w:t>
            </w:r>
          </w:p>
        </w:tc>
      </w:tr>
      <w:tr w:rsidR="00E20D7D" w:rsidRPr="000A1781" w14:paraId="55D98425"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7A18162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8</w:t>
            </w:r>
          </w:p>
        </w:tc>
        <w:tc>
          <w:tcPr>
            <w:tcW w:w="3251" w:type="dxa"/>
          </w:tcPr>
          <w:p w14:paraId="091669E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Average current serious penalty in private sector - total (1 to greater than 250 workers)</w:t>
            </w:r>
          </w:p>
        </w:tc>
        <w:tc>
          <w:tcPr>
            <w:tcW w:w="1260" w:type="dxa"/>
          </w:tcPr>
          <w:p w14:paraId="3BE89E7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$4,405.67</w:t>
            </w:r>
          </w:p>
        </w:tc>
        <w:tc>
          <w:tcPr>
            <w:tcW w:w="1273" w:type="dxa"/>
          </w:tcPr>
          <w:p w14:paraId="66138714"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+/- 25% of </w:t>
            </w:r>
          </w:p>
          <w:p w14:paraId="1631FA49"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$3,625.21</w:t>
            </w:r>
          </w:p>
          <w:p w14:paraId="165B8B3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50F804B5" w14:textId="77777777" w:rsidR="00E20D7D" w:rsidRPr="000A1781" w:rsidRDefault="00E20D7D" w:rsidP="00002D71">
            <w:pPr>
              <w:tabs>
                <w:tab w:val="left" w:pos="2416"/>
              </w:tabs>
              <w:cnfStyle w:val="000000000000" w:firstRow="0" w:lastRow="0" w:firstColumn="0" w:lastColumn="0" w:oddVBand="0" w:evenVBand="0" w:oddHBand="0" w:evenHBand="0" w:firstRowFirstColumn="0" w:firstRowLastColumn="0" w:lastRowFirstColumn="0" w:lastRowLastColumn="0"/>
            </w:pPr>
            <w:r w:rsidRPr="000A1781">
              <w:t>The further review level is based on a three-year national average.  The range of acceptable data not requiring further review is from $2,718.91 to $4,531.51.</w:t>
            </w:r>
          </w:p>
        </w:tc>
      </w:tr>
      <w:tr w:rsidR="00E20D7D" w:rsidRPr="000A1781" w14:paraId="1B5562DE"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14AF6AF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sidRPr="000A1781">
              <w:rPr>
                <w:rFonts w:eastAsia="PMingLiU"/>
              </w:rPr>
              <w:t>8a</w:t>
            </w:r>
          </w:p>
        </w:tc>
        <w:tc>
          <w:tcPr>
            <w:tcW w:w="3251" w:type="dxa"/>
          </w:tcPr>
          <w:p w14:paraId="28A7524F"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Average current serious penalty in private sector</w:t>
            </w:r>
          </w:p>
          <w:p w14:paraId="360D6C9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 xml:space="preserve"> (1-25 workers)</w:t>
            </w:r>
          </w:p>
        </w:tc>
        <w:tc>
          <w:tcPr>
            <w:tcW w:w="1260" w:type="dxa"/>
          </w:tcPr>
          <w:p w14:paraId="3C0C29DC"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$2,720.00</w:t>
            </w:r>
          </w:p>
        </w:tc>
        <w:tc>
          <w:tcPr>
            <w:tcW w:w="1273" w:type="dxa"/>
          </w:tcPr>
          <w:p w14:paraId="39AEB590"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+/- 25% of </w:t>
            </w:r>
          </w:p>
          <w:p w14:paraId="7E782A94"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$2,348.03</w:t>
            </w:r>
          </w:p>
          <w:p w14:paraId="630664B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0753223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$1,761.02 to $2,935.04.</w:t>
            </w:r>
          </w:p>
        </w:tc>
      </w:tr>
      <w:tr w:rsidR="00E20D7D" w:rsidRPr="000A1781" w14:paraId="199037E3"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35BE96EC"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8b</w:t>
            </w:r>
          </w:p>
        </w:tc>
        <w:tc>
          <w:tcPr>
            <w:tcW w:w="3251" w:type="dxa"/>
          </w:tcPr>
          <w:p w14:paraId="6BB09F05"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Average current serious penalty in private sector </w:t>
            </w:r>
          </w:p>
          <w:p w14:paraId="71D1610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(26-100 workers</w:t>
            </w:r>
            <w:r w:rsidRPr="000A1781">
              <w:rPr>
                <w:b/>
              </w:rPr>
              <w:t>)</w:t>
            </w:r>
          </w:p>
        </w:tc>
        <w:tc>
          <w:tcPr>
            <w:tcW w:w="1260" w:type="dxa"/>
          </w:tcPr>
          <w:p w14:paraId="0883234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$4,738.83</w:t>
            </w:r>
          </w:p>
        </w:tc>
        <w:tc>
          <w:tcPr>
            <w:tcW w:w="1273" w:type="dxa"/>
          </w:tcPr>
          <w:p w14:paraId="29ED3263"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+/- 25% of </w:t>
            </w:r>
          </w:p>
          <w:p w14:paraId="0BB2C068"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$4,167.28</w:t>
            </w:r>
          </w:p>
          <w:p w14:paraId="638C115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0F826CA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$3,125.46 to $5,209.10.</w:t>
            </w:r>
          </w:p>
        </w:tc>
      </w:tr>
      <w:tr w:rsidR="00E20D7D" w:rsidRPr="000A1781" w14:paraId="64B3AF0A"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4CBCCFC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lastRenderedPageBreak/>
              <w:t>8c</w:t>
            </w:r>
          </w:p>
        </w:tc>
        <w:tc>
          <w:tcPr>
            <w:tcW w:w="3251" w:type="dxa"/>
          </w:tcPr>
          <w:p w14:paraId="027C4770"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Average current serious penalty in private sector</w:t>
            </w:r>
          </w:p>
          <w:p w14:paraId="74CD390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(101-250 workers)</w:t>
            </w:r>
          </w:p>
        </w:tc>
        <w:tc>
          <w:tcPr>
            <w:tcW w:w="1260" w:type="dxa"/>
          </w:tcPr>
          <w:p w14:paraId="0010A06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$6,943.06</w:t>
            </w:r>
          </w:p>
        </w:tc>
        <w:tc>
          <w:tcPr>
            <w:tcW w:w="1273" w:type="dxa"/>
          </w:tcPr>
          <w:p w14:paraId="18E55885"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+/- 25% of </w:t>
            </w:r>
          </w:p>
          <w:p w14:paraId="3181B166"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$6,052.04</w:t>
            </w:r>
          </w:p>
          <w:p w14:paraId="577F5756"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4B46583B"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$4,539.03 to $7,565.05.</w:t>
            </w:r>
          </w:p>
        </w:tc>
      </w:tr>
      <w:tr w:rsidR="00E20D7D" w:rsidRPr="000A1781" w14:paraId="23445CBE"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5C4F0A2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8d</w:t>
            </w:r>
          </w:p>
        </w:tc>
        <w:tc>
          <w:tcPr>
            <w:tcW w:w="3251" w:type="dxa"/>
          </w:tcPr>
          <w:p w14:paraId="5F44FC6A"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Average current serious penalty in private sector</w:t>
            </w:r>
          </w:p>
          <w:p w14:paraId="74945994"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(greater than 250 workers)</w:t>
            </w:r>
          </w:p>
        </w:tc>
        <w:tc>
          <w:tcPr>
            <w:tcW w:w="1260" w:type="dxa"/>
          </w:tcPr>
          <w:p w14:paraId="7A3D724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$8,042.58</w:t>
            </w:r>
          </w:p>
        </w:tc>
        <w:tc>
          <w:tcPr>
            <w:tcW w:w="1273" w:type="dxa"/>
          </w:tcPr>
          <w:p w14:paraId="2255329B"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xml:space="preserve">+/- 25% of </w:t>
            </w:r>
          </w:p>
          <w:p w14:paraId="39833C0D"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$7,331.41</w:t>
            </w:r>
          </w:p>
          <w:p w14:paraId="7AA38D1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6F68D1C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$5,498.56 to $9,164.26.</w:t>
            </w:r>
          </w:p>
        </w:tc>
      </w:tr>
      <w:tr w:rsidR="00E20D7D" w:rsidRPr="000A1781" w14:paraId="71195F1B"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10A6A75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9a</w:t>
            </w:r>
          </w:p>
        </w:tc>
        <w:tc>
          <w:tcPr>
            <w:tcW w:w="3251" w:type="dxa"/>
          </w:tcPr>
          <w:p w14:paraId="646E5E9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in compliance (safety)</w:t>
            </w:r>
          </w:p>
        </w:tc>
        <w:tc>
          <w:tcPr>
            <w:tcW w:w="1260" w:type="dxa"/>
          </w:tcPr>
          <w:p w14:paraId="792EAFB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39.25%</w:t>
            </w:r>
          </w:p>
        </w:tc>
        <w:tc>
          <w:tcPr>
            <w:tcW w:w="1273" w:type="dxa"/>
          </w:tcPr>
          <w:p w14:paraId="0F183E40"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w:t>
            </w:r>
          </w:p>
          <w:p w14:paraId="3018E26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31.73%</w:t>
            </w:r>
          </w:p>
        </w:tc>
        <w:tc>
          <w:tcPr>
            <w:tcW w:w="3497" w:type="dxa"/>
          </w:tcPr>
          <w:p w14:paraId="45B2A2B9"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25.38% to 38.08% for safety.</w:t>
            </w:r>
          </w:p>
        </w:tc>
      </w:tr>
      <w:tr w:rsidR="00E20D7D" w:rsidRPr="000A1781" w14:paraId="4576DAD8"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75628F1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9b</w:t>
            </w:r>
          </w:p>
        </w:tc>
        <w:tc>
          <w:tcPr>
            <w:tcW w:w="3251" w:type="dxa"/>
          </w:tcPr>
          <w:p w14:paraId="611817A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in compliance (health)</w:t>
            </w:r>
          </w:p>
        </w:tc>
        <w:tc>
          <w:tcPr>
            <w:tcW w:w="1260" w:type="dxa"/>
          </w:tcPr>
          <w:p w14:paraId="744F773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30.77%</w:t>
            </w:r>
          </w:p>
        </w:tc>
        <w:tc>
          <w:tcPr>
            <w:tcW w:w="1273" w:type="dxa"/>
          </w:tcPr>
          <w:p w14:paraId="279C8EBC"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w:t>
            </w:r>
          </w:p>
          <w:p w14:paraId="3C1C868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43.82%</w:t>
            </w:r>
          </w:p>
        </w:tc>
        <w:tc>
          <w:tcPr>
            <w:tcW w:w="3497" w:type="dxa"/>
          </w:tcPr>
          <w:p w14:paraId="2D62E1A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35.06% to 52.58% for health.</w:t>
            </w:r>
          </w:p>
        </w:tc>
      </w:tr>
      <w:tr w:rsidR="00E20D7D" w:rsidRPr="000A1781" w14:paraId="7FBB48DC"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7BB665E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10</w:t>
            </w:r>
          </w:p>
        </w:tc>
        <w:tc>
          <w:tcPr>
            <w:tcW w:w="3251" w:type="dxa"/>
          </w:tcPr>
          <w:p w14:paraId="1F6F920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of work-related fatalities responded to in one workday</w:t>
            </w:r>
          </w:p>
        </w:tc>
        <w:tc>
          <w:tcPr>
            <w:tcW w:w="1260" w:type="dxa"/>
          </w:tcPr>
          <w:p w14:paraId="1640F06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66.67%</w:t>
            </w:r>
          </w:p>
        </w:tc>
        <w:tc>
          <w:tcPr>
            <w:tcW w:w="1273" w:type="dxa"/>
          </w:tcPr>
          <w:p w14:paraId="54546B0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100%</w:t>
            </w:r>
          </w:p>
        </w:tc>
        <w:tc>
          <w:tcPr>
            <w:tcW w:w="3497" w:type="dxa"/>
          </w:tcPr>
          <w:p w14:paraId="459BA95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fixed for all State Plans.</w:t>
            </w:r>
          </w:p>
        </w:tc>
      </w:tr>
      <w:tr w:rsidR="00E20D7D" w:rsidRPr="000A1781" w14:paraId="10467F09"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4EE7283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11a</w:t>
            </w:r>
          </w:p>
        </w:tc>
        <w:tc>
          <w:tcPr>
            <w:tcW w:w="3251" w:type="dxa"/>
          </w:tcPr>
          <w:p w14:paraId="14FEAF6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Average lapse time (safety)</w:t>
            </w:r>
          </w:p>
        </w:tc>
        <w:tc>
          <w:tcPr>
            <w:tcW w:w="1260" w:type="dxa"/>
          </w:tcPr>
          <w:p w14:paraId="099BF21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108.94</w:t>
            </w:r>
          </w:p>
        </w:tc>
        <w:tc>
          <w:tcPr>
            <w:tcW w:w="1273" w:type="dxa"/>
          </w:tcPr>
          <w:p w14:paraId="3EA21C04"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 55.23</w:t>
            </w:r>
          </w:p>
          <w:p w14:paraId="6C1994E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2C7143E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The further review level is based on a three-year national average.  The range of acceptable data not requiring further review is from 44.18 to 66.28 for safety.</w:t>
            </w:r>
          </w:p>
        </w:tc>
      </w:tr>
      <w:tr w:rsidR="00E20D7D" w:rsidRPr="000A1781" w14:paraId="0A072283"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7B8443B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11b</w:t>
            </w:r>
          </w:p>
        </w:tc>
        <w:tc>
          <w:tcPr>
            <w:tcW w:w="3251" w:type="dxa"/>
          </w:tcPr>
          <w:p w14:paraId="1C28018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Average lapse time (health)</w:t>
            </w:r>
          </w:p>
        </w:tc>
        <w:tc>
          <w:tcPr>
            <w:tcW w:w="1260" w:type="dxa"/>
          </w:tcPr>
          <w:p w14:paraId="45CF7DB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98.63</w:t>
            </w:r>
          </w:p>
        </w:tc>
        <w:tc>
          <w:tcPr>
            <w:tcW w:w="1273" w:type="dxa"/>
          </w:tcPr>
          <w:p w14:paraId="4416E857"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+/- 20% of 69.72</w:t>
            </w:r>
          </w:p>
          <w:p w14:paraId="3DDC2C0B"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3497" w:type="dxa"/>
          </w:tcPr>
          <w:p w14:paraId="4292850D"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55.78 to 83.66 for health.</w:t>
            </w:r>
          </w:p>
        </w:tc>
      </w:tr>
      <w:tr w:rsidR="00E20D7D" w:rsidRPr="000A1781" w14:paraId="10AF9F25"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4EC3A67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12</w:t>
            </w:r>
          </w:p>
        </w:tc>
        <w:tc>
          <w:tcPr>
            <w:tcW w:w="3251" w:type="dxa"/>
          </w:tcPr>
          <w:p w14:paraId="42D55FB8"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penalty retained</w:t>
            </w:r>
          </w:p>
        </w:tc>
        <w:tc>
          <w:tcPr>
            <w:tcW w:w="1260" w:type="dxa"/>
          </w:tcPr>
          <w:p w14:paraId="0EC5FCCC"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94.50%</w:t>
            </w:r>
          </w:p>
        </w:tc>
        <w:tc>
          <w:tcPr>
            <w:tcW w:w="1273" w:type="dxa"/>
          </w:tcPr>
          <w:p w14:paraId="5C7FE79D"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+/- 15% of</w:t>
            </w:r>
          </w:p>
          <w:p w14:paraId="31E5532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71.84%</w:t>
            </w:r>
          </w:p>
        </w:tc>
        <w:tc>
          <w:tcPr>
            <w:tcW w:w="3497" w:type="dxa"/>
          </w:tcPr>
          <w:p w14:paraId="45B3758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based on a three-year national average.  The range of acceptable data not requiring further review is from 61.06% to 82.62%.</w:t>
            </w:r>
          </w:p>
        </w:tc>
      </w:tr>
      <w:tr w:rsidR="00E20D7D" w:rsidRPr="000A1781" w14:paraId="03578EB1" w14:textId="77777777" w:rsidTr="009A08E6">
        <w:trPr>
          <w:cantSplit/>
        </w:trPr>
        <w:tc>
          <w:tcPr>
            <w:cnfStyle w:val="001000000000" w:firstRow="0" w:lastRow="0" w:firstColumn="1" w:lastColumn="0" w:oddVBand="0" w:evenVBand="0" w:oddHBand="0" w:evenHBand="0" w:firstRowFirstColumn="0" w:firstRowLastColumn="0" w:lastRowFirstColumn="0" w:lastRowLastColumn="0"/>
            <w:tcW w:w="1069" w:type="dxa"/>
          </w:tcPr>
          <w:p w14:paraId="3C791AA5"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13</w:t>
            </w:r>
          </w:p>
        </w:tc>
        <w:tc>
          <w:tcPr>
            <w:tcW w:w="3251" w:type="dxa"/>
          </w:tcPr>
          <w:p w14:paraId="0CFFFB5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of initial inspections with worker walk-around representation or worker interview</w:t>
            </w:r>
          </w:p>
        </w:tc>
        <w:tc>
          <w:tcPr>
            <w:tcW w:w="1260" w:type="dxa"/>
          </w:tcPr>
          <w:p w14:paraId="535B0D4E"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100%</w:t>
            </w:r>
          </w:p>
        </w:tc>
        <w:tc>
          <w:tcPr>
            <w:tcW w:w="1273" w:type="dxa"/>
          </w:tcPr>
          <w:p w14:paraId="671A401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100%</w:t>
            </w:r>
          </w:p>
        </w:tc>
        <w:tc>
          <w:tcPr>
            <w:tcW w:w="3497" w:type="dxa"/>
          </w:tcPr>
          <w:p w14:paraId="751A0C5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The further review level is fixed for all State Plans.</w:t>
            </w:r>
          </w:p>
        </w:tc>
      </w:tr>
      <w:tr w:rsidR="00E20D7D" w:rsidRPr="000A1781" w14:paraId="5873A64F"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5109DB2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14</w:t>
            </w:r>
          </w:p>
        </w:tc>
        <w:tc>
          <w:tcPr>
            <w:tcW w:w="3251" w:type="dxa"/>
          </w:tcPr>
          <w:p w14:paraId="0229C35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 xml:space="preserve">Percent of 11(c) investigations </w:t>
            </w:r>
            <w:r w:rsidRPr="000A1781">
              <w:lastRenderedPageBreak/>
              <w:t>completed within 90 days</w:t>
            </w:r>
          </w:p>
        </w:tc>
        <w:tc>
          <w:tcPr>
            <w:tcW w:w="1260" w:type="dxa"/>
          </w:tcPr>
          <w:p w14:paraId="17367A8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lastRenderedPageBreak/>
              <w:t>N/A*</w:t>
            </w:r>
          </w:p>
        </w:tc>
        <w:tc>
          <w:tcPr>
            <w:tcW w:w="1273" w:type="dxa"/>
          </w:tcPr>
          <w:p w14:paraId="2006615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N/A*</w:t>
            </w:r>
          </w:p>
        </w:tc>
        <w:tc>
          <w:tcPr>
            <w:tcW w:w="3497" w:type="dxa"/>
          </w:tcPr>
          <w:p w14:paraId="2FCFF84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 xml:space="preserve">This measure is not being </w:t>
            </w:r>
            <w:r w:rsidRPr="000A1781">
              <w:rPr>
                <w:rFonts w:eastAsia="PMingLiU"/>
              </w:rPr>
              <w:lastRenderedPageBreak/>
              <w:t xml:space="preserve">reported for FY 2023 </w:t>
            </w:r>
            <w:r w:rsidRPr="000A1781">
              <w:t>due to the transition of 11(c) data from IMIS to OIS</w:t>
            </w:r>
            <w:r w:rsidRPr="000A1781">
              <w:rPr>
                <w:rFonts w:eastAsia="PMingLiU"/>
              </w:rPr>
              <w:t>.</w:t>
            </w:r>
          </w:p>
        </w:tc>
      </w:tr>
      <w:tr w:rsidR="00E20D7D" w:rsidRPr="000A1781" w14:paraId="3D10B79A"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67C01697"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lastRenderedPageBreak/>
              <w:t>15</w:t>
            </w:r>
          </w:p>
        </w:tc>
        <w:tc>
          <w:tcPr>
            <w:tcW w:w="3251" w:type="dxa"/>
          </w:tcPr>
          <w:p w14:paraId="4F2F7C4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of 11(c) complaints that are meritorious</w:t>
            </w:r>
          </w:p>
        </w:tc>
        <w:tc>
          <w:tcPr>
            <w:tcW w:w="1260" w:type="dxa"/>
          </w:tcPr>
          <w:p w14:paraId="6BC0102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N/A*</w:t>
            </w:r>
          </w:p>
        </w:tc>
        <w:tc>
          <w:tcPr>
            <w:tcW w:w="1273" w:type="dxa"/>
          </w:tcPr>
          <w:p w14:paraId="4237956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N/A*</w:t>
            </w:r>
          </w:p>
        </w:tc>
        <w:tc>
          <w:tcPr>
            <w:tcW w:w="3497" w:type="dxa"/>
          </w:tcPr>
          <w:p w14:paraId="696AB0E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This measure is not being reported for FY 2023 due to the transition of 11(c) data from IMIS to OIS. </w:t>
            </w:r>
          </w:p>
        </w:tc>
      </w:tr>
      <w:tr w:rsidR="00E20D7D" w:rsidRPr="000A1781" w14:paraId="730D1F0F"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45605F32"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16</w:t>
            </w:r>
          </w:p>
        </w:tc>
        <w:tc>
          <w:tcPr>
            <w:tcW w:w="3251" w:type="dxa"/>
          </w:tcPr>
          <w:p w14:paraId="1D30C93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Average number of calendar days to complete an 11(c) investigation</w:t>
            </w:r>
          </w:p>
        </w:tc>
        <w:tc>
          <w:tcPr>
            <w:tcW w:w="1260" w:type="dxa"/>
          </w:tcPr>
          <w:p w14:paraId="73A545AF"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rPr>
                <w:rFonts w:eastAsia="PMingLiU"/>
              </w:rPr>
              <w:t>N/A*</w:t>
            </w:r>
          </w:p>
        </w:tc>
        <w:tc>
          <w:tcPr>
            <w:tcW w:w="1273" w:type="dxa"/>
            <w:shd w:val="clear" w:color="auto" w:fill="auto"/>
          </w:tcPr>
          <w:p w14:paraId="266F3593"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N/A*</w:t>
            </w:r>
          </w:p>
        </w:tc>
        <w:tc>
          <w:tcPr>
            <w:tcW w:w="3497" w:type="dxa"/>
          </w:tcPr>
          <w:p w14:paraId="13670A91"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This measure is not being reported for FY 2023 due to the transition of 11(c) data from IMIS to OIS.</w:t>
            </w:r>
          </w:p>
        </w:tc>
      </w:tr>
      <w:tr w:rsidR="00E20D7D" w:rsidRPr="000A1781" w14:paraId="345AA21A" w14:textId="77777777" w:rsidTr="009A08E6">
        <w:tc>
          <w:tcPr>
            <w:cnfStyle w:val="001000000000" w:firstRow="0" w:lastRow="0" w:firstColumn="1" w:lastColumn="0" w:oddVBand="0" w:evenVBand="0" w:oddHBand="0" w:evenHBand="0" w:firstRowFirstColumn="0" w:firstRowLastColumn="0" w:lastRowFirstColumn="0" w:lastRowLastColumn="0"/>
            <w:tcW w:w="1069" w:type="dxa"/>
          </w:tcPr>
          <w:p w14:paraId="596D801A"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A1781">
              <w:rPr>
                <w:rFonts w:eastAsia="PMingLiU"/>
              </w:rPr>
              <w:t>17</w:t>
            </w:r>
          </w:p>
        </w:tc>
        <w:tc>
          <w:tcPr>
            <w:tcW w:w="3251" w:type="dxa"/>
          </w:tcPr>
          <w:p w14:paraId="58D856D0" w14:textId="77777777"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0A1781">
              <w:t>Percent of enforcement presence</w:t>
            </w:r>
          </w:p>
        </w:tc>
        <w:tc>
          <w:tcPr>
            <w:tcW w:w="1260" w:type="dxa"/>
          </w:tcPr>
          <w:p w14:paraId="7E873C94" w14:textId="1C2E3006"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0.</w:t>
            </w:r>
            <w:r w:rsidR="00634D55" w:rsidRPr="000A1781">
              <w:t>56</w:t>
            </w:r>
            <w:r w:rsidRPr="000A1781">
              <w:t>%</w:t>
            </w:r>
          </w:p>
        </w:tc>
        <w:tc>
          <w:tcPr>
            <w:tcW w:w="1273" w:type="dxa"/>
          </w:tcPr>
          <w:p w14:paraId="252C03DC" w14:textId="77777777" w:rsidR="00E20D7D" w:rsidRPr="000A1781" w:rsidRDefault="00E20D7D" w:rsidP="00002D71">
            <w:pPr>
              <w:cnfStyle w:val="000000000000" w:firstRow="0" w:lastRow="0" w:firstColumn="0" w:lastColumn="0" w:oddVBand="0" w:evenVBand="0" w:oddHBand="0" w:evenHBand="0" w:firstRowFirstColumn="0" w:firstRowLastColumn="0" w:lastRowFirstColumn="0" w:lastRowLastColumn="0"/>
            </w:pPr>
            <w:r w:rsidRPr="000A1781">
              <w:t>+/- 25% of</w:t>
            </w:r>
          </w:p>
          <w:p w14:paraId="249CDFC6" w14:textId="584D2E69" w:rsidR="00E20D7D" w:rsidRPr="000A1781" w:rsidRDefault="00634D55"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.93</w:t>
            </w:r>
            <w:r w:rsidR="00E20D7D" w:rsidRPr="000A1781">
              <w:t>%</w:t>
            </w:r>
          </w:p>
        </w:tc>
        <w:tc>
          <w:tcPr>
            <w:tcW w:w="3497" w:type="dxa"/>
          </w:tcPr>
          <w:p w14:paraId="31416208" w14:textId="68E2C13C" w:rsidR="00E20D7D" w:rsidRPr="000A1781" w:rsidRDefault="00E20D7D" w:rsidP="00002D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A1781">
              <w:t xml:space="preserve">The further review level is based on a three-year national average.  The range of acceptable data not requiring further review is from </w:t>
            </w:r>
            <w:r w:rsidR="00634D55" w:rsidRPr="000A1781">
              <w:t>0.70</w:t>
            </w:r>
            <w:r w:rsidRPr="000A1781">
              <w:t xml:space="preserve">% to </w:t>
            </w:r>
            <w:r w:rsidR="00634D55" w:rsidRPr="000A1781">
              <w:t>1.17</w:t>
            </w:r>
            <w:r w:rsidRPr="000A1781">
              <w:t>%.</w:t>
            </w:r>
          </w:p>
        </w:tc>
      </w:tr>
    </w:tbl>
    <w:p w14:paraId="14098714" w14:textId="77777777" w:rsidR="00E20D7D" w:rsidRPr="000A1781" w:rsidRDefault="00E20D7D" w:rsidP="00002D71">
      <w:pPr>
        <w:rPr>
          <w:b/>
          <w:color w:val="1F497D"/>
          <w:sz w:val="28"/>
          <w:szCs w:val="28"/>
        </w:rPr>
      </w:pPr>
    </w:p>
    <w:p w14:paraId="4C8FD69E" w14:textId="69E3AFB1" w:rsidR="00E20D7D" w:rsidRPr="000A1781" w:rsidRDefault="00E20D7D" w:rsidP="00B0781E">
      <w:pPr>
        <w:ind w:left="-360" w:right="-720"/>
      </w:pPr>
      <w:r w:rsidRPr="000A1781">
        <w:rPr>
          <w:sz w:val="22"/>
          <w:szCs w:val="22"/>
        </w:rPr>
        <w:t xml:space="preserve">NOTE: The national averages in this report are three-year rolling averages.  Unless otherwise </w:t>
      </w:r>
      <w:r w:rsidR="00B0781E" w:rsidRPr="000A1781">
        <w:rPr>
          <w:sz w:val="22"/>
          <w:szCs w:val="22"/>
        </w:rPr>
        <w:t>n</w:t>
      </w:r>
      <w:r w:rsidRPr="000A1781">
        <w:rPr>
          <w:sz w:val="22"/>
          <w:szCs w:val="22"/>
        </w:rPr>
        <w:t xml:space="preserve">oted, the data contained in this Appendix D is pulled from the State Activity Mandated Measures (SAMM) Report in OIS and the State Plan </w:t>
      </w:r>
      <w:proofErr w:type="spellStart"/>
      <w:r w:rsidRPr="000A1781">
        <w:rPr>
          <w:sz w:val="22"/>
          <w:szCs w:val="22"/>
        </w:rPr>
        <w:t>WebIMIS</w:t>
      </w:r>
      <w:proofErr w:type="spellEnd"/>
      <w:r w:rsidRPr="000A1781">
        <w:rPr>
          <w:sz w:val="22"/>
          <w:szCs w:val="22"/>
        </w:rPr>
        <w:t xml:space="preserve"> report run on November 14, 2023, as part of OSHA’s official end-of-year </w:t>
      </w:r>
      <w:r w:rsidRPr="000A1781">
        <w:t>data run.</w:t>
      </w:r>
    </w:p>
    <w:sectPr w:rsidR="00E20D7D" w:rsidRPr="000A1781" w:rsidSect="00793845">
      <w:headerReference w:type="default" r:id="rId25"/>
      <w:footerReference w:type="even" r:id="rId26"/>
      <w:type w:val="continuous"/>
      <w:pgSz w:w="12240" w:h="15840" w:code="1"/>
      <w:pgMar w:top="1440" w:right="1440" w:bottom="1440" w:left="1440" w:header="720" w:footer="720" w:gutter="0"/>
      <w:pgNumType w:fmt="upperLetter" w:start="4"/>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2D7" w14:textId="77777777" w:rsidR="00427328" w:rsidRDefault="00427328">
      <w:r>
        <w:separator/>
      </w:r>
    </w:p>
  </w:endnote>
  <w:endnote w:type="continuationSeparator" w:id="0">
    <w:p w14:paraId="2C63FED3" w14:textId="77777777" w:rsidR="00427328" w:rsidRDefault="00427328">
      <w:r>
        <w:continuationSeparator/>
      </w:r>
    </w:p>
  </w:endnote>
  <w:endnote w:type="continuationNotice" w:id="1">
    <w:p w14:paraId="40F21289" w14:textId="77777777" w:rsidR="00427328" w:rsidRDefault="0042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8E74" w14:textId="5CF6D4EA" w:rsidR="0055159E" w:rsidRDefault="0055159E" w:rsidP="0055159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7E94E886" w14:textId="56666804" w:rsidR="00705652" w:rsidRPr="000E07E7" w:rsidRDefault="00EE3264" w:rsidP="00434B99">
        <w:pPr>
          <w:pStyle w:val="Footer"/>
          <w:jc w:val="center"/>
          <w:rPr>
            <w:noProof/>
          </w:rPr>
        </w:pPr>
        <w:r>
          <w:t>D-</w:t>
        </w:r>
        <w:r w:rsidR="00793845">
          <w:t>2</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3C64" w14:textId="796D1EA7" w:rsidR="00E351F9" w:rsidRDefault="00E351F9" w:rsidP="000C2EFE">
    <w:pPr>
      <w:pStyle w:val="Footer"/>
      <w:jc w:val="center"/>
    </w:pPr>
    <w:r>
      <w:t>D-1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5C1F" w14:textId="23E62B2F" w:rsidR="00793845" w:rsidRDefault="00793845" w:rsidP="0055159E">
    <w:pPr>
      <w:pStyle w:val="Footer"/>
      <w:jc w:val="center"/>
    </w:pPr>
    <w:r>
      <w:t>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01067"/>
      <w:docPartObj>
        <w:docPartGallery w:val="Page Numbers (Bottom of Page)"/>
        <w:docPartUnique/>
      </w:docPartObj>
    </w:sdtPr>
    <w:sdtEndPr>
      <w:rPr>
        <w:noProof/>
      </w:rPr>
    </w:sdtEndPr>
    <w:sdtContent>
      <w:p w14:paraId="3BA9615E" w14:textId="1C8D28DF" w:rsidR="000A1781" w:rsidRDefault="000A1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6BC6B" w14:textId="151C850F" w:rsidR="00705652" w:rsidRPr="000A1781" w:rsidRDefault="00705652" w:rsidP="000A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3666" w14:textId="6397800B" w:rsidR="00705652" w:rsidRDefault="00705652">
    <w:pPr>
      <w:pStyle w:val="Footer"/>
      <w:jc w:val="center"/>
    </w:pPr>
  </w:p>
  <w:p w14:paraId="7A20B61A" w14:textId="77777777" w:rsidR="00705652" w:rsidRDefault="00705652" w:rsidP="00301D54">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090FB2E4" w14:textId="6528896E" w:rsidR="00705652" w:rsidRDefault="00A83FA0">
        <w:pPr>
          <w:pStyle w:val="Footer"/>
          <w:jc w:val="center"/>
        </w:pPr>
        <w:r>
          <w:t>A</w:t>
        </w:r>
        <w:r w:rsidR="0055159E">
          <w:t>-2</w:t>
        </w:r>
      </w:p>
    </w:sdtContent>
  </w:sdt>
  <w:p w14:paraId="3A4E871B" w14:textId="77777777" w:rsidR="00705652" w:rsidRPr="000A134A" w:rsidRDefault="00705652" w:rsidP="00301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5F128879" w14:textId="77777777" w:rsidR="00705652" w:rsidRDefault="00EE3264">
        <w:pPr>
          <w:pStyle w:val="Footer"/>
          <w:jc w:val="center"/>
        </w:pPr>
        <w:r>
          <w:t>A-1</w:t>
        </w:r>
      </w:p>
    </w:sdtContent>
  </w:sdt>
  <w:p w14:paraId="650A6F7C" w14:textId="77777777" w:rsidR="00705652" w:rsidRDefault="007056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30C4" w14:textId="7CAEDC80" w:rsidR="00705652" w:rsidRPr="000A134A" w:rsidRDefault="0055159E" w:rsidP="000C2EFE">
    <w:pPr>
      <w:pStyle w:val="Footer"/>
      <w:jc w:val="center"/>
    </w:pPr>
    <w:r>
      <w:t>B-2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26E2" w14:textId="55C6D40C" w:rsidR="00705652" w:rsidRDefault="000A1781" w:rsidP="000C2EFE">
    <w:pPr>
      <w:pStyle w:val="Footer"/>
      <w:jc w:val="center"/>
    </w:pPr>
    <w:r>
      <w:t>C</w:t>
    </w:r>
    <w:r w:rsidR="00E351F9">
      <w:t>-</w:t>
    </w:r>
    <w:r w:rsidR="00793845">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513C" w14:textId="7AB1D615" w:rsidR="0055159E" w:rsidRDefault="00793845" w:rsidP="0055159E">
    <w:pPr>
      <w:pStyle w:val="Footer"/>
      <w:jc w:val="center"/>
    </w:pPr>
    <w:r>
      <w:t>C</w:t>
    </w:r>
    <w:r w:rsidR="00C82DFC">
      <w:t>-</w:t>
    </w:r>
    <w: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D5E" w14:textId="6B71BAC9" w:rsidR="0055159E" w:rsidRPr="000A134A" w:rsidRDefault="0055159E" w:rsidP="000C2EFE">
    <w:pPr>
      <w:pStyle w:val="Footer"/>
      <w:jc w:val="center"/>
    </w:pPr>
    <w:r>
      <w:t>C-</w:t>
    </w:r>
    <w:r w:rsidR="000A178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088F" w14:textId="77777777" w:rsidR="00427328" w:rsidRDefault="00427328">
      <w:r>
        <w:separator/>
      </w:r>
    </w:p>
  </w:footnote>
  <w:footnote w:type="continuationSeparator" w:id="0">
    <w:p w14:paraId="6E0B5370" w14:textId="77777777" w:rsidR="00427328" w:rsidRDefault="00427328">
      <w:r>
        <w:continuationSeparator/>
      </w:r>
    </w:p>
  </w:footnote>
  <w:footnote w:type="continuationNotice" w:id="1">
    <w:p w14:paraId="0D32B9BD" w14:textId="77777777" w:rsidR="00427328" w:rsidRDefault="00427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89DD" w14:textId="77777777" w:rsidR="00705652" w:rsidRPr="003E2820" w:rsidRDefault="00EE3264" w:rsidP="00301D54">
    <w:pPr>
      <w:keepNext/>
      <w:keepLines/>
      <w:widowControl/>
      <w:autoSpaceDE/>
      <w:autoSpaceDN/>
      <w:adjustRightInd/>
      <w:spacing w:line="276" w:lineRule="auto"/>
      <w:jc w:val="center"/>
      <w:outlineLvl w:val="0"/>
      <w:rPr>
        <w:rFonts w:asciiTheme="minorHAnsi" w:hAnsiTheme="minorHAnsi" w:cstheme="minorHAnsi"/>
        <w:sz w:val="28"/>
        <w:szCs w:val="28"/>
      </w:rPr>
    </w:pPr>
    <w:r w:rsidRPr="003E2820">
      <w:rPr>
        <w:rFonts w:asciiTheme="minorHAnsi" w:hAnsiTheme="minorHAnsi" w:cstheme="minorHAnsi"/>
        <w:b/>
        <w:bCs/>
        <w:color w:val="4472C4" w:themeColor="accent1"/>
        <w:sz w:val="28"/>
        <w:szCs w:val="28"/>
      </w:rPr>
      <w:t>Appendix A – New and Continued Findings and Recommendations</w:t>
    </w:r>
  </w:p>
  <w:p w14:paraId="1FB7D1F5" w14:textId="351C736D" w:rsidR="00705652" w:rsidRPr="003E2820" w:rsidRDefault="00EE3264" w:rsidP="00301D54">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3E2820">
      <w:rPr>
        <w:rFonts w:asciiTheme="minorHAnsi" w:hAnsiTheme="minorHAnsi" w:cstheme="minorHAnsi"/>
      </w:rPr>
      <w:t>FY 2</w:t>
    </w:r>
    <w:r w:rsidR="00E42C9A">
      <w:rPr>
        <w:rFonts w:asciiTheme="minorHAnsi" w:hAnsiTheme="minorHAnsi" w:cstheme="minorHAnsi"/>
      </w:rPr>
      <w:t xml:space="preserve">023 New Mexico State Plan </w:t>
    </w:r>
    <w:r w:rsidRPr="003E2820">
      <w:rPr>
        <w:rFonts w:asciiTheme="minorHAnsi" w:hAnsiTheme="minorHAnsi" w:cstheme="minorHAnsi"/>
      </w:rPr>
      <w:t>Comprehensive FAME Report</w:t>
    </w:r>
  </w:p>
  <w:p w14:paraId="631DA496" w14:textId="77777777" w:rsidR="003C5CAC" w:rsidRDefault="003C5C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1A9E" w14:textId="016F3340" w:rsidR="00705652" w:rsidRPr="003E2820" w:rsidRDefault="00705652" w:rsidP="007B195A">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45F0" w14:textId="77777777" w:rsidR="00705652" w:rsidRPr="007B195A" w:rsidRDefault="00705652" w:rsidP="007B19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18FC" w14:textId="77777777" w:rsidR="00705652" w:rsidRDefault="00705652" w:rsidP="00301D54">
    <w:pPr>
      <w:keepNext/>
      <w:keepLines/>
      <w:widowControl/>
      <w:autoSpaceDE/>
      <w:autoSpaceDN/>
      <w:adjustRightInd/>
      <w:spacing w:line="276" w:lineRule="auto"/>
      <w:jc w:val="center"/>
      <w:outlineLvl w:val="0"/>
      <w:rPr>
        <w:b/>
        <w:bCs/>
        <w:color w:val="0070C0"/>
        <w:sz w:val="28"/>
        <w:szCs w:val="28"/>
      </w:rPr>
    </w:pPr>
  </w:p>
  <w:p w14:paraId="540142BA" w14:textId="5340AA65" w:rsidR="00705652" w:rsidRPr="00FB490D" w:rsidRDefault="00EE3264" w:rsidP="00301D54">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FB490D">
      <w:rPr>
        <w:rFonts w:asciiTheme="minorHAnsi" w:hAnsiTheme="minorHAnsi" w:cstheme="minorHAnsi"/>
        <w:b/>
        <w:bCs/>
        <w:color w:val="0070C0"/>
        <w:sz w:val="28"/>
        <w:szCs w:val="28"/>
      </w:rPr>
      <w:t>Appendix D - FY 20</w:t>
    </w:r>
    <w:r w:rsidR="00E20D7D" w:rsidRPr="00FB490D">
      <w:rPr>
        <w:rFonts w:asciiTheme="minorHAnsi" w:hAnsiTheme="minorHAnsi" w:cstheme="minorHAnsi"/>
        <w:b/>
        <w:bCs/>
        <w:color w:val="0070C0"/>
        <w:sz w:val="28"/>
        <w:szCs w:val="28"/>
      </w:rPr>
      <w:t>23</w:t>
    </w:r>
    <w:r w:rsidRPr="00FB490D">
      <w:rPr>
        <w:rFonts w:asciiTheme="minorHAnsi" w:hAnsiTheme="minorHAnsi" w:cstheme="minorHAnsi"/>
        <w:b/>
        <w:bCs/>
        <w:color w:val="0070C0"/>
        <w:sz w:val="28"/>
        <w:szCs w:val="28"/>
      </w:rPr>
      <w:t>State Activity Mandated Measures (SAMM) Report</w:t>
    </w:r>
  </w:p>
  <w:p w14:paraId="4F69C8D7" w14:textId="6FCC8A3B" w:rsidR="00705652" w:rsidRPr="00FB490D" w:rsidRDefault="00EE3264" w:rsidP="00301D54">
    <w:pPr>
      <w:pStyle w:val="Header"/>
      <w:jc w:val="center"/>
      <w:rPr>
        <w:rFonts w:asciiTheme="minorHAnsi" w:hAnsiTheme="minorHAnsi" w:cstheme="minorHAnsi"/>
      </w:rPr>
    </w:pPr>
    <w:r w:rsidRPr="00FB490D">
      <w:rPr>
        <w:rFonts w:asciiTheme="minorHAnsi" w:hAnsiTheme="minorHAnsi" w:cstheme="minorHAnsi"/>
      </w:rPr>
      <w:t>FY 20</w:t>
    </w:r>
    <w:r w:rsidR="00E20D7D" w:rsidRPr="00FB490D">
      <w:rPr>
        <w:rFonts w:asciiTheme="minorHAnsi" w:hAnsiTheme="minorHAnsi" w:cstheme="minorHAnsi"/>
      </w:rPr>
      <w:t>23 New Mexico OSHB</w:t>
    </w:r>
    <w:r w:rsidRPr="00FB490D">
      <w:rPr>
        <w:rFonts w:asciiTheme="minorHAnsi" w:hAnsiTheme="minorHAnsi" w:cstheme="minorHAnsi"/>
      </w:rPr>
      <w:t xml:space="preserve"> Comprehensive FAME Report</w:t>
    </w:r>
    <w:r w:rsidRPr="00FB490D">
      <w:rPr>
        <w:rFonts w:asciiTheme="minorHAnsi" w:hAnsiTheme="minorHAnsi" w:cstheme="minorHAnsi"/>
      </w:rPr>
      <w:br/>
    </w:r>
  </w:p>
  <w:p w14:paraId="284AAFD5" w14:textId="77777777" w:rsidR="00705652" w:rsidRPr="00FB490D" w:rsidRDefault="00EE3264" w:rsidP="00301D54">
    <w:pPr>
      <w:pStyle w:val="Header"/>
      <w:jc w:val="center"/>
      <w:rPr>
        <w:rFonts w:asciiTheme="minorHAnsi" w:hAnsiTheme="minorHAnsi" w:cstheme="minorHAnsi"/>
        <w:b/>
        <w:bCs/>
      </w:rPr>
    </w:pPr>
    <w:r w:rsidRPr="00FB490D">
      <w:rPr>
        <w:rFonts w:asciiTheme="minorHAnsi" w:hAnsiTheme="minorHAnsi" w:cstheme="minorHAnsi"/>
        <w:b/>
        <w:bCs/>
        <w:sz w:val="32"/>
        <w:szCs w:val="32"/>
      </w:rPr>
      <w:t>U.S. Department of Labor</w:t>
    </w:r>
    <w:r w:rsidRPr="00FB490D">
      <w:rPr>
        <w:rFonts w:asciiTheme="minorHAnsi" w:hAnsiTheme="minorHAnsi" w:cstheme="minorHAnsi"/>
        <w:b/>
        <w:bCs/>
      </w:rPr>
      <w:br/>
      <w:t>Occupational Safety and Health Administration State Plan Activity Mandated Measures (SAMMs)</w:t>
    </w:r>
  </w:p>
  <w:p w14:paraId="54483C0B" w14:textId="77777777" w:rsidR="00705652" w:rsidRPr="000767C0" w:rsidRDefault="00705652" w:rsidP="00301D5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A3DB" w14:textId="560B0872" w:rsidR="00C90E3A" w:rsidRDefault="00C90E3A">
    <w:pPr>
      <w:pStyle w:val="Header"/>
      <w:jc w:val="center"/>
    </w:pPr>
  </w:p>
  <w:p w14:paraId="607B3BD7" w14:textId="77777777" w:rsidR="00705652" w:rsidRPr="00122159" w:rsidRDefault="00705652" w:rsidP="00301D54">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3C377FA"/>
    <w:multiLevelType w:val="hybridMultilevel"/>
    <w:tmpl w:val="FA067570"/>
    <w:lvl w:ilvl="0" w:tplc="C47E9696">
      <w:start w:val="2"/>
      <w:numFmt w:val="lowerLetter"/>
      <w:lvlText w:val="%1)"/>
      <w:lvlJc w:val="left"/>
      <w:pPr>
        <w:ind w:left="1530" w:hanging="360"/>
      </w:pPr>
      <w:rPr>
        <w:rFonts w:asciiTheme="minorHAnsi" w:hAnsiTheme="minorHAnsi" w:cstheme="minorHAnsi" w:hint="default"/>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0AFD3CCE"/>
    <w:multiLevelType w:val="hybridMultilevel"/>
    <w:tmpl w:val="8BD885D0"/>
    <w:lvl w:ilvl="0" w:tplc="0F5C8964">
      <w:start w:val="1"/>
      <w:numFmt w:val="lowerLetter"/>
      <w:lvlText w:val="%1)"/>
      <w:lvlJc w:val="left"/>
      <w:pPr>
        <w:ind w:left="1620" w:hanging="360"/>
      </w:pPr>
      <w:rPr>
        <w:rFonts w:asciiTheme="minorHAnsi" w:eastAsia="Times New Roman" w:hAnsiTheme="minorHAnsi" w:cstheme="minorHAnsi" w:hint="default"/>
        <w:b w:val="0"/>
        <w:sz w:val="24"/>
        <w:szCs w:val="24"/>
      </w:rPr>
    </w:lvl>
    <w:lvl w:ilvl="1" w:tplc="FFFFFFFF" w:tentative="1">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4" w15:restartNumberingAfterBreak="0">
    <w:nsid w:val="0BEE59A0"/>
    <w:multiLevelType w:val="hybridMultilevel"/>
    <w:tmpl w:val="F050B0D0"/>
    <w:lvl w:ilvl="0" w:tplc="04090013">
      <w:start w:val="1"/>
      <w:numFmt w:val="upperRoman"/>
      <w:lvlText w:val="%1."/>
      <w:lvlJc w:val="right"/>
      <w:pPr>
        <w:ind w:left="576" w:hanging="360"/>
      </w:pPr>
    </w:lvl>
    <w:lvl w:ilvl="1" w:tplc="04090015">
      <w:start w:val="1"/>
      <w:numFmt w:val="upperLetter"/>
      <w:lvlText w:val="%2."/>
      <w:lvlJc w:val="left"/>
      <w:pPr>
        <w:ind w:left="936" w:hanging="360"/>
      </w:pPr>
    </w:lvl>
    <w:lvl w:ilvl="2" w:tplc="0409000F">
      <w:start w:val="1"/>
      <w:numFmt w:val="decimal"/>
      <w:lvlText w:val="%3."/>
      <w:lvlJc w:val="left"/>
      <w:pPr>
        <w:ind w:left="2196" w:hanging="36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0C7E7511"/>
    <w:multiLevelType w:val="hybridMultilevel"/>
    <w:tmpl w:val="E004810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1CC970E8"/>
    <w:multiLevelType w:val="hybridMultilevel"/>
    <w:tmpl w:val="6BE473F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FC71D9B"/>
    <w:multiLevelType w:val="hybridMultilevel"/>
    <w:tmpl w:val="198A26C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1814FF4"/>
    <w:multiLevelType w:val="hybridMultilevel"/>
    <w:tmpl w:val="246484F4"/>
    <w:lvl w:ilvl="0" w:tplc="ABB6144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33E63E3"/>
    <w:multiLevelType w:val="hybridMultilevel"/>
    <w:tmpl w:val="3E28E3B8"/>
    <w:lvl w:ilvl="0" w:tplc="04090015">
      <w:start w:val="1"/>
      <w:numFmt w:val="upperLetter"/>
      <w:lvlText w:val="%1."/>
      <w:lvlJc w:val="left"/>
      <w:pPr>
        <w:ind w:left="720" w:hanging="360"/>
      </w:pPr>
      <w:rPr>
        <w:rFonts w:hint="default"/>
        <w:b/>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66072"/>
    <w:multiLevelType w:val="hybridMultilevel"/>
    <w:tmpl w:val="FF26188A"/>
    <w:lvl w:ilvl="0" w:tplc="04090017">
      <w:start w:val="1"/>
      <w:numFmt w:val="lowerLetter"/>
      <w:lvlText w:val="%1)"/>
      <w:lvlJc w:val="left"/>
      <w:pPr>
        <w:ind w:left="1530" w:hanging="360"/>
      </w:pPr>
      <w:rPr>
        <w:rFonts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1" w15:restartNumberingAfterBreak="0">
    <w:nsid w:val="4BF370D8"/>
    <w:multiLevelType w:val="hybridMultilevel"/>
    <w:tmpl w:val="4E406938"/>
    <w:lvl w:ilvl="0" w:tplc="2A66E7F2">
      <w:start w:val="1"/>
      <w:numFmt w:val="upperLetter"/>
      <w:lvlText w:val="%1."/>
      <w:lvlJc w:val="left"/>
      <w:pPr>
        <w:ind w:left="72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93727"/>
    <w:multiLevelType w:val="hybridMultilevel"/>
    <w:tmpl w:val="AAEA4778"/>
    <w:lvl w:ilvl="0" w:tplc="04090001">
      <w:start w:val="1"/>
      <w:numFmt w:val="bullet"/>
      <w:lvlText w:val=""/>
      <w:lvlJc w:val="left"/>
      <w:pPr>
        <w:ind w:left="1980" w:hanging="360"/>
      </w:pPr>
      <w:rPr>
        <w:rFonts w:ascii="Symbol" w:hAnsi="Symbol" w:hint="default"/>
        <w:b w:val="0"/>
      </w:rPr>
    </w:lvl>
    <w:lvl w:ilvl="1" w:tplc="FFFFFFFF">
      <w:start w:val="1"/>
      <w:numFmt w:val="bullet"/>
      <w:lvlText w:val="o"/>
      <w:lvlJc w:val="left"/>
      <w:pPr>
        <w:ind w:left="2700" w:hanging="360"/>
      </w:pPr>
      <w:rPr>
        <w:rFonts w:ascii="Courier New" w:hAnsi="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3" w15:restartNumberingAfterBreak="0">
    <w:nsid w:val="5E9F3E31"/>
    <w:multiLevelType w:val="hybridMultilevel"/>
    <w:tmpl w:val="D5F0DC18"/>
    <w:lvl w:ilvl="0" w:tplc="13E6BEA2">
      <w:start w:val="1"/>
      <w:numFmt w:val="lowerLetter"/>
      <w:lvlText w:val="%1)"/>
      <w:lvlJc w:val="left"/>
      <w:pPr>
        <w:ind w:left="2520" w:hanging="360"/>
      </w:pPr>
      <w:rPr>
        <w:rFonts w:asciiTheme="minorHAnsi" w:hAnsiTheme="minorHAnsi" w:cstheme="minorHAnsi" w:hint="default"/>
        <w:b w:val="0"/>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2115591">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031347315">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519731387">
    <w:abstractNumId w:val="14"/>
  </w:num>
  <w:num w:numId="4" w16cid:durableId="1187983973">
    <w:abstractNumId w:val="13"/>
  </w:num>
  <w:num w:numId="5" w16cid:durableId="513081535">
    <w:abstractNumId w:val="11"/>
  </w:num>
  <w:num w:numId="6" w16cid:durableId="2015107717">
    <w:abstractNumId w:val="2"/>
  </w:num>
  <w:num w:numId="7" w16cid:durableId="1537816080">
    <w:abstractNumId w:val="9"/>
  </w:num>
  <w:num w:numId="8" w16cid:durableId="1175609735">
    <w:abstractNumId w:val="6"/>
  </w:num>
  <w:num w:numId="9" w16cid:durableId="1790007226">
    <w:abstractNumId w:val="8"/>
  </w:num>
  <w:num w:numId="10" w16cid:durableId="145173328">
    <w:abstractNumId w:val="12"/>
  </w:num>
  <w:num w:numId="11" w16cid:durableId="1333214988">
    <w:abstractNumId w:val="10"/>
  </w:num>
  <w:num w:numId="12" w16cid:durableId="1635788629">
    <w:abstractNumId w:val="3"/>
  </w:num>
  <w:num w:numId="13" w16cid:durableId="1174302277">
    <w:abstractNumId w:val="4"/>
  </w:num>
  <w:num w:numId="14" w16cid:durableId="212737359">
    <w:abstractNumId w:val="5"/>
  </w:num>
  <w:num w:numId="15" w16cid:durableId="117488200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A4"/>
    <w:rsid w:val="00000AA9"/>
    <w:rsid w:val="00002D71"/>
    <w:rsid w:val="00004A20"/>
    <w:rsid w:val="00010DC2"/>
    <w:rsid w:val="00014AC2"/>
    <w:rsid w:val="00014F21"/>
    <w:rsid w:val="000153D7"/>
    <w:rsid w:val="00017B3B"/>
    <w:rsid w:val="00017FDC"/>
    <w:rsid w:val="00023A7D"/>
    <w:rsid w:val="00025E12"/>
    <w:rsid w:val="00027646"/>
    <w:rsid w:val="0003236D"/>
    <w:rsid w:val="00035545"/>
    <w:rsid w:val="00035EA5"/>
    <w:rsid w:val="0003614C"/>
    <w:rsid w:val="00040BAC"/>
    <w:rsid w:val="0004335D"/>
    <w:rsid w:val="00043925"/>
    <w:rsid w:val="00046BFF"/>
    <w:rsid w:val="00050587"/>
    <w:rsid w:val="00050B4A"/>
    <w:rsid w:val="0005243F"/>
    <w:rsid w:val="00063E7F"/>
    <w:rsid w:val="00065BDC"/>
    <w:rsid w:val="00065CB3"/>
    <w:rsid w:val="000661FA"/>
    <w:rsid w:val="0006771B"/>
    <w:rsid w:val="00067E9D"/>
    <w:rsid w:val="00071377"/>
    <w:rsid w:val="0008026C"/>
    <w:rsid w:val="00080D80"/>
    <w:rsid w:val="00081D01"/>
    <w:rsid w:val="0008200B"/>
    <w:rsid w:val="000855E2"/>
    <w:rsid w:val="00086E36"/>
    <w:rsid w:val="00087256"/>
    <w:rsid w:val="00090297"/>
    <w:rsid w:val="0009097D"/>
    <w:rsid w:val="00090E8B"/>
    <w:rsid w:val="00093AAA"/>
    <w:rsid w:val="00093AEC"/>
    <w:rsid w:val="00094770"/>
    <w:rsid w:val="00096639"/>
    <w:rsid w:val="000968BB"/>
    <w:rsid w:val="0009707A"/>
    <w:rsid w:val="000A1669"/>
    <w:rsid w:val="000A1781"/>
    <w:rsid w:val="000A26F8"/>
    <w:rsid w:val="000A696D"/>
    <w:rsid w:val="000A7BD3"/>
    <w:rsid w:val="000B06E0"/>
    <w:rsid w:val="000B138F"/>
    <w:rsid w:val="000B2667"/>
    <w:rsid w:val="000B2EBC"/>
    <w:rsid w:val="000B4F7D"/>
    <w:rsid w:val="000B73A5"/>
    <w:rsid w:val="000C1DF3"/>
    <w:rsid w:val="000C2361"/>
    <w:rsid w:val="000C2EFE"/>
    <w:rsid w:val="000C5294"/>
    <w:rsid w:val="000C6A84"/>
    <w:rsid w:val="000C7453"/>
    <w:rsid w:val="000D1AE2"/>
    <w:rsid w:val="000D1D06"/>
    <w:rsid w:val="000D2D52"/>
    <w:rsid w:val="000D6275"/>
    <w:rsid w:val="000D6C47"/>
    <w:rsid w:val="000D6F35"/>
    <w:rsid w:val="000E2F8F"/>
    <w:rsid w:val="000E6C88"/>
    <w:rsid w:val="000E7D0D"/>
    <w:rsid w:val="000F12A1"/>
    <w:rsid w:val="000F49D5"/>
    <w:rsid w:val="000F5D25"/>
    <w:rsid w:val="000F6B1C"/>
    <w:rsid w:val="001003DD"/>
    <w:rsid w:val="0010108D"/>
    <w:rsid w:val="00102DD7"/>
    <w:rsid w:val="00104D93"/>
    <w:rsid w:val="00105056"/>
    <w:rsid w:val="00105351"/>
    <w:rsid w:val="00107AA5"/>
    <w:rsid w:val="00107EE7"/>
    <w:rsid w:val="0011294F"/>
    <w:rsid w:val="001135F1"/>
    <w:rsid w:val="00115CC7"/>
    <w:rsid w:val="00115D0A"/>
    <w:rsid w:val="00116B75"/>
    <w:rsid w:val="00116FA9"/>
    <w:rsid w:val="001211A8"/>
    <w:rsid w:val="00121B4A"/>
    <w:rsid w:val="00122654"/>
    <w:rsid w:val="00124342"/>
    <w:rsid w:val="00124AA1"/>
    <w:rsid w:val="001256D0"/>
    <w:rsid w:val="001277F6"/>
    <w:rsid w:val="00130E5F"/>
    <w:rsid w:val="0013176D"/>
    <w:rsid w:val="00131A76"/>
    <w:rsid w:val="001324CC"/>
    <w:rsid w:val="0013461B"/>
    <w:rsid w:val="00135972"/>
    <w:rsid w:val="00135A3F"/>
    <w:rsid w:val="00137EA2"/>
    <w:rsid w:val="00140BC0"/>
    <w:rsid w:val="00142E9D"/>
    <w:rsid w:val="0014511F"/>
    <w:rsid w:val="00145AD2"/>
    <w:rsid w:val="00147380"/>
    <w:rsid w:val="00152423"/>
    <w:rsid w:val="001567A4"/>
    <w:rsid w:val="00161008"/>
    <w:rsid w:val="001617D1"/>
    <w:rsid w:val="001629A3"/>
    <w:rsid w:val="0016649C"/>
    <w:rsid w:val="00173253"/>
    <w:rsid w:val="00174CEE"/>
    <w:rsid w:val="00175FFA"/>
    <w:rsid w:val="001766BD"/>
    <w:rsid w:val="00176BFE"/>
    <w:rsid w:val="00176CD3"/>
    <w:rsid w:val="00183BBD"/>
    <w:rsid w:val="00185238"/>
    <w:rsid w:val="001908EB"/>
    <w:rsid w:val="00191C1E"/>
    <w:rsid w:val="00192CC3"/>
    <w:rsid w:val="00193C77"/>
    <w:rsid w:val="0019526F"/>
    <w:rsid w:val="00197EDE"/>
    <w:rsid w:val="001A6E41"/>
    <w:rsid w:val="001A72EA"/>
    <w:rsid w:val="001B01B6"/>
    <w:rsid w:val="001B2DEA"/>
    <w:rsid w:val="001B5881"/>
    <w:rsid w:val="001B5D91"/>
    <w:rsid w:val="001C0918"/>
    <w:rsid w:val="001C1150"/>
    <w:rsid w:val="001C12AB"/>
    <w:rsid w:val="001C2D83"/>
    <w:rsid w:val="001C73C3"/>
    <w:rsid w:val="001D6DC7"/>
    <w:rsid w:val="001D7110"/>
    <w:rsid w:val="001D7302"/>
    <w:rsid w:val="001E0D7A"/>
    <w:rsid w:val="001E1909"/>
    <w:rsid w:val="001E6E90"/>
    <w:rsid w:val="001F2A2F"/>
    <w:rsid w:val="001F2D7B"/>
    <w:rsid w:val="001F655E"/>
    <w:rsid w:val="001F7317"/>
    <w:rsid w:val="00200D68"/>
    <w:rsid w:val="00200FB0"/>
    <w:rsid w:val="00201FC3"/>
    <w:rsid w:val="00202756"/>
    <w:rsid w:val="00206149"/>
    <w:rsid w:val="00206F26"/>
    <w:rsid w:val="002113F5"/>
    <w:rsid w:val="00213268"/>
    <w:rsid w:val="0021400A"/>
    <w:rsid w:val="00214F06"/>
    <w:rsid w:val="00215311"/>
    <w:rsid w:val="002167A9"/>
    <w:rsid w:val="00216C6C"/>
    <w:rsid w:val="00217DE4"/>
    <w:rsid w:val="0022089F"/>
    <w:rsid w:val="00224A88"/>
    <w:rsid w:val="00224CEE"/>
    <w:rsid w:val="00225505"/>
    <w:rsid w:val="00225542"/>
    <w:rsid w:val="002259BF"/>
    <w:rsid w:val="00226975"/>
    <w:rsid w:val="00227525"/>
    <w:rsid w:val="00230CC0"/>
    <w:rsid w:val="00231A5A"/>
    <w:rsid w:val="0023213F"/>
    <w:rsid w:val="002332BA"/>
    <w:rsid w:val="002339FF"/>
    <w:rsid w:val="00235C00"/>
    <w:rsid w:val="00236536"/>
    <w:rsid w:val="00236CF6"/>
    <w:rsid w:val="002375D1"/>
    <w:rsid w:val="00237700"/>
    <w:rsid w:val="00237C0F"/>
    <w:rsid w:val="00242A1A"/>
    <w:rsid w:val="002435A5"/>
    <w:rsid w:val="00243D9E"/>
    <w:rsid w:val="00244AD6"/>
    <w:rsid w:val="00246545"/>
    <w:rsid w:val="0025444C"/>
    <w:rsid w:val="002558DC"/>
    <w:rsid w:val="00255FE5"/>
    <w:rsid w:val="0025610F"/>
    <w:rsid w:val="00256F53"/>
    <w:rsid w:val="002574CB"/>
    <w:rsid w:val="002577E9"/>
    <w:rsid w:val="002577F2"/>
    <w:rsid w:val="002620DE"/>
    <w:rsid w:val="002629D6"/>
    <w:rsid w:val="002656D8"/>
    <w:rsid w:val="00271BAC"/>
    <w:rsid w:val="002740BA"/>
    <w:rsid w:val="002746EB"/>
    <w:rsid w:val="00275D1A"/>
    <w:rsid w:val="0028296D"/>
    <w:rsid w:val="00282F4B"/>
    <w:rsid w:val="0028373F"/>
    <w:rsid w:val="00283DFD"/>
    <w:rsid w:val="00284B23"/>
    <w:rsid w:val="00287291"/>
    <w:rsid w:val="00287D14"/>
    <w:rsid w:val="00291C14"/>
    <w:rsid w:val="0029385C"/>
    <w:rsid w:val="00296A3E"/>
    <w:rsid w:val="002A06C3"/>
    <w:rsid w:val="002A370C"/>
    <w:rsid w:val="002A4152"/>
    <w:rsid w:val="002B021C"/>
    <w:rsid w:val="002B2C22"/>
    <w:rsid w:val="002B2D65"/>
    <w:rsid w:val="002B43CD"/>
    <w:rsid w:val="002B4FC0"/>
    <w:rsid w:val="002B51CD"/>
    <w:rsid w:val="002C0D4A"/>
    <w:rsid w:val="002C1067"/>
    <w:rsid w:val="002C1388"/>
    <w:rsid w:val="002C307D"/>
    <w:rsid w:val="002C4CB8"/>
    <w:rsid w:val="002C68BD"/>
    <w:rsid w:val="002C6FFB"/>
    <w:rsid w:val="002C7A0D"/>
    <w:rsid w:val="002D1515"/>
    <w:rsid w:val="002D3975"/>
    <w:rsid w:val="002D4CF1"/>
    <w:rsid w:val="002D6045"/>
    <w:rsid w:val="002D686B"/>
    <w:rsid w:val="002D7D0D"/>
    <w:rsid w:val="002E0551"/>
    <w:rsid w:val="002E0F59"/>
    <w:rsid w:val="002E1238"/>
    <w:rsid w:val="002E26C4"/>
    <w:rsid w:val="002E4894"/>
    <w:rsid w:val="002E59C6"/>
    <w:rsid w:val="002E6595"/>
    <w:rsid w:val="002E6CF0"/>
    <w:rsid w:val="002F1237"/>
    <w:rsid w:val="002F20A8"/>
    <w:rsid w:val="002F6D82"/>
    <w:rsid w:val="002F7BC9"/>
    <w:rsid w:val="003011A2"/>
    <w:rsid w:val="00301C0A"/>
    <w:rsid w:val="00301C3F"/>
    <w:rsid w:val="00301D54"/>
    <w:rsid w:val="00303407"/>
    <w:rsid w:val="003048AA"/>
    <w:rsid w:val="0030623A"/>
    <w:rsid w:val="00311C64"/>
    <w:rsid w:val="00313053"/>
    <w:rsid w:val="003146A3"/>
    <w:rsid w:val="00315AA5"/>
    <w:rsid w:val="003202F7"/>
    <w:rsid w:val="00320948"/>
    <w:rsid w:val="0032134C"/>
    <w:rsid w:val="0032304E"/>
    <w:rsid w:val="00324536"/>
    <w:rsid w:val="00324B39"/>
    <w:rsid w:val="00326004"/>
    <w:rsid w:val="00326E56"/>
    <w:rsid w:val="003273A9"/>
    <w:rsid w:val="0033106F"/>
    <w:rsid w:val="003320A8"/>
    <w:rsid w:val="003326C9"/>
    <w:rsid w:val="00332752"/>
    <w:rsid w:val="003341E9"/>
    <w:rsid w:val="0033431E"/>
    <w:rsid w:val="0033696D"/>
    <w:rsid w:val="00336FD7"/>
    <w:rsid w:val="003430C4"/>
    <w:rsid w:val="0034638E"/>
    <w:rsid w:val="00351F08"/>
    <w:rsid w:val="00351F11"/>
    <w:rsid w:val="00352489"/>
    <w:rsid w:val="003531B6"/>
    <w:rsid w:val="00354F40"/>
    <w:rsid w:val="0035608A"/>
    <w:rsid w:val="00356CB7"/>
    <w:rsid w:val="00357326"/>
    <w:rsid w:val="0035746E"/>
    <w:rsid w:val="00363021"/>
    <w:rsid w:val="003641F8"/>
    <w:rsid w:val="00366A29"/>
    <w:rsid w:val="003679EF"/>
    <w:rsid w:val="00367E6C"/>
    <w:rsid w:val="0037050E"/>
    <w:rsid w:val="00372163"/>
    <w:rsid w:val="0037395A"/>
    <w:rsid w:val="0037730A"/>
    <w:rsid w:val="00381B82"/>
    <w:rsid w:val="00381FF1"/>
    <w:rsid w:val="00382C9B"/>
    <w:rsid w:val="0038371A"/>
    <w:rsid w:val="003877B1"/>
    <w:rsid w:val="00387AF8"/>
    <w:rsid w:val="003901EF"/>
    <w:rsid w:val="0039090F"/>
    <w:rsid w:val="00392BDD"/>
    <w:rsid w:val="003931E4"/>
    <w:rsid w:val="00393385"/>
    <w:rsid w:val="00393D6A"/>
    <w:rsid w:val="0039427B"/>
    <w:rsid w:val="00394B97"/>
    <w:rsid w:val="003965FE"/>
    <w:rsid w:val="00397F00"/>
    <w:rsid w:val="003A0E93"/>
    <w:rsid w:val="003A16E0"/>
    <w:rsid w:val="003A347A"/>
    <w:rsid w:val="003A4820"/>
    <w:rsid w:val="003A54A3"/>
    <w:rsid w:val="003A7026"/>
    <w:rsid w:val="003A745E"/>
    <w:rsid w:val="003A7EDA"/>
    <w:rsid w:val="003B13B8"/>
    <w:rsid w:val="003B3FF2"/>
    <w:rsid w:val="003B4420"/>
    <w:rsid w:val="003B4CAA"/>
    <w:rsid w:val="003B5742"/>
    <w:rsid w:val="003B583C"/>
    <w:rsid w:val="003B6A44"/>
    <w:rsid w:val="003B70DE"/>
    <w:rsid w:val="003C0D74"/>
    <w:rsid w:val="003C2C8D"/>
    <w:rsid w:val="003C5CAC"/>
    <w:rsid w:val="003C798E"/>
    <w:rsid w:val="003D31E1"/>
    <w:rsid w:val="003D5B27"/>
    <w:rsid w:val="003E15A9"/>
    <w:rsid w:val="003E2820"/>
    <w:rsid w:val="003E4AC5"/>
    <w:rsid w:val="003E6211"/>
    <w:rsid w:val="003E7925"/>
    <w:rsid w:val="003E7FB2"/>
    <w:rsid w:val="003F0091"/>
    <w:rsid w:val="003F2C0C"/>
    <w:rsid w:val="003F4198"/>
    <w:rsid w:val="003F515E"/>
    <w:rsid w:val="003F5D7C"/>
    <w:rsid w:val="003F74FD"/>
    <w:rsid w:val="003F785A"/>
    <w:rsid w:val="004011F8"/>
    <w:rsid w:val="00401A9C"/>
    <w:rsid w:val="004031DF"/>
    <w:rsid w:val="00403900"/>
    <w:rsid w:val="004063B3"/>
    <w:rsid w:val="0040751C"/>
    <w:rsid w:val="00407D6B"/>
    <w:rsid w:val="00412315"/>
    <w:rsid w:val="00412717"/>
    <w:rsid w:val="004137C0"/>
    <w:rsid w:val="00414269"/>
    <w:rsid w:val="00416B3C"/>
    <w:rsid w:val="00420ACB"/>
    <w:rsid w:val="00421ACF"/>
    <w:rsid w:val="00422C55"/>
    <w:rsid w:val="00425495"/>
    <w:rsid w:val="00427328"/>
    <w:rsid w:val="00430DFB"/>
    <w:rsid w:val="004312D6"/>
    <w:rsid w:val="00433C3C"/>
    <w:rsid w:val="004344BC"/>
    <w:rsid w:val="00434B99"/>
    <w:rsid w:val="0043786C"/>
    <w:rsid w:val="0044010A"/>
    <w:rsid w:val="004441B7"/>
    <w:rsid w:val="0044678C"/>
    <w:rsid w:val="00446FB3"/>
    <w:rsid w:val="00447EB8"/>
    <w:rsid w:val="004502D5"/>
    <w:rsid w:val="0046108D"/>
    <w:rsid w:val="0046493D"/>
    <w:rsid w:val="00465513"/>
    <w:rsid w:val="00467388"/>
    <w:rsid w:val="004711DD"/>
    <w:rsid w:val="00471DF2"/>
    <w:rsid w:val="00472C89"/>
    <w:rsid w:val="00474730"/>
    <w:rsid w:val="004756D7"/>
    <w:rsid w:val="0048154A"/>
    <w:rsid w:val="00481686"/>
    <w:rsid w:val="00481887"/>
    <w:rsid w:val="00482867"/>
    <w:rsid w:val="0049027B"/>
    <w:rsid w:val="00491084"/>
    <w:rsid w:val="004912C6"/>
    <w:rsid w:val="0049188F"/>
    <w:rsid w:val="00492DBF"/>
    <w:rsid w:val="00494D1F"/>
    <w:rsid w:val="004A121A"/>
    <w:rsid w:val="004A2031"/>
    <w:rsid w:val="004A26F0"/>
    <w:rsid w:val="004A43C3"/>
    <w:rsid w:val="004A43E1"/>
    <w:rsid w:val="004A5B71"/>
    <w:rsid w:val="004A5E2A"/>
    <w:rsid w:val="004A6457"/>
    <w:rsid w:val="004A6946"/>
    <w:rsid w:val="004A7C46"/>
    <w:rsid w:val="004B06BB"/>
    <w:rsid w:val="004B2FB5"/>
    <w:rsid w:val="004B5DE5"/>
    <w:rsid w:val="004B5EC6"/>
    <w:rsid w:val="004B652F"/>
    <w:rsid w:val="004B7DF9"/>
    <w:rsid w:val="004C0224"/>
    <w:rsid w:val="004C0405"/>
    <w:rsid w:val="004C0EA7"/>
    <w:rsid w:val="004C432A"/>
    <w:rsid w:val="004C4995"/>
    <w:rsid w:val="004C6C22"/>
    <w:rsid w:val="004D0472"/>
    <w:rsid w:val="004D060D"/>
    <w:rsid w:val="004D0A68"/>
    <w:rsid w:val="004D0FAE"/>
    <w:rsid w:val="004D5333"/>
    <w:rsid w:val="004E0213"/>
    <w:rsid w:val="004E446B"/>
    <w:rsid w:val="004E55F2"/>
    <w:rsid w:val="004F0491"/>
    <w:rsid w:val="004F1D0E"/>
    <w:rsid w:val="004F3988"/>
    <w:rsid w:val="004F5820"/>
    <w:rsid w:val="004F6D0B"/>
    <w:rsid w:val="004F6EA1"/>
    <w:rsid w:val="004F6F49"/>
    <w:rsid w:val="004F7D46"/>
    <w:rsid w:val="00502AFB"/>
    <w:rsid w:val="00503E95"/>
    <w:rsid w:val="00513564"/>
    <w:rsid w:val="005172C8"/>
    <w:rsid w:val="00520AE7"/>
    <w:rsid w:val="00523390"/>
    <w:rsid w:val="00525571"/>
    <w:rsid w:val="00527551"/>
    <w:rsid w:val="00527D05"/>
    <w:rsid w:val="00530C84"/>
    <w:rsid w:val="00531ED3"/>
    <w:rsid w:val="00532635"/>
    <w:rsid w:val="00534295"/>
    <w:rsid w:val="00541179"/>
    <w:rsid w:val="005412D4"/>
    <w:rsid w:val="005433FA"/>
    <w:rsid w:val="005446D9"/>
    <w:rsid w:val="00550291"/>
    <w:rsid w:val="00550301"/>
    <w:rsid w:val="00550BF9"/>
    <w:rsid w:val="00550CB7"/>
    <w:rsid w:val="0055137D"/>
    <w:rsid w:val="0055159E"/>
    <w:rsid w:val="00551FD3"/>
    <w:rsid w:val="005548FE"/>
    <w:rsid w:val="00556568"/>
    <w:rsid w:val="0055683E"/>
    <w:rsid w:val="00560956"/>
    <w:rsid w:val="00567515"/>
    <w:rsid w:val="00570E9F"/>
    <w:rsid w:val="005714F6"/>
    <w:rsid w:val="0057281B"/>
    <w:rsid w:val="005774C2"/>
    <w:rsid w:val="00577F78"/>
    <w:rsid w:val="00580E77"/>
    <w:rsid w:val="00581482"/>
    <w:rsid w:val="005832A6"/>
    <w:rsid w:val="00584B81"/>
    <w:rsid w:val="0059091D"/>
    <w:rsid w:val="00590C0B"/>
    <w:rsid w:val="00595A4B"/>
    <w:rsid w:val="00595C9B"/>
    <w:rsid w:val="00595FF7"/>
    <w:rsid w:val="00596390"/>
    <w:rsid w:val="0059781E"/>
    <w:rsid w:val="005A1593"/>
    <w:rsid w:val="005A3191"/>
    <w:rsid w:val="005B2565"/>
    <w:rsid w:val="005B3A8D"/>
    <w:rsid w:val="005B6300"/>
    <w:rsid w:val="005B6DB9"/>
    <w:rsid w:val="005C0EC1"/>
    <w:rsid w:val="005C322F"/>
    <w:rsid w:val="005C4103"/>
    <w:rsid w:val="005C4C03"/>
    <w:rsid w:val="005C5629"/>
    <w:rsid w:val="005C5F1E"/>
    <w:rsid w:val="005C7368"/>
    <w:rsid w:val="005D03ED"/>
    <w:rsid w:val="005D0EFA"/>
    <w:rsid w:val="005D15AB"/>
    <w:rsid w:val="005D38CE"/>
    <w:rsid w:val="005D4990"/>
    <w:rsid w:val="005D71A1"/>
    <w:rsid w:val="005D7864"/>
    <w:rsid w:val="005E0EFB"/>
    <w:rsid w:val="005E466A"/>
    <w:rsid w:val="005E6683"/>
    <w:rsid w:val="005E761A"/>
    <w:rsid w:val="005F33D4"/>
    <w:rsid w:val="005F6498"/>
    <w:rsid w:val="0060022C"/>
    <w:rsid w:val="00600898"/>
    <w:rsid w:val="0060247A"/>
    <w:rsid w:val="006024D2"/>
    <w:rsid w:val="00602801"/>
    <w:rsid w:val="00602E61"/>
    <w:rsid w:val="006108A8"/>
    <w:rsid w:val="006113F8"/>
    <w:rsid w:val="006119CB"/>
    <w:rsid w:val="00611B40"/>
    <w:rsid w:val="00614368"/>
    <w:rsid w:val="00615C9A"/>
    <w:rsid w:val="00616A41"/>
    <w:rsid w:val="0061760C"/>
    <w:rsid w:val="00621BA7"/>
    <w:rsid w:val="00623CE9"/>
    <w:rsid w:val="00624B24"/>
    <w:rsid w:val="006259D9"/>
    <w:rsid w:val="00626D4D"/>
    <w:rsid w:val="006312AC"/>
    <w:rsid w:val="00631C58"/>
    <w:rsid w:val="006326BD"/>
    <w:rsid w:val="00632933"/>
    <w:rsid w:val="00633A02"/>
    <w:rsid w:val="00634D55"/>
    <w:rsid w:val="00636381"/>
    <w:rsid w:val="006368B1"/>
    <w:rsid w:val="0063789E"/>
    <w:rsid w:val="0064238A"/>
    <w:rsid w:val="00643499"/>
    <w:rsid w:val="006435E3"/>
    <w:rsid w:val="00644095"/>
    <w:rsid w:val="006444C5"/>
    <w:rsid w:val="00647887"/>
    <w:rsid w:val="0065096A"/>
    <w:rsid w:val="00650D9D"/>
    <w:rsid w:val="00650EDE"/>
    <w:rsid w:val="00651A0C"/>
    <w:rsid w:val="00651BC1"/>
    <w:rsid w:val="00652BA2"/>
    <w:rsid w:val="006531CA"/>
    <w:rsid w:val="00653924"/>
    <w:rsid w:val="00655653"/>
    <w:rsid w:val="006568DD"/>
    <w:rsid w:val="00660716"/>
    <w:rsid w:val="006618C2"/>
    <w:rsid w:val="00662CF5"/>
    <w:rsid w:val="00662D31"/>
    <w:rsid w:val="00664A6C"/>
    <w:rsid w:val="00664AB5"/>
    <w:rsid w:val="00665CA4"/>
    <w:rsid w:val="00665E27"/>
    <w:rsid w:val="00665FC2"/>
    <w:rsid w:val="0067080D"/>
    <w:rsid w:val="006711B4"/>
    <w:rsid w:val="00671AA4"/>
    <w:rsid w:val="00672D23"/>
    <w:rsid w:val="0067343E"/>
    <w:rsid w:val="00673A8E"/>
    <w:rsid w:val="00682496"/>
    <w:rsid w:val="00682914"/>
    <w:rsid w:val="00683478"/>
    <w:rsid w:val="00684652"/>
    <w:rsid w:val="006907DE"/>
    <w:rsid w:val="006915B9"/>
    <w:rsid w:val="006917C2"/>
    <w:rsid w:val="00691A76"/>
    <w:rsid w:val="00692EFA"/>
    <w:rsid w:val="0069739F"/>
    <w:rsid w:val="00697BBB"/>
    <w:rsid w:val="006A0977"/>
    <w:rsid w:val="006A1E25"/>
    <w:rsid w:val="006A2878"/>
    <w:rsid w:val="006A36FE"/>
    <w:rsid w:val="006B0567"/>
    <w:rsid w:val="006B274C"/>
    <w:rsid w:val="006B56E8"/>
    <w:rsid w:val="006B6C2E"/>
    <w:rsid w:val="006C08D6"/>
    <w:rsid w:val="006C1039"/>
    <w:rsid w:val="006C245D"/>
    <w:rsid w:val="006C3C0C"/>
    <w:rsid w:val="006C4949"/>
    <w:rsid w:val="006C67C9"/>
    <w:rsid w:val="006C6E19"/>
    <w:rsid w:val="006C751D"/>
    <w:rsid w:val="006C7858"/>
    <w:rsid w:val="006D4286"/>
    <w:rsid w:val="006D6363"/>
    <w:rsid w:val="006D6A16"/>
    <w:rsid w:val="006D7258"/>
    <w:rsid w:val="006E07A8"/>
    <w:rsid w:val="006E12FC"/>
    <w:rsid w:val="006E2BDC"/>
    <w:rsid w:val="006E5110"/>
    <w:rsid w:val="006E6CBC"/>
    <w:rsid w:val="006E78B3"/>
    <w:rsid w:val="006F2599"/>
    <w:rsid w:val="00700E37"/>
    <w:rsid w:val="00701250"/>
    <w:rsid w:val="00702B30"/>
    <w:rsid w:val="00703ED2"/>
    <w:rsid w:val="00704F25"/>
    <w:rsid w:val="00705369"/>
    <w:rsid w:val="00705652"/>
    <w:rsid w:val="00706153"/>
    <w:rsid w:val="007073D3"/>
    <w:rsid w:val="00712957"/>
    <w:rsid w:val="00714664"/>
    <w:rsid w:val="00715AD9"/>
    <w:rsid w:val="00716B50"/>
    <w:rsid w:val="00716B85"/>
    <w:rsid w:val="0072002B"/>
    <w:rsid w:val="00721120"/>
    <w:rsid w:val="00725B22"/>
    <w:rsid w:val="00727952"/>
    <w:rsid w:val="007303ED"/>
    <w:rsid w:val="00733807"/>
    <w:rsid w:val="007338CC"/>
    <w:rsid w:val="00734BA0"/>
    <w:rsid w:val="00737949"/>
    <w:rsid w:val="0074078E"/>
    <w:rsid w:val="0074147F"/>
    <w:rsid w:val="00742965"/>
    <w:rsid w:val="0074410C"/>
    <w:rsid w:val="00744608"/>
    <w:rsid w:val="00747F66"/>
    <w:rsid w:val="0075044C"/>
    <w:rsid w:val="00750FB7"/>
    <w:rsid w:val="00753241"/>
    <w:rsid w:val="007566FF"/>
    <w:rsid w:val="00756927"/>
    <w:rsid w:val="00756D39"/>
    <w:rsid w:val="00756D69"/>
    <w:rsid w:val="00760F94"/>
    <w:rsid w:val="00763AB3"/>
    <w:rsid w:val="007703FE"/>
    <w:rsid w:val="007741B0"/>
    <w:rsid w:val="00774B6D"/>
    <w:rsid w:val="00774D3D"/>
    <w:rsid w:val="00782978"/>
    <w:rsid w:val="007863A5"/>
    <w:rsid w:val="007863FF"/>
    <w:rsid w:val="00790838"/>
    <w:rsid w:val="00790C4F"/>
    <w:rsid w:val="00793845"/>
    <w:rsid w:val="00794101"/>
    <w:rsid w:val="0079610B"/>
    <w:rsid w:val="007A1E18"/>
    <w:rsid w:val="007A23A5"/>
    <w:rsid w:val="007A2B6B"/>
    <w:rsid w:val="007A463A"/>
    <w:rsid w:val="007A70E4"/>
    <w:rsid w:val="007A7398"/>
    <w:rsid w:val="007A75BB"/>
    <w:rsid w:val="007A7CE2"/>
    <w:rsid w:val="007B05A6"/>
    <w:rsid w:val="007B195A"/>
    <w:rsid w:val="007B1D69"/>
    <w:rsid w:val="007B358A"/>
    <w:rsid w:val="007B57DE"/>
    <w:rsid w:val="007B7E45"/>
    <w:rsid w:val="007C0A57"/>
    <w:rsid w:val="007C279A"/>
    <w:rsid w:val="007C4A25"/>
    <w:rsid w:val="007C5375"/>
    <w:rsid w:val="007C588E"/>
    <w:rsid w:val="007D0749"/>
    <w:rsid w:val="007D1897"/>
    <w:rsid w:val="007D3E73"/>
    <w:rsid w:val="007D5538"/>
    <w:rsid w:val="007E077C"/>
    <w:rsid w:val="007E15C0"/>
    <w:rsid w:val="007E1603"/>
    <w:rsid w:val="007E656A"/>
    <w:rsid w:val="007E78E8"/>
    <w:rsid w:val="007F0A2A"/>
    <w:rsid w:val="007F2875"/>
    <w:rsid w:val="007F39C7"/>
    <w:rsid w:val="007F56F1"/>
    <w:rsid w:val="007F7A2A"/>
    <w:rsid w:val="00800DEF"/>
    <w:rsid w:val="008026C7"/>
    <w:rsid w:val="008050CE"/>
    <w:rsid w:val="0080514D"/>
    <w:rsid w:val="00805570"/>
    <w:rsid w:val="00807825"/>
    <w:rsid w:val="00807CC7"/>
    <w:rsid w:val="00810142"/>
    <w:rsid w:val="008107D4"/>
    <w:rsid w:val="00811851"/>
    <w:rsid w:val="00811DE8"/>
    <w:rsid w:val="00814FE5"/>
    <w:rsid w:val="0081591C"/>
    <w:rsid w:val="008166E7"/>
    <w:rsid w:val="00816E5A"/>
    <w:rsid w:val="008204FF"/>
    <w:rsid w:val="00821790"/>
    <w:rsid w:val="008233D0"/>
    <w:rsid w:val="008269EE"/>
    <w:rsid w:val="00832F6F"/>
    <w:rsid w:val="008333FE"/>
    <w:rsid w:val="0083412B"/>
    <w:rsid w:val="008360C0"/>
    <w:rsid w:val="00842BD1"/>
    <w:rsid w:val="008523C4"/>
    <w:rsid w:val="00852681"/>
    <w:rsid w:val="0085361D"/>
    <w:rsid w:val="008537FA"/>
    <w:rsid w:val="00853A01"/>
    <w:rsid w:val="008542D4"/>
    <w:rsid w:val="00854479"/>
    <w:rsid w:val="00856BFD"/>
    <w:rsid w:val="008572D0"/>
    <w:rsid w:val="00857865"/>
    <w:rsid w:val="00860055"/>
    <w:rsid w:val="00860C82"/>
    <w:rsid w:val="008629D3"/>
    <w:rsid w:val="00862EB1"/>
    <w:rsid w:val="00863C93"/>
    <w:rsid w:val="00864B66"/>
    <w:rsid w:val="0086548F"/>
    <w:rsid w:val="00870208"/>
    <w:rsid w:val="00870D72"/>
    <w:rsid w:val="008712B1"/>
    <w:rsid w:val="00872102"/>
    <w:rsid w:val="00874754"/>
    <w:rsid w:val="0087477E"/>
    <w:rsid w:val="00874E87"/>
    <w:rsid w:val="008770C8"/>
    <w:rsid w:val="00877AE9"/>
    <w:rsid w:val="0088025A"/>
    <w:rsid w:val="00880FA7"/>
    <w:rsid w:val="00883925"/>
    <w:rsid w:val="00884315"/>
    <w:rsid w:val="00887129"/>
    <w:rsid w:val="00887A5C"/>
    <w:rsid w:val="00892512"/>
    <w:rsid w:val="0089257B"/>
    <w:rsid w:val="00895B08"/>
    <w:rsid w:val="008971CC"/>
    <w:rsid w:val="008A09ED"/>
    <w:rsid w:val="008A226C"/>
    <w:rsid w:val="008A447E"/>
    <w:rsid w:val="008B29FE"/>
    <w:rsid w:val="008B3B8A"/>
    <w:rsid w:val="008B6903"/>
    <w:rsid w:val="008B6F29"/>
    <w:rsid w:val="008B7B4C"/>
    <w:rsid w:val="008C010C"/>
    <w:rsid w:val="008C0187"/>
    <w:rsid w:val="008C185A"/>
    <w:rsid w:val="008C49E8"/>
    <w:rsid w:val="008C6DCA"/>
    <w:rsid w:val="008D68DA"/>
    <w:rsid w:val="008D69AE"/>
    <w:rsid w:val="008D7A93"/>
    <w:rsid w:val="008E01EE"/>
    <w:rsid w:val="008E049B"/>
    <w:rsid w:val="008E20D3"/>
    <w:rsid w:val="008E3EB3"/>
    <w:rsid w:val="008E49FA"/>
    <w:rsid w:val="008E4E13"/>
    <w:rsid w:val="008E50C7"/>
    <w:rsid w:val="008E6EC9"/>
    <w:rsid w:val="008E789A"/>
    <w:rsid w:val="008F1AD2"/>
    <w:rsid w:val="008F1EF6"/>
    <w:rsid w:val="008F1F5F"/>
    <w:rsid w:val="008F5D07"/>
    <w:rsid w:val="008F69F9"/>
    <w:rsid w:val="0090219F"/>
    <w:rsid w:val="009043EF"/>
    <w:rsid w:val="009049B1"/>
    <w:rsid w:val="00904AA3"/>
    <w:rsid w:val="0090624E"/>
    <w:rsid w:val="009062EA"/>
    <w:rsid w:val="009074BF"/>
    <w:rsid w:val="00910B0B"/>
    <w:rsid w:val="009146C4"/>
    <w:rsid w:val="00920B48"/>
    <w:rsid w:val="00921079"/>
    <w:rsid w:val="00923A69"/>
    <w:rsid w:val="0092497F"/>
    <w:rsid w:val="009255DB"/>
    <w:rsid w:val="009306D5"/>
    <w:rsid w:val="0093088A"/>
    <w:rsid w:val="0093199F"/>
    <w:rsid w:val="00934983"/>
    <w:rsid w:val="009353D1"/>
    <w:rsid w:val="00937928"/>
    <w:rsid w:val="00940169"/>
    <w:rsid w:val="00940561"/>
    <w:rsid w:val="00941C03"/>
    <w:rsid w:val="00942237"/>
    <w:rsid w:val="00942ECC"/>
    <w:rsid w:val="00943696"/>
    <w:rsid w:val="009439F6"/>
    <w:rsid w:val="0094405F"/>
    <w:rsid w:val="00944CFF"/>
    <w:rsid w:val="00950C2A"/>
    <w:rsid w:val="00951432"/>
    <w:rsid w:val="00953C7D"/>
    <w:rsid w:val="00954F6B"/>
    <w:rsid w:val="0095566B"/>
    <w:rsid w:val="009576E1"/>
    <w:rsid w:val="009600A7"/>
    <w:rsid w:val="00961E5D"/>
    <w:rsid w:val="009623A0"/>
    <w:rsid w:val="00965C9D"/>
    <w:rsid w:val="00966D1D"/>
    <w:rsid w:val="00972998"/>
    <w:rsid w:val="00973429"/>
    <w:rsid w:val="009769F4"/>
    <w:rsid w:val="009774B7"/>
    <w:rsid w:val="009775E2"/>
    <w:rsid w:val="00980046"/>
    <w:rsid w:val="009867FC"/>
    <w:rsid w:val="00986981"/>
    <w:rsid w:val="0098782F"/>
    <w:rsid w:val="00990445"/>
    <w:rsid w:val="00990A1E"/>
    <w:rsid w:val="00990DD5"/>
    <w:rsid w:val="009930AF"/>
    <w:rsid w:val="00993D17"/>
    <w:rsid w:val="00994EAB"/>
    <w:rsid w:val="00996BCA"/>
    <w:rsid w:val="009A08E6"/>
    <w:rsid w:val="009A13C4"/>
    <w:rsid w:val="009A193A"/>
    <w:rsid w:val="009A3D21"/>
    <w:rsid w:val="009A6108"/>
    <w:rsid w:val="009A6CB7"/>
    <w:rsid w:val="009B0EF3"/>
    <w:rsid w:val="009B3E03"/>
    <w:rsid w:val="009B56CF"/>
    <w:rsid w:val="009C132C"/>
    <w:rsid w:val="009C1982"/>
    <w:rsid w:val="009C35EF"/>
    <w:rsid w:val="009C3BD2"/>
    <w:rsid w:val="009C64A8"/>
    <w:rsid w:val="009C6A91"/>
    <w:rsid w:val="009C7056"/>
    <w:rsid w:val="009D2326"/>
    <w:rsid w:val="009D3384"/>
    <w:rsid w:val="009E00DF"/>
    <w:rsid w:val="009E02E8"/>
    <w:rsid w:val="009E20C1"/>
    <w:rsid w:val="009F06C5"/>
    <w:rsid w:val="009F179B"/>
    <w:rsid w:val="009F2D4F"/>
    <w:rsid w:val="009F48B4"/>
    <w:rsid w:val="009F6424"/>
    <w:rsid w:val="00A00DBD"/>
    <w:rsid w:val="00A02602"/>
    <w:rsid w:val="00A0364E"/>
    <w:rsid w:val="00A03FA7"/>
    <w:rsid w:val="00A04659"/>
    <w:rsid w:val="00A06A93"/>
    <w:rsid w:val="00A1101F"/>
    <w:rsid w:val="00A12AA4"/>
    <w:rsid w:val="00A168F4"/>
    <w:rsid w:val="00A1734D"/>
    <w:rsid w:val="00A2143C"/>
    <w:rsid w:val="00A21555"/>
    <w:rsid w:val="00A21D43"/>
    <w:rsid w:val="00A25722"/>
    <w:rsid w:val="00A30901"/>
    <w:rsid w:val="00A31ABA"/>
    <w:rsid w:val="00A328FD"/>
    <w:rsid w:val="00A3412A"/>
    <w:rsid w:val="00A35B05"/>
    <w:rsid w:val="00A37796"/>
    <w:rsid w:val="00A4156E"/>
    <w:rsid w:val="00A44142"/>
    <w:rsid w:val="00A443DF"/>
    <w:rsid w:val="00A44E0D"/>
    <w:rsid w:val="00A46A3E"/>
    <w:rsid w:val="00A47747"/>
    <w:rsid w:val="00A541E8"/>
    <w:rsid w:val="00A54CD3"/>
    <w:rsid w:val="00A55090"/>
    <w:rsid w:val="00A55C0E"/>
    <w:rsid w:val="00A566F7"/>
    <w:rsid w:val="00A579C0"/>
    <w:rsid w:val="00A57D1C"/>
    <w:rsid w:val="00A60C7E"/>
    <w:rsid w:val="00A6110B"/>
    <w:rsid w:val="00A62850"/>
    <w:rsid w:val="00A6361A"/>
    <w:rsid w:val="00A63AA4"/>
    <w:rsid w:val="00A65A45"/>
    <w:rsid w:val="00A664FE"/>
    <w:rsid w:val="00A6736D"/>
    <w:rsid w:val="00A77F96"/>
    <w:rsid w:val="00A83FA0"/>
    <w:rsid w:val="00A85AB3"/>
    <w:rsid w:val="00A85B60"/>
    <w:rsid w:val="00A863A7"/>
    <w:rsid w:val="00A875C7"/>
    <w:rsid w:val="00A9199C"/>
    <w:rsid w:val="00A92ACA"/>
    <w:rsid w:val="00A92C4A"/>
    <w:rsid w:val="00A946E4"/>
    <w:rsid w:val="00A95FE4"/>
    <w:rsid w:val="00A964E3"/>
    <w:rsid w:val="00A964ED"/>
    <w:rsid w:val="00A974AF"/>
    <w:rsid w:val="00AA1881"/>
    <w:rsid w:val="00AA203D"/>
    <w:rsid w:val="00AA4E23"/>
    <w:rsid w:val="00AA5009"/>
    <w:rsid w:val="00AA5ECA"/>
    <w:rsid w:val="00AA738E"/>
    <w:rsid w:val="00AA7D72"/>
    <w:rsid w:val="00AB05BB"/>
    <w:rsid w:val="00AB5D30"/>
    <w:rsid w:val="00AB69E2"/>
    <w:rsid w:val="00AC01A0"/>
    <w:rsid w:val="00AC17D9"/>
    <w:rsid w:val="00AC1BFB"/>
    <w:rsid w:val="00AC24CD"/>
    <w:rsid w:val="00AC318C"/>
    <w:rsid w:val="00AC39FD"/>
    <w:rsid w:val="00AC4551"/>
    <w:rsid w:val="00AC4857"/>
    <w:rsid w:val="00AC640F"/>
    <w:rsid w:val="00AC7141"/>
    <w:rsid w:val="00AD4330"/>
    <w:rsid w:val="00AD5A32"/>
    <w:rsid w:val="00AE2283"/>
    <w:rsid w:val="00AE52F0"/>
    <w:rsid w:val="00AE6EFE"/>
    <w:rsid w:val="00AE75B2"/>
    <w:rsid w:val="00AF1D34"/>
    <w:rsid w:val="00AF3A70"/>
    <w:rsid w:val="00AF4F64"/>
    <w:rsid w:val="00AF68B4"/>
    <w:rsid w:val="00AF754B"/>
    <w:rsid w:val="00B02DCE"/>
    <w:rsid w:val="00B04899"/>
    <w:rsid w:val="00B0781E"/>
    <w:rsid w:val="00B07ABD"/>
    <w:rsid w:val="00B10BF4"/>
    <w:rsid w:val="00B16896"/>
    <w:rsid w:val="00B22BF3"/>
    <w:rsid w:val="00B234E1"/>
    <w:rsid w:val="00B244BD"/>
    <w:rsid w:val="00B259A6"/>
    <w:rsid w:val="00B26410"/>
    <w:rsid w:val="00B30F31"/>
    <w:rsid w:val="00B315CA"/>
    <w:rsid w:val="00B325B3"/>
    <w:rsid w:val="00B37264"/>
    <w:rsid w:val="00B52A2C"/>
    <w:rsid w:val="00B5469D"/>
    <w:rsid w:val="00B54F50"/>
    <w:rsid w:val="00B566E4"/>
    <w:rsid w:val="00B567AB"/>
    <w:rsid w:val="00B56EF4"/>
    <w:rsid w:val="00B5788B"/>
    <w:rsid w:val="00B715D2"/>
    <w:rsid w:val="00B71900"/>
    <w:rsid w:val="00B74964"/>
    <w:rsid w:val="00B779B7"/>
    <w:rsid w:val="00B77EE4"/>
    <w:rsid w:val="00B85F88"/>
    <w:rsid w:val="00B91EC5"/>
    <w:rsid w:val="00B932AD"/>
    <w:rsid w:val="00B9429F"/>
    <w:rsid w:val="00B97826"/>
    <w:rsid w:val="00BA19EE"/>
    <w:rsid w:val="00BB1646"/>
    <w:rsid w:val="00BB4FBE"/>
    <w:rsid w:val="00BB6A5F"/>
    <w:rsid w:val="00BC1BBE"/>
    <w:rsid w:val="00BC211E"/>
    <w:rsid w:val="00BC4C6C"/>
    <w:rsid w:val="00BC4EC9"/>
    <w:rsid w:val="00BC543E"/>
    <w:rsid w:val="00BD1BBC"/>
    <w:rsid w:val="00BD25FD"/>
    <w:rsid w:val="00BD2A6D"/>
    <w:rsid w:val="00BD4018"/>
    <w:rsid w:val="00BD46B0"/>
    <w:rsid w:val="00BD62EF"/>
    <w:rsid w:val="00BD78D3"/>
    <w:rsid w:val="00BE048E"/>
    <w:rsid w:val="00BE186B"/>
    <w:rsid w:val="00BE36E8"/>
    <w:rsid w:val="00BE4722"/>
    <w:rsid w:val="00BF0C7A"/>
    <w:rsid w:val="00BF2676"/>
    <w:rsid w:val="00BF280E"/>
    <w:rsid w:val="00BF3D7F"/>
    <w:rsid w:val="00BF6EA2"/>
    <w:rsid w:val="00C0060C"/>
    <w:rsid w:val="00C00BB4"/>
    <w:rsid w:val="00C03D69"/>
    <w:rsid w:val="00C07088"/>
    <w:rsid w:val="00C07748"/>
    <w:rsid w:val="00C148E2"/>
    <w:rsid w:val="00C15955"/>
    <w:rsid w:val="00C17845"/>
    <w:rsid w:val="00C2049D"/>
    <w:rsid w:val="00C278E3"/>
    <w:rsid w:val="00C3031A"/>
    <w:rsid w:val="00C3040B"/>
    <w:rsid w:val="00C314CC"/>
    <w:rsid w:val="00C31EC9"/>
    <w:rsid w:val="00C33078"/>
    <w:rsid w:val="00C36006"/>
    <w:rsid w:val="00C375F3"/>
    <w:rsid w:val="00C404D5"/>
    <w:rsid w:val="00C41AFB"/>
    <w:rsid w:val="00C4424F"/>
    <w:rsid w:val="00C45B06"/>
    <w:rsid w:val="00C5143F"/>
    <w:rsid w:val="00C52484"/>
    <w:rsid w:val="00C5250A"/>
    <w:rsid w:val="00C52E16"/>
    <w:rsid w:val="00C52FB4"/>
    <w:rsid w:val="00C54398"/>
    <w:rsid w:val="00C55085"/>
    <w:rsid w:val="00C566EF"/>
    <w:rsid w:val="00C626D9"/>
    <w:rsid w:val="00C64585"/>
    <w:rsid w:val="00C6613B"/>
    <w:rsid w:val="00C66C01"/>
    <w:rsid w:val="00C71A4D"/>
    <w:rsid w:val="00C72C0E"/>
    <w:rsid w:val="00C7304A"/>
    <w:rsid w:val="00C80598"/>
    <w:rsid w:val="00C82DFC"/>
    <w:rsid w:val="00C84CD2"/>
    <w:rsid w:val="00C870DD"/>
    <w:rsid w:val="00C87236"/>
    <w:rsid w:val="00C87AD9"/>
    <w:rsid w:val="00C87AE0"/>
    <w:rsid w:val="00C90715"/>
    <w:rsid w:val="00C90E3A"/>
    <w:rsid w:val="00C91387"/>
    <w:rsid w:val="00C918FB"/>
    <w:rsid w:val="00C92FC6"/>
    <w:rsid w:val="00C932AB"/>
    <w:rsid w:val="00C96F23"/>
    <w:rsid w:val="00CA0AEE"/>
    <w:rsid w:val="00CA2B4F"/>
    <w:rsid w:val="00CA3495"/>
    <w:rsid w:val="00CA38CD"/>
    <w:rsid w:val="00CA4379"/>
    <w:rsid w:val="00CA797B"/>
    <w:rsid w:val="00CB08A1"/>
    <w:rsid w:val="00CB0FD7"/>
    <w:rsid w:val="00CB2BE3"/>
    <w:rsid w:val="00CC15C3"/>
    <w:rsid w:val="00CC1C30"/>
    <w:rsid w:val="00CC2863"/>
    <w:rsid w:val="00CC4495"/>
    <w:rsid w:val="00CC4C47"/>
    <w:rsid w:val="00CC5311"/>
    <w:rsid w:val="00CC5947"/>
    <w:rsid w:val="00CC6A5F"/>
    <w:rsid w:val="00CC7356"/>
    <w:rsid w:val="00CD0CDD"/>
    <w:rsid w:val="00CD3490"/>
    <w:rsid w:val="00CD6E4D"/>
    <w:rsid w:val="00CE14C8"/>
    <w:rsid w:val="00CE461D"/>
    <w:rsid w:val="00CE719E"/>
    <w:rsid w:val="00CE7344"/>
    <w:rsid w:val="00CE7AB9"/>
    <w:rsid w:val="00CF0F25"/>
    <w:rsid w:val="00CF2F59"/>
    <w:rsid w:val="00CF415D"/>
    <w:rsid w:val="00CF4EB2"/>
    <w:rsid w:val="00CF6B10"/>
    <w:rsid w:val="00CF79F5"/>
    <w:rsid w:val="00D028F3"/>
    <w:rsid w:val="00D02DD4"/>
    <w:rsid w:val="00D031AD"/>
    <w:rsid w:val="00D041DB"/>
    <w:rsid w:val="00D05446"/>
    <w:rsid w:val="00D0743B"/>
    <w:rsid w:val="00D1029B"/>
    <w:rsid w:val="00D11B9C"/>
    <w:rsid w:val="00D125C0"/>
    <w:rsid w:val="00D1310A"/>
    <w:rsid w:val="00D13988"/>
    <w:rsid w:val="00D16CC1"/>
    <w:rsid w:val="00D17489"/>
    <w:rsid w:val="00D20A8D"/>
    <w:rsid w:val="00D21424"/>
    <w:rsid w:val="00D217CF"/>
    <w:rsid w:val="00D21EAD"/>
    <w:rsid w:val="00D24300"/>
    <w:rsid w:val="00D25C90"/>
    <w:rsid w:val="00D25E24"/>
    <w:rsid w:val="00D32A7A"/>
    <w:rsid w:val="00D34A7B"/>
    <w:rsid w:val="00D364C0"/>
    <w:rsid w:val="00D37869"/>
    <w:rsid w:val="00D428C4"/>
    <w:rsid w:val="00D44B33"/>
    <w:rsid w:val="00D451B4"/>
    <w:rsid w:val="00D47BE8"/>
    <w:rsid w:val="00D51DF1"/>
    <w:rsid w:val="00D54C83"/>
    <w:rsid w:val="00D61AD7"/>
    <w:rsid w:val="00D61DF5"/>
    <w:rsid w:val="00D62B2D"/>
    <w:rsid w:val="00D64518"/>
    <w:rsid w:val="00D67212"/>
    <w:rsid w:val="00D71DE5"/>
    <w:rsid w:val="00D7347F"/>
    <w:rsid w:val="00D75D0B"/>
    <w:rsid w:val="00D773C8"/>
    <w:rsid w:val="00D777CB"/>
    <w:rsid w:val="00D77D75"/>
    <w:rsid w:val="00D819BB"/>
    <w:rsid w:val="00D82612"/>
    <w:rsid w:val="00D8391B"/>
    <w:rsid w:val="00D85886"/>
    <w:rsid w:val="00D91608"/>
    <w:rsid w:val="00D91B19"/>
    <w:rsid w:val="00D92515"/>
    <w:rsid w:val="00D936A1"/>
    <w:rsid w:val="00D93893"/>
    <w:rsid w:val="00DA0523"/>
    <w:rsid w:val="00DA0579"/>
    <w:rsid w:val="00DA2236"/>
    <w:rsid w:val="00DA3245"/>
    <w:rsid w:val="00DA56CB"/>
    <w:rsid w:val="00DA7122"/>
    <w:rsid w:val="00DA763C"/>
    <w:rsid w:val="00DA7B0F"/>
    <w:rsid w:val="00DA7B8F"/>
    <w:rsid w:val="00DB049B"/>
    <w:rsid w:val="00DB0551"/>
    <w:rsid w:val="00DB10FC"/>
    <w:rsid w:val="00DB131B"/>
    <w:rsid w:val="00DB2073"/>
    <w:rsid w:val="00DB3582"/>
    <w:rsid w:val="00DB693F"/>
    <w:rsid w:val="00DC1F2D"/>
    <w:rsid w:val="00DC2710"/>
    <w:rsid w:val="00DC30C6"/>
    <w:rsid w:val="00DC32C4"/>
    <w:rsid w:val="00DC3EF8"/>
    <w:rsid w:val="00DC4FC5"/>
    <w:rsid w:val="00DC5785"/>
    <w:rsid w:val="00DD3947"/>
    <w:rsid w:val="00DD4852"/>
    <w:rsid w:val="00DD58E2"/>
    <w:rsid w:val="00DD6F3C"/>
    <w:rsid w:val="00DD7010"/>
    <w:rsid w:val="00DE1464"/>
    <w:rsid w:val="00DE1478"/>
    <w:rsid w:val="00DE15DA"/>
    <w:rsid w:val="00DE28F4"/>
    <w:rsid w:val="00DE2D2B"/>
    <w:rsid w:val="00DE48CB"/>
    <w:rsid w:val="00DE51B5"/>
    <w:rsid w:val="00DE6EEF"/>
    <w:rsid w:val="00DE735A"/>
    <w:rsid w:val="00DF171F"/>
    <w:rsid w:val="00DF3252"/>
    <w:rsid w:val="00DF3D95"/>
    <w:rsid w:val="00DF4101"/>
    <w:rsid w:val="00DF4302"/>
    <w:rsid w:val="00DF5C22"/>
    <w:rsid w:val="00DF5E9D"/>
    <w:rsid w:val="00DF6704"/>
    <w:rsid w:val="00DF6994"/>
    <w:rsid w:val="00DF6D0E"/>
    <w:rsid w:val="00E005BD"/>
    <w:rsid w:val="00E00BF9"/>
    <w:rsid w:val="00E022A1"/>
    <w:rsid w:val="00E034B7"/>
    <w:rsid w:val="00E05DA2"/>
    <w:rsid w:val="00E06B60"/>
    <w:rsid w:val="00E130E2"/>
    <w:rsid w:val="00E201E4"/>
    <w:rsid w:val="00E207B4"/>
    <w:rsid w:val="00E20D7D"/>
    <w:rsid w:val="00E21A66"/>
    <w:rsid w:val="00E21F98"/>
    <w:rsid w:val="00E23E59"/>
    <w:rsid w:val="00E24EB4"/>
    <w:rsid w:val="00E27B61"/>
    <w:rsid w:val="00E31605"/>
    <w:rsid w:val="00E31878"/>
    <w:rsid w:val="00E321B9"/>
    <w:rsid w:val="00E3462D"/>
    <w:rsid w:val="00E351F9"/>
    <w:rsid w:val="00E35608"/>
    <w:rsid w:val="00E35B01"/>
    <w:rsid w:val="00E3720C"/>
    <w:rsid w:val="00E42C9A"/>
    <w:rsid w:val="00E42ED7"/>
    <w:rsid w:val="00E45278"/>
    <w:rsid w:val="00E4530D"/>
    <w:rsid w:val="00E45582"/>
    <w:rsid w:val="00E45BDF"/>
    <w:rsid w:val="00E528EC"/>
    <w:rsid w:val="00E52D12"/>
    <w:rsid w:val="00E53ED4"/>
    <w:rsid w:val="00E555A8"/>
    <w:rsid w:val="00E55DFC"/>
    <w:rsid w:val="00E568BB"/>
    <w:rsid w:val="00E57105"/>
    <w:rsid w:val="00E61F9D"/>
    <w:rsid w:val="00E63E70"/>
    <w:rsid w:val="00E64619"/>
    <w:rsid w:val="00E67A4F"/>
    <w:rsid w:val="00E70C0B"/>
    <w:rsid w:val="00E729E2"/>
    <w:rsid w:val="00E72C28"/>
    <w:rsid w:val="00E74032"/>
    <w:rsid w:val="00E76656"/>
    <w:rsid w:val="00E76BFC"/>
    <w:rsid w:val="00E805C2"/>
    <w:rsid w:val="00E80F74"/>
    <w:rsid w:val="00E816FF"/>
    <w:rsid w:val="00E8230C"/>
    <w:rsid w:val="00E85699"/>
    <w:rsid w:val="00E91EEB"/>
    <w:rsid w:val="00E9429B"/>
    <w:rsid w:val="00E9467C"/>
    <w:rsid w:val="00EA2A76"/>
    <w:rsid w:val="00EA7A8F"/>
    <w:rsid w:val="00EB104F"/>
    <w:rsid w:val="00EB429D"/>
    <w:rsid w:val="00EB4FEA"/>
    <w:rsid w:val="00EC02FC"/>
    <w:rsid w:val="00EC21C7"/>
    <w:rsid w:val="00EC22A1"/>
    <w:rsid w:val="00EC2789"/>
    <w:rsid w:val="00EC3C7E"/>
    <w:rsid w:val="00ED02C8"/>
    <w:rsid w:val="00ED17D4"/>
    <w:rsid w:val="00ED2269"/>
    <w:rsid w:val="00ED4140"/>
    <w:rsid w:val="00ED419B"/>
    <w:rsid w:val="00EE0028"/>
    <w:rsid w:val="00EE3264"/>
    <w:rsid w:val="00EE474C"/>
    <w:rsid w:val="00EE55D9"/>
    <w:rsid w:val="00EE5C93"/>
    <w:rsid w:val="00EE62B5"/>
    <w:rsid w:val="00EF0A85"/>
    <w:rsid w:val="00EF2947"/>
    <w:rsid w:val="00EF2C20"/>
    <w:rsid w:val="00F0073D"/>
    <w:rsid w:val="00F009E7"/>
    <w:rsid w:val="00F01DB8"/>
    <w:rsid w:val="00F03E0B"/>
    <w:rsid w:val="00F042D8"/>
    <w:rsid w:val="00F05410"/>
    <w:rsid w:val="00F05866"/>
    <w:rsid w:val="00F13DB1"/>
    <w:rsid w:val="00F14300"/>
    <w:rsid w:val="00F14A0E"/>
    <w:rsid w:val="00F14DC6"/>
    <w:rsid w:val="00F15223"/>
    <w:rsid w:val="00F17908"/>
    <w:rsid w:val="00F23CC1"/>
    <w:rsid w:val="00F23D5B"/>
    <w:rsid w:val="00F32056"/>
    <w:rsid w:val="00F32A2F"/>
    <w:rsid w:val="00F32E71"/>
    <w:rsid w:val="00F33567"/>
    <w:rsid w:val="00F33E47"/>
    <w:rsid w:val="00F36AB9"/>
    <w:rsid w:val="00F403BC"/>
    <w:rsid w:val="00F41109"/>
    <w:rsid w:val="00F41425"/>
    <w:rsid w:val="00F41732"/>
    <w:rsid w:val="00F41EB2"/>
    <w:rsid w:val="00F4410A"/>
    <w:rsid w:val="00F44938"/>
    <w:rsid w:val="00F46197"/>
    <w:rsid w:val="00F46ACD"/>
    <w:rsid w:val="00F47186"/>
    <w:rsid w:val="00F476AC"/>
    <w:rsid w:val="00F477FC"/>
    <w:rsid w:val="00F47944"/>
    <w:rsid w:val="00F51EB5"/>
    <w:rsid w:val="00F53D2D"/>
    <w:rsid w:val="00F54125"/>
    <w:rsid w:val="00F60EAB"/>
    <w:rsid w:val="00F64D89"/>
    <w:rsid w:val="00F6568E"/>
    <w:rsid w:val="00F65B56"/>
    <w:rsid w:val="00F66D84"/>
    <w:rsid w:val="00F70F0E"/>
    <w:rsid w:val="00F71926"/>
    <w:rsid w:val="00F7246B"/>
    <w:rsid w:val="00F7256A"/>
    <w:rsid w:val="00F72E17"/>
    <w:rsid w:val="00F7367D"/>
    <w:rsid w:val="00F760DF"/>
    <w:rsid w:val="00F7682C"/>
    <w:rsid w:val="00F76DE6"/>
    <w:rsid w:val="00F825C6"/>
    <w:rsid w:val="00F83B27"/>
    <w:rsid w:val="00F8509B"/>
    <w:rsid w:val="00F8560F"/>
    <w:rsid w:val="00F860C8"/>
    <w:rsid w:val="00F90ABE"/>
    <w:rsid w:val="00F910D4"/>
    <w:rsid w:val="00F932F3"/>
    <w:rsid w:val="00F94C3F"/>
    <w:rsid w:val="00F96D99"/>
    <w:rsid w:val="00F96DC8"/>
    <w:rsid w:val="00FA218B"/>
    <w:rsid w:val="00FA45EC"/>
    <w:rsid w:val="00FB0542"/>
    <w:rsid w:val="00FB1687"/>
    <w:rsid w:val="00FB4192"/>
    <w:rsid w:val="00FB490D"/>
    <w:rsid w:val="00FB6D39"/>
    <w:rsid w:val="00FC0985"/>
    <w:rsid w:val="00FC257A"/>
    <w:rsid w:val="00FC5613"/>
    <w:rsid w:val="00FC60A5"/>
    <w:rsid w:val="00FC6DF2"/>
    <w:rsid w:val="00FC78C1"/>
    <w:rsid w:val="00FD2050"/>
    <w:rsid w:val="00FD28D1"/>
    <w:rsid w:val="00FD49E9"/>
    <w:rsid w:val="00FD53C2"/>
    <w:rsid w:val="00FD5D9A"/>
    <w:rsid w:val="00FE2A4D"/>
    <w:rsid w:val="00FE3E23"/>
    <w:rsid w:val="00FE5D22"/>
    <w:rsid w:val="00FE60AD"/>
    <w:rsid w:val="00FE725C"/>
    <w:rsid w:val="00FE7587"/>
    <w:rsid w:val="00FE7A50"/>
    <w:rsid w:val="00FF34B0"/>
    <w:rsid w:val="00FF3D38"/>
    <w:rsid w:val="00FF52E1"/>
    <w:rsid w:val="00FF5316"/>
    <w:rsid w:val="00FF5FE3"/>
    <w:rsid w:val="68CAFF7C"/>
    <w:rsid w:val="783915D8"/>
    <w:rsid w:val="7B3BC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C674"/>
  <w15:chartTrackingRefBased/>
  <w15:docId w15:val="{CE47C214-AB00-4FD7-8A4A-634C37DF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A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1567A4"/>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567A4"/>
    <w:pPr>
      <w:keepNext/>
      <w:keepLines/>
      <w:spacing w:before="200"/>
      <w:outlineLvl w:val="1"/>
    </w:pPr>
    <w:rPr>
      <w:rFonts w:ascii="Cambria" w:hAnsi="Cambria"/>
      <w:b/>
      <w:bCs/>
      <w:color w:val="171717" w:themeColor="background2" w:themeShade="1A"/>
      <w:sz w:val="26"/>
      <w:szCs w:val="26"/>
    </w:rPr>
  </w:style>
  <w:style w:type="paragraph" w:styleId="Heading3">
    <w:name w:val="heading 3"/>
    <w:basedOn w:val="Normal"/>
    <w:next w:val="Normal"/>
    <w:link w:val="Heading3Char"/>
    <w:uiPriority w:val="99"/>
    <w:qFormat/>
    <w:rsid w:val="001567A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67A4"/>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9"/>
    <w:rsid w:val="001567A4"/>
    <w:rPr>
      <w:rFonts w:ascii="Cambria" w:eastAsia="Times New Roman" w:hAnsi="Cambria" w:cs="Times New Roman"/>
      <w:b/>
      <w:bCs/>
      <w:color w:val="171717" w:themeColor="background2" w:themeShade="1A"/>
      <w:kern w:val="0"/>
      <w:sz w:val="26"/>
      <w:szCs w:val="26"/>
      <w14:ligatures w14:val="none"/>
    </w:rPr>
  </w:style>
  <w:style w:type="character" w:customStyle="1" w:styleId="Heading3Char">
    <w:name w:val="Heading 3 Char"/>
    <w:basedOn w:val="DefaultParagraphFont"/>
    <w:link w:val="Heading3"/>
    <w:uiPriority w:val="99"/>
    <w:rsid w:val="001567A4"/>
    <w:rPr>
      <w:rFonts w:ascii="Cambria" w:eastAsia="Times New Roman" w:hAnsi="Cambria" w:cs="Times New Roman"/>
      <w:b/>
      <w:bCs/>
      <w:color w:val="4F81BD"/>
      <w:kern w:val="0"/>
      <w:sz w:val="24"/>
      <w:szCs w:val="24"/>
      <w14:ligatures w14:val="none"/>
    </w:rPr>
  </w:style>
  <w:style w:type="character" w:styleId="FootnoteReference">
    <w:name w:val="footnote reference"/>
    <w:basedOn w:val="DefaultParagraphFont"/>
    <w:uiPriority w:val="99"/>
    <w:rsid w:val="001567A4"/>
    <w:rPr>
      <w:rFonts w:cs="Times New Roman"/>
    </w:rPr>
  </w:style>
  <w:style w:type="paragraph" w:customStyle="1" w:styleId="Level1">
    <w:name w:val="Level 1"/>
    <w:basedOn w:val="Normal"/>
    <w:uiPriority w:val="99"/>
    <w:rsid w:val="001567A4"/>
    <w:pPr>
      <w:numPr>
        <w:numId w:val="2"/>
      </w:numPr>
      <w:ind w:left="222" w:hanging="8"/>
      <w:outlineLvl w:val="0"/>
    </w:pPr>
  </w:style>
  <w:style w:type="paragraph" w:styleId="TOC1">
    <w:name w:val="toc 1"/>
    <w:basedOn w:val="Normal"/>
    <w:next w:val="Normal"/>
    <w:uiPriority w:val="39"/>
    <w:rsid w:val="001567A4"/>
    <w:pPr>
      <w:spacing w:before="120" w:after="120"/>
    </w:pPr>
    <w:rPr>
      <w:rFonts w:ascii="Calibri" w:hAnsi="Calibri" w:cs="Calibri"/>
      <w:b/>
      <w:bCs/>
      <w:caps/>
      <w:sz w:val="20"/>
      <w:szCs w:val="20"/>
    </w:rPr>
  </w:style>
  <w:style w:type="paragraph" w:styleId="TOC2">
    <w:name w:val="toc 2"/>
    <w:basedOn w:val="Normal"/>
    <w:next w:val="Normal"/>
    <w:uiPriority w:val="39"/>
    <w:rsid w:val="001567A4"/>
    <w:pPr>
      <w:ind w:left="240"/>
    </w:pPr>
    <w:rPr>
      <w:rFonts w:ascii="Calibri" w:hAnsi="Calibri" w:cs="Calibri"/>
      <w:smallCaps/>
      <w:sz w:val="20"/>
      <w:szCs w:val="20"/>
    </w:rPr>
  </w:style>
  <w:style w:type="paragraph" w:customStyle="1" w:styleId="Level2">
    <w:name w:val="Level 2"/>
    <w:basedOn w:val="Normal"/>
    <w:uiPriority w:val="99"/>
    <w:rsid w:val="001567A4"/>
    <w:pPr>
      <w:numPr>
        <w:ilvl w:val="1"/>
        <w:numId w:val="1"/>
      </w:numPr>
      <w:ind w:left="1440" w:hanging="720"/>
      <w:outlineLvl w:val="1"/>
    </w:pPr>
  </w:style>
  <w:style w:type="paragraph" w:customStyle="1" w:styleId="Level3">
    <w:name w:val="Level 3"/>
    <w:basedOn w:val="Normal"/>
    <w:uiPriority w:val="99"/>
    <w:rsid w:val="001567A4"/>
    <w:pPr>
      <w:numPr>
        <w:ilvl w:val="2"/>
        <w:numId w:val="1"/>
      </w:numPr>
      <w:ind w:left="2160" w:hanging="720"/>
      <w:outlineLvl w:val="2"/>
    </w:pPr>
  </w:style>
  <w:style w:type="paragraph" w:customStyle="1" w:styleId="Level4">
    <w:name w:val="Level 4"/>
    <w:basedOn w:val="Normal"/>
    <w:uiPriority w:val="99"/>
    <w:rsid w:val="001567A4"/>
    <w:pPr>
      <w:ind w:left="2160"/>
    </w:pPr>
  </w:style>
  <w:style w:type="character" w:customStyle="1" w:styleId="QuickFormat1">
    <w:name w:val="QuickFormat1"/>
    <w:uiPriority w:val="99"/>
    <w:rsid w:val="001567A4"/>
    <w:rPr>
      <w:rFonts w:ascii="Microsoft Uighur" w:hAnsi="Microsoft Uighur"/>
      <w:color w:val="000000"/>
      <w:sz w:val="20"/>
    </w:rPr>
  </w:style>
  <w:style w:type="paragraph" w:customStyle="1" w:styleId="a">
    <w:name w:val="_"/>
    <w:basedOn w:val="Normal"/>
    <w:uiPriority w:val="99"/>
    <w:rsid w:val="001567A4"/>
    <w:pPr>
      <w:ind w:left="42" w:hanging="42"/>
    </w:pPr>
  </w:style>
  <w:style w:type="paragraph" w:styleId="Index1">
    <w:name w:val="index 1"/>
    <w:basedOn w:val="Normal"/>
    <w:next w:val="Normal"/>
    <w:uiPriority w:val="99"/>
    <w:rsid w:val="001567A4"/>
    <w:pPr>
      <w:ind w:left="412" w:hanging="1440"/>
    </w:pPr>
  </w:style>
  <w:style w:type="paragraph" w:styleId="Index2">
    <w:name w:val="index 2"/>
    <w:basedOn w:val="Normal"/>
    <w:next w:val="Normal"/>
    <w:uiPriority w:val="99"/>
    <w:rsid w:val="001567A4"/>
    <w:pPr>
      <w:ind w:left="412" w:hanging="1028"/>
    </w:pPr>
  </w:style>
  <w:style w:type="paragraph" w:styleId="BalloonText">
    <w:name w:val="Balloon Text"/>
    <w:basedOn w:val="Normal"/>
    <w:link w:val="BalloonTextChar"/>
    <w:uiPriority w:val="99"/>
    <w:semiHidden/>
    <w:rsid w:val="001567A4"/>
    <w:rPr>
      <w:rFonts w:ascii="Tahoma" w:hAnsi="Tahoma" w:cs="Tahoma"/>
      <w:sz w:val="16"/>
      <w:szCs w:val="16"/>
    </w:rPr>
  </w:style>
  <w:style w:type="character" w:customStyle="1" w:styleId="BalloonTextChar">
    <w:name w:val="Balloon Text Char"/>
    <w:basedOn w:val="DefaultParagraphFont"/>
    <w:link w:val="BalloonText"/>
    <w:uiPriority w:val="99"/>
    <w:semiHidden/>
    <w:rsid w:val="001567A4"/>
    <w:rPr>
      <w:rFonts w:ascii="Tahoma" w:eastAsia="Times New Roman" w:hAnsi="Tahoma" w:cs="Tahoma"/>
      <w:kern w:val="0"/>
      <w:sz w:val="16"/>
      <w:szCs w:val="16"/>
      <w14:ligatures w14:val="none"/>
    </w:rPr>
  </w:style>
  <w:style w:type="paragraph" w:styleId="Header">
    <w:name w:val="header"/>
    <w:basedOn w:val="Normal"/>
    <w:link w:val="HeaderChar"/>
    <w:uiPriority w:val="99"/>
    <w:rsid w:val="001567A4"/>
    <w:pPr>
      <w:tabs>
        <w:tab w:val="center" w:pos="4680"/>
        <w:tab w:val="right" w:pos="9360"/>
      </w:tabs>
    </w:pPr>
  </w:style>
  <w:style w:type="character" w:customStyle="1" w:styleId="HeaderChar">
    <w:name w:val="Header Char"/>
    <w:basedOn w:val="DefaultParagraphFont"/>
    <w:link w:val="Header"/>
    <w:uiPriority w:val="99"/>
    <w:rsid w:val="001567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1567A4"/>
    <w:pPr>
      <w:tabs>
        <w:tab w:val="center" w:pos="4680"/>
        <w:tab w:val="right" w:pos="9360"/>
      </w:tabs>
    </w:pPr>
  </w:style>
  <w:style w:type="character" w:customStyle="1" w:styleId="FooterChar">
    <w:name w:val="Footer Char"/>
    <w:basedOn w:val="DefaultParagraphFont"/>
    <w:link w:val="Footer"/>
    <w:uiPriority w:val="99"/>
    <w:rsid w:val="001567A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99"/>
    <w:qFormat/>
    <w:rsid w:val="001567A4"/>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1567A4"/>
    <w:rPr>
      <w:rFonts w:cs="Times New Roman"/>
    </w:rPr>
  </w:style>
  <w:style w:type="table" w:styleId="TableGrid">
    <w:name w:val="Table Grid"/>
    <w:basedOn w:val="TableNormal"/>
    <w:uiPriority w:val="99"/>
    <w:rsid w:val="001567A4"/>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1567A4"/>
    <w:rPr>
      <w:rFonts w:ascii="Times New Roman" w:hAnsi="Times New Roman" w:cs="Times New Roman"/>
      <w:bCs/>
      <w:sz w:val="24"/>
      <w:szCs w:val="24"/>
    </w:rPr>
  </w:style>
  <w:style w:type="paragraph" w:customStyle="1" w:styleId="Style2">
    <w:name w:val="Style2"/>
    <w:basedOn w:val="Normal"/>
    <w:next w:val="Normal"/>
    <w:link w:val="Style2Char"/>
    <w:uiPriority w:val="99"/>
    <w:rsid w:val="001567A4"/>
    <w:pPr>
      <w:spacing w:before="120" w:after="120"/>
      <w:ind w:left="720"/>
    </w:pPr>
  </w:style>
  <w:style w:type="character" w:customStyle="1" w:styleId="Style2Char">
    <w:name w:val="Style2 Char"/>
    <w:basedOn w:val="DefaultParagraphFont"/>
    <w:link w:val="Style2"/>
    <w:uiPriority w:val="99"/>
    <w:locked/>
    <w:rsid w:val="001567A4"/>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sid w:val="001567A4"/>
    <w:rPr>
      <w:rFonts w:cs="Times New Roman"/>
      <w:color w:val="0000FF"/>
      <w:u w:val="single"/>
    </w:rPr>
  </w:style>
  <w:style w:type="paragraph" w:styleId="TOAHeading">
    <w:name w:val="toa heading"/>
    <w:basedOn w:val="Normal"/>
    <w:next w:val="Normal"/>
    <w:uiPriority w:val="99"/>
    <w:rsid w:val="001567A4"/>
    <w:pPr>
      <w:spacing w:before="120"/>
    </w:pPr>
    <w:rPr>
      <w:rFonts w:ascii="Arial" w:hAnsi="Arial" w:cs="Arial"/>
      <w:b/>
      <w:bCs/>
    </w:rPr>
  </w:style>
  <w:style w:type="paragraph" w:customStyle="1" w:styleId="StyleStyle2Left1">
    <w:name w:val="Style Style2 + Left:  1&quot;"/>
    <w:basedOn w:val="Style2"/>
    <w:uiPriority w:val="99"/>
    <w:rsid w:val="001567A4"/>
    <w:pPr>
      <w:ind w:left="1440"/>
    </w:pPr>
    <w:rPr>
      <w:szCs w:val="20"/>
    </w:rPr>
  </w:style>
  <w:style w:type="paragraph" w:styleId="TOCHeading">
    <w:name w:val="TOC Heading"/>
    <w:basedOn w:val="Heading1"/>
    <w:next w:val="Normal"/>
    <w:uiPriority w:val="39"/>
    <w:qFormat/>
    <w:rsid w:val="001567A4"/>
    <w:pPr>
      <w:outlineLvl w:val="9"/>
    </w:pPr>
    <w:rPr>
      <w:lang w:eastAsia="ja-JP"/>
    </w:rPr>
  </w:style>
  <w:style w:type="paragraph" w:customStyle="1" w:styleId="block1">
    <w:name w:val="block1"/>
    <w:basedOn w:val="Normal"/>
    <w:uiPriority w:val="99"/>
    <w:rsid w:val="001567A4"/>
    <w:pPr>
      <w:widowControl/>
      <w:autoSpaceDE/>
      <w:autoSpaceDN/>
      <w:adjustRightInd/>
      <w:spacing w:before="100" w:beforeAutospacing="1" w:after="100" w:afterAutospacing="1"/>
    </w:pPr>
    <w:rPr>
      <w:sz w:val="19"/>
      <w:szCs w:val="19"/>
    </w:rPr>
  </w:style>
  <w:style w:type="paragraph" w:styleId="NoSpacing">
    <w:name w:val="No Spacing"/>
    <w:uiPriority w:val="99"/>
    <w:qFormat/>
    <w:rsid w:val="001567A4"/>
    <w:pPr>
      <w:spacing w:after="0" w:line="240" w:lineRule="auto"/>
    </w:pPr>
    <w:rPr>
      <w:rFonts w:ascii="Calibri" w:eastAsia="Times New Roman" w:hAnsi="Calibri" w:cs="Times New Roman"/>
      <w:kern w:val="0"/>
      <w14:ligatures w14:val="none"/>
    </w:rPr>
  </w:style>
  <w:style w:type="paragraph" w:styleId="FootnoteText">
    <w:name w:val="footnote text"/>
    <w:basedOn w:val="Normal"/>
    <w:link w:val="FootnoteTextChar"/>
    <w:uiPriority w:val="99"/>
    <w:semiHidden/>
    <w:rsid w:val="001567A4"/>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rsid w:val="001567A4"/>
    <w:rPr>
      <w:rFonts w:ascii="Calibri" w:eastAsia="Times New Roman" w:hAnsi="Calibri" w:cs="Times New Roman"/>
      <w:kern w:val="0"/>
      <w:sz w:val="20"/>
      <w:szCs w:val="20"/>
      <w14:ligatures w14:val="none"/>
    </w:rPr>
  </w:style>
  <w:style w:type="paragraph" w:customStyle="1" w:styleId="Default">
    <w:name w:val="Default"/>
    <w:rsid w:val="001567A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rsid w:val="001567A4"/>
    <w:rPr>
      <w:rFonts w:cs="Times New Roman"/>
      <w:sz w:val="16"/>
      <w:szCs w:val="16"/>
    </w:rPr>
  </w:style>
  <w:style w:type="paragraph" w:styleId="CommentText">
    <w:name w:val="annotation text"/>
    <w:basedOn w:val="Normal"/>
    <w:link w:val="CommentTextChar"/>
    <w:uiPriority w:val="99"/>
    <w:semiHidden/>
    <w:rsid w:val="001567A4"/>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1567A4"/>
    <w:rPr>
      <w:rFonts w:ascii="Calibri" w:eastAsia="Times New Roman" w:hAnsi="Calibri" w:cs="Calibri"/>
      <w:kern w:val="0"/>
      <w:sz w:val="20"/>
      <w:szCs w:val="20"/>
      <w14:ligatures w14:val="none"/>
    </w:rPr>
  </w:style>
  <w:style w:type="character" w:styleId="FollowedHyperlink">
    <w:name w:val="FollowedHyperlink"/>
    <w:basedOn w:val="DefaultParagraphFont"/>
    <w:uiPriority w:val="99"/>
    <w:semiHidden/>
    <w:rsid w:val="001567A4"/>
    <w:rPr>
      <w:rFonts w:cs="Times New Roman"/>
      <w:color w:val="800080"/>
      <w:u w:val="single"/>
    </w:rPr>
  </w:style>
  <w:style w:type="paragraph" w:styleId="TOC3">
    <w:name w:val="toc 3"/>
    <w:basedOn w:val="Normal"/>
    <w:next w:val="Normal"/>
    <w:autoRedefine/>
    <w:uiPriority w:val="39"/>
    <w:rsid w:val="001567A4"/>
    <w:pPr>
      <w:ind w:left="480"/>
    </w:pPr>
    <w:rPr>
      <w:rFonts w:ascii="Calibri" w:hAnsi="Calibri" w:cs="Calibri"/>
      <w:i/>
      <w:iCs/>
      <w:sz w:val="20"/>
      <w:szCs w:val="20"/>
    </w:rPr>
  </w:style>
  <w:style w:type="paragraph" w:styleId="TOC4">
    <w:name w:val="toc 4"/>
    <w:basedOn w:val="Normal"/>
    <w:next w:val="Normal"/>
    <w:autoRedefine/>
    <w:uiPriority w:val="99"/>
    <w:rsid w:val="001567A4"/>
    <w:pPr>
      <w:ind w:left="720"/>
    </w:pPr>
    <w:rPr>
      <w:rFonts w:ascii="Calibri" w:hAnsi="Calibri" w:cs="Calibri"/>
      <w:sz w:val="18"/>
      <w:szCs w:val="18"/>
    </w:rPr>
  </w:style>
  <w:style w:type="paragraph" w:styleId="TOC5">
    <w:name w:val="toc 5"/>
    <w:basedOn w:val="Normal"/>
    <w:next w:val="Normal"/>
    <w:autoRedefine/>
    <w:uiPriority w:val="99"/>
    <w:rsid w:val="001567A4"/>
    <w:pPr>
      <w:ind w:left="960"/>
    </w:pPr>
    <w:rPr>
      <w:rFonts w:ascii="Calibri" w:hAnsi="Calibri" w:cs="Calibri"/>
      <w:sz w:val="18"/>
      <w:szCs w:val="18"/>
    </w:rPr>
  </w:style>
  <w:style w:type="paragraph" w:styleId="TOC6">
    <w:name w:val="toc 6"/>
    <w:basedOn w:val="Normal"/>
    <w:next w:val="Normal"/>
    <w:autoRedefine/>
    <w:uiPriority w:val="99"/>
    <w:rsid w:val="001567A4"/>
    <w:pPr>
      <w:ind w:left="1200"/>
    </w:pPr>
    <w:rPr>
      <w:rFonts w:ascii="Calibri" w:hAnsi="Calibri" w:cs="Calibri"/>
      <w:sz w:val="18"/>
      <w:szCs w:val="18"/>
    </w:rPr>
  </w:style>
  <w:style w:type="paragraph" w:styleId="TOC7">
    <w:name w:val="toc 7"/>
    <w:basedOn w:val="Normal"/>
    <w:next w:val="Normal"/>
    <w:autoRedefine/>
    <w:uiPriority w:val="99"/>
    <w:rsid w:val="001567A4"/>
    <w:pPr>
      <w:ind w:left="1440"/>
    </w:pPr>
    <w:rPr>
      <w:rFonts w:ascii="Calibri" w:hAnsi="Calibri" w:cs="Calibri"/>
      <w:sz w:val="18"/>
      <w:szCs w:val="18"/>
    </w:rPr>
  </w:style>
  <w:style w:type="paragraph" w:styleId="TOC8">
    <w:name w:val="toc 8"/>
    <w:basedOn w:val="Normal"/>
    <w:next w:val="Normal"/>
    <w:autoRedefine/>
    <w:uiPriority w:val="99"/>
    <w:rsid w:val="001567A4"/>
    <w:pPr>
      <w:ind w:left="1680"/>
    </w:pPr>
    <w:rPr>
      <w:rFonts w:ascii="Calibri" w:hAnsi="Calibri" w:cs="Calibri"/>
      <w:sz w:val="18"/>
      <w:szCs w:val="18"/>
    </w:rPr>
  </w:style>
  <w:style w:type="paragraph" w:styleId="TOC9">
    <w:name w:val="toc 9"/>
    <w:basedOn w:val="Normal"/>
    <w:next w:val="Normal"/>
    <w:autoRedefine/>
    <w:uiPriority w:val="99"/>
    <w:rsid w:val="001567A4"/>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1567A4"/>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567A4"/>
    <w:rPr>
      <w:rFonts w:ascii="Times New Roman" w:eastAsia="Times New Roman" w:hAnsi="Times New Roman" w:cs="Times New Roman"/>
      <w:b/>
      <w:bCs/>
      <w:kern w:val="0"/>
      <w:sz w:val="20"/>
      <w:szCs w:val="20"/>
      <w14:ligatures w14:val="none"/>
    </w:rPr>
  </w:style>
  <w:style w:type="table" w:customStyle="1" w:styleId="TableGrid1">
    <w:name w:val="Table Grid1"/>
    <w:basedOn w:val="TableNormal"/>
    <w:next w:val="TableGrid"/>
    <w:uiPriority w:val="59"/>
    <w:rsid w:val="001567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7A4"/>
    <w:pPr>
      <w:spacing w:after="0" w:line="240" w:lineRule="auto"/>
    </w:pPr>
    <w:rPr>
      <w:rFonts w:ascii="Times New Roman" w:eastAsia="Times New Roman" w:hAnsi="Times New Roman" w:cs="Times New Roman"/>
      <w:kern w:val="0"/>
      <w:sz w:val="24"/>
      <w:szCs w:val="24"/>
      <w14:ligatures w14:val="none"/>
    </w:rPr>
  </w:style>
  <w:style w:type="character" w:styleId="SubtleReference">
    <w:name w:val="Subtle Reference"/>
    <w:basedOn w:val="DefaultParagraphFont"/>
    <w:uiPriority w:val="31"/>
    <w:qFormat/>
    <w:rsid w:val="001567A4"/>
    <w:rPr>
      <w:smallCaps/>
      <w:color w:val="ED7D31" w:themeColor="accent2"/>
      <w:u w:val="single"/>
    </w:rPr>
  </w:style>
  <w:style w:type="paragraph" w:styleId="NormalWeb">
    <w:name w:val="Normal (Web)"/>
    <w:basedOn w:val="Normal"/>
    <w:uiPriority w:val="99"/>
    <w:unhideWhenUsed/>
    <w:rsid w:val="001567A4"/>
  </w:style>
  <w:style w:type="table" w:customStyle="1" w:styleId="TableGrid5">
    <w:name w:val="Table Grid5"/>
    <w:basedOn w:val="TableNormal"/>
    <w:next w:val="TableGrid"/>
    <w:rsid w:val="001567A4"/>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567A4"/>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1567A4"/>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E20D7D"/>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qFormat/>
    <w:rsid w:val="007073D3"/>
    <w:pPr>
      <w:adjustRightInd/>
      <w:spacing w:after="120"/>
    </w:pPr>
    <w:rPr>
      <w:rFonts w:ascii="Calibri" w:eastAsia="Calibri" w:hAnsi="Calibri" w:cs="Calibri"/>
    </w:rPr>
  </w:style>
  <w:style w:type="paragraph" w:customStyle="1" w:styleId="xmsonormal">
    <w:name w:val="x_msonormal"/>
    <w:basedOn w:val="Normal"/>
    <w:rsid w:val="00F41425"/>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E6211"/>
    <w:rPr>
      <w:color w:val="605E5C"/>
      <w:shd w:val="clear" w:color="auto" w:fill="E1DFDD"/>
    </w:rPr>
  </w:style>
  <w:style w:type="character" w:customStyle="1" w:styleId="cf01">
    <w:name w:val="cf01"/>
    <w:basedOn w:val="DefaultParagraphFont"/>
    <w:rsid w:val="009E20C1"/>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27">
      <w:bodyDiv w:val="1"/>
      <w:marLeft w:val="0"/>
      <w:marRight w:val="0"/>
      <w:marTop w:val="0"/>
      <w:marBottom w:val="0"/>
      <w:divBdr>
        <w:top w:val="none" w:sz="0" w:space="0" w:color="auto"/>
        <w:left w:val="none" w:sz="0" w:space="0" w:color="auto"/>
        <w:bottom w:val="none" w:sz="0" w:space="0" w:color="auto"/>
        <w:right w:val="none" w:sz="0" w:space="0" w:color="auto"/>
      </w:divBdr>
    </w:div>
    <w:div w:id="695696960">
      <w:bodyDiv w:val="1"/>
      <w:marLeft w:val="0"/>
      <w:marRight w:val="0"/>
      <w:marTop w:val="0"/>
      <w:marBottom w:val="0"/>
      <w:divBdr>
        <w:top w:val="none" w:sz="0" w:space="0" w:color="auto"/>
        <w:left w:val="none" w:sz="0" w:space="0" w:color="auto"/>
        <w:bottom w:val="none" w:sz="0" w:space="0" w:color="auto"/>
        <w:right w:val="none" w:sz="0" w:space="0" w:color="auto"/>
      </w:divBdr>
    </w:div>
    <w:div w:id="884217590">
      <w:bodyDiv w:val="1"/>
      <w:marLeft w:val="0"/>
      <w:marRight w:val="0"/>
      <w:marTop w:val="0"/>
      <w:marBottom w:val="0"/>
      <w:divBdr>
        <w:top w:val="none" w:sz="0" w:space="0" w:color="auto"/>
        <w:left w:val="none" w:sz="0" w:space="0" w:color="auto"/>
        <w:bottom w:val="none" w:sz="0" w:space="0" w:color="auto"/>
        <w:right w:val="none" w:sz="0" w:space="0" w:color="auto"/>
      </w:divBdr>
    </w:div>
    <w:div w:id="1029256957">
      <w:bodyDiv w:val="1"/>
      <w:marLeft w:val="0"/>
      <w:marRight w:val="0"/>
      <w:marTop w:val="0"/>
      <w:marBottom w:val="0"/>
      <w:divBdr>
        <w:top w:val="none" w:sz="0" w:space="0" w:color="auto"/>
        <w:left w:val="none" w:sz="0" w:space="0" w:color="auto"/>
        <w:bottom w:val="none" w:sz="0" w:space="0" w:color="auto"/>
        <w:right w:val="none" w:sz="0" w:space="0" w:color="auto"/>
      </w:divBdr>
    </w:div>
    <w:div w:id="1321150838">
      <w:bodyDiv w:val="1"/>
      <w:marLeft w:val="0"/>
      <w:marRight w:val="0"/>
      <w:marTop w:val="0"/>
      <w:marBottom w:val="0"/>
      <w:divBdr>
        <w:top w:val="none" w:sz="0" w:space="0" w:color="auto"/>
        <w:left w:val="none" w:sz="0" w:space="0" w:color="auto"/>
        <w:bottom w:val="none" w:sz="0" w:space="0" w:color="auto"/>
        <w:right w:val="none" w:sz="0" w:space="0" w:color="auto"/>
      </w:divBdr>
    </w:div>
    <w:div w:id="1629316684">
      <w:bodyDiv w:val="1"/>
      <w:marLeft w:val="0"/>
      <w:marRight w:val="0"/>
      <w:marTop w:val="0"/>
      <w:marBottom w:val="0"/>
      <w:divBdr>
        <w:top w:val="none" w:sz="0" w:space="0" w:color="auto"/>
        <w:left w:val="none" w:sz="0" w:space="0" w:color="auto"/>
        <w:bottom w:val="none" w:sz="0" w:space="0" w:color="auto"/>
        <w:right w:val="none" w:sz="0" w:space="0" w:color="auto"/>
      </w:divBdr>
    </w:div>
    <w:div w:id="1730418957">
      <w:bodyDiv w:val="1"/>
      <w:marLeft w:val="0"/>
      <w:marRight w:val="0"/>
      <w:marTop w:val="0"/>
      <w:marBottom w:val="0"/>
      <w:divBdr>
        <w:top w:val="none" w:sz="0" w:space="0" w:color="auto"/>
        <w:left w:val="none" w:sz="0" w:space="0" w:color="auto"/>
        <w:bottom w:val="none" w:sz="0" w:space="0" w:color="auto"/>
        <w:right w:val="none" w:sz="0" w:space="0" w:color="auto"/>
      </w:divBdr>
    </w:div>
    <w:div w:id="1805417740">
      <w:bodyDiv w:val="1"/>
      <w:marLeft w:val="0"/>
      <w:marRight w:val="0"/>
      <w:marTop w:val="0"/>
      <w:marBottom w:val="0"/>
      <w:divBdr>
        <w:top w:val="none" w:sz="0" w:space="0" w:color="auto"/>
        <w:left w:val="none" w:sz="0" w:space="0" w:color="auto"/>
        <w:bottom w:val="none" w:sz="0" w:space="0" w:color="auto"/>
        <w:right w:val="none" w:sz="0" w:space="0" w:color="auto"/>
      </w:divBdr>
    </w:div>
    <w:div w:id="18896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69BB-3A55-4ED9-9A08-D6FBF8E7D22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39</Pages>
  <Words>13671</Words>
  <Characters>77925</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Charlene Bianca B - OSHA</dc:creator>
  <cp:keywords/>
  <dc:description/>
  <cp:lastModifiedBy>Smith, Suzanne M. - OSHA</cp:lastModifiedBy>
  <cp:revision>2</cp:revision>
  <cp:lastPrinted>2024-05-07T16:38:00Z</cp:lastPrinted>
  <dcterms:created xsi:type="dcterms:W3CDTF">2024-06-17T13:31:00Z</dcterms:created>
  <dcterms:modified xsi:type="dcterms:W3CDTF">2024-06-17T13:31:00Z</dcterms:modified>
</cp:coreProperties>
</file>