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823E7" w14:textId="77777777" w:rsidR="005A77DB" w:rsidRPr="005A77DB" w:rsidRDefault="005A77DB" w:rsidP="004F2502">
      <w:pPr>
        <w:keepNext/>
        <w:outlineLvl w:val="1"/>
        <w:rPr>
          <w:b/>
          <w:sz w:val="36"/>
          <w:szCs w:val="20"/>
          <w:lang w:val="x-none" w:eastAsia="x-none"/>
        </w:rPr>
      </w:pPr>
    </w:p>
    <w:p w14:paraId="4EFAAAF4" w14:textId="77777777" w:rsidR="005A77DB" w:rsidRPr="005A77DB" w:rsidRDefault="005A77DB" w:rsidP="005A77DB">
      <w:pPr>
        <w:widowControl w:val="0"/>
        <w:autoSpaceDE w:val="0"/>
        <w:autoSpaceDN w:val="0"/>
        <w:adjustRightInd w:val="0"/>
        <w:rPr>
          <w:rFonts w:ascii="Tahoma" w:hAnsi="Tahoma" w:cs="Tahoma"/>
        </w:rPr>
      </w:pPr>
    </w:p>
    <w:p w14:paraId="017D3DB8" w14:textId="77777777" w:rsidR="005A77DB" w:rsidRPr="005A77DB" w:rsidRDefault="00997553" w:rsidP="005A77DB">
      <w:pPr>
        <w:widowControl w:val="0"/>
        <w:autoSpaceDE w:val="0"/>
        <w:autoSpaceDN w:val="0"/>
        <w:adjustRightInd w:val="0"/>
        <w:jc w:val="center"/>
        <w:rPr>
          <w:rFonts w:ascii="Tahoma" w:hAnsi="Tahoma" w:cs="Tahoma"/>
        </w:rPr>
      </w:pPr>
      <w:r>
        <w:rPr>
          <w:noProof/>
        </w:rPr>
        <w:drawing>
          <wp:anchor distT="0" distB="0" distL="114300" distR="114300" simplePos="0" relativeHeight="251659264" behindDoc="1" locked="0" layoutInCell="1" allowOverlap="1" wp14:anchorId="42F03AB9" wp14:editId="51445901">
            <wp:simplePos x="0" y="0"/>
            <wp:positionH relativeFrom="column">
              <wp:posOffset>2459355</wp:posOffset>
            </wp:positionH>
            <wp:positionV relativeFrom="paragraph">
              <wp:posOffset>10160</wp:posOffset>
            </wp:positionV>
            <wp:extent cx="1323975" cy="133350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55E9C" w14:textId="77777777" w:rsidR="005A77DB" w:rsidRPr="005A77DB" w:rsidRDefault="005A77DB" w:rsidP="005A77DB">
      <w:pPr>
        <w:widowControl w:val="0"/>
        <w:autoSpaceDE w:val="0"/>
        <w:autoSpaceDN w:val="0"/>
        <w:adjustRightInd w:val="0"/>
        <w:rPr>
          <w:rFonts w:ascii="Tahoma" w:hAnsi="Tahoma" w:cs="Tahoma"/>
        </w:rPr>
      </w:pPr>
    </w:p>
    <w:p w14:paraId="14FB6B4E" w14:textId="77777777" w:rsidR="005A77DB" w:rsidRPr="005A77DB" w:rsidRDefault="005A77DB" w:rsidP="005A77DB">
      <w:pPr>
        <w:widowControl w:val="0"/>
        <w:autoSpaceDE w:val="0"/>
        <w:autoSpaceDN w:val="0"/>
        <w:adjustRightInd w:val="0"/>
        <w:rPr>
          <w:rFonts w:ascii="Tahoma" w:hAnsi="Tahoma" w:cs="Tahoma"/>
        </w:rPr>
      </w:pPr>
    </w:p>
    <w:p w14:paraId="0C504C1B" w14:textId="77777777" w:rsidR="005A77DB" w:rsidRPr="005A77DB" w:rsidRDefault="005A77DB" w:rsidP="005A77DB">
      <w:pPr>
        <w:widowControl w:val="0"/>
        <w:autoSpaceDE w:val="0"/>
        <w:autoSpaceDN w:val="0"/>
        <w:adjustRightInd w:val="0"/>
        <w:rPr>
          <w:rFonts w:ascii="Tahoma" w:hAnsi="Tahoma" w:cs="Tahoma"/>
        </w:rPr>
      </w:pPr>
    </w:p>
    <w:p w14:paraId="7F846732" w14:textId="77777777" w:rsidR="005A77DB" w:rsidRPr="005A77DB" w:rsidRDefault="005A77DB" w:rsidP="005A77DB">
      <w:pPr>
        <w:widowControl w:val="0"/>
        <w:autoSpaceDE w:val="0"/>
        <w:autoSpaceDN w:val="0"/>
        <w:adjustRightInd w:val="0"/>
        <w:rPr>
          <w:rFonts w:ascii="Tahoma" w:hAnsi="Tahoma" w:cs="Tahoma"/>
        </w:rPr>
      </w:pPr>
    </w:p>
    <w:p w14:paraId="1577DCA2" w14:textId="77777777" w:rsidR="005A77DB" w:rsidRPr="005A77DB" w:rsidRDefault="005A77DB" w:rsidP="005A77DB">
      <w:pPr>
        <w:widowControl w:val="0"/>
        <w:autoSpaceDE w:val="0"/>
        <w:autoSpaceDN w:val="0"/>
        <w:adjustRightInd w:val="0"/>
        <w:jc w:val="center"/>
        <w:rPr>
          <w:rFonts w:ascii="Tahoma" w:hAnsi="Tahoma" w:cs="Tahoma"/>
        </w:rPr>
      </w:pPr>
    </w:p>
    <w:p w14:paraId="3257E2E2" w14:textId="77777777" w:rsidR="005A77DB" w:rsidRPr="005A77DB" w:rsidRDefault="005A77DB" w:rsidP="005A77DB">
      <w:pPr>
        <w:widowControl w:val="0"/>
        <w:autoSpaceDE w:val="0"/>
        <w:autoSpaceDN w:val="0"/>
        <w:adjustRightInd w:val="0"/>
        <w:jc w:val="center"/>
        <w:rPr>
          <w:sz w:val="56"/>
          <w:szCs w:val="56"/>
        </w:rPr>
      </w:pPr>
    </w:p>
    <w:p w14:paraId="70A7BC22" w14:textId="77777777" w:rsidR="005A77DB" w:rsidRDefault="005A77DB" w:rsidP="005A77DB">
      <w:pPr>
        <w:widowControl w:val="0"/>
        <w:autoSpaceDE w:val="0"/>
        <w:autoSpaceDN w:val="0"/>
        <w:adjustRightInd w:val="0"/>
        <w:jc w:val="center"/>
        <w:rPr>
          <w:sz w:val="56"/>
          <w:szCs w:val="56"/>
        </w:rPr>
      </w:pPr>
    </w:p>
    <w:p w14:paraId="38FD0FCF" w14:textId="77777777" w:rsidR="00BE0494" w:rsidRPr="005A77DB" w:rsidRDefault="00BE0494" w:rsidP="005A77DB">
      <w:pPr>
        <w:widowControl w:val="0"/>
        <w:autoSpaceDE w:val="0"/>
        <w:autoSpaceDN w:val="0"/>
        <w:adjustRightInd w:val="0"/>
        <w:jc w:val="center"/>
        <w:rPr>
          <w:sz w:val="56"/>
          <w:szCs w:val="56"/>
        </w:rPr>
      </w:pPr>
    </w:p>
    <w:p w14:paraId="6DE961DB" w14:textId="0B00825D" w:rsidR="005A77DB" w:rsidRPr="005A77DB" w:rsidRDefault="005A77DB" w:rsidP="005A77DB">
      <w:pPr>
        <w:widowControl w:val="0"/>
        <w:autoSpaceDE w:val="0"/>
        <w:autoSpaceDN w:val="0"/>
        <w:adjustRightInd w:val="0"/>
        <w:jc w:val="center"/>
        <w:rPr>
          <w:sz w:val="56"/>
          <w:szCs w:val="56"/>
        </w:rPr>
      </w:pPr>
      <w:r w:rsidRPr="005A77DB">
        <w:rPr>
          <w:sz w:val="56"/>
          <w:szCs w:val="56"/>
        </w:rPr>
        <w:t xml:space="preserve">Kentucky </w:t>
      </w:r>
      <w:r w:rsidR="0065631A">
        <w:rPr>
          <w:sz w:val="56"/>
          <w:szCs w:val="56"/>
        </w:rPr>
        <w:t xml:space="preserve">Education and </w:t>
      </w:r>
      <w:r w:rsidRPr="005A77DB">
        <w:rPr>
          <w:sz w:val="56"/>
          <w:szCs w:val="56"/>
        </w:rPr>
        <w:t>Labor Cabinet</w:t>
      </w:r>
    </w:p>
    <w:p w14:paraId="2D5BF1FD" w14:textId="77777777" w:rsidR="005A77DB" w:rsidRPr="005A77DB" w:rsidRDefault="005A77DB" w:rsidP="005A77DB">
      <w:pPr>
        <w:widowControl w:val="0"/>
        <w:autoSpaceDE w:val="0"/>
        <w:autoSpaceDN w:val="0"/>
        <w:adjustRightInd w:val="0"/>
        <w:jc w:val="center"/>
        <w:rPr>
          <w:sz w:val="48"/>
          <w:szCs w:val="48"/>
        </w:rPr>
      </w:pPr>
      <w:r w:rsidRPr="005A77DB">
        <w:rPr>
          <w:sz w:val="48"/>
          <w:szCs w:val="48"/>
        </w:rPr>
        <w:t>Occupational Safety and Health Program</w:t>
      </w:r>
    </w:p>
    <w:p w14:paraId="52E324D6" w14:textId="77777777" w:rsidR="005A77DB" w:rsidRPr="005A77DB" w:rsidRDefault="005A77DB" w:rsidP="005A77DB">
      <w:pPr>
        <w:keepNext/>
        <w:jc w:val="center"/>
        <w:outlineLvl w:val="1"/>
        <w:rPr>
          <w:b/>
          <w:sz w:val="28"/>
          <w:szCs w:val="28"/>
          <w:lang w:val="x-none" w:eastAsia="x-none"/>
        </w:rPr>
      </w:pPr>
    </w:p>
    <w:p w14:paraId="6F08F96F" w14:textId="77777777" w:rsidR="005A77DB" w:rsidRPr="005A77DB" w:rsidRDefault="005A77DB" w:rsidP="005A77DB">
      <w:pPr>
        <w:keepNext/>
        <w:jc w:val="center"/>
        <w:outlineLvl w:val="1"/>
        <w:rPr>
          <w:b/>
          <w:sz w:val="28"/>
          <w:szCs w:val="28"/>
          <w:lang w:val="x-none" w:eastAsia="x-none"/>
        </w:rPr>
      </w:pPr>
    </w:p>
    <w:p w14:paraId="46561368" w14:textId="77777777" w:rsidR="005A77DB" w:rsidRPr="00FA2D35" w:rsidRDefault="005A77DB" w:rsidP="005A77DB">
      <w:pPr>
        <w:widowControl w:val="0"/>
        <w:autoSpaceDE w:val="0"/>
        <w:autoSpaceDN w:val="0"/>
        <w:adjustRightInd w:val="0"/>
        <w:jc w:val="center"/>
        <w:outlineLvl w:val="0"/>
        <w:rPr>
          <w:sz w:val="32"/>
          <w:szCs w:val="32"/>
        </w:rPr>
      </w:pPr>
      <w:r w:rsidRPr="00FA2D35">
        <w:rPr>
          <w:sz w:val="32"/>
          <w:szCs w:val="32"/>
        </w:rPr>
        <w:t xml:space="preserve">RESPONSE </w:t>
      </w:r>
    </w:p>
    <w:p w14:paraId="6F334ED3" w14:textId="77777777" w:rsidR="005A77DB" w:rsidRPr="004B37CB" w:rsidRDefault="005A77DB" w:rsidP="005A77DB">
      <w:pPr>
        <w:widowControl w:val="0"/>
        <w:autoSpaceDE w:val="0"/>
        <w:autoSpaceDN w:val="0"/>
        <w:adjustRightInd w:val="0"/>
        <w:jc w:val="center"/>
        <w:outlineLvl w:val="0"/>
        <w:rPr>
          <w:sz w:val="28"/>
          <w:szCs w:val="28"/>
        </w:rPr>
      </w:pPr>
    </w:p>
    <w:p w14:paraId="1E63F0E3" w14:textId="77777777" w:rsidR="005A77DB" w:rsidRPr="00FA2D35" w:rsidRDefault="005A77DB" w:rsidP="005A77DB">
      <w:pPr>
        <w:widowControl w:val="0"/>
        <w:autoSpaceDE w:val="0"/>
        <w:autoSpaceDN w:val="0"/>
        <w:adjustRightInd w:val="0"/>
        <w:jc w:val="center"/>
        <w:outlineLvl w:val="0"/>
        <w:rPr>
          <w:sz w:val="32"/>
          <w:szCs w:val="32"/>
        </w:rPr>
      </w:pPr>
      <w:r w:rsidRPr="00FA2D35">
        <w:rPr>
          <w:sz w:val="32"/>
          <w:szCs w:val="32"/>
        </w:rPr>
        <w:t xml:space="preserve">to </w:t>
      </w:r>
    </w:p>
    <w:p w14:paraId="7B1CEE3B" w14:textId="77777777" w:rsidR="005A77DB" w:rsidRPr="004B37CB" w:rsidRDefault="005A77DB" w:rsidP="005A77DB">
      <w:pPr>
        <w:widowControl w:val="0"/>
        <w:autoSpaceDE w:val="0"/>
        <w:autoSpaceDN w:val="0"/>
        <w:adjustRightInd w:val="0"/>
        <w:jc w:val="center"/>
        <w:outlineLvl w:val="0"/>
        <w:rPr>
          <w:sz w:val="28"/>
          <w:szCs w:val="28"/>
        </w:rPr>
      </w:pPr>
    </w:p>
    <w:p w14:paraId="1FEC4F5D" w14:textId="725393F6" w:rsidR="005A77DB" w:rsidRPr="00FA2D35" w:rsidRDefault="005A77DB" w:rsidP="005A77DB">
      <w:pPr>
        <w:widowControl w:val="0"/>
        <w:autoSpaceDE w:val="0"/>
        <w:autoSpaceDN w:val="0"/>
        <w:adjustRightInd w:val="0"/>
        <w:jc w:val="center"/>
        <w:outlineLvl w:val="0"/>
        <w:rPr>
          <w:sz w:val="32"/>
          <w:szCs w:val="32"/>
        </w:rPr>
      </w:pPr>
      <w:r w:rsidRPr="00FA2D35">
        <w:rPr>
          <w:sz w:val="32"/>
          <w:szCs w:val="32"/>
        </w:rPr>
        <w:t>FEDERAL ANNUAL MONITORING EVALUATION</w:t>
      </w:r>
      <w:r w:rsidR="009C5AB3">
        <w:rPr>
          <w:sz w:val="32"/>
          <w:szCs w:val="32"/>
        </w:rPr>
        <w:t xml:space="preserve"> REPORT</w:t>
      </w:r>
    </w:p>
    <w:p w14:paraId="47AD5510" w14:textId="77777777" w:rsidR="005A77DB" w:rsidRPr="004B37CB" w:rsidRDefault="005A77DB" w:rsidP="005A77DB">
      <w:pPr>
        <w:widowControl w:val="0"/>
        <w:autoSpaceDE w:val="0"/>
        <w:autoSpaceDN w:val="0"/>
        <w:adjustRightInd w:val="0"/>
        <w:jc w:val="center"/>
        <w:rPr>
          <w:sz w:val="28"/>
          <w:szCs w:val="28"/>
        </w:rPr>
      </w:pPr>
    </w:p>
    <w:p w14:paraId="5FA51C14" w14:textId="77777777" w:rsidR="005A77DB" w:rsidRPr="00FA2D35" w:rsidRDefault="00B60CBA" w:rsidP="005A77DB">
      <w:pPr>
        <w:widowControl w:val="0"/>
        <w:autoSpaceDE w:val="0"/>
        <w:autoSpaceDN w:val="0"/>
        <w:adjustRightInd w:val="0"/>
        <w:jc w:val="center"/>
        <w:rPr>
          <w:sz w:val="28"/>
          <w:szCs w:val="28"/>
        </w:rPr>
      </w:pPr>
      <w:r w:rsidRPr="00FA2D35">
        <w:rPr>
          <w:sz w:val="28"/>
          <w:szCs w:val="28"/>
        </w:rPr>
        <w:t>f</w:t>
      </w:r>
      <w:r w:rsidR="005A77DB" w:rsidRPr="00FA2D35">
        <w:rPr>
          <w:sz w:val="28"/>
          <w:szCs w:val="28"/>
        </w:rPr>
        <w:t>or</w:t>
      </w:r>
    </w:p>
    <w:p w14:paraId="5C33203A" w14:textId="77777777" w:rsidR="00B60CBA" w:rsidRPr="004B37CB" w:rsidRDefault="00B60CBA" w:rsidP="005A77DB">
      <w:pPr>
        <w:widowControl w:val="0"/>
        <w:autoSpaceDE w:val="0"/>
        <w:autoSpaceDN w:val="0"/>
        <w:adjustRightInd w:val="0"/>
        <w:jc w:val="center"/>
        <w:rPr>
          <w:sz w:val="28"/>
          <w:szCs w:val="28"/>
        </w:rPr>
      </w:pPr>
    </w:p>
    <w:p w14:paraId="30683FAA" w14:textId="1E124842" w:rsidR="005A77DB" w:rsidRPr="00FA2D35" w:rsidRDefault="003F47EE" w:rsidP="00B60CBA">
      <w:pPr>
        <w:widowControl w:val="0"/>
        <w:autoSpaceDE w:val="0"/>
        <w:autoSpaceDN w:val="0"/>
        <w:adjustRightInd w:val="0"/>
        <w:jc w:val="center"/>
        <w:rPr>
          <w:sz w:val="32"/>
          <w:szCs w:val="32"/>
        </w:rPr>
      </w:pPr>
      <w:r>
        <w:rPr>
          <w:sz w:val="32"/>
          <w:szCs w:val="32"/>
        </w:rPr>
        <w:t>FEDERAL FISCAL YEAR 202</w:t>
      </w:r>
      <w:r w:rsidR="00FE5BC0">
        <w:rPr>
          <w:sz w:val="32"/>
          <w:szCs w:val="32"/>
        </w:rPr>
        <w:t>3</w:t>
      </w:r>
    </w:p>
    <w:p w14:paraId="2A5F3A7F" w14:textId="77777777" w:rsidR="005A77DB" w:rsidRPr="005A77DB" w:rsidRDefault="005A77DB" w:rsidP="005A77DB">
      <w:pPr>
        <w:widowControl w:val="0"/>
        <w:autoSpaceDE w:val="0"/>
        <w:autoSpaceDN w:val="0"/>
        <w:adjustRightInd w:val="0"/>
        <w:jc w:val="center"/>
        <w:rPr>
          <w:sz w:val="36"/>
          <w:szCs w:val="36"/>
        </w:rPr>
      </w:pPr>
    </w:p>
    <w:p w14:paraId="2253D688" w14:textId="6306B3BB" w:rsidR="005A77DB" w:rsidRDefault="005A77DB" w:rsidP="002E1078">
      <w:pPr>
        <w:widowControl w:val="0"/>
        <w:autoSpaceDE w:val="0"/>
        <w:autoSpaceDN w:val="0"/>
        <w:adjustRightInd w:val="0"/>
        <w:jc w:val="center"/>
        <w:rPr>
          <w:sz w:val="28"/>
          <w:szCs w:val="28"/>
        </w:rPr>
      </w:pPr>
    </w:p>
    <w:p w14:paraId="0C2CA48E" w14:textId="77777777" w:rsidR="00622AAC" w:rsidRPr="005A77DB" w:rsidRDefault="00622AAC" w:rsidP="002E1078">
      <w:pPr>
        <w:widowControl w:val="0"/>
        <w:autoSpaceDE w:val="0"/>
        <w:autoSpaceDN w:val="0"/>
        <w:adjustRightInd w:val="0"/>
        <w:jc w:val="center"/>
        <w:rPr>
          <w:sz w:val="28"/>
          <w:szCs w:val="28"/>
        </w:rPr>
      </w:pPr>
    </w:p>
    <w:p w14:paraId="0559E252" w14:textId="1329FE61" w:rsidR="005A77DB" w:rsidRDefault="002E1078" w:rsidP="005A77DB">
      <w:pPr>
        <w:spacing w:after="200" w:line="276" w:lineRule="auto"/>
        <w:rPr>
          <w:b/>
        </w:rPr>
      </w:pPr>
      <w:r>
        <w:rPr>
          <w:noProof/>
        </w:rPr>
        <w:drawing>
          <wp:anchor distT="0" distB="0" distL="114300" distR="114300" simplePos="0" relativeHeight="251660288" behindDoc="0" locked="0" layoutInCell="1" allowOverlap="1" wp14:anchorId="0C0A658D" wp14:editId="4617550D">
            <wp:simplePos x="0" y="0"/>
            <wp:positionH relativeFrom="column">
              <wp:posOffset>1771650</wp:posOffset>
            </wp:positionH>
            <wp:positionV relativeFrom="paragraph">
              <wp:posOffset>315595</wp:posOffset>
            </wp:positionV>
            <wp:extent cx="2298700" cy="1200150"/>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7DB" w:rsidRPr="005A77DB">
        <w:rPr>
          <w:b/>
        </w:rPr>
        <w:br w:type="page"/>
      </w:r>
    </w:p>
    <w:p w14:paraId="644C1F21" w14:textId="77777777" w:rsidR="00D10AA0" w:rsidRPr="00D10AA0" w:rsidRDefault="00D10AA0" w:rsidP="00E960C2">
      <w:pPr>
        <w:pStyle w:val="NoSpacing"/>
        <w:rPr>
          <w:b/>
        </w:rPr>
      </w:pPr>
      <w:r w:rsidRPr="00D10AA0">
        <w:rPr>
          <w:b/>
        </w:rPr>
        <w:lastRenderedPageBreak/>
        <w:t xml:space="preserve">I. </w:t>
      </w:r>
      <w:r w:rsidR="00180B85">
        <w:rPr>
          <w:b/>
        </w:rPr>
        <w:t>COMMENT</w:t>
      </w:r>
      <w:r w:rsidRPr="00D10AA0">
        <w:rPr>
          <w:b/>
        </w:rPr>
        <w:t xml:space="preserve"> REGARDING FAME REPORT</w:t>
      </w:r>
    </w:p>
    <w:p w14:paraId="57532FCB" w14:textId="77777777" w:rsidR="00D10AA0" w:rsidRDefault="00D10AA0" w:rsidP="0013647B">
      <w:pPr>
        <w:pStyle w:val="NoSpacing"/>
      </w:pPr>
    </w:p>
    <w:p w14:paraId="655B55A1" w14:textId="3B59F9EE" w:rsidR="0013544E" w:rsidRDefault="0013544E" w:rsidP="0013544E">
      <w:pPr>
        <w:rPr>
          <w:bCs/>
        </w:rPr>
      </w:pPr>
      <w:r w:rsidRPr="00600149">
        <w:rPr>
          <w:bCs/>
        </w:rPr>
        <w:t xml:space="preserve">From </w:t>
      </w:r>
      <w:r>
        <w:rPr>
          <w:bCs/>
        </w:rPr>
        <w:t>January 8</w:t>
      </w:r>
      <w:r w:rsidRPr="00600149">
        <w:rPr>
          <w:bCs/>
        </w:rPr>
        <w:t xml:space="preserve"> through </w:t>
      </w:r>
      <w:r>
        <w:rPr>
          <w:bCs/>
        </w:rPr>
        <w:t xml:space="preserve">January </w:t>
      </w:r>
      <w:r w:rsidRPr="0021121B">
        <w:rPr>
          <w:bCs/>
        </w:rPr>
        <w:t>11</w:t>
      </w:r>
      <w:r>
        <w:rPr>
          <w:bCs/>
        </w:rPr>
        <w:t>, 2024</w:t>
      </w:r>
      <w:r w:rsidRPr="00600149">
        <w:rPr>
          <w:bCs/>
        </w:rPr>
        <w:t xml:space="preserve">, </w:t>
      </w:r>
      <w:r w:rsidR="004127AC">
        <w:rPr>
          <w:bCs/>
        </w:rPr>
        <w:t xml:space="preserve">the </w:t>
      </w:r>
      <w:r w:rsidRPr="00600149">
        <w:rPr>
          <w:bCs/>
        </w:rPr>
        <w:t>O</w:t>
      </w:r>
      <w:r w:rsidR="004127AC">
        <w:rPr>
          <w:bCs/>
        </w:rPr>
        <w:t xml:space="preserve">ccupational </w:t>
      </w:r>
      <w:r w:rsidRPr="00600149">
        <w:rPr>
          <w:bCs/>
        </w:rPr>
        <w:t>S</w:t>
      </w:r>
      <w:r w:rsidR="004127AC">
        <w:rPr>
          <w:bCs/>
        </w:rPr>
        <w:t xml:space="preserve">afety and </w:t>
      </w:r>
      <w:r w:rsidRPr="00600149">
        <w:rPr>
          <w:bCs/>
        </w:rPr>
        <w:t>H</w:t>
      </w:r>
      <w:r w:rsidR="004127AC">
        <w:rPr>
          <w:bCs/>
        </w:rPr>
        <w:t xml:space="preserve">ealth </w:t>
      </w:r>
      <w:r w:rsidRPr="00600149">
        <w:rPr>
          <w:bCs/>
        </w:rPr>
        <w:t>A</w:t>
      </w:r>
      <w:r w:rsidR="004127AC">
        <w:rPr>
          <w:bCs/>
        </w:rPr>
        <w:t>dministration (“OSHA”)</w:t>
      </w:r>
      <w:r w:rsidRPr="00600149">
        <w:rPr>
          <w:bCs/>
        </w:rPr>
        <w:t xml:space="preserve"> conducted an evaluation of </w:t>
      </w:r>
      <w:r>
        <w:rPr>
          <w:bCs/>
        </w:rPr>
        <w:t>Kentucky’</w:t>
      </w:r>
      <w:r w:rsidRPr="00600149">
        <w:rPr>
          <w:bCs/>
        </w:rPr>
        <w:t>s</w:t>
      </w:r>
      <w:r>
        <w:rPr>
          <w:bCs/>
        </w:rPr>
        <w:t xml:space="preserve"> </w:t>
      </w:r>
      <w:r w:rsidRPr="0021121B">
        <w:rPr>
          <w:bCs/>
        </w:rPr>
        <w:t>enforcement and consultation program</w:t>
      </w:r>
      <w:r w:rsidRPr="00600149">
        <w:rPr>
          <w:bCs/>
        </w:rPr>
        <w:t xml:space="preserve">. </w:t>
      </w:r>
      <w:r>
        <w:rPr>
          <w:bCs/>
        </w:rPr>
        <w:t xml:space="preserve"> </w:t>
      </w:r>
      <w:r w:rsidR="004127AC">
        <w:rPr>
          <w:bCs/>
        </w:rPr>
        <w:t xml:space="preserve">OSHA’s </w:t>
      </w:r>
      <w:r>
        <w:rPr>
          <w:bCs/>
        </w:rPr>
        <w:t xml:space="preserve">evaluation </w:t>
      </w:r>
      <w:r w:rsidRPr="00600149">
        <w:rPr>
          <w:bCs/>
        </w:rPr>
        <w:t xml:space="preserve">team consisted of </w:t>
      </w:r>
      <w:r>
        <w:rPr>
          <w:bCs/>
        </w:rPr>
        <w:t>twelve (12)</w:t>
      </w:r>
      <w:r w:rsidR="00B514D6">
        <w:rPr>
          <w:bCs/>
        </w:rPr>
        <w:t xml:space="preserve"> </w:t>
      </w:r>
      <w:r w:rsidR="00805A84">
        <w:rPr>
          <w:bCs/>
        </w:rPr>
        <w:t xml:space="preserve">OSHA </w:t>
      </w:r>
      <w:r>
        <w:rPr>
          <w:bCs/>
        </w:rPr>
        <w:t xml:space="preserve">individuals </w:t>
      </w:r>
      <w:r w:rsidR="004127AC">
        <w:rPr>
          <w:bCs/>
        </w:rPr>
        <w:t xml:space="preserve">who </w:t>
      </w:r>
      <w:r w:rsidRPr="00600149">
        <w:rPr>
          <w:bCs/>
        </w:rPr>
        <w:t>reviewed 1</w:t>
      </w:r>
      <w:r>
        <w:rPr>
          <w:bCs/>
        </w:rPr>
        <w:t>03</w:t>
      </w:r>
      <w:r w:rsidRPr="00600149">
        <w:rPr>
          <w:bCs/>
        </w:rPr>
        <w:t xml:space="preserve"> safety and health inspection </w:t>
      </w:r>
      <w:r w:rsidR="00805A84">
        <w:rPr>
          <w:bCs/>
        </w:rPr>
        <w:t>case</w:t>
      </w:r>
      <w:r w:rsidRPr="00600149">
        <w:rPr>
          <w:bCs/>
        </w:rPr>
        <w:t>files</w:t>
      </w:r>
      <w:r>
        <w:rPr>
          <w:bCs/>
        </w:rPr>
        <w:t>,</w:t>
      </w:r>
      <w:r w:rsidRPr="00600149">
        <w:rPr>
          <w:bCs/>
        </w:rPr>
        <w:t xml:space="preserve"> </w:t>
      </w:r>
      <w:r>
        <w:rPr>
          <w:bCs/>
        </w:rPr>
        <w:t>twenty-six (26)</w:t>
      </w:r>
      <w:r w:rsidRPr="00600149">
        <w:rPr>
          <w:bCs/>
        </w:rPr>
        <w:t xml:space="preserve"> whistleblower investigation </w:t>
      </w:r>
      <w:r w:rsidR="00805A84">
        <w:rPr>
          <w:bCs/>
        </w:rPr>
        <w:t>case</w:t>
      </w:r>
      <w:r w:rsidRPr="00600149">
        <w:rPr>
          <w:bCs/>
        </w:rPr>
        <w:t xml:space="preserve">files, </w:t>
      </w:r>
      <w:r>
        <w:rPr>
          <w:bCs/>
        </w:rPr>
        <w:t xml:space="preserve">and thirty-three (33) consultation </w:t>
      </w:r>
      <w:r w:rsidR="00805A84">
        <w:rPr>
          <w:bCs/>
        </w:rPr>
        <w:t>case</w:t>
      </w:r>
      <w:r>
        <w:rPr>
          <w:bCs/>
        </w:rPr>
        <w:t>files</w:t>
      </w:r>
      <w:r w:rsidR="00805A84">
        <w:rPr>
          <w:bCs/>
        </w:rPr>
        <w:t xml:space="preserve">.  The casefiles </w:t>
      </w:r>
      <w:r w:rsidRPr="00600149">
        <w:rPr>
          <w:bCs/>
        </w:rPr>
        <w:t xml:space="preserve">were randomly selected from </w:t>
      </w:r>
      <w:r>
        <w:rPr>
          <w:bCs/>
        </w:rPr>
        <w:t>846</w:t>
      </w:r>
      <w:r w:rsidRPr="00600149">
        <w:rPr>
          <w:bCs/>
        </w:rPr>
        <w:t xml:space="preserve"> </w:t>
      </w:r>
      <w:r w:rsidR="00805A84">
        <w:rPr>
          <w:bCs/>
        </w:rPr>
        <w:t xml:space="preserve">enforcement </w:t>
      </w:r>
      <w:r w:rsidRPr="00600149">
        <w:rPr>
          <w:bCs/>
        </w:rPr>
        <w:t>inspections</w:t>
      </w:r>
      <w:r>
        <w:rPr>
          <w:bCs/>
        </w:rPr>
        <w:t>, 142</w:t>
      </w:r>
      <w:r w:rsidRPr="00600149">
        <w:rPr>
          <w:bCs/>
        </w:rPr>
        <w:t xml:space="preserve"> whistleblower investigations</w:t>
      </w:r>
      <w:r>
        <w:rPr>
          <w:bCs/>
        </w:rPr>
        <w:t>, and 366 consultation visits</w:t>
      </w:r>
      <w:r w:rsidRPr="00600149">
        <w:rPr>
          <w:bCs/>
        </w:rPr>
        <w:t xml:space="preserve"> </w:t>
      </w:r>
      <w:r>
        <w:rPr>
          <w:bCs/>
        </w:rPr>
        <w:t xml:space="preserve">Kentucky </w:t>
      </w:r>
      <w:r w:rsidRPr="00600149">
        <w:rPr>
          <w:bCs/>
        </w:rPr>
        <w:t>opened and closed</w:t>
      </w:r>
      <w:r>
        <w:rPr>
          <w:bCs/>
        </w:rPr>
        <w:t xml:space="preserve"> </w:t>
      </w:r>
      <w:r w:rsidRPr="00600149">
        <w:rPr>
          <w:bCs/>
        </w:rPr>
        <w:t xml:space="preserve">during </w:t>
      </w:r>
      <w:r w:rsidR="004127AC">
        <w:rPr>
          <w:bCs/>
        </w:rPr>
        <w:t xml:space="preserve">Federal </w:t>
      </w:r>
      <w:r w:rsidRPr="00600149">
        <w:rPr>
          <w:bCs/>
        </w:rPr>
        <w:t>F</w:t>
      </w:r>
      <w:r w:rsidR="004127AC">
        <w:rPr>
          <w:bCs/>
        </w:rPr>
        <w:t xml:space="preserve">iscal </w:t>
      </w:r>
      <w:r w:rsidRPr="00600149">
        <w:rPr>
          <w:bCs/>
        </w:rPr>
        <w:t>Y</w:t>
      </w:r>
      <w:r w:rsidR="004127AC">
        <w:rPr>
          <w:bCs/>
        </w:rPr>
        <w:t>ear (FFY)</w:t>
      </w:r>
      <w:r w:rsidRPr="00600149">
        <w:rPr>
          <w:bCs/>
        </w:rPr>
        <w:t xml:space="preserve"> 2023. </w:t>
      </w:r>
      <w:r>
        <w:rPr>
          <w:bCs/>
        </w:rPr>
        <w:t xml:space="preserve"> </w:t>
      </w:r>
      <w:r w:rsidR="004127AC">
        <w:rPr>
          <w:bCs/>
        </w:rPr>
        <w:t>OSHA reviewed t</w:t>
      </w:r>
      <w:r w:rsidRPr="00600149">
        <w:rPr>
          <w:bCs/>
        </w:rPr>
        <w:t xml:space="preserve">he </w:t>
      </w:r>
      <w:r w:rsidR="00B514D6">
        <w:rPr>
          <w:bCs/>
        </w:rPr>
        <w:t>casefiles</w:t>
      </w:r>
      <w:r w:rsidR="00B9199C">
        <w:rPr>
          <w:bCs/>
        </w:rPr>
        <w:t xml:space="preserve"> in</w:t>
      </w:r>
      <w:r w:rsidR="00B514D6">
        <w:rPr>
          <w:bCs/>
        </w:rPr>
        <w:t xml:space="preserve"> </w:t>
      </w:r>
      <w:r>
        <w:rPr>
          <w:bCs/>
        </w:rPr>
        <w:t>Frankfort</w:t>
      </w:r>
      <w:r w:rsidR="00AB6323">
        <w:rPr>
          <w:bCs/>
        </w:rPr>
        <w:t xml:space="preserve"> and</w:t>
      </w:r>
      <w:r w:rsidR="004127AC">
        <w:rPr>
          <w:bCs/>
        </w:rPr>
        <w:t xml:space="preserve"> all casefiles were</w:t>
      </w:r>
      <w:r w:rsidR="00AB6323">
        <w:rPr>
          <w:bCs/>
        </w:rPr>
        <w:t xml:space="preserve"> provided to OSHA in electronic format</w:t>
      </w:r>
      <w:r>
        <w:rPr>
          <w:bCs/>
        </w:rPr>
        <w:t>.</w:t>
      </w:r>
    </w:p>
    <w:p w14:paraId="7A5D3AE4" w14:textId="77777777" w:rsidR="0013544E" w:rsidRDefault="0013544E" w:rsidP="0013544E">
      <w:pPr>
        <w:pStyle w:val="NoSpacing"/>
      </w:pPr>
    </w:p>
    <w:p w14:paraId="7401C990" w14:textId="199BD625" w:rsidR="0013544E" w:rsidRDefault="00B514D6" w:rsidP="0013544E">
      <w:pPr>
        <w:pStyle w:val="NoSpacing"/>
      </w:pPr>
      <w:r>
        <w:t xml:space="preserve">OSHA did not provide </w:t>
      </w:r>
      <w:r w:rsidR="0013544E">
        <w:t>Kentucky feedback</w:t>
      </w:r>
      <w:r>
        <w:t>, briefings, questions</w:t>
      </w:r>
      <w:r w:rsidR="004D64D1">
        <w:t>, etc.</w:t>
      </w:r>
      <w:r>
        <w:t xml:space="preserve"> </w:t>
      </w:r>
      <w:r w:rsidR="0013544E">
        <w:t xml:space="preserve">regarding </w:t>
      </w:r>
      <w:r w:rsidR="004D64D1">
        <w:t>Kentucky</w:t>
      </w:r>
      <w:r w:rsidR="00E511B2">
        <w:t xml:space="preserve"> </w:t>
      </w:r>
      <w:r>
        <w:t>casefile</w:t>
      </w:r>
      <w:r w:rsidR="004D64D1">
        <w:t>s</w:t>
      </w:r>
      <w:r>
        <w:t xml:space="preserve"> </w:t>
      </w:r>
      <w:r w:rsidR="004D64D1">
        <w:t xml:space="preserve">during their five (5) day in person onsite evaluation.  </w:t>
      </w:r>
      <w:r>
        <w:t xml:space="preserve">After OSHA completed their review of Kentucky casefiles, OSHA provided Kentucky casefile review comments compiled by the various </w:t>
      </w:r>
      <w:r w:rsidR="00E511B2">
        <w:t xml:space="preserve">OSHA </w:t>
      </w:r>
      <w:r>
        <w:t>reviewers.  Every casefile comment provided to Kentucky was reviewed</w:t>
      </w:r>
      <w:r w:rsidR="00E511B2">
        <w:t xml:space="preserve"> by Kentucky</w:t>
      </w:r>
      <w:r>
        <w:t xml:space="preserve">.  </w:t>
      </w:r>
      <w:r w:rsidR="00E511B2">
        <w:t>I</w:t>
      </w:r>
      <w:r>
        <w:t xml:space="preserve">t </w:t>
      </w:r>
      <w:r w:rsidR="00E511B2">
        <w:t>wa</w:t>
      </w:r>
      <w:r>
        <w:t xml:space="preserve">s apparent </w:t>
      </w:r>
      <w:r w:rsidR="00E511B2">
        <w:t xml:space="preserve">after reviewing OSHA’s casefile comments </w:t>
      </w:r>
      <w:r>
        <w:t>that</w:t>
      </w:r>
      <w:r w:rsidR="00E511B2">
        <w:t xml:space="preserve"> OSHA </w:t>
      </w:r>
      <w:r>
        <w:t xml:space="preserve">reviewers </w:t>
      </w:r>
      <w:r w:rsidR="00E511B2">
        <w:t>overlooked</w:t>
      </w:r>
      <w:r>
        <w:t xml:space="preserve"> </w:t>
      </w:r>
      <w:r w:rsidR="00E511B2">
        <w:t xml:space="preserve">pertinent </w:t>
      </w:r>
      <w:r>
        <w:t>Kentucky casefile</w:t>
      </w:r>
      <w:r w:rsidR="00E511B2">
        <w:t xml:space="preserve"> documentation</w:t>
      </w:r>
      <w:r>
        <w:t>.  In one (1) instance, a</w:t>
      </w:r>
      <w:r w:rsidR="00E511B2">
        <w:t xml:space="preserve">n OSHA </w:t>
      </w:r>
      <w:r>
        <w:t xml:space="preserve">reviewer </w:t>
      </w:r>
      <w:r w:rsidR="00E511B2">
        <w:t xml:space="preserve">overlooked </w:t>
      </w:r>
      <w:r>
        <w:t xml:space="preserve">a 500+ page appendix.  The appendix was provided with the </w:t>
      </w:r>
      <w:r w:rsidR="00E511B2">
        <w:t>casefile,</w:t>
      </w:r>
      <w:r>
        <w:t xml:space="preserve"> yet the review</w:t>
      </w:r>
      <w:r w:rsidR="00E511B2">
        <w:t>er</w:t>
      </w:r>
      <w:r>
        <w:t xml:space="preserve"> </w:t>
      </w:r>
      <w:r w:rsidR="00E511B2">
        <w:t>overlooked</w:t>
      </w:r>
      <w:r>
        <w:t xml:space="preserve"> it.  There were several other instances where </w:t>
      </w:r>
      <w:r w:rsidR="00E511B2">
        <w:t xml:space="preserve">OSHA casefile </w:t>
      </w:r>
      <w:r>
        <w:t xml:space="preserve">reviewers </w:t>
      </w:r>
      <w:r w:rsidR="00E511B2">
        <w:t xml:space="preserve">overlooked </w:t>
      </w:r>
      <w:r>
        <w:t xml:space="preserve">pertinent </w:t>
      </w:r>
      <w:r w:rsidR="00E511B2">
        <w:t>Kentucky casefile documentation</w:t>
      </w:r>
      <w:r>
        <w:t>.</w:t>
      </w:r>
    </w:p>
    <w:p w14:paraId="7260BD91" w14:textId="77777777" w:rsidR="0013544E" w:rsidRDefault="0013544E" w:rsidP="0013544E">
      <w:pPr>
        <w:pStyle w:val="NoSpacing"/>
      </w:pPr>
    </w:p>
    <w:p w14:paraId="2D777514" w14:textId="7B0C1C97" w:rsidR="00805A84" w:rsidRDefault="00B514D6" w:rsidP="0013544E">
      <w:pPr>
        <w:pStyle w:val="NoSpacing"/>
      </w:pPr>
      <w:r>
        <w:t xml:space="preserve">It was also apparent that </w:t>
      </w:r>
      <w:r w:rsidR="00E511B2">
        <w:t xml:space="preserve">OSHA </w:t>
      </w:r>
      <w:r>
        <w:t xml:space="preserve">reviewers evaluated Kentucky casefiles as if they were federal casefiles.  </w:t>
      </w:r>
      <w:r w:rsidR="001044D2">
        <w:t xml:space="preserve">(That may explain some reviewers’ inability to find pertinent casefile </w:t>
      </w:r>
      <w:r w:rsidR="00E511B2">
        <w:t xml:space="preserve">documentation; </w:t>
      </w:r>
      <w:r w:rsidR="0047234E">
        <w:t>however,</w:t>
      </w:r>
      <w:r w:rsidR="00E511B2">
        <w:t xml:space="preserve"> i</w:t>
      </w:r>
      <w:r w:rsidR="001044D2">
        <w:t xml:space="preserve">t does not explain why OSHA </w:t>
      </w:r>
      <w:r w:rsidR="00E511B2">
        <w:t>did not</w:t>
      </w:r>
      <w:r w:rsidR="001044D2">
        <w:t xml:space="preserve"> communicate </w:t>
      </w:r>
      <w:r w:rsidR="00E511B2">
        <w:t xml:space="preserve">their inability </w:t>
      </w:r>
      <w:r w:rsidR="001044D2">
        <w:t xml:space="preserve">to locate pertinent </w:t>
      </w:r>
      <w:r w:rsidR="00EE2C3B">
        <w:t>documentation or request assistance</w:t>
      </w:r>
      <w:r w:rsidR="001044D2">
        <w:t xml:space="preserve">.)  </w:t>
      </w:r>
      <w:r w:rsidR="00B17642">
        <w:t>For instance, t</w:t>
      </w:r>
      <w:r w:rsidR="001044D2">
        <w:t xml:space="preserve">here were several instances of an OSHA reviewer(s) commenting that a Kentucky casefile(s) did not meet legal sufficiency.  The </w:t>
      </w:r>
      <w:r w:rsidR="00EE2C3B">
        <w:t xml:space="preserve">OSHA </w:t>
      </w:r>
      <w:r w:rsidR="001044D2">
        <w:t xml:space="preserve">reviewer was neither an attorney nor versed in Kentucky case law.  The </w:t>
      </w:r>
      <w:r w:rsidR="00EE2C3B">
        <w:t xml:space="preserve">OSHA </w:t>
      </w:r>
      <w:r w:rsidR="001044D2">
        <w:t>reviewer</w:t>
      </w:r>
      <w:r w:rsidR="003B2299">
        <w:t xml:space="preserve"> </w:t>
      </w:r>
      <w:r w:rsidR="001044D2">
        <w:t xml:space="preserve">comments were </w:t>
      </w:r>
      <w:r w:rsidR="00A47FD0">
        <w:t>evidently</w:t>
      </w:r>
      <w:r w:rsidR="001044D2">
        <w:t xml:space="preserve"> based on federal legal criteria.  Kentucky casefiles are not constructed to meet OSHA legal requirements; they are constructed to meet Kentucky legal requirements.</w:t>
      </w:r>
      <w:r w:rsidR="00805A84">
        <w:t xml:space="preserve">  There </w:t>
      </w:r>
      <w:r w:rsidR="0047234E">
        <w:t xml:space="preserve">were </w:t>
      </w:r>
      <w:r w:rsidR="00805A84">
        <w:t xml:space="preserve">several other instances </w:t>
      </w:r>
      <w:r w:rsidR="0047234E">
        <w:t xml:space="preserve">of </w:t>
      </w:r>
      <w:r w:rsidR="00805A84">
        <w:t>OSHA</w:t>
      </w:r>
      <w:r w:rsidR="003B2299">
        <w:t>’s “</w:t>
      </w:r>
      <w:r w:rsidR="00805A84">
        <w:t xml:space="preserve">federal lens” evaluation of Kentucky casefiles. </w:t>
      </w:r>
    </w:p>
    <w:p w14:paraId="76D1BAF6" w14:textId="77777777" w:rsidR="00805A84" w:rsidRDefault="00805A84" w:rsidP="0013544E">
      <w:pPr>
        <w:pStyle w:val="NoSpacing"/>
      </w:pPr>
    </w:p>
    <w:p w14:paraId="5ACBA1B9" w14:textId="08D0F71F" w:rsidR="0013544E" w:rsidRDefault="00805A84" w:rsidP="0013544E">
      <w:pPr>
        <w:pStyle w:val="NoSpacing"/>
      </w:pPr>
      <w:r>
        <w:t xml:space="preserve">Kentucky learned during OSHA’s onsite evaluation that most of </w:t>
      </w:r>
      <w:r w:rsidR="009149C6">
        <w:t>OSHA’s</w:t>
      </w:r>
      <w:r>
        <w:t xml:space="preserve"> reviewers had not taken any FAME training that OSHA specifically developed for </w:t>
      </w:r>
      <w:r w:rsidR="009149C6">
        <w:t>OSHA reviewers</w:t>
      </w:r>
      <w:r>
        <w:t>.</w:t>
      </w:r>
    </w:p>
    <w:p w14:paraId="3F30F8F4" w14:textId="77777777" w:rsidR="0013544E" w:rsidRDefault="0013544E" w:rsidP="0013544E">
      <w:pPr>
        <w:pStyle w:val="NoSpacing"/>
      </w:pPr>
    </w:p>
    <w:p w14:paraId="3596819B" w14:textId="31611DF9" w:rsidR="0013544E" w:rsidRDefault="0013544E" w:rsidP="0013544E">
      <w:pPr>
        <w:pStyle w:val="NoSpacing"/>
      </w:pPr>
      <w:r w:rsidRPr="00E8773C">
        <w:t xml:space="preserve">OSHA’s </w:t>
      </w:r>
      <w:r>
        <w:t>(FFY</w:t>
      </w:r>
      <w:r w:rsidRPr="00E8773C">
        <w:t xml:space="preserve"> 20</w:t>
      </w:r>
      <w:r>
        <w:t>23</w:t>
      </w:r>
      <w:r w:rsidRPr="00E8773C">
        <w:t xml:space="preserve"> Federal Annual Monitoring Evaluation (FAME) </w:t>
      </w:r>
      <w:r>
        <w:t xml:space="preserve">Report acknowledged Kentucky was </w:t>
      </w:r>
      <w:r w:rsidRPr="00981293">
        <w:t xml:space="preserve">successful meeting or exceeding all </w:t>
      </w:r>
      <w:r>
        <w:t>state p</w:t>
      </w:r>
      <w:r w:rsidRPr="00981293">
        <w:t xml:space="preserve">erformance </w:t>
      </w:r>
      <w:r>
        <w:t>p</w:t>
      </w:r>
      <w:r w:rsidRPr="00981293">
        <w:t>lan goals</w:t>
      </w:r>
      <w:r>
        <w:t>.  The FAME</w:t>
      </w:r>
      <w:r w:rsidR="00FB3CC1">
        <w:t xml:space="preserve"> Report</w:t>
      </w:r>
      <w:r>
        <w:t xml:space="preserve"> identified two (2) continued findings from the FFY 2022</w:t>
      </w:r>
      <w:r w:rsidRPr="00E4036E">
        <w:t xml:space="preserve"> </w:t>
      </w:r>
      <w:r>
        <w:t>Follow-up FAME</w:t>
      </w:r>
      <w:r w:rsidR="00FD7DE5">
        <w:t xml:space="preserve"> Report</w:t>
      </w:r>
      <w:r>
        <w:t xml:space="preserve"> </w:t>
      </w:r>
      <w:r w:rsidRPr="00E4036E">
        <w:t xml:space="preserve">and two </w:t>
      </w:r>
      <w:r>
        <w:t>(2) o</w:t>
      </w:r>
      <w:r w:rsidRPr="00E4036E">
        <w:t xml:space="preserve">bservations, one </w:t>
      </w:r>
      <w:r>
        <w:t xml:space="preserve">(1) </w:t>
      </w:r>
      <w:r w:rsidRPr="00E4036E">
        <w:t xml:space="preserve">new observation and one </w:t>
      </w:r>
      <w:r>
        <w:t xml:space="preserve">(1) </w:t>
      </w:r>
      <w:r w:rsidRPr="00E4036E">
        <w:t>observation continued</w:t>
      </w:r>
      <w:r>
        <w:t xml:space="preserve"> from FFY 2022.</w:t>
      </w:r>
    </w:p>
    <w:p w14:paraId="3373323E" w14:textId="77777777" w:rsidR="0013544E" w:rsidRDefault="0013544E" w:rsidP="0013544E">
      <w:pPr>
        <w:pStyle w:val="NoSpacing"/>
      </w:pPr>
    </w:p>
    <w:p w14:paraId="752FB537" w14:textId="06E4F638" w:rsidR="00E07649" w:rsidRPr="0035634D" w:rsidRDefault="00AD5B24" w:rsidP="0035634D">
      <w:pPr>
        <w:pStyle w:val="NoSpacing"/>
      </w:pPr>
      <w:r>
        <w:t xml:space="preserve">One (1) </w:t>
      </w:r>
      <w:r w:rsidR="00FD7DE5">
        <w:t xml:space="preserve">FFY 2023 </w:t>
      </w:r>
      <w:r>
        <w:t xml:space="preserve">finding and one (1) </w:t>
      </w:r>
      <w:r w:rsidR="00FD7DE5">
        <w:t xml:space="preserve">FFY 2023 </w:t>
      </w:r>
      <w:r>
        <w:t xml:space="preserve">observation are based on </w:t>
      </w:r>
      <w:r w:rsidR="009238E0">
        <w:t xml:space="preserve">Kentucky data that are outside OSHA’s further review level (FRL) for two (2) different performance guides, referred to as </w:t>
      </w:r>
      <w:r>
        <w:rPr>
          <w:rFonts w:eastAsia="Calibri"/>
        </w:rPr>
        <w:t>State Activity Mandated Measure</w:t>
      </w:r>
      <w:r w:rsidR="009238E0">
        <w:rPr>
          <w:rFonts w:eastAsia="Calibri"/>
        </w:rPr>
        <w:t xml:space="preserve">s (SAMM).  </w:t>
      </w:r>
    </w:p>
    <w:p w14:paraId="357377AB" w14:textId="7CBA4F2B" w:rsidR="00AD5B24" w:rsidRPr="009238E0" w:rsidRDefault="00AD5B24" w:rsidP="0013647B">
      <w:pPr>
        <w:pStyle w:val="NoSpacing"/>
        <w:rPr>
          <w:bCs/>
        </w:rPr>
      </w:pPr>
    </w:p>
    <w:p w14:paraId="478ED9CA" w14:textId="6E0DBD61" w:rsidR="00DF1BDD" w:rsidRDefault="00DF1BDD" w:rsidP="0013647B">
      <w:pPr>
        <w:pStyle w:val="NoSpacing"/>
        <w:rPr>
          <w:b/>
        </w:rPr>
      </w:pPr>
      <w:r>
        <w:lastRenderedPageBreak/>
        <w:t xml:space="preserve">OSHA conducted </w:t>
      </w:r>
      <w:r w:rsidRPr="000E4ACE">
        <w:rPr>
          <w:b/>
          <w:bCs/>
        </w:rPr>
        <w:t>no</w:t>
      </w:r>
      <w:r>
        <w:t xml:space="preserve"> further review during the FFY 2023 FAME</w:t>
      </w:r>
      <w:r w:rsidR="00384BF1">
        <w:t xml:space="preserve"> </w:t>
      </w:r>
      <w:r>
        <w:t xml:space="preserve">to evaluate </w:t>
      </w:r>
      <w:r w:rsidR="00384BF1">
        <w:t>Kentucky metrics outside the FRL</w:t>
      </w:r>
      <w:r>
        <w:t xml:space="preserve">.  In fact, </w:t>
      </w:r>
      <w:r w:rsidR="00270F96">
        <w:t xml:space="preserve">during discussion regarding the FFY 2023 FAME Report, </w:t>
      </w:r>
      <w:r>
        <w:t xml:space="preserve">OSHA informed Kentucky that OSHA does not have time to conduct further review.  </w:t>
      </w:r>
    </w:p>
    <w:p w14:paraId="6F4C22A2" w14:textId="77777777" w:rsidR="00DF1BDD" w:rsidRDefault="00DF1BDD" w:rsidP="0013647B">
      <w:pPr>
        <w:pStyle w:val="NoSpacing"/>
        <w:rPr>
          <w:b/>
        </w:rPr>
      </w:pPr>
    </w:p>
    <w:p w14:paraId="4247FEF5" w14:textId="1241D7A5" w:rsidR="00F64F9F" w:rsidRDefault="00D10AA0" w:rsidP="0013647B">
      <w:pPr>
        <w:pStyle w:val="NoSpacing"/>
      </w:pPr>
      <w:r w:rsidRPr="009410CC">
        <w:rPr>
          <w:b/>
        </w:rPr>
        <w:t>II.</w:t>
      </w:r>
      <w:r w:rsidRPr="00BA40B3">
        <w:rPr>
          <w:b/>
        </w:rPr>
        <w:t xml:space="preserve"> </w:t>
      </w:r>
      <w:r>
        <w:rPr>
          <w:b/>
        </w:rPr>
        <w:t>OSHA</w:t>
      </w:r>
      <w:r w:rsidRPr="0049523F">
        <w:rPr>
          <w:b/>
        </w:rPr>
        <w:t xml:space="preserve"> </w:t>
      </w:r>
      <w:r>
        <w:rPr>
          <w:b/>
        </w:rPr>
        <w:t>FINDIN</w:t>
      </w:r>
      <w:r w:rsidRPr="004265FA">
        <w:rPr>
          <w:b/>
        </w:rPr>
        <w:t xml:space="preserve">GS, </w:t>
      </w:r>
      <w:r w:rsidR="004B37CB">
        <w:rPr>
          <w:b/>
        </w:rPr>
        <w:t xml:space="preserve">OBSERVATIONS, </w:t>
      </w:r>
      <w:r w:rsidRPr="004265FA">
        <w:rPr>
          <w:b/>
        </w:rPr>
        <w:t>an</w:t>
      </w:r>
      <w:r w:rsidRPr="0049523F">
        <w:rPr>
          <w:b/>
        </w:rPr>
        <w:t xml:space="preserve">d </w:t>
      </w:r>
      <w:r>
        <w:rPr>
          <w:b/>
        </w:rPr>
        <w:t>KENTUCKY RESPONSES</w:t>
      </w:r>
    </w:p>
    <w:p w14:paraId="5F0CE022" w14:textId="77777777" w:rsidR="00F64F9F" w:rsidRDefault="00F64F9F" w:rsidP="0013647B">
      <w:pPr>
        <w:pStyle w:val="NoSpacing"/>
      </w:pPr>
    </w:p>
    <w:p w14:paraId="0BFF5E1C" w14:textId="5C284181" w:rsidR="0013647B" w:rsidRDefault="00D10AA0" w:rsidP="001A049F">
      <w:pPr>
        <w:rPr>
          <w:rFonts w:cstheme="minorBidi"/>
          <w:b/>
        </w:rPr>
      </w:pPr>
      <w:r w:rsidRPr="00543679">
        <w:rPr>
          <w:rFonts w:cstheme="minorBidi"/>
          <w:b/>
        </w:rPr>
        <w:t xml:space="preserve">OSHA </w:t>
      </w:r>
      <w:r w:rsidR="0013647B" w:rsidRPr="00543679">
        <w:rPr>
          <w:rFonts w:cstheme="minorBidi"/>
          <w:b/>
        </w:rPr>
        <w:t>Finding FY 20</w:t>
      </w:r>
      <w:r w:rsidR="005C7E46">
        <w:rPr>
          <w:rFonts w:cstheme="minorBidi"/>
          <w:b/>
        </w:rPr>
        <w:t>2</w:t>
      </w:r>
      <w:r w:rsidR="00E4036E">
        <w:rPr>
          <w:rFonts w:cstheme="minorBidi"/>
          <w:b/>
        </w:rPr>
        <w:t>3</w:t>
      </w:r>
      <w:r w:rsidR="0013647B" w:rsidRPr="00543679">
        <w:rPr>
          <w:rFonts w:cstheme="minorBidi"/>
          <w:b/>
        </w:rPr>
        <w:t>-</w:t>
      </w:r>
      <w:r w:rsidR="00E4036E">
        <w:rPr>
          <w:rFonts w:cstheme="minorBidi"/>
          <w:b/>
        </w:rPr>
        <w:t>0</w:t>
      </w:r>
      <w:r w:rsidR="001A049F" w:rsidRPr="00543679">
        <w:rPr>
          <w:rFonts w:cstheme="minorBidi"/>
          <w:b/>
        </w:rPr>
        <w:t>1</w:t>
      </w:r>
      <w:r w:rsidR="0013647B" w:rsidRPr="00C56D59">
        <w:rPr>
          <w:rFonts w:cstheme="minorBidi"/>
          <w:b/>
        </w:rPr>
        <w:t xml:space="preserve"> </w:t>
      </w:r>
    </w:p>
    <w:p w14:paraId="4294A9D2" w14:textId="348A085F" w:rsidR="00EC67D5" w:rsidRDefault="00E4036E" w:rsidP="00EC67D5">
      <w:pPr>
        <w:pStyle w:val="BodyText"/>
        <w:ind w:right="581"/>
      </w:pPr>
      <w:r>
        <w:t>“</w:t>
      </w:r>
      <w:r w:rsidRPr="00E4036E">
        <w:t>In FY 2023, KY OSH had a significantly high average citation issuance lapse time for safety and health inspections, which were outside the FRLs.</w:t>
      </w:r>
      <w:r>
        <w:t>”</w:t>
      </w:r>
    </w:p>
    <w:p w14:paraId="51D3EC93" w14:textId="77777777" w:rsidR="00E4036E" w:rsidRDefault="00E4036E" w:rsidP="00EC67D5">
      <w:pPr>
        <w:pStyle w:val="BodyText"/>
        <w:ind w:right="581"/>
      </w:pPr>
    </w:p>
    <w:p w14:paraId="271D6FCC" w14:textId="6FF76D2A" w:rsidR="00EC67D5" w:rsidRPr="00EC67D5" w:rsidRDefault="00EC67D5" w:rsidP="00EC67D5">
      <w:pPr>
        <w:pStyle w:val="BodyText"/>
        <w:ind w:right="581"/>
        <w:rPr>
          <w:b/>
          <w:bCs/>
        </w:rPr>
      </w:pPr>
      <w:r w:rsidRPr="00EC67D5">
        <w:rPr>
          <w:b/>
          <w:bCs/>
        </w:rPr>
        <w:t xml:space="preserve">OSHA </w:t>
      </w:r>
      <w:r w:rsidR="00E4036E">
        <w:rPr>
          <w:b/>
          <w:bCs/>
        </w:rPr>
        <w:t>Recommendation</w:t>
      </w:r>
    </w:p>
    <w:p w14:paraId="6714FF92" w14:textId="24AE8770" w:rsidR="00EC67D5" w:rsidRDefault="00E4036E" w:rsidP="00303570">
      <w:pPr>
        <w:pStyle w:val="BodyText"/>
        <w:ind w:right="581"/>
      </w:pPr>
      <w:r>
        <w:t>“</w:t>
      </w:r>
      <w:r w:rsidRPr="00E4036E">
        <w:t>KY OSH should develop and implement a process to reduce the average lapse time for safety and health inspections to within the FRL range.</w:t>
      </w:r>
      <w:r>
        <w:t>”</w:t>
      </w:r>
    </w:p>
    <w:p w14:paraId="32881CA7" w14:textId="77777777" w:rsidR="00E4036E" w:rsidRDefault="00E4036E" w:rsidP="00303570">
      <w:pPr>
        <w:pStyle w:val="BodyText"/>
        <w:ind w:right="581"/>
      </w:pPr>
    </w:p>
    <w:p w14:paraId="35CA1D96" w14:textId="6967DDFE" w:rsidR="00E4036E" w:rsidRPr="00E4036E" w:rsidRDefault="00E4036E" w:rsidP="00303570">
      <w:pPr>
        <w:pStyle w:val="BodyText"/>
        <w:ind w:right="581"/>
        <w:rPr>
          <w:b/>
          <w:bCs/>
        </w:rPr>
      </w:pPr>
      <w:r w:rsidRPr="00E4036E">
        <w:rPr>
          <w:b/>
          <w:bCs/>
        </w:rPr>
        <w:t>State Response</w:t>
      </w:r>
    </w:p>
    <w:p w14:paraId="47FD8723" w14:textId="428759C5" w:rsidR="0051419C" w:rsidRDefault="00560777" w:rsidP="0051419C">
      <w:pPr>
        <w:tabs>
          <w:tab w:val="left" w:pos="720"/>
          <w:tab w:val="left" w:pos="1170"/>
          <w:tab w:val="left" w:pos="1350"/>
        </w:tabs>
        <w:contextualSpacing/>
        <w:rPr>
          <w:bCs/>
        </w:rPr>
      </w:pPr>
      <w:bookmarkStart w:id="0" w:name="_Hlk169879180"/>
      <w:r w:rsidRPr="00C36305">
        <w:rPr>
          <w:bCs/>
        </w:rPr>
        <w:t xml:space="preserve">Kentucky received </w:t>
      </w:r>
      <w:r w:rsidR="0051419C">
        <w:rPr>
          <w:bCs/>
        </w:rPr>
        <w:t>22</w:t>
      </w:r>
      <w:r w:rsidR="00E14D6B">
        <w:rPr>
          <w:bCs/>
        </w:rPr>
        <w:t>+</w:t>
      </w:r>
      <w:r w:rsidRPr="00C36305">
        <w:rPr>
          <w:bCs/>
        </w:rPr>
        <w:t>%</w:t>
      </w:r>
      <w:r w:rsidR="0051419C">
        <w:rPr>
          <w:bCs/>
        </w:rPr>
        <w:t xml:space="preserve"> more </w:t>
      </w:r>
      <w:r w:rsidRPr="00C36305">
        <w:rPr>
          <w:bCs/>
        </w:rPr>
        <w:t>complaints in FFY 202</w:t>
      </w:r>
      <w:r w:rsidR="0051419C">
        <w:rPr>
          <w:bCs/>
        </w:rPr>
        <w:t>3</w:t>
      </w:r>
      <w:r w:rsidRPr="00C36305">
        <w:rPr>
          <w:bCs/>
        </w:rPr>
        <w:t xml:space="preserve"> than FFY 202</w:t>
      </w:r>
      <w:r w:rsidR="0051419C">
        <w:rPr>
          <w:bCs/>
        </w:rPr>
        <w:t xml:space="preserve">2.  That is </w:t>
      </w:r>
      <w:r w:rsidR="00E14D6B">
        <w:rPr>
          <w:bCs/>
        </w:rPr>
        <w:t xml:space="preserve">in addition to </w:t>
      </w:r>
      <w:r w:rsidR="0051419C">
        <w:rPr>
          <w:bCs/>
        </w:rPr>
        <w:t xml:space="preserve">the </w:t>
      </w:r>
      <w:r w:rsidR="0051419C">
        <w:t>5</w:t>
      </w:r>
      <w:r w:rsidR="00E14D6B">
        <w:t>5+</w:t>
      </w:r>
      <w:r w:rsidR="0051419C">
        <w:t xml:space="preserve">% increase of complaints received in FFY 2022 from FFY 2021.  </w:t>
      </w:r>
      <w:bookmarkEnd w:id="0"/>
      <w:r w:rsidR="0051419C">
        <w:t xml:space="preserve">Since FFY 2021, Kentucky has experienced </w:t>
      </w:r>
      <w:r w:rsidR="00E14D6B">
        <w:t>an</w:t>
      </w:r>
      <w:r w:rsidR="0051419C">
        <w:t xml:space="preserve"> </w:t>
      </w:r>
      <w:r w:rsidR="00E14D6B">
        <w:t>89.5</w:t>
      </w:r>
      <w:r w:rsidR="0051419C">
        <w:t>% increase in complaints received.</w:t>
      </w:r>
      <w:r w:rsidR="00F51AE8">
        <w:t xml:space="preserve">  </w:t>
      </w:r>
      <w:r w:rsidR="00EE4944">
        <w:t xml:space="preserve">The extreme increase has </w:t>
      </w:r>
      <w:r w:rsidR="00EE4944" w:rsidRPr="00A65034">
        <w:t xml:space="preserve">tremendously impacted resources and Kentucky’s ability to </w:t>
      </w:r>
      <w:r w:rsidR="00A65034" w:rsidRPr="00A65034">
        <w:t>positively impact average lapse time</w:t>
      </w:r>
      <w:r w:rsidR="00980EF7">
        <w:t>.</w:t>
      </w:r>
    </w:p>
    <w:p w14:paraId="0DF8B980" w14:textId="77777777" w:rsidR="0051419C" w:rsidRDefault="0051419C" w:rsidP="0051419C">
      <w:pPr>
        <w:tabs>
          <w:tab w:val="left" w:pos="720"/>
          <w:tab w:val="left" w:pos="1170"/>
          <w:tab w:val="left" w:pos="1350"/>
        </w:tabs>
        <w:contextualSpacing/>
        <w:rPr>
          <w:bCs/>
        </w:rPr>
      </w:pPr>
    </w:p>
    <w:p w14:paraId="405779CD" w14:textId="3F2733A8" w:rsidR="0007342F" w:rsidRDefault="0051419C" w:rsidP="0051419C">
      <w:pPr>
        <w:tabs>
          <w:tab w:val="left" w:pos="720"/>
          <w:tab w:val="left" w:pos="1170"/>
          <w:tab w:val="left" w:pos="1350"/>
        </w:tabs>
        <w:contextualSpacing/>
        <w:rPr>
          <w:bCs/>
        </w:rPr>
      </w:pPr>
      <w:r>
        <w:rPr>
          <w:bCs/>
        </w:rPr>
        <w:t xml:space="preserve">Kentucky acknowledged in </w:t>
      </w:r>
      <w:r w:rsidR="00145D08">
        <w:rPr>
          <w:bCs/>
        </w:rPr>
        <w:t>its</w:t>
      </w:r>
      <w:r>
        <w:rPr>
          <w:bCs/>
        </w:rPr>
        <w:t xml:space="preserve"> FFY 202</w:t>
      </w:r>
      <w:r w:rsidR="004A3624">
        <w:rPr>
          <w:bCs/>
        </w:rPr>
        <w:t>2</w:t>
      </w:r>
      <w:r>
        <w:rPr>
          <w:bCs/>
        </w:rPr>
        <w:t xml:space="preserve"> Follow</w:t>
      </w:r>
      <w:r w:rsidR="001F20BD">
        <w:rPr>
          <w:bCs/>
        </w:rPr>
        <w:t>-u</w:t>
      </w:r>
      <w:r>
        <w:rPr>
          <w:bCs/>
        </w:rPr>
        <w:t xml:space="preserve">p Fame </w:t>
      </w:r>
      <w:r w:rsidR="00980EF7">
        <w:rPr>
          <w:bCs/>
        </w:rPr>
        <w:t xml:space="preserve">Report </w:t>
      </w:r>
      <w:r>
        <w:rPr>
          <w:bCs/>
        </w:rPr>
        <w:t>response that decreased enforcement staff</w:t>
      </w:r>
      <w:r w:rsidR="00145D08">
        <w:rPr>
          <w:bCs/>
        </w:rPr>
        <w:t>ing</w:t>
      </w:r>
      <w:r>
        <w:rPr>
          <w:bCs/>
        </w:rPr>
        <w:t xml:space="preserve"> had a direct, negative impact on lapse time</w:t>
      </w:r>
      <w:r w:rsidR="004A3624">
        <w:rPr>
          <w:bCs/>
        </w:rPr>
        <w:t xml:space="preserve"> in FFY 2022</w:t>
      </w:r>
      <w:r w:rsidR="00C92CA9">
        <w:rPr>
          <w:bCs/>
        </w:rPr>
        <w:t xml:space="preserve">; and, </w:t>
      </w:r>
      <w:r w:rsidR="008E63BE">
        <w:rPr>
          <w:bCs/>
        </w:rPr>
        <w:t xml:space="preserve">that </w:t>
      </w:r>
      <w:r w:rsidR="00C92CA9">
        <w:rPr>
          <w:bCs/>
        </w:rPr>
        <w:t xml:space="preserve">it </w:t>
      </w:r>
      <w:r>
        <w:rPr>
          <w:bCs/>
        </w:rPr>
        <w:t>would most likely continue in FFY 2023</w:t>
      </w:r>
      <w:r w:rsidR="00C92CA9">
        <w:rPr>
          <w:bCs/>
        </w:rPr>
        <w:t>.  I</w:t>
      </w:r>
      <w:r>
        <w:rPr>
          <w:bCs/>
        </w:rPr>
        <w:t>t did.</w:t>
      </w:r>
      <w:r w:rsidR="0007342F">
        <w:rPr>
          <w:bCs/>
        </w:rPr>
        <w:t xml:space="preserve">  </w:t>
      </w:r>
    </w:p>
    <w:p w14:paraId="51AA3916" w14:textId="77777777" w:rsidR="0007342F" w:rsidRDefault="0007342F" w:rsidP="0051419C">
      <w:pPr>
        <w:tabs>
          <w:tab w:val="left" w:pos="720"/>
          <w:tab w:val="left" w:pos="1170"/>
          <w:tab w:val="left" w:pos="1350"/>
        </w:tabs>
        <w:contextualSpacing/>
        <w:rPr>
          <w:bCs/>
        </w:rPr>
      </w:pPr>
    </w:p>
    <w:p w14:paraId="1E975D72" w14:textId="308DA8AB" w:rsidR="00CE773E" w:rsidRDefault="0007342F" w:rsidP="0051419C">
      <w:pPr>
        <w:tabs>
          <w:tab w:val="left" w:pos="720"/>
          <w:tab w:val="left" w:pos="1170"/>
          <w:tab w:val="left" w:pos="1350"/>
        </w:tabs>
        <w:contextualSpacing/>
        <w:rPr>
          <w:bCs/>
        </w:rPr>
      </w:pPr>
      <w:r>
        <w:rPr>
          <w:bCs/>
        </w:rPr>
        <w:t xml:space="preserve">OSHA </w:t>
      </w:r>
      <w:r w:rsidR="00F51AE8">
        <w:rPr>
          <w:bCs/>
        </w:rPr>
        <w:t xml:space="preserve">acknowledges </w:t>
      </w:r>
      <w:r w:rsidR="00145D08">
        <w:rPr>
          <w:bCs/>
        </w:rPr>
        <w:t xml:space="preserve">in the FFY 2023 FAME </w:t>
      </w:r>
      <w:r w:rsidR="00980EF7">
        <w:rPr>
          <w:bCs/>
        </w:rPr>
        <w:t xml:space="preserve">Report </w:t>
      </w:r>
      <w:r w:rsidR="00145D08">
        <w:rPr>
          <w:bCs/>
        </w:rPr>
        <w:t xml:space="preserve">that </w:t>
      </w:r>
      <w:r w:rsidR="00F51AE8">
        <w:rPr>
          <w:bCs/>
        </w:rPr>
        <w:t xml:space="preserve">Kentucky made progress reducing lapse time.  Furthermore, OSHA </w:t>
      </w:r>
      <w:r>
        <w:rPr>
          <w:bCs/>
        </w:rPr>
        <w:t xml:space="preserve">is aware </w:t>
      </w:r>
      <w:r w:rsidR="00F51AE8">
        <w:rPr>
          <w:bCs/>
        </w:rPr>
        <w:t xml:space="preserve">that </w:t>
      </w:r>
      <w:r>
        <w:rPr>
          <w:bCs/>
        </w:rPr>
        <w:t xml:space="preserve">Kentucky </w:t>
      </w:r>
      <w:r w:rsidR="00980EF7">
        <w:rPr>
          <w:bCs/>
        </w:rPr>
        <w:t xml:space="preserve">indeed </w:t>
      </w:r>
      <w:r>
        <w:rPr>
          <w:bCs/>
        </w:rPr>
        <w:t>developed and implemented a process to reduce average lapse time for safety and health inspections.</w:t>
      </w:r>
      <w:r w:rsidR="00145D08">
        <w:rPr>
          <w:bCs/>
        </w:rPr>
        <w:t xml:space="preserve">  </w:t>
      </w:r>
      <w:r w:rsidR="008E63BE">
        <w:rPr>
          <w:bCs/>
        </w:rPr>
        <w:t>T</w:t>
      </w:r>
      <w:r>
        <w:rPr>
          <w:bCs/>
        </w:rPr>
        <w:t xml:space="preserve">he reduction has </w:t>
      </w:r>
      <w:r w:rsidR="008E63BE">
        <w:rPr>
          <w:bCs/>
        </w:rPr>
        <w:t xml:space="preserve">unfortunately </w:t>
      </w:r>
      <w:r>
        <w:rPr>
          <w:bCs/>
        </w:rPr>
        <w:t xml:space="preserve">not been </w:t>
      </w:r>
      <w:r w:rsidR="00F51AE8">
        <w:rPr>
          <w:bCs/>
        </w:rPr>
        <w:t xml:space="preserve">achieved </w:t>
      </w:r>
      <w:r w:rsidR="00FE69EC">
        <w:rPr>
          <w:bCs/>
        </w:rPr>
        <w:t xml:space="preserve">due to </w:t>
      </w:r>
      <w:r w:rsidR="00F51AE8">
        <w:rPr>
          <w:bCs/>
        </w:rPr>
        <w:t xml:space="preserve">the </w:t>
      </w:r>
      <w:r w:rsidR="00FE69EC">
        <w:rPr>
          <w:bCs/>
        </w:rPr>
        <w:t>extreme increase in complaints received coupled with staffing.</w:t>
      </w:r>
      <w:r w:rsidR="00145D08">
        <w:rPr>
          <w:bCs/>
        </w:rPr>
        <w:t xml:space="preserve">  </w:t>
      </w:r>
    </w:p>
    <w:p w14:paraId="088AC57F" w14:textId="77777777" w:rsidR="00CE773E" w:rsidRDefault="00CE773E" w:rsidP="0051419C">
      <w:pPr>
        <w:tabs>
          <w:tab w:val="left" w:pos="720"/>
          <w:tab w:val="left" w:pos="1170"/>
          <w:tab w:val="left" w:pos="1350"/>
        </w:tabs>
        <w:contextualSpacing/>
        <w:rPr>
          <w:bCs/>
        </w:rPr>
      </w:pPr>
    </w:p>
    <w:p w14:paraId="22347C12" w14:textId="1F45EC71" w:rsidR="00560777" w:rsidRDefault="00145D08" w:rsidP="0051419C">
      <w:pPr>
        <w:tabs>
          <w:tab w:val="left" w:pos="720"/>
          <w:tab w:val="left" w:pos="1170"/>
          <w:tab w:val="left" w:pos="1350"/>
        </w:tabs>
        <w:contextualSpacing/>
      </w:pPr>
      <w:r>
        <w:rPr>
          <w:bCs/>
        </w:rPr>
        <w:t xml:space="preserve">OSHA’s recommendation is not </w:t>
      </w:r>
      <w:r w:rsidR="00833783">
        <w:rPr>
          <w:bCs/>
        </w:rPr>
        <w:t>constructive</w:t>
      </w:r>
      <w:r>
        <w:rPr>
          <w:bCs/>
        </w:rPr>
        <w:t>.</w:t>
      </w:r>
      <w:r w:rsidR="00FE69EC">
        <w:rPr>
          <w:bCs/>
        </w:rPr>
        <w:t xml:space="preserve">  </w:t>
      </w:r>
      <w:r w:rsidR="00560777">
        <w:rPr>
          <w:bCs/>
        </w:rPr>
        <w:t>N</w:t>
      </w:r>
      <w:r w:rsidR="006E47F1">
        <w:rPr>
          <w:bCs/>
        </w:rPr>
        <w:t>ever</w:t>
      </w:r>
      <w:r w:rsidR="00560777">
        <w:rPr>
          <w:bCs/>
        </w:rPr>
        <w:t>theless, i</w:t>
      </w:r>
      <w:r w:rsidR="00560777" w:rsidRPr="00045B57">
        <w:t>mproved lapse time is one (1) of Kentucky’s top goals.</w:t>
      </w:r>
    </w:p>
    <w:p w14:paraId="614936F4" w14:textId="77777777" w:rsidR="00E4036E" w:rsidRDefault="00E4036E" w:rsidP="00706F03">
      <w:pPr>
        <w:tabs>
          <w:tab w:val="left" w:pos="1980"/>
        </w:tabs>
        <w:rPr>
          <w:b/>
        </w:rPr>
      </w:pPr>
    </w:p>
    <w:p w14:paraId="3EA335CD" w14:textId="7C995FBF" w:rsidR="00706F03" w:rsidRPr="00EC67D5" w:rsidRDefault="00706F03" w:rsidP="00706F03">
      <w:pPr>
        <w:tabs>
          <w:tab w:val="left" w:pos="1980"/>
        </w:tabs>
      </w:pPr>
      <w:r w:rsidRPr="001C0CAA">
        <w:rPr>
          <w:b/>
        </w:rPr>
        <w:t>OSHA Finding FY 20</w:t>
      </w:r>
      <w:r w:rsidR="005C7E46">
        <w:rPr>
          <w:b/>
        </w:rPr>
        <w:t>2</w:t>
      </w:r>
      <w:r w:rsidR="00560777">
        <w:rPr>
          <w:b/>
        </w:rPr>
        <w:t>3</w:t>
      </w:r>
      <w:r w:rsidRPr="001C0CAA">
        <w:rPr>
          <w:b/>
        </w:rPr>
        <w:t>-</w:t>
      </w:r>
      <w:r w:rsidR="00560777">
        <w:rPr>
          <w:b/>
        </w:rPr>
        <w:t>0</w:t>
      </w:r>
      <w:r>
        <w:rPr>
          <w:b/>
        </w:rPr>
        <w:t>2</w:t>
      </w:r>
      <w:r>
        <w:t xml:space="preserve"> </w:t>
      </w:r>
    </w:p>
    <w:p w14:paraId="71534CC0" w14:textId="24641C9F" w:rsidR="00EC67D5" w:rsidRDefault="00560777" w:rsidP="00706F03">
      <w:pPr>
        <w:pStyle w:val="NoSpacing"/>
      </w:pPr>
      <w:r>
        <w:t>“</w:t>
      </w:r>
      <w:r w:rsidRPr="00560777">
        <w:t>The Kentucky State Plan has failed to adopt OSHA’s initial FY 2016 maximum and minimum penalty increase and subsequent annual penalty amount increases.</w:t>
      </w:r>
      <w:r>
        <w:t>”</w:t>
      </w:r>
    </w:p>
    <w:p w14:paraId="18989EF3" w14:textId="77777777" w:rsidR="00560777" w:rsidRDefault="00560777" w:rsidP="00706F03">
      <w:pPr>
        <w:pStyle w:val="NoSpacing"/>
      </w:pPr>
    </w:p>
    <w:p w14:paraId="17ADB8C6" w14:textId="78A7F2FF" w:rsidR="00706F03" w:rsidRPr="00506752" w:rsidRDefault="00706F03" w:rsidP="00706F03">
      <w:pPr>
        <w:pStyle w:val="NoSpacing"/>
        <w:rPr>
          <w:b/>
        </w:rPr>
      </w:pPr>
      <w:r w:rsidRPr="00506752">
        <w:rPr>
          <w:b/>
        </w:rPr>
        <w:t xml:space="preserve">OSHA </w:t>
      </w:r>
      <w:r w:rsidR="00560777">
        <w:rPr>
          <w:b/>
        </w:rPr>
        <w:t>Recommendation</w:t>
      </w:r>
    </w:p>
    <w:p w14:paraId="625DD518" w14:textId="1D33E412" w:rsidR="00EC67D5" w:rsidRDefault="00560777" w:rsidP="00EC67D5">
      <w:pPr>
        <w:rPr>
          <w:rFonts w:eastAsia="Calibri"/>
        </w:rPr>
      </w:pPr>
      <w:r>
        <w:rPr>
          <w:rFonts w:eastAsia="Calibri"/>
        </w:rPr>
        <w:t>“</w:t>
      </w:r>
      <w:r w:rsidRPr="00560777">
        <w:rPr>
          <w:rFonts w:eastAsia="Calibri"/>
        </w:rPr>
        <w:t>KY OSH should work with their State authorities to complete the legislative changes necessary to adopt the maximum and minimum penalty increase and subsequent annual increases to be at least as effective as OSHA’s penalty levels.</w:t>
      </w:r>
      <w:r>
        <w:rPr>
          <w:rFonts w:eastAsia="Calibri"/>
        </w:rPr>
        <w:t>”</w:t>
      </w:r>
    </w:p>
    <w:p w14:paraId="0ACFC9B8" w14:textId="77777777" w:rsidR="00560777" w:rsidRDefault="00560777" w:rsidP="00EC67D5">
      <w:pPr>
        <w:rPr>
          <w:rFonts w:eastAsia="Calibri"/>
        </w:rPr>
      </w:pPr>
    </w:p>
    <w:p w14:paraId="462C2E1E" w14:textId="6012940C" w:rsidR="001A049F" w:rsidRPr="00345E56" w:rsidRDefault="001A049F" w:rsidP="001A049F">
      <w:pPr>
        <w:rPr>
          <w:b/>
        </w:rPr>
      </w:pPr>
      <w:r w:rsidRPr="00345E56">
        <w:rPr>
          <w:b/>
        </w:rPr>
        <w:t>State Response</w:t>
      </w:r>
    </w:p>
    <w:p w14:paraId="5F95C341" w14:textId="3C991308" w:rsidR="00294B95" w:rsidRDefault="00294B95" w:rsidP="00294B95">
      <w:pPr>
        <w:tabs>
          <w:tab w:val="left" w:pos="720"/>
          <w:tab w:val="left" w:pos="1170"/>
          <w:tab w:val="left" w:pos="1350"/>
        </w:tabs>
        <w:contextualSpacing/>
        <w:rPr>
          <w:bCs/>
        </w:rPr>
      </w:pPr>
      <w:r>
        <w:rPr>
          <w:bCs/>
        </w:rPr>
        <w:t xml:space="preserve">Once again, </w:t>
      </w:r>
      <w:r w:rsidR="0068559A" w:rsidRPr="0068559A">
        <w:rPr>
          <w:bCs/>
        </w:rPr>
        <w:t>OSHA’s finding is incorrect</w:t>
      </w:r>
      <w:r>
        <w:rPr>
          <w:bCs/>
        </w:rPr>
        <w:t xml:space="preserve"> just as it was in the FFY 2022 Follow-</w:t>
      </w:r>
      <w:r w:rsidR="001F20BD">
        <w:rPr>
          <w:bCs/>
        </w:rPr>
        <w:t>u</w:t>
      </w:r>
      <w:r>
        <w:rPr>
          <w:bCs/>
        </w:rPr>
        <w:t>p FAME</w:t>
      </w:r>
      <w:r w:rsidR="009C5AB3">
        <w:rPr>
          <w:bCs/>
        </w:rPr>
        <w:t xml:space="preserve"> Report</w:t>
      </w:r>
      <w:r>
        <w:rPr>
          <w:bCs/>
        </w:rPr>
        <w:t>.  T</w:t>
      </w:r>
      <w:r w:rsidR="0068559A" w:rsidRPr="0068559A">
        <w:rPr>
          <w:bCs/>
        </w:rPr>
        <w:t xml:space="preserve">he Kentucky State Plan did not fail to adopt OSHA’s </w:t>
      </w:r>
      <w:r w:rsidR="00A72A06">
        <w:rPr>
          <w:bCs/>
        </w:rPr>
        <w:t xml:space="preserve">annual penalty inflationary adjustment </w:t>
      </w:r>
      <w:r w:rsidR="0068559A" w:rsidRPr="0068559A">
        <w:rPr>
          <w:bCs/>
        </w:rPr>
        <w:t xml:space="preserve">and subsequent annual </w:t>
      </w:r>
      <w:r w:rsidR="00A72A06">
        <w:rPr>
          <w:bCs/>
        </w:rPr>
        <w:t>adjustments</w:t>
      </w:r>
      <w:r w:rsidR="0068559A" w:rsidRPr="0068559A">
        <w:rPr>
          <w:bCs/>
        </w:rPr>
        <w:t xml:space="preserve">.  </w:t>
      </w:r>
      <w:r w:rsidR="009C5AB3">
        <w:rPr>
          <w:bCs/>
        </w:rPr>
        <w:t>T</w:t>
      </w:r>
      <w:r w:rsidR="0068559A" w:rsidRPr="0068559A">
        <w:rPr>
          <w:bCs/>
        </w:rPr>
        <w:t xml:space="preserve">he Kentucky State Plan has no authority to </w:t>
      </w:r>
      <w:r w:rsidR="0068559A" w:rsidRPr="0068559A">
        <w:rPr>
          <w:bCs/>
        </w:rPr>
        <w:lastRenderedPageBreak/>
        <w:t xml:space="preserve">increase </w:t>
      </w:r>
      <w:r w:rsidR="00A72A06">
        <w:rPr>
          <w:bCs/>
        </w:rPr>
        <w:t xml:space="preserve">any </w:t>
      </w:r>
      <w:r w:rsidR="0068559A" w:rsidRPr="0068559A">
        <w:rPr>
          <w:bCs/>
        </w:rPr>
        <w:t>penalt</w:t>
      </w:r>
      <w:r w:rsidR="00A72A06">
        <w:rPr>
          <w:bCs/>
        </w:rPr>
        <w:t>y</w:t>
      </w:r>
      <w:r w:rsidR="0068559A" w:rsidRPr="0068559A">
        <w:rPr>
          <w:bCs/>
        </w:rPr>
        <w:t xml:space="preserve"> or implement an annual penalty </w:t>
      </w:r>
      <w:r>
        <w:rPr>
          <w:bCs/>
        </w:rPr>
        <w:t>a</w:t>
      </w:r>
      <w:r w:rsidR="00EB0B7C">
        <w:rPr>
          <w:bCs/>
        </w:rPr>
        <w:t>djustment</w:t>
      </w:r>
      <w:r w:rsidR="009C5AB3">
        <w:rPr>
          <w:bCs/>
        </w:rPr>
        <w:t>.</w:t>
      </w:r>
      <w:r w:rsidR="0068559A" w:rsidRPr="0068559A">
        <w:rPr>
          <w:bCs/>
        </w:rPr>
        <w:t xml:space="preserve">  Kentucky penalties are established by statute, specifically Kentucky Revised Statute 338.991.  Adjustment to Kentucky penalties </w:t>
      </w:r>
      <w:r>
        <w:rPr>
          <w:bCs/>
        </w:rPr>
        <w:t xml:space="preserve">and/or annual </w:t>
      </w:r>
      <w:r w:rsidR="00E16A5B">
        <w:rPr>
          <w:bCs/>
        </w:rPr>
        <w:t>adjustments</w:t>
      </w:r>
      <w:r>
        <w:rPr>
          <w:bCs/>
        </w:rPr>
        <w:t xml:space="preserve"> </w:t>
      </w:r>
      <w:r w:rsidR="0068559A" w:rsidRPr="0068559A">
        <w:rPr>
          <w:bCs/>
        </w:rPr>
        <w:t>require</w:t>
      </w:r>
      <w:r w:rsidR="00817C76">
        <w:rPr>
          <w:bCs/>
        </w:rPr>
        <w:t>s</w:t>
      </w:r>
      <w:r w:rsidR="0068559A" w:rsidRPr="0068559A">
        <w:rPr>
          <w:bCs/>
        </w:rPr>
        <w:t xml:space="preserve"> legislative action.</w:t>
      </w:r>
      <w:r w:rsidR="009C5AB3">
        <w:rPr>
          <w:bCs/>
        </w:rPr>
        <w:t xml:space="preserve">  OSHA is well aware of that fact.</w:t>
      </w:r>
      <w:r w:rsidR="0068559A" w:rsidRPr="0068559A">
        <w:rPr>
          <w:bCs/>
        </w:rPr>
        <w:t xml:space="preserve">  </w:t>
      </w:r>
    </w:p>
    <w:p w14:paraId="68E53751" w14:textId="77777777" w:rsidR="00294B95" w:rsidRDefault="00294B95" w:rsidP="00294B95">
      <w:pPr>
        <w:tabs>
          <w:tab w:val="left" w:pos="720"/>
          <w:tab w:val="left" w:pos="1170"/>
          <w:tab w:val="left" w:pos="1350"/>
        </w:tabs>
        <w:contextualSpacing/>
        <w:rPr>
          <w:bCs/>
        </w:rPr>
      </w:pPr>
    </w:p>
    <w:p w14:paraId="60CA1C9B" w14:textId="27A69DB5" w:rsidR="00C92CA9" w:rsidRDefault="00C92CA9" w:rsidP="00294B95">
      <w:pPr>
        <w:tabs>
          <w:tab w:val="left" w:pos="720"/>
          <w:tab w:val="left" w:pos="1170"/>
          <w:tab w:val="left" w:pos="1350"/>
        </w:tabs>
        <w:contextualSpacing/>
        <w:rPr>
          <w:bCs/>
        </w:rPr>
      </w:pPr>
      <w:r>
        <w:rPr>
          <w:bCs/>
        </w:rPr>
        <w:t xml:space="preserve">OSHA is </w:t>
      </w:r>
      <w:r w:rsidR="009C5AB3">
        <w:rPr>
          <w:bCs/>
        </w:rPr>
        <w:t xml:space="preserve">fully </w:t>
      </w:r>
      <w:r>
        <w:rPr>
          <w:bCs/>
        </w:rPr>
        <w:t xml:space="preserve">aware </w:t>
      </w:r>
      <w:r w:rsidR="009C5AB3">
        <w:rPr>
          <w:bCs/>
        </w:rPr>
        <w:t xml:space="preserve">that </w:t>
      </w:r>
      <w:r>
        <w:rPr>
          <w:bCs/>
        </w:rPr>
        <w:t xml:space="preserve">Kentucky worked with state authorities and legislation was </w:t>
      </w:r>
      <w:r w:rsidR="0007342F">
        <w:rPr>
          <w:bCs/>
        </w:rPr>
        <w:t xml:space="preserve">proposed in the </w:t>
      </w:r>
      <w:r w:rsidR="00817C76">
        <w:rPr>
          <w:bCs/>
        </w:rPr>
        <w:t xml:space="preserve">legislative </w:t>
      </w:r>
      <w:r w:rsidR="0007342F">
        <w:rPr>
          <w:bCs/>
        </w:rPr>
        <w:t xml:space="preserve">General Session to </w:t>
      </w:r>
      <w:r w:rsidR="009F4D1B">
        <w:rPr>
          <w:bCs/>
        </w:rPr>
        <w:t xml:space="preserve">increase and </w:t>
      </w:r>
      <w:r w:rsidR="0007342F">
        <w:rPr>
          <w:bCs/>
        </w:rPr>
        <w:t>annually adjust</w:t>
      </w:r>
      <w:r w:rsidR="009C5AB3">
        <w:rPr>
          <w:bCs/>
        </w:rPr>
        <w:t xml:space="preserve"> Kentucky’s</w:t>
      </w:r>
      <w:r w:rsidR="0007342F">
        <w:rPr>
          <w:bCs/>
        </w:rPr>
        <w:t xml:space="preserve"> occupational safety and health civil penalties.</w:t>
      </w:r>
      <w:r w:rsidR="009C5AB3">
        <w:rPr>
          <w:bCs/>
        </w:rPr>
        <w:t xml:space="preserve">  </w:t>
      </w:r>
      <w:r w:rsidR="0007342F">
        <w:rPr>
          <w:bCs/>
        </w:rPr>
        <w:t>The legislation did not pass.</w:t>
      </w:r>
      <w:r w:rsidR="009C5AB3">
        <w:rPr>
          <w:bCs/>
        </w:rPr>
        <w:t xml:space="preserve">  OSHA was informed and briefed during the entire process.</w:t>
      </w:r>
      <w:r>
        <w:rPr>
          <w:bCs/>
        </w:rPr>
        <w:t xml:space="preserve"> </w:t>
      </w:r>
    </w:p>
    <w:p w14:paraId="6F5E96FC" w14:textId="77777777" w:rsidR="00C92CA9" w:rsidRDefault="00C92CA9" w:rsidP="00294B95">
      <w:pPr>
        <w:tabs>
          <w:tab w:val="left" w:pos="720"/>
          <w:tab w:val="left" w:pos="1170"/>
          <w:tab w:val="left" w:pos="1350"/>
        </w:tabs>
        <w:contextualSpacing/>
        <w:rPr>
          <w:bCs/>
        </w:rPr>
      </w:pPr>
    </w:p>
    <w:p w14:paraId="08C74E85" w14:textId="2BF4F574" w:rsidR="00DD2E94" w:rsidRDefault="007B6B8F" w:rsidP="00DD2E94">
      <w:pPr>
        <w:pStyle w:val="NoSpacing"/>
        <w:rPr>
          <w:bCs/>
        </w:rPr>
      </w:pPr>
      <w:r w:rsidRPr="00FA1C6D">
        <w:rPr>
          <w:bCs/>
        </w:rPr>
        <w:t xml:space="preserve">Chapter 7, </w:t>
      </w:r>
      <w:r>
        <w:rPr>
          <w:bCs/>
        </w:rPr>
        <w:t>“</w:t>
      </w:r>
      <w:r w:rsidRPr="00FA1C6D">
        <w:rPr>
          <w:bCs/>
        </w:rPr>
        <w:t>Federal Annual Monitoring Evaluation and Annual Reports</w:t>
      </w:r>
      <w:r>
        <w:rPr>
          <w:bCs/>
        </w:rPr>
        <w:t>”</w:t>
      </w:r>
      <w:r w:rsidRPr="00FA1C6D">
        <w:rPr>
          <w:bCs/>
        </w:rPr>
        <w:t>,</w:t>
      </w:r>
      <w:r>
        <w:rPr>
          <w:bCs/>
        </w:rPr>
        <w:t xml:space="preserve"> Section II. Annual Reports., B. FAME Report., 5. FAME Report Findings, Recommendations, and Observations, </w:t>
      </w:r>
      <w:r w:rsidRPr="00FA1C6D">
        <w:rPr>
          <w:bCs/>
        </w:rPr>
        <w:t xml:space="preserve">of OSHA’s </w:t>
      </w:r>
      <w:r w:rsidRPr="00FD7DE5">
        <w:rPr>
          <w:bCs/>
          <w:i/>
          <w:iCs/>
        </w:rPr>
        <w:t>State Plan Policies and Procedures Manual</w:t>
      </w:r>
      <w:r w:rsidRPr="00FA1C6D">
        <w:rPr>
          <w:bCs/>
        </w:rPr>
        <w:t xml:space="preserve"> (SPPPM), page </w:t>
      </w:r>
      <w:r w:rsidR="00DD2E94" w:rsidRPr="00FA1C6D">
        <w:rPr>
          <w:bCs/>
        </w:rPr>
        <w:t>s</w:t>
      </w:r>
      <w:r w:rsidR="00DD2E94">
        <w:rPr>
          <w:bCs/>
        </w:rPr>
        <w:t>eventy</w:t>
      </w:r>
      <w:r w:rsidR="00DD2E94" w:rsidRPr="00FA1C6D">
        <w:rPr>
          <w:bCs/>
        </w:rPr>
        <w:t>-</w:t>
      </w:r>
      <w:r w:rsidR="00DD2E94">
        <w:rPr>
          <w:bCs/>
        </w:rPr>
        <w:t>four</w:t>
      </w:r>
      <w:r w:rsidR="00DD2E94" w:rsidRPr="00FA1C6D">
        <w:rPr>
          <w:bCs/>
        </w:rPr>
        <w:t xml:space="preserve"> (</w:t>
      </w:r>
      <w:r w:rsidR="00DD2E94">
        <w:rPr>
          <w:bCs/>
        </w:rPr>
        <w:t>74</w:t>
      </w:r>
      <w:r w:rsidR="00DD2E94" w:rsidRPr="00FA1C6D">
        <w:rPr>
          <w:bCs/>
        </w:rPr>
        <w:t>),</w:t>
      </w:r>
      <w:r w:rsidR="00DD2E94">
        <w:rPr>
          <w:bCs/>
        </w:rPr>
        <w:t xml:space="preserve"> </w:t>
      </w:r>
      <w:r w:rsidR="00DD2E94" w:rsidRPr="00FA1C6D">
        <w:rPr>
          <w:bCs/>
        </w:rPr>
        <w:t>states:</w:t>
      </w:r>
    </w:p>
    <w:p w14:paraId="0EB9A711" w14:textId="77777777" w:rsidR="00DD2E94" w:rsidRDefault="00DD2E94" w:rsidP="00294B95">
      <w:pPr>
        <w:tabs>
          <w:tab w:val="left" w:pos="720"/>
          <w:tab w:val="left" w:pos="1170"/>
          <w:tab w:val="left" w:pos="1350"/>
        </w:tabs>
        <w:contextualSpacing/>
        <w:rPr>
          <w:bCs/>
        </w:rPr>
      </w:pPr>
    </w:p>
    <w:p w14:paraId="6B1625FA" w14:textId="110C2491" w:rsidR="00DD2E94" w:rsidRDefault="00B30A27" w:rsidP="00B30A27">
      <w:pPr>
        <w:tabs>
          <w:tab w:val="left" w:pos="720"/>
          <w:tab w:val="left" w:pos="1170"/>
          <w:tab w:val="left" w:pos="1350"/>
        </w:tabs>
        <w:ind w:left="720"/>
        <w:contextualSpacing/>
        <w:rPr>
          <w:bCs/>
        </w:rPr>
      </w:pPr>
      <w:r>
        <w:rPr>
          <w:bCs/>
        </w:rPr>
        <w:t>“</w:t>
      </w:r>
      <w:r w:rsidRPr="00B30A27">
        <w:rPr>
          <w:bCs/>
        </w:rPr>
        <w:t>Report</w:t>
      </w:r>
      <w:r>
        <w:rPr>
          <w:bCs/>
        </w:rPr>
        <w:t xml:space="preserve"> </w:t>
      </w:r>
      <w:r w:rsidRPr="00B30A27">
        <w:rPr>
          <w:bCs/>
        </w:rPr>
        <w:t>findings shall be limited to those issues that warrant corrective action by</w:t>
      </w:r>
      <w:r>
        <w:rPr>
          <w:bCs/>
        </w:rPr>
        <w:t xml:space="preserve"> </w:t>
      </w:r>
      <w:r w:rsidRPr="00B30A27">
        <w:rPr>
          <w:bCs/>
        </w:rPr>
        <w:t>the State Plan to ensure it is ALAE.</w:t>
      </w:r>
      <w:r>
        <w:rPr>
          <w:bCs/>
        </w:rPr>
        <w:t>”</w:t>
      </w:r>
    </w:p>
    <w:p w14:paraId="51B4A1D7" w14:textId="77777777" w:rsidR="00B30A27" w:rsidRDefault="00B30A27" w:rsidP="00294B95">
      <w:pPr>
        <w:tabs>
          <w:tab w:val="left" w:pos="720"/>
          <w:tab w:val="left" w:pos="1170"/>
          <w:tab w:val="left" w:pos="1350"/>
        </w:tabs>
        <w:contextualSpacing/>
        <w:rPr>
          <w:bCs/>
        </w:rPr>
      </w:pPr>
    </w:p>
    <w:p w14:paraId="00C72D9F" w14:textId="4DC67B76" w:rsidR="00DD2E94" w:rsidRDefault="00B30A27" w:rsidP="00294B95">
      <w:pPr>
        <w:tabs>
          <w:tab w:val="left" w:pos="720"/>
          <w:tab w:val="left" w:pos="1170"/>
          <w:tab w:val="left" w:pos="1350"/>
        </w:tabs>
        <w:contextualSpacing/>
        <w:rPr>
          <w:bCs/>
        </w:rPr>
      </w:pPr>
      <w:r>
        <w:rPr>
          <w:bCs/>
        </w:rPr>
        <w:t>Note: ALAE is at least as effective.  Meaning, at leas</w:t>
      </w:r>
      <w:r w:rsidR="004A22B1">
        <w:rPr>
          <w:bCs/>
        </w:rPr>
        <w:t>t</w:t>
      </w:r>
      <w:r>
        <w:rPr>
          <w:bCs/>
        </w:rPr>
        <w:t xml:space="preserve"> as effective as OSHA.</w:t>
      </w:r>
    </w:p>
    <w:p w14:paraId="1D094C78" w14:textId="77777777" w:rsidR="00DD2E94" w:rsidRDefault="00DD2E94" w:rsidP="00294B95">
      <w:pPr>
        <w:tabs>
          <w:tab w:val="left" w:pos="720"/>
          <w:tab w:val="left" w:pos="1170"/>
          <w:tab w:val="left" w:pos="1350"/>
        </w:tabs>
        <w:contextualSpacing/>
        <w:rPr>
          <w:bCs/>
        </w:rPr>
      </w:pPr>
    </w:p>
    <w:p w14:paraId="10AC797F" w14:textId="549E8C2D" w:rsidR="006B5FFF" w:rsidRPr="0007342F" w:rsidRDefault="00F51AE8" w:rsidP="00287D22">
      <w:pPr>
        <w:tabs>
          <w:tab w:val="left" w:pos="1260"/>
          <w:tab w:val="left" w:pos="1350"/>
        </w:tabs>
        <w:contextualSpacing/>
        <w:rPr>
          <w:rFonts w:eastAsia="Calibri"/>
        </w:rPr>
      </w:pPr>
      <w:r>
        <w:rPr>
          <w:rFonts w:eastAsia="Calibri"/>
        </w:rPr>
        <w:t xml:space="preserve">Page ten (10) of the FAME </w:t>
      </w:r>
      <w:r w:rsidR="0007342F">
        <w:rPr>
          <w:rFonts w:eastAsia="Calibri"/>
        </w:rPr>
        <w:t>acknowledge</w:t>
      </w:r>
      <w:r>
        <w:rPr>
          <w:rFonts w:eastAsia="Calibri"/>
        </w:rPr>
        <w:t>s</w:t>
      </w:r>
      <w:r w:rsidR="0007342F">
        <w:rPr>
          <w:rFonts w:eastAsia="Calibri"/>
        </w:rPr>
        <w:t xml:space="preserve"> </w:t>
      </w:r>
      <w:r w:rsidR="00FE69EC">
        <w:rPr>
          <w:rFonts w:eastAsia="Calibri"/>
        </w:rPr>
        <w:t xml:space="preserve">Kentucky’s average serious penalty in private sector was within the </w:t>
      </w:r>
      <w:r w:rsidR="006B5FFF">
        <w:rPr>
          <w:rFonts w:eastAsia="Calibri"/>
        </w:rPr>
        <w:t xml:space="preserve">FRL </w:t>
      </w:r>
      <w:r w:rsidR="00FE69EC">
        <w:rPr>
          <w:rFonts w:eastAsia="Calibri"/>
        </w:rPr>
        <w:t xml:space="preserve">in all but one (1) category.  </w:t>
      </w:r>
      <w:r w:rsidR="006B5FFF">
        <w:rPr>
          <w:rFonts w:eastAsia="Calibri"/>
        </w:rPr>
        <w:t xml:space="preserve">Specifically, </w:t>
      </w:r>
      <w:r w:rsidR="00FA5617">
        <w:rPr>
          <w:rFonts w:eastAsia="Calibri"/>
        </w:rPr>
        <w:t>Kentucky’s</w:t>
      </w:r>
      <w:r w:rsidR="006B5FFF">
        <w:rPr>
          <w:rFonts w:eastAsia="Calibri"/>
        </w:rPr>
        <w:t xml:space="preserve"> </w:t>
      </w:r>
      <w:r w:rsidR="001A0DED">
        <w:rPr>
          <w:rFonts w:eastAsia="Calibri"/>
        </w:rPr>
        <w:t xml:space="preserve">lone </w:t>
      </w:r>
      <w:r w:rsidR="006B5FFF">
        <w:rPr>
          <w:rFonts w:eastAsia="Calibri"/>
        </w:rPr>
        <w:t xml:space="preserve">category </w:t>
      </w:r>
      <w:r w:rsidR="001A0DED">
        <w:rPr>
          <w:rFonts w:eastAsia="Calibri"/>
        </w:rPr>
        <w:t xml:space="preserve">below the FRL </w:t>
      </w:r>
      <w:r w:rsidR="006B5FFF">
        <w:rPr>
          <w:rFonts w:eastAsia="Calibri"/>
        </w:rPr>
        <w:t xml:space="preserve">(greater than 250 workers) was </w:t>
      </w:r>
      <w:r w:rsidR="001A0DED">
        <w:rPr>
          <w:rFonts w:eastAsia="Calibri"/>
        </w:rPr>
        <w:t xml:space="preserve">only </w:t>
      </w:r>
      <w:r w:rsidR="006B5FFF">
        <w:rPr>
          <w:rFonts w:eastAsia="Calibri"/>
        </w:rPr>
        <w:t>$190.95 below the FRL.</w:t>
      </w:r>
      <w:r w:rsidR="001A0DED">
        <w:rPr>
          <w:rFonts w:eastAsia="Calibri"/>
        </w:rPr>
        <w:t xml:space="preserve">  </w:t>
      </w:r>
      <w:r w:rsidR="006B5FFF">
        <w:rPr>
          <w:rFonts w:eastAsia="Calibri"/>
        </w:rPr>
        <w:t>It is important to note that Kentucky</w:t>
      </w:r>
      <w:r w:rsidR="00F5467B">
        <w:rPr>
          <w:rFonts w:eastAsia="Calibri"/>
        </w:rPr>
        <w:t>’s</w:t>
      </w:r>
      <w:r w:rsidR="006B5FFF">
        <w:rPr>
          <w:rFonts w:eastAsia="Calibri"/>
        </w:rPr>
        <w:t xml:space="preserve"> percent penalty retained (S</w:t>
      </w:r>
      <w:r w:rsidR="00E411AC">
        <w:rPr>
          <w:rFonts w:eastAsia="Calibri"/>
        </w:rPr>
        <w:t>tate Activity Mandated Measure (S</w:t>
      </w:r>
      <w:r w:rsidR="006B5FFF">
        <w:rPr>
          <w:rFonts w:eastAsia="Calibri"/>
        </w:rPr>
        <w:t>AMM</w:t>
      </w:r>
      <w:r w:rsidR="00E411AC">
        <w:rPr>
          <w:rFonts w:eastAsia="Calibri"/>
        </w:rPr>
        <w:t>)</w:t>
      </w:r>
      <w:r w:rsidR="006B5FFF">
        <w:rPr>
          <w:rFonts w:eastAsia="Calibri"/>
        </w:rPr>
        <w:t xml:space="preserve"> 12) is </w:t>
      </w:r>
      <w:r w:rsidR="001A0DED">
        <w:rPr>
          <w:rFonts w:eastAsia="Calibri"/>
        </w:rPr>
        <w:t xml:space="preserve">above average at 82.75.  </w:t>
      </w:r>
      <w:r w:rsidR="00E411AC">
        <w:rPr>
          <w:rFonts w:eastAsia="Calibri"/>
        </w:rPr>
        <w:t>It is evident that w</w:t>
      </w:r>
      <w:r w:rsidR="001A0DED">
        <w:rPr>
          <w:rFonts w:eastAsia="Calibri"/>
        </w:rPr>
        <w:t xml:space="preserve">hen SAMM 8-8d and SAMM 12 are </w:t>
      </w:r>
      <w:r w:rsidR="00E411AC">
        <w:rPr>
          <w:rFonts w:eastAsia="Calibri"/>
        </w:rPr>
        <w:t xml:space="preserve">considered </w:t>
      </w:r>
      <w:r w:rsidR="001A0DED">
        <w:rPr>
          <w:rFonts w:eastAsia="Calibri"/>
        </w:rPr>
        <w:t xml:space="preserve">together, Kentucky’s penalty structure </w:t>
      </w:r>
      <w:r w:rsidR="001A0DED" w:rsidRPr="001A0DED">
        <w:rPr>
          <w:rFonts w:eastAsia="Calibri"/>
        </w:rPr>
        <w:t xml:space="preserve">is </w:t>
      </w:r>
      <w:r w:rsidR="00FA5617">
        <w:rPr>
          <w:rFonts w:eastAsia="Calibri"/>
        </w:rPr>
        <w:t xml:space="preserve">at least as </w:t>
      </w:r>
      <w:r w:rsidR="001A0DED" w:rsidRPr="001A0DED">
        <w:rPr>
          <w:rFonts w:eastAsia="Calibri"/>
        </w:rPr>
        <w:t>effective.</w:t>
      </w:r>
    </w:p>
    <w:p w14:paraId="24883596" w14:textId="77777777" w:rsidR="0007342F" w:rsidRDefault="0007342F" w:rsidP="00287D22">
      <w:pPr>
        <w:tabs>
          <w:tab w:val="left" w:pos="1260"/>
          <w:tab w:val="left" w:pos="1350"/>
        </w:tabs>
        <w:contextualSpacing/>
        <w:rPr>
          <w:rFonts w:eastAsia="Calibri"/>
        </w:rPr>
      </w:pPr>
    </w:p>
    <w:p w14:paraId="1765C338" w14:textId="69A1D47B" w:rsidR="006B5FFF" w:rsidRDefault="00A02A86" w:rsidP="00A02A86">
      <w:pPr>
        <w:tabs>
          <w:tab w:val="left" w:pos="1260"/>
          <w:tab w:val="left" w:pos="1350"/>
        </w:tabs>
        <w:contextualSpacing/>
        <w:rPr>
          <w:rFonts w:eastAsia="Calibri"/>
          <w:b/>
          <w:bCs/>
        </w:rPr>
      </w:pPr>
      <w:r w:rsidRPr="000E4ACE">
        <w:t>OSHA has n</w:t>
      </w:r>
      <w:r>
        <w:t>ot</w:t>
      </w:r>
      <w:r w:rsidRPr="000E4ACE">
        <w:t xml:space="preserve"> demonstrated or articulated how Kentucky’s </w:t>
      </w:r>
      <w:r>
        <w:t>penalty structure is not at least as effective</w:t>
      </w:r>
      <w:r w:rsidR="00D856CB">
        <w:t xml:space="preserve">; therefore, </w:t>
      </w:r>
      <w:r>
        <w:t xml:space="preserve">Kentucky rejects the finding.  However, </w:t>
      </w:r>
      <w:r w:rsidR="006B5FFF" w:rsidRPr="0068559A">
        <w:rPr>
          <w:bCs/>
        </w:rPr>
        <w:t xml:space="preserve">Kentucky will continue </w:t>
      </w:r>
      <w:r w:rsidR="00817C76">
        <w:rPr>
          <w:bCs/>
        </w:rPr>
        <w:t>t</w:t>
      </w:r>
      <w:r w:rsidR="004710E8">
        <w:rPr>
          <w:bCs/>
        </w:rPr>
        <w:t>o</w:t>
      </w:r>
      <w:r w:rsidR="00817C76">
        <w:rPr>
          <w:bCs/>
        </w:rPr>
        <w:t xml:space="preserve"> </w:t>
      </w:r>
      <w:r w:rsidR="006B5FFF" w:rsidRPr="0068559A">
        <w:rPr>
          <w:bCs/>
        </w:rPr>
        <w:t xml:space="preserve">work </w:t>
      </w:r>
      <w:r w:rsidR="001A0DED">
        <w:rPr>
          <w:bCs/>
        </w:rPr>
        <w:t xml:space="preserve">with state authorities </w:t>
      </w:r>
      <w:r w:rsidR="006B5FFF" w:rsidRPr="0068559A">
        <w:rPr>
          <w:bCs/>
        </w:rPr>
        <w:t xml:space="preserve">to amend Kentucky’s </w:t>
      </w:r>
      <w:r w:rsidR="006B5FFF">
        <w:rPr>
          <w:bCs/>
        </w:rPr>
        <w:t xml:space="preserve">occupational safety and health </w:t>
      </w:r>
      <w:r w:rsidR="001A0DED">
        <w:rPr>
          <w:bCs/>
        </w:rPr>
        <w:t xml:space="preserve">civil </w:t>
      </w:r>
      <w:r w:rsidR="006B5FFF" w:rsidRPr="0068559A">
        <w:rPr>
          <w:bCs/>
        </w:rPr>
        <w:t>penalties</w:t>
      </w:r>
      <w:r w:rsidR="00817C76">
        <w:rPr>
          <w:bCs/>
        </w:rPr>
        <w:t xml:space="preserve">.  </w:t>
      </w:r>
      <w:r>
        <w:rPr>
          <w:bCs/>
        </w:rPr>
        <w:t xml:space="preserve">OSHA was informed such during </w:t>
      </w:r>
      <w:r w:rsidR="00590D60">
        <w:rPr>
          <w:bCs/>
        </w:rPr>
        <w:t xml:space="preserve">and subsequent </w:t>
      </w:r>
      <w:r>
        <w:rPr>
          <w:bCs/>
        </w:rPr>
        <w:t>the FFY 2023 on-site FAME</w:t>
      </w:r>
      <w:r w:rsidR="006B5FFF" w:rsidRPr="0068559A">
        <w:rPr>
          <w:bCs/>
        </w:rPr>
        <w:t>.</w:t>
      </w:r>
    </w:p>
    <w:p w14:paraId="70585F33" w14:textId="77777777" w:rsidR="006B5FFF" w:rsidRDefault="006B5FFF" w:rsidP="00287D22">
      <w:pPr>
        <w:tabs>
          <w:tab w:val="left" w:pos="1260"/>
          <w:tab w:val="left" w:pos="1350"/>
        </w:tabs>
        <w:contextualSpacing/>
        <w:rPr>
          <w:rFonts w:eastAsia="Calibri"/>
        </w:rPr>
      </w:pPr>
    </w:p>
    <w:p w14:paraId="5F23DC3A" w14:textId="093A7BE3" w:rsidR="001F3AE3" w:rsidRPr="001F3AE3" w:rsidRDefault="007A0344" w:rsidP="001F3AE3">
      <w:pPr>
        <w:tabs>
          <w:tab w:val="left" w:pos="720"/>
        </w:tabs>
        <w:rPr>
          <w:b/>
          <w:bCs/>
        </w:rPr>
      </w:pPr>
      <w:bookmarkStart w:id="1" w:name="_Hlk110847041"/>
      <w:bookmarkStart w:id="2" w:name="_Hlk169871365"/>
      <w:r>
        <w:rPr>
          <w:b/>
          <w:bCs/>
        </w:rPr>
        <w:t xml:space="preserve">OSHA </w:t>
      </w:r>
      <w:r w:rsidR="001F3AE3" w:rsidRPr="001F3AE3">
        <w:rPr>
          <w:b/>
          <w:bCs/>
        </w:rPr>
        <w:t>Observation</w:t>
      </w:r>
      <w:r>
        <w:rPr>
          <w:b/>
          <w:bCs/>
        </w:rPr>
        <w:t xml:space="preserve"> </w:t>
      </w:r>
      <w:bookmarkEnd w:id="1"/>
      <w:r w:rsidR="00015494">
        <w:rPr>
          <w:b/>
          <w:bCs/>
        </w:rPr>
        <w:t>FY 202</w:t>
      </w:r>
      <w:r w:rsidR="00560777">
        <w:rPr>
          <w:b/>
          <w:bCs/>
        </w:rPr>
        <w:t>3</w:t>
      </w:r>
      <w:r w:rsidR="00015494">
        <w:rPr>
          <w:b/>
          <w:bCs/>
        </w:rPr>
        <w:t>-OB-1</w:t>
      </w:r>
      <w:bookmarkEnd w:id="2"/>
    </w:p>
    <w:p w14:paraId="18F93527" w14:textId="16ECBB0E" w:rsidR="00560777" w:rsidRDefault="00560777" w:rsidP="001F3AE3">
      <w:pPr>
        <w:tabs>
          <w:tab w:val="left" w:pos="720"/>
        </w:tabs>
      </w:pPr>
      <w:r>
        <w:t>“</w:t>
      </w:r>
      <w:r w:rsidRPr="00560777">
        <w:t>In FY 2023, the total in-compliance rate (SAMM 9) for all safety inspections was 46.65% and 71.68% for health inspections. The percentages for safety and health were well above the FRLs.</w:t>
      </w:r>
      <w:r>
        <w:t>”</w:t>
      </w:r>
    </w:p>
    <w:p w14:paraId="538390CB" w14:textId="77777777" w:rsidR="00560777" w:rsidRDefault="00560777" w:rsidP="001F3AE3">
      <w:pPr>
        <w:tabs>
          <w:tab w:val="left" w:pos="720"/>
        </w:tabs>
      </w:pPr>
    </w:p>
    <w:p w14:paraId="02712D4F" w14:textId="36515A60" w:rsidR="00015494" w:rsidRPr="00015494" w:rsidRDefault="00015494" w:rsidP="001F3AE3">
      <w:pPr>
        <w:tabs>
          <w:tab w:val="left" w:pos="720"/>
        </w:tabs>
        <w:rPr>
          <w:b/>
          <w:bCs/>
        </w:rPr>
      </w:pPr>
      <w:r w:rsidRPr="00015494">
        <w:rPr>
          <w:b/>
          <w:bCs/>
        </w:rPr>
        <w:t xml:space="preserve">OSHA </w:t>
      </w:r>
      <w:r w:rsidR="00560777">
        <w:rPr>
          <w:b/>
          <w:bCs/>
        </w:rPr>
        <w:t>Recommendation</w:t>
      </w:r>
    </w:p>
    <w:p w14:paraId="3A3DEC2F" w14:textId="3CC382FE" w:rsidR="00015494" w:rsidRDefault="00560777" w:rsidP="001F3AE3">
      <w:pPr>
        <w:tabs>
          <w:tab w:val="left" w:pos="720"/>
        </w:tabs>
      </w:pPr>
      <w:r>
        <w:t>“</w:t>
      </w:r>
      <w:r w:rsidRPr="00560777">
        <w:t>The OSHA Area Office will closely monitor and review the SAMM, SIR, and other available data with the State Plan on a quarterly basis to ensure in-compliance rates are within the acceptable FRL range</w:t>
      </w:r>
      <w:r>
        <w:t>.”</w:t>
      </w:r>
    </w:p>
    <w:p w14:paraId="49AC8FFA" w14:textId="77777777" w:rsidR="00015494" w:rsidRDefault="00015494" w:rsidP="001F3AE3">
      <w:pPr>
        <w:tabs>
          <w:tab w:val="left" w:pos="720"/>
        </w:tabs>
        <w:rPr>
          <w:b/>
          <w:bCs/>
        </w:rPr>
      </w:pPr>
    </w:p>
    <w:p w14:paraId="6B37F512" w14:textId="28F492B2" w:rsidR="005D04AB" w:rsidRPr="00AB6EA5" w:rsidRDefault="005D04AB" w:rsidP="001F3AE3">
      <w:pPr>
        <w:tabs>
          <w:tab w:val="left" w:pos="720"/>
        </w:tabs>
        <w:rPr>
          <w:b/>
          <w:bCs/>
        </w:rPr>
      </w:pPr>
      <w:r w:rsidRPr="00AB6EA5">
        <w:rPr>
          <w:b/>
          <w:bCs/>
        </w:rPr>
        <w:t>State Response</w:t>
      </w:r>
    </w:p>
    <w:p w14:paraId="06C5F5B2" w14:textId="0E76FC68" w:rsidR="00F5467B" w:rsidRDefault="00C0303B" w:rsidP="00F5467B">
      <w:pPr>
        <w:tabs>
          <w:tab w:val="left" w:pos="720"/>
        </w:tabs>
      </w:pPr>
      <w:r w:rsidRPr="000E4ACE">
        <w:t>OSHA articulate</w:t>
      </w:r>
      <w:r w:rsidR="000E4ACE">
        <w:t>d</w:t>
      </w:r>
      <w:r w:rsidRPr="000E4ACE">
        <w:t xml:space="preserve"> an explanation for Kentucky’s in-</w:t>
      </w:r>
      <w:r w:rsidR="003D0346" w:rsidRPr="000E4ACE">
        <w:t>compliance</w:t>
      </w:r>
      <w:r w:rsidRPr="000E4ACE">
        <w:t xml:space="preserve"> rates on page </w:t>
      </w:r>
      <w:r w:rsidR="00F5467B">
        <w:t xml:space="preserve">nine </w:t>
      </w:r>
      <w:r w:rsidRPr="000E4ACE">
        <w:t>(</w:t>
      </w:r>
      <w:r w:rsidR="00F5467B">
        <w:t>9</w:t>
      </w:r>
      <w:r w:rsidRPr="000E4ACE">
        <w:t xml:space="preserve">) of the </w:t>
      </w:r>
      <w:r w:rsidR="0042711E" w:rsidRPr="000E4ACE">
        <w:t>FFY 202</w:t>
      </w:r>
      <w:r w:rsidR="00F5467B">
        <w:t>3</w:t>
      </w:r>
      <w:r w:rsidR="0042711E" w:rsidRPr="000E4ACE">
        <w:t xml:space="preserve"> </w:t>
      </w:r>
      <w:r w:rsidRPr="000E4ACE">
        <w:t>FAME</w:t>
      </w:r>
      <w:r w:rsidR="00574D0D">
        <w:t xml:space="preserve"> Report</w:t>
      </w:r>
      <w:r w:rsidR="00F5467B">
        <w:t xml:space="preserve">.  </w:t>
      </w:r>
      <w:r w:rsidR="00574D0D">
        <w:t>The report</w:t>
      </w:r>
      <w:r w:rsidR="00F5467B">
        <w:t xml:space="preserve"> state</w:t>
      </w:r>
      <w:r w:rsidR="00814EBA">
        <w:t>s:</w:t>
      </w:r>
    </w:p>
    <w:p w14:paraId="14ABFFB5" w14:textId="77777777" w:rsidR="00F5467B" w:rsidRDefault="00F5467B" w:rsidP="00F5467B">
      <w:pPr>
        <w:tabs>
          <w:tab w:val="left" w:pos="720"/>
        </w:tabs>
      </w:pPr>
    </w:p>
    <w:p w14:paraId="23CCC139" w14:textId="3C562C69" w:rsidR="00814EBA" w:rsidRDefault="00814EBA" w:rsidP="00814EBA">
      <w:pPr>
        <w:tabs>
          <w:tab w:val="left" w:pos="720"/>
        </w:tabs>
        <w:ind w:left="720"/>
      </w:pPr>
      <w:r>
        <w:t xml:space="preserve">“It was determined that the high in-compliance rate is attributed to the significant number of formal complaints that KY OSH is required to inspect.”  </w:t>
      </w:r>
    </w:p>
    <w:p w14:paraId="5B21B09A" w14:textId="77777777" w:rsidR="00F5467B" w:rsidRDefault="00F5467B" w:rsidP="00F5467B">
      <w:pPr>
        <w:tabs>
          <w:tab w:val="left" w:pos="720"/>
        </w:tabs>
      </w:pPr>
    </w:p>
    <w:p w14:paraId="6C1FDF5A" w14:textId="76136620" w:rsidR="00094405" w:rsidRDefault="00B719A8" w:rsidP="00F5467B">
      <w:pPr>
        <w:tabs>
          <w:tab w:val="left" w:pos="720"/>
        </w:tabs>
      </w:pPr>
      <w:r>
        <w:lastRenderedPageBreak/>
        <w:t xml:space="preserve">OSHA’s explanation of Kentucky’s high in-compliance rate is accurate, yet OSHA inexpiably continues the observation.  </w:t>
      </w:r>
      <w:r w:rsidR="000E4ACE" w:rsidRPr="000E4ACE">
        <w:t>OSHA has n</w:t>
      </w:r>
      <w:r w:rsidR="00350F88">
        <w:t>either</w:t>
      </w:r>
      <w:r w:rsidR="000E4ACE" w:rsidRPr="000E4ACE">
        <w:t xml:space="preserve"> demonstrated </w:t>
      </w:r>
      <w:r w:rsidR="00350F88">
        <w:t>n</w:t>
      </w:r>
      <w:r w:rsidR="000E4ACE" w:rsidRPr="000E4ACE">
        <w:t xml:space="preserve">or articulated how Kentucky’s in-compliance rate </w:t>
      </w:r>
      <w:r w:rsidR="001914D3">
        <w:t xml:space="preserve">negatively </w:t>
      </w:r>
      <w:r w:rsidR="00814EBA">
        <w:t>impacts the effectiveness of the state plan</w:t>
      </w:r>
      <w:bookmarkStart w:id="3" w:name="_Hlk170052593"/>
      <w:r w:rsidR="00814EBA">
        <w:t>.</w:t>
      </w:r>
      <w:r w:rsidR="00D5424C">
        <w:t xml:space="preserve">  </w:t>
      </w:r>
      <w:r w:rsidR="00094405">
        <w:t>OSHA provides no basis for the observation.  In fact, OSHA contradicts the observation in its own explanation.</w:t>
      </w:r>
    </w:p>
    <w:p w14:paraId="2ACF068E" w14:textId="77777777" w:rsidR="00094405" w:rsidRDefault="00094405" w:rsidP="00F5467B">
      <w:pPr>
        <w:tabs>
          <w:tab w:val="left" w:pos="720"/>
        </w:tabs>
      </w:pPr>
    </w:p>
    <w:p w14:paraId="783FA595" w14:textId="5AED228E" w:rsidR="00D5424C" w:rsidRDefault="00C9683F" w:rsidP="00F5467B">
      <w:pPr>
        <w:tabs>
          <w:tab w:val="left" w:pos="720"/>
        </w:tabs>
      </w:pPr>
      <w:r>
        <w:t>Additionally</w:t>
      </w:r>
      <w:r w:rsidR="00D5424C">
        <w:t xml:space="preserve">, OSHA’s continuance of the observation clearly demonstrates OSHA’s fundamental lack of understanding of the FAME process pursuant to </w:t>
      </w:r>
      <w:r w:rsidR="008208A5">
        <w:t xml:space="preserve">Chapter 7 of </w:t>
      </w:r>
      <w:r w:rsidR="00D5424C">
        <w:t>OSHA’s SPP</w:t>
      </w:r>
      <w:r w:rsidR="009238E0">
        <w:t>P</w:t>
      </w:r>
      <w:r w:rsidR="00D5424C">
        <w:t>M.</w:t>
      </w:r>
    </w:p>
    <w:bookmarkEnd w:id="3"/>
    <w:p w14:paraId="1BAE7D97" w14:textId="77777777" w:rsidR="00D5424C" w:rsidRDefault="00D5424C" w:rsidP="00F5467B">
      <w:pPr>
        <w:tabs>
          <w:tab w:val="left" w:pos="720"/>
        </w:tabs>
      </w:pPr>
    </w:p>
    <w:p w14:paraId="49B08418" w14:textId="102CA479" w:rsidR="00BF0600" w:rsidRDefault="00E73860" w:rsidP="00F5467B">
      <w:pPr>
        <w:tabs>
          <w:tab w:val="left" w:pos="720"/>
        </w:tabs>
      </w:pPr>
      <w:r>
        <w:t>Kentucky rejects this observation.</w:t>
      </w:r>
    </w:p>
    <w:p w14:paraId="0B525F45" w14:textId="77777777" w:rsidR="00BF0600" w:rsidRDefault="00BF0600" w:rsidP="007A0344">
      <w:pPr>
        <w:tabs>
          <w:tab w:val="left" w:pos="720"/>
        </w:tabs>
      </w:pPr>
    </w:p>
    <w:p w14:paraId="6B35CDD9" w14:textId="65D59FAD" w:rsidR="007A0344" w:rsidRDefault="00560777" w:rsidP="007A0344">
      <w:pPr>
        <w:tabs>
          <w:tab w:val="left" w:pos="720"/>
        </w:tabs>
      </w:pPr>
      <w:r>
        <w:rPr>
          <w:b/>
          <w:bCs/>
        </w:rPr>
        <w:t xml:space="preserve">OSHA </w:t>
      </w:r>
      <w:r w:rsidRPr="001F3AE3">
        <w:rPr>
          <w:b/>
          <w:bCs/>
        </w:rPr>
        <w:t>Observation</w:t>
      </w:r>
      <w:r>
        <w:rPr>
          <w:b/>
          <w:bCs/>
        </w:rPr>
        <w:t xml:space="preserve"> FY 2023-OB-2</w:t>
      </w:r>
    </w:p>
    <w:p w14:paraId="103AE714" w14:textId="15FB20C3" w:rsidR="007A0344" w:rsidRDefault="00560777" w:rsidP="007A0344">
      <w:pPr>
        <w:tabs>
          <w:tab w:val="left" w:pos="720"/>
        </w:tabs>
      </w:pPr>
      <w:r>
        <w:t>“</w:t>
      </w:r>
      <w:r w:rsidRPr="00560777">
        <w:t>18 out of 33 consultation files reviewed did not have copies of the OSHA 300 logs.</w:t>
      </w:r>
      <w:r>
        <w:t>”</w:t>
      </w:r>
    </w:p>
    <w:p w14:paraId="587DAEE9" w14:textId="77777777" w:rsidR="007A0344" w:rsidRDefault="007A0344" w:rsidP="007A0344">
      <w:pPr>
        <w:tabs>
          <w:tab w:val="left" w:pos="720"/>
        </w:tabs>
      </w:pPr>
    </w:p>
    <w:p w14:paraId="1B7EE6AB" w14:textId="6ABF8C4A" w:rsidR="007A0344" w:rsidRPr="00560777" w:rsidRDefault="00560777" w:rsidP="007A0344">
      <w:pPr>
        <w:tabs>
          <w:tab w:val="left" w:pos="720"/>
        </w:tabs>
        <w:rPr>
          <w:b/>
          <w:bCs/>
        </w:rPr>
      </w:pPr>
      <w:r w:rsidRPr="00560777">
        <w:rPr>
          <w:b/>
          <w:bCs/>
        </w:rPr>
        <w:t>OSHA Recommendation</w:t>
      </w:r>
    </w:p>
    <w:p w14:paraId="329FBFD3" w14:textId="04CC3040" w:rsidR="00560777" w:rsidRDefault="00560777" w:rsidP="00560777">
      <w:pPr>
        <w:tabs>
          <w:tab w:val="left" w:pos="720"/>
        </w:tabs>
      </w:pPr>
      <w:r>
        <w:t>“</w:t>
      </w:r>
      <w:r w:rsidRPr="00560777">
        <w:t>The OSHA Area Office will closely monitor and review a sample of consultation files to verify the OSHA 300 logs are included in the files.</w:t>
      </w:r>
      <w:r>
        <w:t>”</w:t>
      </w:r>
    </w:p>
    <w:p w14:paraId="14B1A6BD" w14:textId="77777777" w:rsidR="00560777" w:rsidRDefault="00560777" w:rsidP="00560777">
      <w:pPr>
        <w:tabs>
          <w:tab w:val="left" w:pos="720"/>
        </w:tabs>
      </w:pPr>
    </w:p>
    <w:p w14:paraId="5042BBC2" w14:textId="6ADAF173" w:rsidR="00560777" w:rsidRPr="00560777" w:rsidRDefault="00560777" w:rsidP="00560777">
      <w:pPr>
        <w:tabs>
          <w:tab w:val="left" w:pos="720"/>
        </w:tabs>
        <w:rPr>
          <w:b/>
          <w:bCs/>
        </w:rPr>
      </w:pPr>
      <w:r w:rsidRPr="00560777">
        <w:rPr>
          <w:b/>
          <w:bCs/>
        </w:rPr>
        <w:t>State Response</w:t>
      </w:r>
    </w:p>
    <w:p w14:paraId="74242C6E" w14:textId="497E3B23" w:rsidR="00E706A6" w:rsidRDefault="00E13F96" w:rsidP="00560777">
      <w:pPr>
        <w:tabs>
          <w:tab w:val="left" w:pos="720"/>
        </w:tabs>
      </w:pPr>
      <w:r>
        <w:t xml:space="preserve">CSP 02-00-004, </w:t>
      </w:r>
      <w:r w:rsidRPr="0044753D">
        <w:rPr>
          <w:i/>
          <w:iCs/>
        </w:rPr>
        <w:t>Consultation Policies and Procedures Manual</w:t>
      </w:r>
      <w:r>
        <w:t xml:space="preserve"> (CPPM), 3/19/2021</w:t>
      </w:r>
      <w:r w:rsidR="00FD4426">
        <w:t xml:space="preserve">, </w:t>
      </w:r>
      <w:r w:rsidR="00A200B5">
        <w:t>Chapter 4</w:t>
      </w:r>
      <w:r w:rsidR="00AA7599">
        <w:t>.,</w:t>
      </w:r>
      <w:r w:rsidR="00A200B5">
        <w:t xml:space="preserve"> </w:t>
      </w:r>
      <w:r w:rsidR="0044753D">
        <w:t>“</w:t>
      </w:r>
      <w:r w:rsidR="00A200B5">
        <w:t>Consultation Visit-Related Requirements</w:t>
      </w:r>
      <w:r w:rsidR="0044753D">
        <w:t>”</w:t>
      </w:r>
      <w:r w:rsidR="00FD4426">
        <w:t xml:space="preserve">, </w:t>
      </w:r>
      <w:r w:rsidR="00E20CA0">
        <w:t xml:space="preserve">Section </w:t>
      </w:r>
      <w:r w:rsidR="00E706A6">
        <w:t>III.</w:t>
      </w:r>
      <w:r w:rsidR="00AA7599">
        <w:t>,</w:t>
      </w:r>
      <w:r w:rsidR="00E706A6">
        <w:t xml:space="preserve"> Required Structure of a Consultation Visit</w:t>
      </w:r>
      <w:r w:rsidR="00FD4426">
        <w:t xml:space="preserve">, </w:t>
      </w:r>
      <w:r w:rsidR="00E706A6">
        <w:t>7. Evaluating Employer’s Injury and Illness Rates</w:t>
      </w:r>
      <w:r w:rsidR="00E20CA0">
        <w:t xml:space="preserve">, page </w:t>
      </w:r>
      <w:r w:rsidR="006E1DAB">
        <w:t>fifty-three (</w:t>
      </w:r>
      <w:r w:rsidR="00E20CA0">
        <w:t>53</w:t>
      </w:r>
      <w:r w:rsidR="006E1DAB">
        <w:t>)</w:t>
      </w:r>
      <w:r w:rsidR="00E20CA0">
        <w:t>,</w:t>
      </w:r>
      <w:r w:rsidR="00FD4426">
        <w:t xml:space="preserve"> states:</w:t>
      </w:r>
    </w:p>
    <w:p w14:paraId="6FEB84B5" w14:textId="77777777" w:rsidR="00E706A6" w:rsidRDefault="00E706A6" w:rsidP="00560777">
      <w:pPr>
        <w:tabs>
          <w:tab w:val="left" w:pos="720"/>
        </w:tabs>
      </w:pPr>
    </w:p>
    <w:p w14:paraId="1743E30B" w14:textId="7A728FF8" w:rsidR="00FD4426" w:rsidRDefault="00FD4426" w:rsidP="00FD4426">
      <w:pPr>
        <w:tabs>
          <w:tab w:val="left" w:pos="720"/>
        </w:tabs>
        <w:ind w:left="720"/>
      </w:pPr>
      <w:r>
        <w:t xml:space="preserve">“If the employer did not provide the Log and Summary of Work-Related Injuries and Illnesses (i.e., OSHA Forms 300 and 300A) before the consultation visit, the consultant must review them at the opening conference and determine the employer's injury and illness rates.  The consultant must review the employer's current and previous three (3) years’ OSHA Forms 300 and 300A (or review the logs for the period that the establishment has been in operation, if less than 3 years).  The consultant must calculate the injury and illness rates, compare them to the BLS rates for the employer's NAICS code, and inform the employer of the results.  Consultants will also assess rates for employers that fall below the threshold for keeping injury and illness records and/or are in an industry exempt from keeping these logs.  In these cases, the consultant must make an effort to determine the previous years' injury and illness rates using available employer information and </w:t>
      </w:r>
      <w:proofErr w:type="gramStart"/>
      <w:r>
        <w:t>data, and</w:t>
      </w:r>
      <w:proofErr w:type="gramEnd"/>
      <w:r>
        <w:t xml:space="preserve"> record the data in OIS.  Consultants shall encourage employers that are not required to maintain OSHA Forms 300 and 300A to use these logs as tools for evaluating their safety and health programs.”</w:t>
      </w:r>
    </w:p>
    <w:p w14:paraId="0990EA01" w14:textId="77777777" w:rsidR="00FD4426" w:rsidRDefault="00FD4426" w:rsidP="00FD4426">
      <w:pPr>
        <w:tabs>
          <w:tab w:val="left" w:pos="720"/>
        </w:tabs>
      </w:pPr>
    </w:p>
    <w:p w14:paraId="7FA394C1" w14:textId="408548BE" w:rsidR="00A200B5" w:rsidRDefault="00A200B5" w:rsidP="00560777">
      <w:pPr>
        <w:tabs>
          <w:tab w:val="left" w:pos="720"/>
        </w:tabs>
      </w:pPr>
      <w:bookmarkStart w:id="4" w:name="_Hlk170111013"/>
      <w:r>
        <w:t>Appendix H</w:t>
      </w:r>
      <w:r w:rsidR="00AA7599">
        <w:t>,</w:t>
      </w:r>
      <w:r>
        <w:t xml:space="preserve"> Consultation Visit Case File Organization</w:t>
      </w:r>
      <w:r w:rsidR="00FD4426">
        <w:t xml:space="preserve">, </w:t>
      </w:r>
      <w:r w:rsidR="00EB202A">
        <w:t xml:space="preserve">Section </w:t>
      </w:r>
      <w:r>
        <w:t>I.</w:t>
      </w:r>
      <w:r w:rsidR="00AA7599">
        <w:t>,</w:t>
      </w:r>
      <w:r>
        <w:t xml:space="preserve"> Introduction</w:t>
      </w:r>
      <w:r w:rsidR="00CC5C14">
        <w:t>, page 131,</w:t>
      </w:r>
      <w:r w:rsidR="00FD4426">
        <w:t xml:space="preserve"> states:</w:t>
      </w:r>
      <w:r>
        <w:t xml:space="preserve">  </w:t>
      </w:r>
      <w:bookmarkEnd w:id="4"/>
    </w:p>
    <w:p w14:paraId="5BD934CC" w14:textId="77777777" w:rsidR="00FD4426" w:rsidRDefault="00FD4426" w:rsidP="00560777">
      <w:pPr>
        <w:tabs>
          <w:tab w:val="left" w:pos="720"/>
        </w:tabs>
      </w:pPr>
    </w:p>
    <w:p w14:paraId="5C0D39D1" w14:textId="3D446961" w:rsidR="00FD4426" w:rsidRDefault="00FD4426" w:rsidP="00FD4426">
      <w:pPr>
        <w:tabs>
          <w:tab w:val="left" w:pos="720"/>
        </w:tabs>
        <w:ind w:left="720"/>
      </w:pPr>
      <w:r>
        <w:t>“Introduction. Case files must be maintained in a defined, uniform format, whether in a</w:t>
      </w:r>
    </w:p>
    <w:p w14:paraId="7628671F" w14:textId="1FDCEEC6" w:rsidR="00FD4426" w:rsidRDefault="00FD4426" w:rsidP="00FD4426">
      <w:pPr>
        <w:tabs>
          <w:tab w:val="left" w:pos="720"/>
        </w:tabs>
        <w:ind w:left="720"/>
      </w:pPr>
      <w:r>
        <w:t xml:space="preserve">format acceptable to the Regional Administrator (RA), or in accordance with the requirements outlined in this appendix.  This appendix provides a description of the filing structure for a case file.  A Consultation program may organize its case files differently as long as all the required contents of a case file listed in this appendix are included in a consistent and organized manner.  Consultation programs may maintain case files using </w:t>
      </w:r>
      <w:r>
        <w:lastRenderedPageBreak/>
        <w:t xml:space="preserve">printed and/or electronic medium.  Consultation programs are responsible for providing printed copies of these records upon request by the Occupational Safety and Health Administration (OSHA).  Consultation </w:t>
      </w:r>
      <w:proofErr w:type="gramStart"/>
      <w:r>
        <w:t>program</w:t>
      </w:r>
      <w:proofErr w:type="gramEnd"/>
      <w:r>
        <w:t xml:space="preserve"> are also responsible for meeting the National Archives and Records Administration’s (NARA) electronic recordkeeping requirements (see Section VIII of this appendix)”</w:t>
      </w:r>
    </w:p>
    <w:p w14:paraId="32EED61F" w14:textId="79AB3FD2" w:rsidR="00FD4426" w:rsidRDefault="00FD4426" w:rsidP="00FD4426">
      <w:pPr>
        <w:tabs>
          <w:tab w:val="left" w:pos="720"/>
        </w:tabs>
      </w:pPr>
    </w:p>
    <w:p w14:paraId="2C96E7EE" w14:textId="54446F9F" w:rsidR="00FD4426" w:rsidRDefault="00E20CA0" w:rsidP="00560777">
      <w:pPr>
        <w:tabs>
          <w:tab w:val="left" w:pos="720"/>
        </w:tabs>
      </w:pPr>
      <w:bookmarkStart w:id="5" w:name="_Hlk170111046"/>
      <w:r>
        <w:t xml:space="preserve">Section </w:t>
      </w:r>
      <w:r w:rsidR="00FD4426" w:rsidRPr="00FD4426">
        <w:t>V.</w:t>
      </w:r>
      <w:r w:rsidR="00AA7599">
        <w:t>,</w:t>
      </w:r>
      <w:r w:rsidR="00FD4426" w:rsidRPr="00FD4426">
        <w:t xml:space="preserve"> Filing Arrangement </w:t>
      </w:r>
      <w:r w:rsidR="00FD4426">
        <w:t>-</w:t>
      </w:r>
      <w:r w:rsidR="00FD4426" w:rsidRPr="00FD4426">
        <w:t xml:space="preserve"> Consultation Visit Case File Contents.</w:t>
      </w:r>
      <w:r w:rsidR="00FD4426">
        <w:t xml:space="preserve">, </w:t>
      </w:r>
      <w:r w:rsidR="00BC2B7D">
        <w:t>A.</w:t>
      </w:r>
      <w:r w:rsidR="00AA7599">
        <w:t>,</w:t>
      </w:r>
      <w:r w:rsidR="00BC2B7D">
        <w:t xml:space="preserve"> Forms and Related Documentation., p</w:t>
      </w:r>
      <w:r w:rsidR="00FD4426">
        <w:t>age 13</w:t>
      </w:r>
      <w:r w:rsidR="00BC2B7D">
        <w:t>3,</w:t>
      </w:r>
      <w:r w:rsidR="00FD4426">
        <w:t xml:space="preserve"> states:</w:t>
      </w:r>
    </w:p>
    <w:bookmarkEnd w:id="5"/>
    <w:p w14:paraId="1FBB4638" w14:textId="77777777" w:rsidR="00FD4426" w:rsidRDefault="00FD4426" w:rsidP="00560777">
      <w:pPr>
        <w:tabs>
          <w:tab w:val="left" w:pos="720"/>
        </w:tabs>
      </w:pPr>
    </w:p>
    <w:p w14:paraId="32C3DFF3" w14:textId="75FCDC8E" w:rsidR="00BC2B7D" w:rsidRDefault="00BC2B7D" w:rsidP="00BC2B7D">
      <w:pPr>
        <w:tabs>
          <w:tab w:val="left" w:pos="720"/>
        </w:tabs>
        <w:ind w:left="720"/>
      </w:pPr>
      <w:r>
        <w:t>“The following is a list of the documents that appear on the RIGHT side of the case file. File amendments and any official notes with the forms to which they relate. File these forms in this order, FROM TOP TO BOTTOM:”</w:t>
      </w:r>
    </w:p>
    <w:p w14:paraId="125196DC" w14:textId="51DCDCF1" w:rsidR="00BC2B7D" w:rsidRDefault="00BC2B7D" w:rsidP="00BC2B7D">
      <w:pPr>
        <w:tabs>
          <w:tab w:val="left" w:pos="720"/>
        </w:tabs>
      </w:pPr>
    </w:p>
    <w:p w14:paraId="4D4EB848" w14:textId="327279F0" w:rsidR="00BC2B7D" w:rsidRDefault="00954004" w:rsidP="00560777">
      <w:pPr>
        <w:tabs>
          <w:tab w:val="left" w:pos="720"/>
        </w:tabs>
      </w:pPr>
      <w:r>
        <w:t xml:space="preserve">Section V.A. </w:t>
      </w:r>
      <w:r w:rsidR="00BC2B7D">
        <w:t>Item 5., page 133, continues:</w:t>
      </w:r>
    </w:p>
    <w:p w14:paraId="0EEC4870" w14:textId="77777777" w:rsidR="00BC2B7D" w:rsidRDefault="00BC2B7D" w:rsidP="00560777">
      <w:pPr>
        <w:tabs>
          <w:tab w:val="left" w:pos="720"/>
        </w:tabs>
      </w:pPr>
    </w:p>
    <w:p w14:paraId="7E52E8C7" w14:textId="7A00D050" w:rsidR="00FD4426" w:rsidRDefault="00BC2B7D" w:rsidP="00560777">
      <w:pPr>
        <w:tabs>
          <w:tab w:val="left" w:pos="720"/>
        </w:tabs>
      </w:pPr>
      <w:r>
        <w:tab/>
        <w:t>“</w:t>
      </w:r>
      <w:r w:rsidR="00FD4426">
        <w:t xml:space="preserve">OSHA Form 300 </w:t>
      </w:r>
      <w:r w:rsidR="00FD4426" w:rsidRPr="00BC2B7D">
        <w:rPr>
          <w:b/>
          <w:bCs/>
        </w:rPr>
        <w:t>or</w:t>
      </w:r>
      <w:r w:rsidR="00FD4426">
        <w:t xml:space="preserve"> data obtained to </w:t>
      </w:r>
      <w:r>
        <w:t>support</w:t>
      </w:r>
      <w:r w:rsidR="00FD4426">
        <w:t xml:space="preserve"> injury and illness rates</w:t>
      </w:r>
      <w:r>
        <w:t>” [Emphasis added.]</w:t>
      </w:r>
    </w:p>
    <w:p w14:paraId="67B25B1C" w14:textId="77777777" w:rsidR="00BC2B7D" w:rsidRDefault="00BC2B7D" w:rsidP="00560777">
      <w:pPr>
        <w:tabs>
          <w:tab w:val="left" w:pos="720"/>
        </w:tabs>
      </w:pPr>
    </w:p>
    <w:p w14:paraId="3B4B9C83" w14:textId="4461C27A" w:rsidR="00BC2B7D" w:rsidRDefault="00A33EBF" w:rsidP="00560777">
      <w:pPr>
        <w:tabs>
          <w:tab w:val="left" w:pos="720"/>
        </w:tabs>
      </w:pPr>
      <w:r>
        <w:t>T</w:t>
      </w:r>
      <w:r w:rsidR="00BC2B7D">
        <w:t xml:space="preserve">he CPPM </w:t>
      </w:r>
      <w:r>
        <w:t xml:space="preserve">language does not </w:t>
      </w:r>
      <w:r w:rsidR="00BC2B7D">
        <w:t xml:space="preserve">require consultants </w:t>
      </w:r>
      <w:r w:rsidR="00BC2B7D" w:rsidRPr="00BC2B7D">
        <w:t>acquire copies of an employer’s OSHA 300 logs</w:t>
      </w:r>
      <w:r w:rsidR="00BC2B7D">
        <w:t>.  Kentucky</w:t>
      </w:r>
      <w:r>
        <w:t xml:space="preserve"> follows the CCPM and</w:t>
      </w:r>
      <w:r w:rsidR="00BC2B7D">
        <w:t xml:space="preserve"> either acquires copies of an employer’s OSHA 300 log or obtains the data.  That was </w:t>
      </w:r>
      <w:r w:rsidR="00106BD2">
        <w:t xml:space="preserve">plainly </w:t>
      </w:r>
      <w:r w:rsidR="00BC2B7D">
        <w:t xml:space="preserve">acknowledged by OSHA </w:t>
      </w:r>
      <w:r>
        <w:t>on page twenty (20) of</w:t>
      </w:r>
      <w:r w:rsidR="00BC2B7D">
        <w:t xml:space="preserve"> the FFY 2023 FAME</w:t>
      </w:r>
      <w:r w:rsidR="00AA7599">
        <w:t xml:space="preserve"> Report</w:t>
      </w:r>
      <w:r w:rsidR="00BC2B7D">
        <w:t>.  It states:</w:t>
      </w:r>
    </w:p>
    <w:p w14:paraId="0AFDAC6C" w14:textId="77777777" w:rsidR="00BC2B7D" w:rsidRDefault="00BC2B7D" w:rsidP="00560777">
      <w:pPr>
        <w:tabs>
          <w:tab w:val="left" w:pos="720"/>
        </w:tabs>
      </w:pPr>
    </w:p>
    <w:p w14:paraId="04C6BDBE" w14:textId="6CEAA30B" w:rsidR="00BC2B7D" w:rsidRDefault="00BC2B7D" w:rsidP="00742426">
      <w:pPr>
        <w:tabs>
          <w:tab w:val="left" w:pos="720"/>
        </w:tabs>
        <w:ind w:left="720"/>
      </w:pPr>
      <w:r>
        <w:t>“</w:t>
      </w:r>
      <w:r w:rsidRPr="00BC2B7D">
        <w:t>OSHA 300 logs and programs were reviewed as indicated by DART/TRC rate calculations and transcription into the file the information contained on the OSHA 300A, as well as the completion of OSHA Form 33.  However, most files did not contain copies of the OSHA 300 logs or programs.   The program management was advised of the information contained in the CPPM (</w:t>
      </w:r>
      <w:bookmarkStart w:id="6" w:name="_Hlk170049716"/>
      <w:r w:rsidRPr="00BC2B7D">
        <w:t>Appendix H, Section V.A.5</w:t>
      </w:r>
      <w:bookmarkEnd w:id="6"/>
      <w:r w:rsidRPr="00BC2B7D">
        <w:t>), in reference to collecting OSHA 300 logs.</w:t>
      </w:r>
      <w:r w:rsidR="00742426">
        <w:t>”</w:t>
      </w:r>
    </w:p>
    <w:p w14:paraId="14978580" w14:textId="77777777" w:rsidR="00BC2B7D" w:rsidRDefault="00BC2B7D" w:rsidP="00560777">
      <w:pPr>
        <w:tabs>
          <w:tab w:val="left" w:pos="720"/>
        </w:tabs>
      </w:pPr>
    </w:p>
    <w:p w14:paraId="76626D71" w14:textId="03FCECFE" w:rsidR="00742426" w:rsidRDefault="00AF63AE" w:rsidP="00560777">
      <w:pPr>
        <w:tabs>
          <w:tab w:val="left" w:pos="720"/>
        </w:tabs>
      </w:pPr>
      <w:r>
        <w:rPr>
          <w:b/>
          <w:bCs/>
        </w:rPr>
        <w:t>A</w:t>
      </w:r>
      <w:r w:rsidR="00742426" w:rsidRPr="00742426">
        <w:rPr>
          <w:b/>
          <w:bCs/>
        </w:rPr>
        <w:t>ll</w:t>
      </w:r>
      <w:r w:rsidR="00742426">
        <w:t xml:space="preserve"> </w:t>
      </w:r>
      <w:r w:rsidR="004461FA">
        <w:t xml:space="preserve">Kentucky consultation </w:t>
      </w:r>
      <w:r w:rsidR="00742426">
        <w:t xml:space="preserve">casefiles that did not have copies </w:t>
      </w:r>
      <w:r w:rsidR="00FF49D0">
        <w:t xml:space="preserve">of the employers OSHA Form 33 </w:t>
      </w:r>
      <w:r w:rsidR="00742426">
        <w:t xml:space="preserve">obtained the data </w:t>
      </w:r>
      <w:r w:rsidR="00FF49D0">
        <w:t xml:space="preserve">to support injury and illness rates </w:t>
      </w:r>
      <w:r w:rsidR="00742426">
        <w:t>and were documented in the casefile</w:t>
      </w:r>
      <w:r>
        <w:t xml:space="preserve"> in accordance with </w:t>
      </w:r>
      <w:r w:rsidR="00FF49D0">
        <w:t xml:space="preserve">the </w:t>
      </w:r>
      <w:r>
        <w:t>CPPM</w:t>
      </w:r>
      <w:r w:rsidR="00FF49D0">
        <w:t>.</w:t>
      </w:r>
    </w:p>
    <w:p w14:paraId="46F32C48" w14:textId="77777777" w:rsidR="00742426" w:rsidRDefault="00742426" w:rsidP="00560777">
      <w:pPr>
        <w:tabs>
          <w:tab w:val="left" w:pos="720"/>
        </w:tabs>
      </w:pPr>
    </w:p>
    <w:p w14:paraId="79ACC425" w14:textId="0834D9EF" w:rsidR="00E20CA0" w:rsidRDefault="00742426" w:rsidP="00560777">
      <w:pPr>
        <w:tabs>
          <w:tab w:val="left" w:pos="720"/>
        </w:tabs>
      </w:pPr>
      <w:r>
        <w:t>OSHA</w:t>
      </w:r>
      <w:r w:rsidR="00AF63AE">
        <w:t xml:space="preserve"> </w:t>
      </w:r>
      <w:r w:rsidR="00106BD2">
        <w:t xml:space="preserve">cites </w:t>
      </w:r>
      <w:r>
        <w:t xml:space="preserve">CPPM </w:t>
      </w:r>
      <w:r w:rsidRPr="00742426">
        <w:t>Appendix H, Section V.A.5</w:t>
      </w:r>
      <w:r w:rsidR="00106BD2">
        <w:t xml:space="preserve"> in reference to collecting OSHA 300 logs</w:t>
      </w:r>
      <w:r>
        <w:t>.</w:t>
      </w:r>
      <w:r w:rsidR="00106BD2">
        <w:t xml:space="preserve">  </w:t>
      </w:r>
      <w:r>
        <w:t xml:space="preserve"> OSHA’s reference is</w:t>
      </w:r>
      <w:r w:rsidR="00AF63AE">
        <w:t xml:space="preserve"> </w:t>
      </w:r>
      <w:r w:rsidR="00C1734A">
        <w:t xml:space="preserve">unquestionably </w:t>
      </w:r>
      <w:r>
        <w:t xml:space="preserve">incorrect (see </w:t>
      </w:r>
      <w:r w:rsidR="00002E56">
        <w:t xml:space="preserve">Appendix H, Section V.A.5 language </w:t>
      </w:r>
      <w:r w:rsidR="00106BD2">
        <w:t xml:space="preserve">quoted </w:t>
      </w:r>
      <w:r>
        <w:t>above)</w:t>
      </w:r>
      <w:r w:rsidR="00C1734A">
        <w:t>.</w:t>
      </w:r>
      <w:r w:rsidR="00E20CA0">
        <w:t xml:space="preserve">  </w:t>
      </w:r>
      <w:r w:rsidR="00DD6434">
        <w:t xml:space="preserve">Although not applicable to the FFY 2023 FAME review period, </w:t>
      </w:r>
      <w:r w:rsidR="00E20CA0">
        <w:t xml:space="preserve">Kentucky examined the September 29, 2023 edition of CSP 02-00-004 to determine if OSHA’s reference to </w:t>
      </w:r>
      <w:r w:rsidR="00E20CA0" w:rsidRPr="00742426">
        <w:t>Appendix H, Section V.A.5</w:t>
      </w:r>
      <w:r w:rsidR="00E20CA0">
        <w:t xml:space="preserve"> stemmed from th</w:t>
      </w:r>
      <w:r w:rsidR="00AA7599">
        <w:t>e 2023</w:t>
      </w:r>
      <w:r w:rsidR="00E20CA0">
        <w:t xml:space="preserve"> edition.  Kentucky determined the language in the 2023 edition is identical to the </w:t>
      </w:r>
      <w:r w:rsidR="00AA7599">
        <w:t xml:space="preserve">language in the </w:t>
      </w:r>
      <w:r w:rsidR="00E20CA0">
        <w:t xml:space="preserve">2021 edition.  </w:t>
      </w:r>
      <w:r w:rsidR="00C1734A">
        <w:t xml:space="preserve">  </w:t>
      </w:r>
    </w:p>
    <w:p w14:paraId="7F5765AE" w14:textId="77777777" w:rsidR="00E20CA0" w:rsidRDefault="00E20CA0" w:rsidP="00560777">
      <w:pPr>
        <w:tabs>
          <w:tab w:val="left" w:pos="720"/>
        </w:tabs>
      </w:pPr>
    </w:p>
    <w:p w14:paraId="2C8AD1D2" w14:textId="23B999B6" w:rsidR="00C1734A" w:rsidRDefault="00C1734A" w:rsidP="00560777">
      <w:pPr>
        <w:tabs>
          <w:tab w:val="left" w:pos="720"/>
        </w:tabs>
      </w:pPr>
      <w:r>
        <w:t xml:space="preserve">Kentucky </w:t>
      </w:r>
      <w:r w:rsidR="00667A4B">
        <w:t>called OSHA’s attention to</w:t>
      </w:r>
      <w:r>
        <w:t xml:space="preserve"> the CPPM language</w:t>
      </w:r>
      <w:r w:rsidR="00667A4B">
        <w:t xml:space="preserve"> </w:t>
      </w:r>
      <w:r>
        <w:t xml:space="preserve">during the onsite FFY 2023 </w:t>
      </w:r>
      <w:r w:rsidR="00D025A8">
        <w:t xml:space="preserve">FAME </w:t>
      </w:r>
      <w:r>
        <w:t xml:space="preserve">debriefing with OSHA’s </w:t>
      </w:r>
      <w:r w:rsidR="00667A4B">
        <w:t xml:space="preserve">consultation </w:t>
      </w:r>
      <w:r>
        <w:t xml:space="preserve">reviewer.  Kentucky also pointed out the </w:t>
      </w:r>
      <w:r w:rsidR="00667A4B">
        <w:t xml:space="preserve">CPPM </w:t>
      </w:r>
      <w:r>
        <w:t xml:space="preserve">language in a Tuesday, May 7, 2024, Teams meeting </w:t>
      </w:r>
      <w:r w:rsidR="00D025A8">
        <w:t>that included</w:t>
      </w:r>
      <w:r>
        <w:t xml:space="preserve"> OSHA’s Directorate of Cooperative and State Programs (DCSP), regional office, and Kentucky Department of Workplace Standard</w:t>
      </w:r>
      <w:r w:rsidR="00667A4B">
        <w:t>s</w:t>
      </w:r>
      <w:r>
        <w:t xml:space="preserve"> leadership.  </w:t>
      </w:r>
      <w:r w:rsidR="00106BD2">
        <w:t>During all conservations with OSHA, OSHA acknowledged the CPPM was not clear.  Yet o</w:t>
      </w:r>
      <w:r>
        <w:t>n Monday, June 3, 2024, OSHA informed Kentucky:</w:t>
      </w:r>
    </w:p>
    <w:p w14:paraId="6F136FA7" w14:textId="77777777" w:rsidR="00C1734A" w:rsidRDefault="00C1734A" w:rsidP="00560777">
      <w:pPr>
        <w:tabs>
          <w:tab w:val="left" w:pos="720"/>
        </w:tabs>
      </w:pPr>
    </w:p>
    <w:p w14:paraId="066D3F6A" w14:textId="48AD2ECB" w:rsidR="00742426" w:rsidRPr="00C1734A" w:rsidRDefault="00C1734A" w:rsidP="00C1734A">
      <w:pPr>
        <w:tabs>
          <w:tab w:val="left" w:pos="720"/>
        </w:tabs>
        <w:ind w:left="720"/>
      </w:pPr>
      <w:r w:rsidRPr="00C1734A">
        <w:rPr>
          <w:rFonts w:eastAsiaTheme="minorHAnsi"/>
          <w14:ligatures w14:val="standardContextual"/>
        </w:rPr>
        <w:t>“For the second issue regarding the requirement to collect 300 Logs and keep them in the casefile, we are not changing this observation.  While we appreciate that the CPPM could be clearer with this requirement, it is the intent that 300 Logs be maintained in the file.”</w:t>
      </w:r>
      <w:r w:rsidRPr="00C1734A">
        <w:t xml:space="preserve">  </w:t>
      </w:r>
    </w:p>
    <w:p w14:paraId="597AEFB2" w14:textId="77777777" w:rsidR="00C1734A" w:rsidRPr="00C1734A" w:rsidRDefault="00C1734A" w:rsidP="00560777">
      <w:pPr>
        <w:tabs>
          <w:tab w:val="left" w:pos="720"/>
        </w:tabs>
      </w:pPr>
    </w:p>
    <w:p w14:paraId="2DB14082" w14:textId="14D1EB0E" w:rsidR="00C1734A" w:rsidRPr="00C1734A" w:rsidRDefault="00667A4B" w:rsidP="00560777">
      <w:pPr>
        <w:tabs>
          <w:tab w:val="left" w:pos="720"/>
        </w:tabs>
      </w:pPr>
      <w:r>
        <w:t xml:space="preserve">OSHA </w:t>
      </w:r>
      <w:r w:rsidR="00C1734A">
        <w:t>continued</w:t>
      </w:r>
      <w:r w:rsidR="00264840">
        <w:t>:</w:t>
      </w:r>
    </w:p>
    <w:p w14:paraId="3C2E3D80" w14:textId="77777777" w:rsidR="00C1734A" w:rsidRPr="00C1734A" w:rsidRDefault="00C1734A" w:rsidP="00560777">
      <w:pPr>
        <w:tabs>
          <w:tab w:val="left" w:pos="720"/>
        </w:tabs>
      </w:pPr>
    </w:p>
    <w:p w14:paraId="1A162CE1" w14:textId="5E30AB40" w:rsidR="00C1734A" w:rsidRPr="00C1734A" w:rsidRDefault="00264840" w:rsidP="00264840">
      <w:pPr>
        <w:tabs>
          <w:tab w:val="left" w:pos="720"/>
        </w:tabs>
        <w:ind w:left="720"/>
      </w:pPr>
      <w:r>
        <w:t>“</w:t>
      </w:r>
      <w:r w:rsidRPr="00264840">
        <w:t>DCSP defers to regional decision on this point. This response constitutes a final decision in the FAME request for review process.</w:t>
      </w:r>
      <w:r>
        <w:t>”</w:t>
      </w:r>
    </w:p>
    <w:p w14:paraId="0EF480EB" w14:textId="77777777" w:rsidR="00C1734A" w:rsidRPr="00C1734A" w:rsidRDefault="00C1734A" w:rsidP="00560777">
      <w:pPr>
        <w:tabs>
          <w:tab w:val="left" w:pos="720"/>
        </w:tabs>
      </w:pPr>
    </w:p>
    <w:p w14:paraId="643F0644" w14:textId="77777777" w:rsidR="00CD2B53" w:rsidRDefault="00264840" w:rsidP="00560777">
      <w:pPr>
        <w:tabs>
          <w:tab w:val="left" w:pos="720"/>
        </w:tabs>
      </w:pPr>
      <w:r>
        <w:t xml:space="preserve">Kentucky is </w:t>
      </w:r>
      <w:r w:rsidR="00D77006">
        <w:t>mystified</w:t>
      </w:r>
      <w:r>
        <w:t xml:space="preserve"> by OSHA’s decision to issue this observation</w:t>
      </w:r>
      <w:r w:rsidR="00D77006">
        <w:t xml:space="preserve">.  </w:t>
      </w:r>
      <w:r w:rsidR="00A33EBF">
        <w:t xml:space="preserve">Kentucky does not require consultants to acquire copies of an employer’s OSHA 300 logs because there is no such requirement.  </w:t>
      </w:r>
    </w:p>
    <w:p w14:paraId="197AC968" w14:textId="77777777" w:rsidR="00CD2B53" w:rsidRDefault="00CD2B53" w:rsidP="00560777">
      <w:pPr>
        <w:tabs>
          <w:tab w:val="left" w:pos="720"/>
        </w:tabs>
      </w:pPr>
    </w:p>
    <w:p w14:paraId="225EABA7" w14:textId="23F646CF" w:rsidR="00A4377E" w:rsidRDefault="00A33EBF" w:rsidP="00560777">
      <w:pPr>
        <w:tabs>
          <w:tab w:val="left" w:pos="720"/>
        </w:tabs>
      </w:pPr>
      <w:r>
        <w:t xml:space="preserve">OSHA </w:t>
      </w:r>
      <w:r w:rsidR="00357474">
        <w:t xml:space="preserve">openly admits </w:t>
      </w:r>
      <w:r>
        <w:t>t</w:t>
      </w:r>
      <w:r w:rsidR="00D77006">
        <w:t xml:space="preserve">he </w:t>
      </w:r>
      <w:r w:rsidR="00264840">
        <w:t xml:space="preserve">observation is based upon </w:t>
      </w:r>
      <w:r w:rsidR="00D77006">
        <w:t>OSHA’s</w:t>
      </w:r>
      <w:r w:rsidR="00264840">
        <w:t xml:space="preserve"> “intent that 300 Logs be maintained in the file”.</w:t>
      </w:r>
      <w:r w:rsidR="00CD2B53">
        <w:t xml:space="preserve">  </w:t>
      </w:r>
      <w:r w:rsidR="00264840">
        <w:t>Kentucky’s collection of an employer’s OSHA 300 log or data supporting injury and illness rates has been practice</w:t>
      </w:r>
      <w:r w:rsidR="00A47FD0">
        <w:t>d</w:t>
      </w:r>
      <w:r w:rsidR="00264840">
        <w:t xml:space="preserve"> for </w:t>
      </w:r>
      <w:r w:rsidR="006A320E">
        <w:t xml:space="preserve">many </w:t>
      </w:r>
      <w:r w:rsidR="00264840">
        <w:t>years</w:t>
      </w:r>
      <w:r w:rsidR="003E198A">
        <w:t xml:space="preserve"> and</w:t>
      </w:r>
      <w:r w:rsidR="00A47FD0">
        <w:t xml:space="preserve"> </w:t>
      </w:r>
      <w:r w:rsidR="003E198A">
        <w:t>un</w:t>
      </w:r>
      <w:r w:rsidR="00A47FD0">
        <w:t xml:space="preserve">questioned by OSHA.  However, </w:t>
      </w:r>
      <w:r w:rsidR="003E198A">
        <w:t xml:space="preserve">during </w:t>
      </w:r>
      <w:r w:rsidR="00A47FD0">
        <w:t>the FFY 2023 FAME process, OSHA “move</w:t>
      </w:r>
      <w:r w:rsidR="00002E56">
        <w:t>d</w:t>
      </w:r>
      <w:r w:rsidR="00A47FD0">
        <w:t xml:space="preserve"> the goalpost” and although Kentucky fully followed OSHA’s CPPM, issue</w:t>
      </w:r>
      <w:r w:rsidR="00345C01">
        <w:t>d</w:t>
      </w:r>
      <w:r w:rsidR="00A47FD0">
        <w:t xml:space="preserve"> Kentucky an observation for not being </w:t>
      </w:r>
      <w:r w:rsidR="00002E56">
        <w:t>cognizant</w:t>
      </w:r>
      <w:r w:rsidR="00A47FD0">
        <w:t xml:space="preserve"> of OSHA’s</w:t>
      </w:r>
      <w:r w:rsidR="00264840">
        <w:t xml:space="preserve"> </w:t>
      </w:r>
      <w:r w:rsidR="00A47FD0">
        <w:t xml:space="preserve">intent.  </w:t>
      </w:r>
    </w:p>
    <w:p w14:paraId="0812C550" w14:textId="77777777" w:rsidR="00A4377E" w:rsidRDefault="00A4377E" w:rsidP="00560777">
      <w:pPr>
        <w:tabs>
          <w:tab w:val="left" w:pos="720"/>
        </w:tabs>
      </w:pPr>
    </w:p>
    <w:p w14:paraId="3ADD07FF" w14:textId="7D152628" w:rsidR="00A4377E" w:rsidRDefault="00A4377E" w:rsidP="00560777">
      <w:pPr>
        <w:tabs>
          <w:tab w:val="left" w:pos="720"/>
        </w:tabs>
      </w:pPr>
      <w:r>
        <w:t xml:space="preserve">The observation is </w:t>
      </w:r>
      <w:r w:rsidR="00D1452A">
        <w:t>ludicrous</w:t>
      </w:r>
      <w:r>
        <w:t xml:space="preserve">.  The observation </w:t>
      </w:r>
      <w:r w:rsidR="00EA599A">
        <w:t>illustrates</w:t>
      </w:r>
      <w:r>
        <w:t xml:space="preserve"> OSHA’s refusal to acknowledge </w:t>
      </w:r>
      <w:r w:rsidR="00EA599A">
        <w:t xml:space="preserve">its own </w:t>
      </w:r>
      <w:r>
        <w:t>CPPM and</w:t>
      </w:r>
      <w:r w:rsidR="00C42984">
        <w:t>,</w:t>
      </w:r>
      <w:r w:rsidR="00EA599A">
        <w:t xml:space="preserve"> </w:t>
      </w:r>
      <w:r>
        <w:t>once again</w:t>
      </w:r>
      <w:r w:rsidR="00C42984">
        <w:t>,</w:t>
      </w:r>
      <w:r>
        <w:t xml:space="preserve"> </w:t>
      </w:r>
      <w:r w:rsidRPr="00A4377E">
        <w:t>clearly demonstrates OSHA’s fundamental lack of understanding of the FAME process.</w:t>
      </w:r>
    </w:p>
    <w:p w14:paraId="2FDB47D4" w14:textId="77777777" w:rsidR="00A4377E" w:rsidRDefault="00A4377E" w:rsidP="00560777">
      <w:pPr>
        <w:tabs>
          <w:tab w:val="left" w:pos="720"/>
        </w:tabs>
      </w:pPr>
    </w:p>
    <w:p w14:paraId="2DAA3E37" w14:textId="0763320B" w:rsidR="00A47FD0" w:rsidRDefault="00A47FD0" w:rsidP="00560777">
      <w:pPr>
        <w:tabs>
          <w:tab w:val="left" w:pos="720"/>
        </w:tabs>
      </w:pPr>
      <w:r>
        <w:t>Kentucky rejects the observation.</w:t>
      </w:r>
    </w:p>
    <w:p w14:paraId="006D64CA" w14:textId="77777777" w:rsidR="00BC2B7D" w:rsidRDefault="00BC2B7D" w:rsidP="00560777">
      <w:pPr>
        <w:tabs>
          <w:tab w:val="left" w:pos="720"/>
        </w:tabs>
      </w:pPr>
    </w:p>
    <w:p w14:paraId="2B84CBE0" w14:textId="77777777" w:rsidR="00A4377E" w:rsidRDefault="00A4377E" w:rsidP="00560777">
      <w:pPr>
        <w:tabs>
          <w:tab w:val="left" w:pos="720"/>
        </w:tabs>
      </w:pPr>
    </w:p>
    <w:sectPr w:rsidR="00A4377E" w:rsidSect="00180D7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3DEEE" w14:textId="77777777" w:rsidR="005F2E53" w:rsidRDefault="005F2E53" w:rsidP="00C27176">
      <w:r>
        <w:separator/>
      </w:r>
    </w:p>
  </w:endnote>
  <w:endnote w:type="continuationSeparator" w:id="0">
    <w:p w14:paraId="2CC7A5EC" w14:textId="77777777" w:rsidR="005F2E53" w:rsidRDefault="005F2E53" w:rsidP="00C2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C9415" w14:textId="77777777" w:rsidR="009410CC" w:rsidRDefault="00941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221978"/>
      <w:docPartObj>
        <w:docPartGallery w:val="Page Numbers (Bottom of Page)"/>
        <w:docPartUnique/>
      </w:docPartObj>
    </w:sdtPr>
    <w:sdtEndPr>
      <w:rPr>
        <w:noProof/>
      </w:rPr>
    </w:sdtEndPr>
    <w:sdtContent>
      <w:p w14:paraId="1E9FE590" w14:textId="77777777" w:rsidR="002A4818" w:rsidRDefault="002A4818">
        <w:pPr>
          <w:pStyle w:val="Footer"/>
          <w:jc w:val="center"/>
        </w:pPr>
        <w:r>
          <w:fldChar w:fldCharType="begin"/>
        </w:r>
        <w:r>
          <w:instrText xml:space="preserve"> PAGE   \* MERGEFORMAT </w:instrText>
        </w:r>
        <w:r>
          <w:fldChar w:fldCharType="separate"/>
        </w:r>
        <w:r w:rsidR="002D0079">
          <w:rPr>
            <w:noProof/>
          </w:rPr>
          <w:t>2</w:t>
        </w:r>
        <w:r>
          <w:rPr>
            <w:noProof/>
          </w:rPr>
          <w:fldChar w:fldCharType="end"/>
        </w:r>
      </w:p>
    </w:sdtContent>
  </w:sdt>
  <w:p w14:paraId="77367B2F" w14:textId="77777777" w:rsidR="00C27176" w:rsidRDefault="00C27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DFF92" w14:textId="77777777" w:rsidR="009410CC" w:rsidRDefault="00941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ECB8D" w14:textId="77777777" w:rsidR="005F2E53" w:rsidRDefault="005F2E53" w:rsidP="00C27176">
      <w:r>
        <w:separator/>
      </w:r>
    </w:p>
  </w:footnote>
  <w:footnote w:type="continuationSeparator" w:id="0">
    <w:p w14:paraId="7E5A8A50" w14:textId="77777777" w:rsidR="005F2E53" w:rsidRDefault="005F2E53" w:rsidP="00C27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7EC02" w14:textId="63513583" w:rsidR="00F1789E" w:rsidRDefault="00F17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56405" w14:textId="3D7EC160" w:rsidR="00F1789E" w:rsidRDefault="00F17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9C221" w14:textId="0C66EAFA" w:rsidR="00F1789E" w:rsidRDefault="00F17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1142B"/>
    <w:multiLevelType w:val="hybridMultilevel"/>
    <w:tmpl w:val="C466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9022F"/>
    <w:multiLevelType w:val="hybridMultilevel"/>
    <w:tmpl w:val="83688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90974466">
    <w:abstractNumId w:val="0"/>
  </w:num>
  <w:num w:numId="2" w16cid:durableId="1503428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insDel="0"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EA"/>
    <w:rsid w:val="00002E56"/>
    <w:rsid w:val="000048C3"/>
    <w:rsid w:val="000064FB"/>
    <w:rsid w:val="00007D5A"/>
    <w:rsid w:val="00011892"/>
    <w:rsid w:val="0001281F"/>
    <w:rsid w:val="00015494"/>
    <w:rsid w:val="000314F1"/>
    <w:rsid w:val="000350A0"/>
    <w:rsid w:val="00036A59"/>
    <w:rsid w:val="00040EA4"/>
    <w:rsid w:val="00045B57"/>
    <w:rsid w:val="00045F23"/>
    <w:rsid w:val="00050A95"/>
    <w:rsid w:val="00050EC8"/>
    <w:rsid w:val="00052E60"/>
    <w:rsid w:val="00057C36"/>
    <w:rsid w:val="00063850"/>
    <w:rsid w:val="000710DF"/>
    <w:rsid w:val="0007342F"/>
    <w:rsid w:val="00073FE6"/>
    <w:rsid w:val="000758E1"/>
    <w:rsid w:val="00075C9B"/>
    <w:rsid w:val="000771A9"/>
    <w:rsid w:val="0008187C"/>
    <w:rsid w:val="00086BFD"/>
    <w:rsid w:val="00090DC6"/>
    <w:rsid w:val="00090F0C"/>
    <w:rsid w:val="00092ABF"/>
    <w:rsid w:val="00094405"/>
    <w:rsid w:val="00096723"/>
    <w:rsid w:val="000A23C4"/>
    <w:rsid w:val="000A3C5F"/>
    <w:rsid w:val="000A47A8"/>
    <w:rsid w:val="000B3643"/>
    <w:rsid w:val="000B4B12"/>
    <w:rsid w:val="000B684D"/>
    <w:rsid w:val="000C3822"/>
    <w:rsid w:val="000C51F6"/>
    <w:rsid w:val="000D36E7"/>
    <w:rsid w:val="000D5D2B"/>
    <w:rsid w:val="000E1549"/>
    <w:rsid w:val="000E242D"/>
    <w:rsid w:val="000E2550"/>
    <w:rsid w:val="000E4ACE"/>
    <w:rsid w:val="000E634C"/>
    <w:rsid w:val="000E6D9B"/>
    <w:rsid w:val="000E7207"/>
    <w:rsid w:val="000F091A"/>
    <w:rsid w:val="000F1BC9"/>
    <w:rsid w:val="000F366B"/>
    <w:rsid w:val="000F47D2"/>
    <w:rsid w:val="000F6EC7"/>
    <w:rsid w:val="0010327B"/>
    <w:rsid w:val="001044D2"/>
    <w:rsid w:val="00106748"/>
    <w:rsid w:val="00106BD2"/>
    <w:rsid w:val="001133A7"/>
    <w:rsid w:val="001225B4"/>
    <w:rsid w:val="00124EC7"/>
    <w:rsid w:val="0013544E"/>
    <w:rsid w:val="0013647B"/>
    <w:rsid w:val="0013692A"/>
    <w:rsid w:val="00136B8E"/>
    <w:rsid w:val="00136E04"/>
    <w:rsid w:val="00141558"/>
    <w:rsid w:val="00145D08"/>
    <w:rsid w:val="001512FA"/>
    <w:rsid w:val="001631D2"/>
    <w:rsid w:val="00164DD4"/>
    <w:rsid w:val="0016596D"/>
    <w:rsid w:val="00166AF6"/>
    <w:rsid w:val="00167938"/>
    <w:rsid w:val="001704F5"/>
    <w:rsid w:val="0017113F"/>
    <w:rsid w:val="00173F4C"/>
    <w:rsid w:val="00174D0C"/>
    <w:rsid w:val="001772E2"/>
    <w:rsid w:val="0018063E"/>
    <w:rsid w:val="00180B85"/>
    <w:rsid w:val="00180D40"/>
    <w:rsid w:val="00180D73"/>
    <w:rsid w:val="00182472"/>
    <w:rsid w:val="001909A8"/>
    <w:rsid w:val="001914D3"/>
    <w:rsid w:val="0019602F"/>
    <w:rsid w:val="0019728C"/>
    <w:rsid w:val="001A049F"/>
    <w:rsid w:val="001A0DED"/>
    <w:rsid w:val="001A6C46"/>
    <w:rsid w:val="001B03B0"/>
    <w:rsid w:val="001B1E7F"/>
    <w:rsid w:val="001B5FCE"/>
    <w:rsid w:val="001B67D7"/>
    <w:rsid w:val="001C0C16"/>
    <w:rsid w:val="001C0CAA"/>
    <w:rsid w:val="001C170B"/>
    <w:rsid w:val="001C1A5B"/>
    <w:rsid w:val="001C1F22"/>
    <w:rsid w:val="001C5B84"/>
    <w:rsid w:val="001D31FC"/>
    <w:rsid w:val="001E227E"/>
    <w:rsid w:val="001F1286"/>
    <w:rsid w:val="001F20BD"/>
    <w:rsid w:val="001F2A63"/>
    <w:rsid w:val="001F33D8"/>
    <w:rsid w:val="001F3AE3"/>
    <w:rsid w:val="001F6FCE"/>
    <w:rsid w:val="00201F45"/>
    <w:rsid w:val="00205B00"/>
    <w:rsid w:val="00213711"/>
    <w:rsid w:val="002175E3"/>
    <w:rsid w:val="00217878"/>
    <w:rsid w:val="00221965"/>
    <w:rsid w:val="00222C3C"/>
    <w:rsid w:val="002239DE"/>
    <w:rsid w:val="00231F04"/>
    <w:rsid w:val="00232ED5"/>
    <w:rsid w:val="00235241"/>
    <w:rsid w:val="00237F44"/>
    <w:rsid w:val="00242E08"/>
    <w:rsid w:val="00243DE3"/>
    <w:rsid w:val="002448B7"/>
    <w:rsid w:val="00244C26"/>
    <w:rsid w:val="002464EC"/>
    <w:rsid w:val="002502E1"/>
    <w:rsid w:val="00252AB5"/>
    <w:rsid w:val="00255BD9"/>
    <w:rsid w:val="00264840"/>
    <w:rsid w:val="0027085C"/>
    <w:rsid w:val="00270F96"/>
    <w:rsid w:val="002775BC"/>
    <w:rsid w:val="00283574"/>
    <w:rsid w:val="00284F78"/>
    <w:rsid w:val="00286B18"/>
    <w:rsid w:val="00287D22"/>
    <w:rsid w:val="00292DFB"/>
    <w:rsid w:val="00294B95"/>
    <w:rsid w:val="00296803"/>
    <w:rsid w:val="002A310D"/>
    <w:rsid w:val="002A3A00"/>
    <w:rsid w:val="002A44EB"/>
    <w:rsid w:val="002A4818"/>
    <w:rsid w:val="002B1D18"/>
    <w:rsid w:val="002B4B50"/>
    <w:rsid w:val="002C06DF"/>
    <w:rsid w:val="002C30FB"/>
    <w:rsid w:val="002C74F9"/>
    <w:rsid w:val="002D0079"/>
    <w:rsid w:val="002D0CD7"/>
    <w:rsid w:val="002D4425"/>
    <w:rsid w:val="002E1078"/>
    <w:rsid w:val="002E23D7"/>
    <w:rsid w:val="002E2624"/>
    <w:rsid w:val="002E41CD"/>
    <w:rsid w:val="002E5403"/>
    <w:rsid w:val="002F0721"/>
    <w:rsid w:val="002F3AA5"/>
    <w:rsid w:val="002F45FD"/>
    <w:rsid w:val="00303570"/>
    <w:rsid w:val="0030425E"/>
    <w:rsid w:val="003155DB"/>
    <w:rsid w:val="00317DF1"/>
    <w:rsid w:val="0032147D"/>
    <w:rsid w:val="003241D2"/>
    <w:rsid w:val="003270CD"/>
    <w:rsid w:val="0033074E"/>
    <w:rsid w:val="00335248"/>
    <w:rsid w:val="00335AE9"/>
    <w:rsid w:val="003426BA"/>
    <w:rsid w:val="00345B90"/>
    <w:rsid w:val="00345C01"/>
    <w:rsid w:val="00345E3E"/>
    <w:rsid w:val="00345E56"/>
    <w:rsid w:val="0034608B"/>
    <w:rsid w:val="00346B38"/>
    <w:rsid w:val="00350F88"/>
    <w:rsid w:val="00351C61"/>
    <w:rsid w:val="00352E94"/>
    <w:rsid w:val="0035634D"/>
    <w:rsid w:val="00357474"/>
    <w:rsid w:val="00371B49"/>
    <w:rsid w:val="003769CC"/>
    <w:rsid w:val="0037791C"/>
    <w:rsid w:val="00384BF1"/>
    <w:rsid w:val="00391132"/>
    <w:rsid w:val="00392B7C"/>
    <w:rsid w:val="003970F8"/>
    <w:rsid w:val="003979D3"/>
    <w:rsid w:val="003A00B3"/>
    <w:rsid w:val="003A232F"/>
    <w:rsid w:val="003A48CA"/>
    <w:rsid w:val="003B2299"/>
    <w:rsid w:val="003B26A8"/>
    <w:rsid w:val="003B4CE0"/>
    <w:rsid w:val="003B76A5"/>
    <w:rsid w:val="003B7719"/>
    <w:rsid w:val="003C2A09"/>
    <w:rsid w:val="003C7250"/>
    <w:rsid w:val="003D0346"/>
    <w:rsid w:val="003E13C5"/>
    <w:rsid w:val="003E198A"/>
    <w:rsid w:val="003E1B8C"/>
    <w:rsid w:val="003F166F"/>
    <w:rsid w:val="003F1B39"/>
    <w:rsid w:val="003F47EE"/>
    <w:rsid w:val="003F670E"/>
    <w:rsid w:val="00404143"/>
    <w:rsid w:val="0041134B"/>
    <w:rsid w:val="004127AC"/>
    <w:rsid w:val="00413034"/>
    <w:rsid w:val="00413052"/>
    <w:rsid w:val="004130AD"/>
    <w:rsid w:val="00415CD1"/>
    <w:rsid w:val="0041724B"/>
    <w:rsid w:val="00420AF8"/>
    <w:rsid w:val="00421268"/>
    <w:rsid w:val="004265FA"/>
    <w:rsid w:val="0042711E"/>
    <w:rsid w:val="004319CE"/>
    <w:rsid w:val="00434560"/>
    <w:rsid w:val="0043604D"/>
    <w:rsid w:val="00437131"/>
    <w:rsid w:val="00442EBE"/>
    <w:rsid w:val="004461FA"/>
    <w:rsid w:val="00446FD8"/>
    <w:rsid w:val="0044753D"/>
    <w:rsid w:val="00450542"/>
    <w:rsid w:val="0045790D"/>
    <w:rsid w:val="00462F09"/>
    <w:rsid w:val="00464CEA"/>
    <w:rsid w:val="00464F5E"/>
    <w:rsid w:val="00466864"/>
    <w:rsid w:val="004710E8"/>
    <w:rsid w:val="0047234E"/>
    <w:rsid w:val="00473F52"/>
    <w:rsid w:val="0047706E"/>
    <w:rsid w:val="004777CF"/>
    <w:rsid w:val="004836AC"/>
    <w:rsid w:val="004851C0"/>
    <w:rsid w:val="00490F73"/>
    <w:rsid w:val="00497E20"/>
    <w:rsid w:val="004A1736"/>
    <w:rsid w:val="004A22B1"/>
    <w:rsid w:val="004A34F1"/>
    <w:rsid w:val="004A3624"/>
    <w:rsid w:val="004A3A25"/>
    <w:rsid w:val="004A5F9F"/>
    <w:rsid w:val="004A61F9"/>
    <w:rsid w:val="004B0A22"/>
    <w:rsid w:val="004B2ABB"/>
    <w:rsid w:val="004B37CB"/>
    <w:rsid w:val="004B50AA"/>
    <w:rsid w:val="004B5157"/>
    <w:rsid w:val="004B53C1"/>
    <w:rsid w:val="004C183B"/>
    <w:rsid w:val="004D0AAC"/>
    <w:rsid w:val="004D3251"/>
    <w:rsid w:val="004D64D1"/>
    <w:rsid w:val="004D7E1D"/>
    <w:rsid w:val="004D7E50"/>
    <w:rsid w:val="004E4DF4"/>
    <w:rsid w:val="004E4F07"/>
    <w:rsid w:val="004E50DC"/>
    <w:rsid w:val="004F2502"/>
    <w:rsid w:val="00500B42"/>
    <w:rsid w:val="00506622"/>
    <w:rsid w:val="00506752"/>
    <w:rsid w:val="00510DF2"/>
    <w:rsid w:val="00512220"/>
    <w:rsid w:val="0051419C"/>
    <w:rsid w:val="00514B53"/>
    <w:rsid w:val="00515AB9"/>
    <w:rsid w:val="00516B48"/>
    <w:rsid w:val="00521210"/>
    <w:rsid w:val="00530227"/>
    <w:rsid w:val="00531BD1"/>
    <w:rsid w:val="00542764"/>
    <w:rsid w:val="00543679"/>
    <w:rsid w:val="005507CA"/>
    <w:rsid w:val="00551BD1"/>
    <w:rsid w:val="00554627"/>
    <w:rsid w:val="005548C5"/>
    <w:rsid w:val="00554FA5"/>
    <w:rsid w:val="005566D5"/>
    <w:rsid w:val="00560777"/>
    <w:rsid w:val="005630BB"/>
    <w:rsid w:val="00563D63"/>
    <w:rsid w:val="005645F2"/>
    <w:rsid w:val="00564F95"/>
    <w:rsid w:val="00565939"/>
    <w:rsid w:val="00567710"/>
    <w:rsid w:val="00571A48"/>
    <w:rsid w:val="00574D0D"/>
    <w:rsid w:val="0057627E"/>
    <w:rsid w:val="00581F8A"/>
    <w:rsid w:val="0058276F"/>
    <w:rsid w:val="00583575"/>
    <w:rsid w:val="005846BA"/>
    <w:rsid w:val="00587CE3"/>
    <w:rsid w:val="005907A5"/>
    <w:rsid w:val="00590D60"/>
    <w:rsid w:val="00593771"/>
    <w:rsid w:val="00595074"/>
    <w:rsid w:val="00596B65"/>
    <w:rsid w:val="005A0AE9"/>
    <w:rsid w:val="005A1404"/>
    <w:rsid w:val="005A171F"/>
    <w:rsid w:val="005A4708"/>
    <w:rsid w:val="005A47DA"/>
    <w:rsid w:val="005A77DB"/>
    <w:rsid w:val="005B39F9"/>
    <w:rsid w:val="005B6224"/>
    <w:rsid w:val="005C2F4E"/>
    <w:rsid w:val="005C60F3"/>
    <w:rsid w:val="005C7E46"/>
    <w:rsid w:val="005D04AB"/>
    <w:rsid w:val="005D39AD"/>
    <w:rsid w:val="005D64A2"/>
    <w:rsid w:val="005E534F"/>
    <w:rsid w:val="005F2E53"/>
    <w:rsid w:val="005F4EFF"/>
    <w:rsid w:val="00602246"/>
    <w:rsid w:val="00602805"/>
    <w:rsid w:val="006077F5"/>
    <w:rsid w:val="00613222"/>
    <w:rsid w:val="00614525"/>
    <w:rsid w:val="00621ECF"/>
    <w:rsid w:val="00622AAC"/>
    <w:rsid w:val="006246BF"/>
    <w:rsid w:val="00631A4B"/>
    <w:rsid w:val="0063520A"/>
    <w:rsid w:val="00637E85"/>
    <w:rsid w:val="00641549"/>
    <w:rsid w:val="0065631A"/>
    <w:rsid w:val="00660582"/>
    <w:rsid w:val="00663E30"/>
    <w:rsid w:val="00667A4B"/>
    <w:rsid w:val="006701B0"/>
    <w:rsid w:val="00672E6B"/>
    <w:rsid w:val="00676BBF"/>
    <w:rsid w:val="0067736A"/>
    <w:rsid w:val="00681EAC"/>
    <w:rsid w:val="00681F53"/>
    <w:rsid w:val="00683C7E"/>
    <w:rsid w:val="0068559A"/>
    <w:rsid w:val="006A22AC"/>
    <w:rsid w:val="006A320E"/>
    <w:rsid w:val="006A590A"/>
    <w:rsid w:val="006B2793"/>
    <w:rsid w:val="006B3DCD"/>
    <w:rsid w:val="006B5FFF"/>
    <w:rsid w:val="006B6104"/>
    <w:rsid w:val="006B6A86"/>
    <w:rsid w:val="006B6E80"/>
    <w:rsid w:val="006B7CFD"/>
    <w:rsid w:val="006C0CDA"/>
    <w:rsid w:val="006C16ED"/>
    <w:rsid w:val="006C46F7"/>
    <w:rsid w:val="006C4DEA"/>
    <w:rsid w:val="006C78DD"/>
    <w:rsid w:val="006D0338"/>
    <w:rsid w:val="006D0C35"/>
    <w:rsid w:val="006E1050"/>
    <w:rsid w:val="006E1DAB"/>
    <w:rsid w:val="006E235B"/>
    <w:rsid w:val="006E288F"/>
    <w:rsid w:val="006E47F1"/>
    <w:rsid w:val="00700742"/>
    <w:rsid w:val="00702244"/>
    <w:rsid w:val="00702F62"/>
    <w:rsid w:val="00706F03"/>
    <w:rsid w:val="007117B4"/>
    <w:rsid w:val="00714F11"/>
    <w:rsid w:val="00716445"/>
    <w:rsid w:val="00716990"/>
    <w:rsid w:val="007231D5"/>
    <w:rsid w:val="007234D7"/>
    <w:rsid w:val="00725371"/>
    <w:rsid w:val="00731834"/>
    <w:rsid w:val="0073481C"/>
    <w:rsid w:val="00736A99"/>
    <w:rsid w:val="00742426"/>
    <w:rsid w:val="00747855"/>
    <w:rsid w:val="0075106C"/>
    <w:rsid w:val="007518D6"/>
    <w:rsid w:val="007542CA"/>
    <w:rsid w:val="00754CE3"/>
    <w:rsid w:val="00755F2F"/>
    <w:rsid w:val="00760039"/>
    <w:rsid w:val="007602CB"/>
    <w:rsid w:val="0076525B"/>
    <w:rsid w:val="007750D3"/>
    <w:rsid w:val="007761F8"/>
    <w:rsid w:val="007800A4"/>
    <w:rsid w:val="00786F16"/>
    <w:rsid w:val="00787D6F"/>
    <w:rsid w:val="007975C5"/>
    <w:rsid w:val="007A0344"/>
    <w:rsid w:val="007A0574"/>
    <w:rsid w:val="007A2BBA"/>
    <w:rsid w:val="007B281E"/>
    <w:rsid w:val="007B3D94"/>
    <w:rsid w:val="007B6B8F"/>
    <w:rsid w:val="007C096C"/>
    <w:rsid w:val="007C28AA"/>
    <w:rsid w:val="007C61C1"/>
    <w:rsid w:val="007C7D70"/>
    <w:rsid w:val="007D27A9"/>
    <w:rsid w:val="007D5761"/>
    <w:rsid w:val="007D715C"/>
    <w:rsid w:val="007E20A2"/>
    <w:rsid w:val="007E21C1"/>
    <w:rsid w:val="007E4912"/>
    <w:rsid w:val="007E72FE"/>
    <w:rsid w:val="007F408C"/>
    <w:rsid w:val="007F5948"/>
    <w:rsid w:val="00800D8E"/>
    <w:rsid w:val="008044FD"/>
    <w:rsid w:val="008055FE"/>
    <w:rsid w:val="00805A84"/>
    <w:rsid w:val="00806E90"/>
    <w:rsid w:val="00814EBA"/>
    <w:rsid w:val="008156B9"/>
    <w:rsid w:val="00817C76"/>
    <w:rsid w:val="008208A5"/>
    <w:rsid w:val="00823DFE"/>
    <w:rsid w:val="00826CAE"/>
    <w:rsid w:val="00826D27"/>
    <w:rsid w:val="0083123C"/>
    <w:rsid w:val="00833783"/>
    <w:rsid w:val="00833BCB"/>
    <w:rsid w:val="008374B2"/>
    <w:rsid w:val="0084250E"/>
    <w:rsid w:val="00845038"/>
    <w:rsid w:val="00846217"/>
    <w:rsid w:val="0085286D"/>
    <w:rsid w:val="00853A8E"/>
    <w:rsid w:val="00862541"/>
    <w:rsid w:val="0086315D"/>
    <w:rsid w:val="00863BE3"/>
    <w:rsid w:val="00865268"/>
    <w:rsid w:val="00872C5C"/>
    <w:rsid w:val="00873561"/>
    <w:rsid w:val="00873CA5"/>
    <w:rsid w:val="00876843"/>
    <w:rsid w:val="00880F97"/>
    <w:rsid w:val="00882F1D"/>
    <w:rsid w:val="00890690"/>
    <w:rsid w:val="00891F0E"/>
    <w:rsid w:val="0089466B"/>
    <w:rsid w:val="00896183"/>
    <w:rsid w:val="00896986"/>
    <w:rsid w:val="00896B22"/>
    <w:rsid w:val="008A6978"/>
    <w:rsid w:val="008B57BE"/>
    <w:rsid w:val="008B60D0"/>
    <w:rsid w:val="008B6FE0"/>
    <w:rsid w:val="008B7DE0"/>
    <w:rsid w:val="008C6145"/>
    <w:rsid w:val="008C6E05"/>
    <w:rsid w:val="008E20C7"/>
    <w:rsid w:val="008E63BE"/>
    <w:rsid w:val="00913729"/>
    <w:rsid w:val="009149C6"/>
    <w:rsid w:val="00920FDC"/>
    <w:rsid w:val="009238E0"/>
    <w:rsid w:val="00933171"/>
    <w:rsid w:val="009340A4"/>
    <w:rsid w:val="00940153"/>
    <w:rsid w:val="009410CC"/>
    <w:rsid w:val="009419D3"/>
    <w:rsid w:val="00950424"/>
    <w:rsid w:val="00950B55"/>
    <w:rsid w:val="00954004"/>
    <w:rsid w:val="00955235"/>
    <w:rsid w:val="009630F8"/>
    <w:rsid w:val="00965FF1"/>
    <w:rsid w:val="00977D83"/>
    <w:rsid w:val="009804C0"/>
    <w:rsid w:val="00980EF7"/>
    <w:rsid w:val="00981293"/>
    <w:rsid w:val="0098195E"/>
    <w:rsid w:val="009831CD"/>
    <w:rsid w:val="0099071A"/>
    <w:rsid w:val="0099226F"/>
    <w:rsid w:val="009934A8"/>
    <w:rsid w:val="00993B2E"/>
    <w:rsid w:val="00996FC3"/>
    <w:rsid w:val="00997553"/>
    <w:rsid w:val="009A7D16"/>
    <w:rsid w:val="009B1E8B"/>
    <w:rsid w:val="009B3CC5"/>
    <w:rsid w:val="009C036E"/>
    <w:rsid w:val="009C0D34"/>
    <w:rsid w:val="009C333C"/>
    <w:rsid w:val="009C5AB3"/>
    <w:rsid w:val="009C7808"/>
    <w:rsid w:val="009D2096"/>
    <w:rsid w:val="009D32C8"/>
    <w:rsid w:val="009D3BAE"/>
    <w:rsid w:val="009E2F53"/>
    <w:rsid w:val="009F0869"/>
    <w:rsid w:val="009F4D1B"/>
    <w:rsid w:val="009F6C22"/>
    <w:rsid w:val="00A02A86"/>
    <w:rsid w:val="00A03389"/>
    <w:rsid w:val="00A0454A"/>
    <w:rsid w:val="00A14306"/>
    <w:rsid w:val="00A200B5"/>
    <w:rsid w:val="00A20F0E"/>
    <w:rsid w:val="00A25A50"/>
    <w:rsid w:val="00A316F1"/>
    <w:rsid w:val="00A31A85"/>
    <w:rsid w:val="00A33EBF"/>
    <w:rsid w:val="00A40550"/>
    <w:rsid w:val="00A42EC4"/>
    <w:rsid w:val="00A42F05"/>
    <w:rsid w:val="00A4377E"/>
    <w:rsid w:val="00A45679"/>
    <w:rsid w:val="00A47E76"/>
    <w:rsid w:val="00A47FD0"/>
    <w:rsid w:val="00A565B6"/>
    <w:rsid w:val="00A65034"/>
    <w:rsid w:val="00A65598"/>
    <w:rsid w:val="00A7158C"/>
    <w:rsid w:val="00A716C8"/>
    <w:rsid w:val="00A72A06"/>
    <w:rsid w:val="00AA608B"/>
    <w:rsid w:val="00AA7599"/>
    <w:rsid w:val="00AA7974"/>
    <w:rsid w:val="00AB6323"/>
    <w:rsid w:val="00AB6EA5"/>
    <w:rsid w:val="00AC14B4"/>
    <w:rsid w:val="00AC3EB2"/>
    <w:rsid w:val="00AC6F7E"/>
    <w:rsid w:val="00AC72E4"/>
    <w:rsid w:val="00AD1096"/>
    <w:rsid w:val="00AD5B24"/>
    <w:rsid w:val="00AE4975"/>
    <w:rsid w:val="00AE58B5"/>
    <w:rsid w:val="00AE623D"/>
    <w:rsid w:val="00AE6529"/>
    <w:rsid w:val="00AF2DE1"/>
    <w:rsid w:val="00AF63AE"/>
    <w:rsid w:val="00AF7039"/>
    <w:rsid w:val="00AF74A2"/>
    <w:rsid w:val="00B032A3"/>
    <w:rsid w:val="00B11206"/>
    <w:rsid w:val="00B11CCF"/>
    <w:rsid w:val="00B1378F"/>
    <w:rsid w:val="00B14A79"/>
    <w:rsid w:val="00B17642"/>
    <w:rsid w:val="00B20A74"/>
    <w:rsid w:val="00B21605"/>
    <w:rsid w:val="00B25B68"/>
    <w:rsid w:val="00B275F5"/>
    <w:rsid w:val="00B30A27"/>
    <w:rsid w:val="00B45837"/>
    <w:rsid w:val="00B5001A"/>
    <w:rsid w:val="00B514D6"/>
    <w:rsid w:val="00B53C8F"/>
    <w:rsid w:val="00B60CBA"/>
    <w:rsid w:val="00B62EB3"/>
    <w:rsid w:val="00B666B9"/>
    <w:rsid w:val="00B70B13"/>
    <w:rsid w:val="00B719A8"/>
    <w:rsid w:val="00B76C6B"/>
    <w:rsid w:val="00B77D9B"/>
    <w:rsid w:val="00B84A1E"/>
    <w:rsid w:val="00B9199C"/>
    <w:rsid w:val="00B954AF"/>
    <w:rsid w:val="00BA7980"/>
    <w:rsid w:val="00BB01F2"/>
    <w:rsid w:val="00BB0555"/>
    <w:rsid w:val="00BB6BE0"/>
    <w:rsid w:val="00BC1146"/>
    <w:rsid w:val="00BC2B7D"/>
    <w:rsid w:val="00BC7EDE"/>
    <w:rsid w:val="00BD2B2F"/>
    <w:rsid w:val="00BD2B43"/>
    <w:rsid w:val="00BD4996"/>
    <w:rsid w:val="00BD5BF3"/>
    <w:rsid w:val="00BD61BF"/>
    <w:rsid w:val="00BD68FB"/>
    <w:rsid w:val="00BE0494"/>
    <w:rsid w:val="00BE2144"/>
    <w:rsid w:val="00BE32B2"/>
    <w:rsid w:val="00BE41F6"/>
    <w:rsid w:val="00BE6134"/>
    <w:rsid w:val="00BE6E5B"/>
    <w:rsid w:val="00BF0600"/>
    <w:rsid w:val="00BF07F4"/>
    <w:rsid w:val="00BF402C"/>
    <w:rsid w:val="00BF6F1F"/>
    <w:rsid w:val="00C0303B"/>
    <w:rsid w:val="00C07879"/>
    <w:rsid w:val="00C12BDE"/>
    <w:rsid w:val="00C170F5"/>
    <w:rsid w:val="00C1734A"/>
    <w:rsid w:val="00C20856"/>
    <w:rsid w:val="00C27176"/>
    <w:rsid w:val="00C31BAD"/>
    <w:rsid w:val="00C339EA"/>
    <w:rsid w:val="00C35AA0"/>
    <w:rsid w:val="00C36305"/>
    <w:rsid w:val="00C41461"/>
    <w:rsid w:val="00C42832"/>
    <w:rsid w:val="00C42984"/>
    <w:rsid w:val="00C46902"/>
    <w:rsid w:val="00C56D59"/>
    <w:rsid w:val="00C60D13"/>
    <w:rsid w:val="00C6204E"/>
    <w:rsid w:val="00C6262C"/>
    <w:rsid w:val="00C63E97"/>
    <w:rsid w:val="00C67553"/>
    <w:rsid w:val="00C76A49"/>
    <w:rsid w:val="00C76FC6"/>
    <w:rsid w:val="00C92CA9"/>
    <w:rsid w:val="00C9683F"/>
    <w:rsid w:val="00C975BD"/>
    <w:rsid w:val="00CA443E"/>
    <w:rsid w:val="00CB020D"/>
    <w:rsid w:val="00CC2E4E"/>
    <w:rsid w:val="00CC4765"/>
    <w:rsid w:val="00CC5C14"/>
    <w:rsid w:val="00CD2B53"/>
    <w:rsid w:val="00CD2D55"/>
    <w:rsid w:val="00CD3700"/>
    <w:rsid w:val="00CD4A84"/>
    <w:rsid w:val="00CD6E42"/>
    <w:rsid w:val="00CD7952"/>
    <w:rsid w:val="00CE00BC"/>
    <w:rsid w:val="00CE3F52"/>
    <w:rsid w:val="00CE773E"/>
    <w:rsid w:val="00CF7B83"/>
    <w:rsid w:val="00D025A8"/>
    <w:rsid w:val="00D04FB5"/>
    <w:rsid w:val="00D07E25"/>
    <w:rsid w:val="00D10AA0"/>
    <w:rsid w:val="00D1452A"/>
    <w:rsid w:val="00D15D64"/>
    <w:rsid w:val="00D20D48"/>
    <w:rsid w:val="00D21ECB"/>
    <w:rsid w:val="00D2380D"/>
    <w:rsid w:val="00D24E56"/>
    <w:rsid w:val="00D31431"/>
    <w:rsid w:val="00D35573"/>
    <w:rsid w:val="00D36A90"/>
    <w:rsid w:val="00D43555"/>
    <w:rsid w:val="00D47631"/>
    <w:rsid w:val="00D5424C"/>
    <w:rsid w:val="00D54774"/>
    <w:rsid w:val="00D55E95"/>
    <w:rsid w:val="00D60205"/>
    <w:rsid w:val="00D60E55"/>
    <w:rsid w:val="00D61CC1"/>
    <w:rsid w:val="00D62D4D"/>
    <w:rsid w:val="00D75557"/>
    <w:rsid w:val="00D77006"/>
    <w:rsid w:val="00D82138"/>
    <w:rsid w:val="00D846B8"/>
    <w:rsid w:val="00D856CB"/>
    <w:rsid w:val="00D87390"/>
    <w:rsid w:val="00D90FA1"/>
    <w:rsid w:val="00DA0E23"/>
    <w:rsid w:val="00DA1C01"/>
    <w:rsid w:val="00DA5731"/>
    <w:rsid w:val="00DB7B7E"/>
    <w:rsid w:val="00DC6C99"/>
    <w:rsid w:val="00DD118D"/>
    <w:rsid w:val="00DD22E3"/>
    <w:rsid w:val="00DD2E94"/>
    <w:rsid w:val="00DD6434"/>
    <w:rsid w:val="00DE06FC"/>
    <w:rsid w:val="00DE12CC"/>
    <w:rsid w:val="00DE4D51"/>
    <w:rsid w:val="00DF1BDD"/>
    <w:rsid w:val="00DF2ED9"/>
    <w:rsid w:val="00DF52D7"/>
    <w:rsid w:val="00DF648F"/>
    <w:rsid w:val="00E019CA"/>
    <w:rsid w:val="00E04076"/>
    <w:rsid w:val="00E06A18"/>
    <w:rsid w:val="00E07649"/>
    <w:rsid w:val="00E1124E"/>
    <w:rsid w:val="00E1193B"/>
    <w:rsid w:val="00E13F96"/>
    <w:rsid w:val="00E14843"/>
    <w:rsid w:val="00E14D6B"/>
    <w:rsid w:val="00E15E4D"/>
    <w:rsid w:val="00E16A5B"/>
    <w:rsid w:val="00E176D6"/>
    <w:rsid w:val="00E17D2A"/>
    <w:rsid w:val="00E20AE6"/>
    <w:rsid w:val="00E20CA0"/>
    <w:rsid w:val="00E249BB"/>
    <w:rsid w:val="00E31CF6"/>
    <w:rsid w:val="00E37B87"/>
    <w:rsid w:val="00E4036E"/>
    <w:rsid w:val="00E411AC"/>
    <w:rsid w:val="00E507D2"/>
    <w:rsid w:val="00E511B2"/>
    <w:rsid w:val="00E5236E"/>
    <w:rsid w:val="00E52D5A"/>
    <w:rsid w:val="00E52F57"/>
    <w:rsid w:val="00E532F9"/>
    <w:rsid w:val="00E63C22"/>
    <w:rsid w:val="00E6568A"/>
    <w:rsid w:val="00E706A6"/>
    <w:rsid w:val="00E716FC"/>
    <w:rsid w:val="00E73860"/>
    <w:rsid w:val="00E73B88"/>
    <w:rsid w:val="00E81E32"/>
    <w:rsid w:val="00E82439"/>
    <w:rsid w:val="00E8773C"/>
    <w:rsid w:val="00E925E0"/>
    <w:rsid w:val="00E960C2"/>
    <w:rsid w:val="00EA01A1"/>
    <w:rsid w:val="00EA144F"/>
    <w:rsid w:val="00EA48A7"/>
    <w:rsid w:val="00EA599A"/>
    <w:rsid w:val="00EA6133"/>
    <w:rsid w:val="00EB00F7"/>
    <w:rsid w:val="00EB0B7C"/>
    <w:rsid w:val="00EB202A"/>
    <w:rsid w:val="00EB327A"/>
    <w:rsid w:val="00EB4791"/>
    <w:rsid w:val="00EB6D1E"/>
    <w:rsid w:val="00EB7CDF"/>
    <w:rsid w:val="00EC364C"/>
    <w:rsid w:val="00EC3A4C"/>
    <w:rsid w:val="00EC67D5"/>
    <w:rsid w:val="00ED0F18"/>
    <w:rsid w:val="00ED5A94"/>
    <w:rsid w:val="00EE1CFB"/>
    <w:rsid w:val="00EE2C3B"/>
    <w:rsid w:val="00EE4944"/>
    <w:rsid w:val="00EE4E81"/>
    <w:rsid w:val="00F000C7"/>
    <w:rsid w:val="00F00E95"/>
    <w:rsid w:val="00F067F7"/>
    <w:rsid w:val="00F1058F"/>
    <w:rsid w:val="00F1789E"/>
    <w:rsid w:val="00F20788"/>
    <w:rsid w:val="00F22FBB"/>
    <w:rsid w:val="00F31A3A"/>
    <w:rsid w:val="00F34172"/>
    <w:rsid w:val="00F41C78"/>
    <w:rsid w:val="00F43697"/>
    <w:rsid w:val="00F51AE8"/>
    <w:rsid w:val="00F51C9C"/>
    <w:rsid w:val="00F5262D"/>
    <w:rsid w:val="00F5467B"/>
    <w:rsid w:val="00F57397"/>
    <w:rsid w:val="00F624AC"/>
    <w:rsid w:val="00F64F9F"/>
    <w:rsid w:val="00F74DE6"/>
    <w:rsid w:val="00F74EFA"/>
    <w:rsid w:val="00F81D96"/>
    <w:rsid w:val="00F8230E"/>
    <w:rsid w:val="00F84B13"/>
    <w:rsid w:val="00F94FFC"/>
    <w:rsid w:val="00FA1C6D"/>
    <w:rsid w:val="00FA2D35"/>
    <w:rsid w:val="00FA5617"/>
    <w:rsid w:val="00FA60F4"/>
    <w:rsid w:val="00FB3CC1"/>
    <w:rsid w:val="00FB5966"/>
    <w:rsid w:val="00FC130E"/>
    <w:rsid w:val="00FC3776"/>
    <w:rsid w:val="00FC4EEC"/>
    <w:rsid w:val="00FD4426"/>
    <w:rsid w:val="00FD7DE5"/>
    <w:rsid w:val="00FE5BC0"/>
    <w:rsid w:val="00FE69EC"/>
    <w:rsid w:val="00FF0694"/>
    <w:rsid w:val="00FF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C3A"/>
  <w15:docId w15:val="{E9855850-1E0D-45F7-8CBB-C0DDF12D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9E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A77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596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0154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39EA"/>
    <w:pPr>
      <w:ind w:left="720"/>
      <w:contextualSpacing/>
    </w:pPr>
  </w:style>
  <w:style w:type="paragraph" w:customStyle="1" w:styleId="block1">
    <w:name w:val="block1"/>
    <w:basedOn w:val="Normal"/>
    <w:rsid w:val="00C339EA"/>
    <w:pPr>
      <w:spacing w:before="100" w:beforeAutospacing="1" w:after="100" w:afterAutospacing="1"/>
    </w:pPr>
    <w:rPr>
      <w:sz w:val="19"/>
      <w:szCs w:val="19"/>
    </w:rPr>
  </w:style>
  <w:style w:type="paragraph" w:styleId="NoSpacing">
    <w:name w:val="No Spacing"/>
    <w:uiPriority w:val="1"/>
    <w:qFormat/>
    <w:rsid w:val="00C339E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074E"/>
    <w:rPr>
      <w:rFonts w:ascii="Tahoma" w:hAnsi="Tahoma" w:cs="Tahoma"/>
      <w:sz w:val="16"/>
      <w:szCs w:val="16"/>
    </w:rPr>
  </w:style>
  <w:style w:type="character" w:customStyle="1" w:styleId="BalloonTextChar">
    <w:name w:val="Balloon Text Char"/>
    <w:basedOn w:val="DefaultParagraphFont"/>
    <w:link w:val="BalloonText"/>
    <w:uiPriority w:val="99"/>
    <w:semiHidden/>
    <w:rsid w:val="0033074E"/>
    <w:rPr>
      <w:rFonts w:ascii="Tahoma" w:eastAsia="Times New Roman" w:hAnsi="Tahoma" w:cs="Tahoma"/>
      <w:sz w:val="16"/>
      <w:szCs w:val="16"/>
    </w:rPr>
  </w:style>
  <w:style w:type="paragraph" w:customStyle="1" w:styleId="Default">
    <w:name w:val="Default"/>
    <w:rsid w:val="00965FF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27176"/>
    <w:pPr>
      <w:tabs>
        <w:tab w:val="center" w:pos="4680"/>
        <w:tab w:val="right" w:pos="9360"/>
      </w:tabs>
    </w:pPr>
  </w:style>
  <w:style w:type="character" w:customStyle="1" w:styleId="HeaderChar">
    <w:name w:val="Header Char"/>
    <w:basedOn w:val="DefaultParagraphFont"/>
    <w:link w:val="Header"/>
    <w:uiPriority w:val="99"/>
    <w:rsid w:val="00C271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7176"/>
    <w:pPr>
      <w:tabs>
        <w:tab w:val="center" w:pos="4680"/>
        <w:tab w:val="right" w:pos="9360"/>
      </w:tabs>
    </w:pPr>
  </w:style>
  <w:style w:type="character" w:customStyle="1" w:styleId="FooterChar">
    <w:name w:val="Footer Char"/>
    <w:basedOn w:val="DefaultParagraphFont"/>
    <w:link w:val="Footer"/>
    <w:uiPriority w:val="99"/>
    <w:rsid w:val="00C2717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A77DB"/>
    <w:rPr>
      <w:rFonts w:asciiTheme="majorHAnsi" w:eastAsiaTheme="majorEastAsia" w:hAnsiTheme="majorHAnsi" w:cstheme="majorBidi"/>
      <w:b/>
      <w:bCs/>
      <w:color w:val="4F81BD" w:themeColor="accent1"/>
      <w:sz w:val="26"/>
      <w:szCs w:val="26"/>
    </w:rPr>
  </w:style>
  <w:style w:type="table" w:styleId="TableGrid">
    <w:name w:val="Table Grid"/>
    <w:basedOn w:val="TableNormal"/>
    <w:rsid w:val="00E019CA"/>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6596D"/>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16596D"/>
    <w:pPr>
      <w:widowControl w:val="0"/>
      <w:autoSpaceDE w:val="0"/>
      <w:autoSpaceDN w:val="0"/>
    </w:pPr>
  </w:style>
  <w:style w:type="character" w:customStyle="1" w:styleId="BodyTextChar">
    <w:name w:val="Body Text Char"/>
    <w:basedOn w:val="DefaultParagraphFont"/>
    <w:link w:val="BodyText"/>
    <w:uiPriority w:val="1"/>
    <w:rsid w:val="0016596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7649"/>
    <w:rPr>
      <w:color w:val="0000FF" w:themeColor="hyperlink"/>
      <w:u w:val="single"/>
    </w:rPr>
  </w:style>
  <w:style w:type="character" w:customStyle="1" w:styleId="Heading4Char">
    <w:name w:val="Heading 4 Char"/>
    <w:basedOn w:val="DefaultParagraphFont"/>
    <w:link w:val="Heading4"/>
    <w:uiPriority w:val="9"/>
    <w:semiHidden/>
    <w:rsid w:val="00015494"/>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327441">
      <w:bodyDiv w:val="1"/>
      <w:marLeft w:val="0"/>
      <w:marRight w:val="0"/>
      <w:marTop w:val="0"/>
      <w:marBottom w:val="0"/>
      <w:divBdr>
        <w:top w:val="none" w:sz="0" w:space="0" w:color="auto"/>
        <w:left w:val="none" w:sz="0" w:space="0" w:color="auto"/>
        <w:bottom w:val="none" w:sz="0" w:space="0" w:color="auto"/>
        <w:right w:val="none" w:sz="0" w:space="0" w:color="auto"/>
      </w:divBdr>
    </w:div>
    <w:div w:id="497774005">
      <w:bodyDiv w:val="1"/>
      <w:marLeft w:val="0"/>
      <w:marRight w:val="0"/>
      <w:marTop w:val="0"/>
      <w:marBottom w:val="0"/>
      <w:divBdr>
        <w:top w:val="none" w:sz="0" w:space="0" w:color="auto"/>
        <w:left w:val="none" w:sz="0" w:space="0" w:color="auto"/>
        <w:bottom w:val="none" w:sz="0" w:space="0" w:color="auto"/>
        <w:right w:val="none" w:sz="0" w:space="0" w:color="auto"/>
      </w:divBdr>
    </w:div>
    <w:div w:id="508905428">
      <w:bodyDiv w:val="1"/>
      <w:marLeft w:val="0"/>
      <w:marRight w:val="0"/>
      <w:marTop w:val="0"/>
      <w:marBottom w:val="0"/>
      <w:divBdr>
        <w:top w:val="none" w:sz="0" w:space="0" w:color="auto"/>
        <w:left w:val="none" w:sz="0" w:space="0" w:color="auto"/>
        <w:bottom w:val="none" w:sz="0" w:space="0" w:color="auto"/>
        <w:right w:val="none" w:sz="0" w:space="0" w:color="auto"/>
      </w:divBdr>
    </w:div>
    <w:div w:id="526527176">
      <w:bodyDiv w:val="1"/>
      <w:marLeft w:val="0"/>
      <w:marRight w:val="0"/>
      <w:marTop w:val="0"/>
      <w:marBottom w:val="0"/>
      <w:divBdr>
        <w:top w:val="none" w:sz="0" w:space="0" w:color="auto"/>
        <w:left w:val="none" w:sz="0" w:space="0" w:color="auto"/>
        <w:bottom w:val="none" w:sz="0" w:space="0" w:color="auto"/>
        <w:right w:val="none" w:sz="0" w:space="0" w:color="auto"/>
      </w:divBdr>
    </w:div>
    <w:div w:id="1036387569">
      <w:bodyDiv w:val="1"/>
      <w:marLeft w:val="0"/>
      <w:marRight w:val="0"/>
      <w:marTop w:val="0"/>
      <w:marBottom w:val="0"/>
      <w:divBdr>
        <w:top w:val="none" w:sz="0" w:space="0" w:color="auto"/>
        <w:left w:val="none" w:sz="0" w:space="0" w:color="auto"/>
        <w:bottom w:val="none" w:sz="0" w:space="0" w:color="auto"/>
        <w:right w:val="none" w:sz="0" w:space="0" w:color="auto"/>
      </w:divBdr>
    </w:div>
    <w:div w:id="1152452643">
      <w:bodyDiv w:val="1"/>
      <w:marLeft w:val="0"/>
      <w:marRight w:val="0"/>
      <w:marTop w:val="0"/>
      <w:marBottom w:val="0"/>
      <w:divBdr>
        <w:top w:val="none" w:sz="0" w:space="0" w:color="auto"/>
        <w:left w:val="none" w:sz="0" w:space="0" w:color="auto"/>
        <w:bottom w:val="none" w:sz="0" w:space="0" w:color="auto"/>
        <w:right w:val="none" w:sz="0" w:space="0" w:color="auto"/>
      </w:divBdr>
    </w:div>
    <w:div w:id="1192769622">
      <w:bodyDiv w:val="1"/>
      <w:marLeft w:val="0"/>
      <w:marRight w:val="0"/>
      <w:marTop w:val="0"/>
      <w:marBottom w:val="0"/>
      <w:divBdr>
        <w:top w:val="none" w:sz="0" w:space="0" w:color="auto"/>
        <w:left w:val="none" w:sz="0" w:space="0" w:color="auto"/>
        <w:bottom w:val="none" w:sz="0" w:space="0" w:color="auto"/>
        <w:right w:val="none" w:sz="0" w:space="0" w:color="auto"/>
      </w:divBdr>
    </w:div>
    <w:div w:id="1257521289">
      <w:bodyDiv w:val="1"/>
      <w:marLeft w:val="0"/>
      <w:marRight w:val="0"/>
      <w:marTop w:val="0"/>
      <w:marBottom w:val="0"/>
      <w:divBdr>
        <w:top w:val="none" w:sz="0" w:space="0" w:color="auto"/>
        <w:left w:val="none" w:sz="0" w:space="0" w:color="auto"/>
        <w:bottom w:val="none" w:sz="0" w:space="0" w:color="auto"/>
        <w:right w:val="none" w:sz="0" w:space="0" w:color="auto"/>
      </w:divBdr>
    </w:div>
    <w:div w:id="1383288962">
      <w:bodyDiv w:val="1"/>
      <w:marLeft w:val="0"/>
      <w:marRight w:val="0"/>
      <w:marTop w:val="0"/>
      <w:marBottom w:val="0"/>
      <w:divBdr>
        <w:top w:val="none" w:sz="0" w:space="0" w:color="auto"/>
        <w:left w:val="none" w:sz="0" w:space="0" w:color="auto"/>
        <w:bottom w:val="none" w:sz="0" w:space="0" w:color="auto"/>
        <w:right w:val="none" w:sz="0" w:space="0" w:color="auto"/>
      </w:divBdr>
    </w:div>
    <w:div w:id="1627395277">
      <w:bodyDiv w:val="1"/>
      <w:marLeft w:val="0"/>
      <w:marRight w:val="0"/>
      <w:marTop w:val="0"/>
      <w:marBottom w:val="0"/>
      <w:divBdr>
        <w:top w:val="none" w:sz="0" w:space="0" w:color="auto"/>
        <w:left w:val="none" w:sz="0" w:space="0" w:color="auto"/>
        <w:bottom w:val="none" w:sz="0" w:space="0" w:color="auto"/>
        <w:right w:val="none" w:sz="0" w:space="0" w:color="auto"/>
      </w:divBdr>
    </w:div>
    <w:div w:id="1827352664">
      <w:bodyDiv w:val="1"/>
      <w:marLeft w:val="0"/>
      <w:marRight w:val="0"/>
      <w:marTop w:val="0"/>
      <w:marBottom w:val="0"/>
      <w:divBdr>
        <w:top w:val="none" w:sz="0" w:space="0" w:color="auto"/>
        <w:left w:val="none" w:sz="0" w:space="0" w:color="auto"/>
        <w:bottom w:val="none" w:sz="0" w:space="0" w:color="auto"/>
        <w:right w:val="none" w:sz="0" w:space="0" w:color="auto"/>
      </w:divBdr>
    </w:div>
    <w:div w:id="18299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F25E1-B0AA-4D55-9017-CCA62539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7</Pages>
  <Words>2317</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Stribling, Chuck (LABOR)</dc:creator>
  <cp:lastModifiedBy>Gibbs, Danielle - OSHA</cp:lastModifiedBy>
  <cp:revision>106</cp:revision>
  <cp:lastPrinted>2024-06-24T19:22:00Z</cp:lastPrinted>
  <dcterms:created xsi:type="dcterms:W3CDTF">2024-06-21T17:51:00Z</dcterms:created>
  <dcterms:modified xsi:type="dcterms:W3CDTF">2024-07-08T15:12:00Z</dcterms:modified>
</cp:coreProperties>
</file>